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0D" w:rsidRPr="00F53968" w:rsidRDefault="00A73AF9" w:rsidP="00F53968">
      <w:pPr>
        <w:jc w:val="center"/>
        <w:rPr>
          <w:rFonts w:ascii="Times New Roman" w:hAnsi="Times New Roman"/>
          <w:b/>
          <w:sz w:val="28"/>
          <w:szCs w:val="28"/>
        </w:rPr>
      </w:pPr>
      <w:r>
        <w:rPr>
          <w:rFonts w:ascii="Times New Roman" w:hAnsi="Times New Roman"/>
          <w:b/>
          <w:sz w:val="28"/>
          <w:szCs w:val="28"/>
        </w:rPr>
        <w:t>UT</w:t>
      </w:r>
      <w:r w:rsidR="00D36BB5">
        <w:rPr>
          <w:rFonts w:ascii="Times New Roman" w:hAnsi="Times New Roman"/>
          <w:b/>
          <w:sz w:val="28"/>
          <w:szCs w:val="28"/>
        </w:rPr>
        <w:t>-</w:t>
      </w:r>
      <w:r>
        <w:rPr>
          <w:rFonts w:ascii="Times New Roman" w:hAnsi="Times New Roman"/>
          <w:b/>
          <w:sz w:val="28"/>
          <w:szCs w:val="28"/>
        </w:rPr>
        <w:t>1</w:t>
      </w:r>
      <w:r w:rsidR="00D20827">
        <w:rPr>
          <w:rFonts w:ascii="Times New Roman" w:hAnsi="Times New Roman"/>
          <w:b/>
          <w:sz w:val="28"/>
          <w:szCs w:val="28"/>
        </w:rPr>
        <w:t>11634</w:t>
      </w:r>
      <w:r w:rsidR="001C660D" w:rsidRPr="00F53968">
        <w:rPr>
          <w:rFonts w:ascii="Times New Roman" w:hAnsi="Times New Roman"/>
          <w:b/>
          <w:sz w:val="28"/>
          <w:szCs w:val="28"/>
        </w:rPr>
        <w:t xml:space="preserve"> Rulemaking</w:t>
      </w:r>
    </w:p>
    <w:p w:rsidR="002C039A" w:rsidRDefault="001C660D" w:rsidP="00F53968">
      <w:pPr>
        <w:jc w:val="center"/>
        <w:rPr>
          <w:rFonts w:ascii="Times New Roman" w:hAnsi="Times New Roman"/>
          <w:b/>
          <w:sz w:val="28"/>
          <w:szCs w:val="28"/>
        </w:rPr>
      </w:pPr>
      <w:r w:rsidRPr="00F53968">
        <w:rPr>
          <w:rFonts w:ascii="Times New Roman" w:hAnsi="Times New Roman"/>
          <w:b/>
          <w:sz w:val="28"/>
          <w:szCs w:val="28"/>
        </w:rPr>
        <w:t>Staff response</w:t>
      </w:r>
      <w:r w:rsidR="00A73AF9">
        <w:rPr>
          <w:rFonts w:ascii="Times New Roman" w:hAnsi="Times New Roman"/>
          <w:b/>
          <w:sz w:val="28"/>
          <w:szCs w:val="28"/>
        </w:rPr>
        <w:t>s</w:t>
      </w:r>
      <w:r w:rsidRPr="00F53968">
        <w:rPr>
          <w:rFonts w:ascii="Times New Roman" w:hAnsi="Times New Roman"/>
          <w:b/>
          <w:sz w:val="28"/>
          <w:szCs w:val="28"/>
        </w:rPr>
        <w:t xml:space="preserve"> to</w:t>
      </w:r>
      <w:r w:rsidR="00A75A11" w:rsidRPr="00F53968">
        <w:rPr>
          <w:rFonts w:ascii="Times New Roman" w:hAnsi="Times New Roman"/>
          <w:b/>
          <w:sz w:val="28"/>
          <w:szCs w:val="28"/>
        </w:rPr>
        <w:t xml:space="preserve"> CR-10</w:t>
      </w:r>
      <w:r w:rsidR="00A73AF9">
        <w:rPr>
          <w:rFonts w:ascii="Times New Roman" w:hAnsi="Times New Roman"/>
          <w:b/>
          <w:sz w:val="28"/>
          <w:szCs w:val="28"/>
        </w:rPr>
        <w:t>1</w:t>
      </w:r>
      <w:r w:rsidRPr="00F53968">
        <w:rPr>
          <w:rFonts w:ascii="Times New Roman" w:hAnsi="Times New Roman"/>
          <w:b/>
          <w:sz w:val="28"/>
          <w:szCs w:val="28"/>
        </w:rPr>
        <w:t xml:space="preserve"> comments</w:t>
      </w:r>
    </w:p>
    <w:p w:rsidR="001C660D" w:rsidRPr="00F53968" w:rsidRDefault="00D20827" w:rsidP="00F53968">
      <w:pPr>
        <w:jc w:val="center"/>
        <w:rPr>
          <w:rFonts w:ascii="Times New Roman" w:hAnsi="Times New Roman"/>
          <w:b/>
          <w:sz w:val="28"/>
          <w:szCs w:val="28"/>
        </w:rPr>
      </w:pPr>
      <w:r>
        <w:rPr>
          <w:rFonts w:ascii="Times New Roman" w:hAnsi="Times New Roman"/>
          <w:b/>
          <w:sz w:val="28"/>
          <w:szCs w:val="28"/>
        </w:rPr>
        <w:t xml:space="preserve">November 30, </w:t>
      </w:r>
      <w:r w:rsidR="001C660D" w:rsidRPr="00F53968">
        <w:rPr>
          <w:rFonts w:ascii="Times New Roman" w:hAnsi="Times New Roman"/>
          <w:b/>
          <w:sz w:val="28"/>
          <w:szCs w:val="28"/>
        </w:rPr>
        <w:t>20</w:t>
      </w:r>
      <w:r w:rsidR="00A73AF9">
        <w:rPr>
          <w:rFonts w:ascii="Times New Roman" w:hAnsi="Times New Roman"/>
          <w:b/>
          <w:sz w:val="28"/>
          <w:szCs w:val="28"/>
        </w:rPr>
        <w:t>1</w:t>
      </w:r>
      <w:r>
        <w:rPr>
          <w:rFonts w:ascii="Times New Roman" w:hAnsi="Times New Roman"/>
          <w:b/>
          <w:sz w:val="28"/>
          <w:szCs w:val="28"/>
        </w:rPr>
        <w:t>1</w:t>
      </w:r>
    </w:p>
    <w:p w:rsidR="001C660D" w:rsidRPr="00F53968" w:rsidRDefault="001C660D">
      <w:pPr>
        <w:rPr>
          <w:rFonts w:ascii="Times New Roman" w:hAnsi="Times New Roman"/>
        </w:rPr>
      </w:pPr>
    </w:p>
    <w:tbl>
      <w:tblPr>
        <w:tblW w:w="17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2229"/>
        <w:gridCol w:w="2346"/>
        <w:gridCol w:w="6735"/>
        <w:gridCol w:w="5882"/>
      </w:tblGrid>
      <w:tr w:rsidR="008C7CCC" w:rsidRPr="00F53968" w:rsidTr="004D6D3A">
        <w:tc>
          <w:tcPr>
            <w:tcW w:w="376" w:type="dxa"/>
          </w:tcPr>
          <w:p w:rsidR="00771EDA" w:rsidRPr="00F53968" w:rsidRDefault="00771EDA" w:rsidP="00F84C58">
            <w:pPr>
              <w:spacing w:line="240" w:lineRule="auto"/>
              <w:rPr>
                <w:rFonts w:ascii="Times New Roman" w:hAnsi="Times New Roman"/>
                <w:b/>
              </w:rPr>
            </w:pPr>
          </w:p>
        </w:tc>
        <w:tc>
          <w:tcPr>
            <w:tcW w:w="2229" w:type="dxa"/>
            <w:shd w:val="pct15" w:color="auto" w:fill="auto"/>
          </w:tcPr>
          <w:p w:rsidR="00771EDA" w:rsidRPr="00F53968" w:rsidRDefault="00771EDA" w:rsidP="00F84C58">
            <w:pPr>
              <w:spacing w:line="240" w:lineRule="auto"/>
              <w:rPr>
                <w:rFonts w:ascii="Times New Roman" w:hAnsi="Times New Roman"/>
                <w:b/>
              </w:rPr>
            </w:pPr>
            <w:r w:rsidRPr="00F53968">
              <w:rPr>
                <w:rFonts w:ascii="Times New Roman" w:hAnsi="Times New Roman"/>
                <w:b/>
              </w:rPr>
              <w:t>Section</w:t>
            </w:r>
          </w:p>
        </w:tc>
        <w:tc>
          <w:tcPr>
            <w:tcW w:w="2346" w:type="dxa"/>
            <w:shd w:val="pct15" w:color="auto" w:fill="auto"/>
          </w:tcPr>
          <w:p w:rsidR="00771EDA" w:rsidRPr="00F53968" w:rsidRDefault="00771EDA" w:rsidP="00F84C58">
            <w:pPr>
              <w:spacing w:line="240" w:lineRule="auto"/>
              <w:rPr>
                <w:rFonts w:ascii="Times New Roman" w:hAnsi="Times New Roman"/>
                <w:b/>
              </w:rPr>
            </w:pPr>
            <w:r w:rsidRPr="00F53968">
              <w:rPr>
                <w:rFonts w:ascii="Times New Roman" w:hAnsi="Times New Roman"/>
                <w:b/>
              </w:rPr>
              <w:t>Commenter</w:t>
            </w:r>
          </w:p>
        </w:tc>
        <w:tc>
          <w:tcPr>
            <w:tcW w:w="6735" w:type="dxa"/>
            <w:shd w:val="pct15" w:color="auto" w:fill="auto"/>
          </w:tcPr>
          <w:p w:rsidR="00771EDA" w:rsidRPr="00F53968" w:rsidRDefault="00771EDA" w:rsidP="00F84C58">
            <w:pPr>
              <w:spacing w:line="240" w:lineRule="auto"/>
              <w:rPr>
                <w:rFonts w:ascii="Times New Roman" w:hAnsi="Times New Roman"/>
                <w:b/>
              </w:rPr>
            </w:pPr>
            <w:r w:rsidRPr="00F53968">
              <w:rPr>
                <w:rFonts w:ascii="Times New Roman" w:hAnsi="Times New Roman"/>
                <w:b/>
              </w:rPr>
              <w:t>Comments</w:t>
            </w:r>
          </w:p>
        </w:tc>
        <w:tc>
          <w:tcPr>
            <w:tcW w:w="5882" w:type="dxa"/>
            <w:shd w:val="pct15" w:color="auto" w:fill="auto"/>
          </w:tcPr>
          <w:p w:rsidR="00771EDA" w:rsidRPr="00F53968" w:rsidRDefault="00771EDA" w:rsidP="00F84C58">
            <w:pPr>
              <w:spacing w:line="240" w:lineRule="auto"/>
              <w:rPr>
                <w:rFonts w:ascii="Times New Roman" w:hAnsi="Times New Roman"/>
                <w:b/>
              </w:rPr>
            </w:pPr>
            <w:r w:rsidRPr="00F53968">
              <w:rPr>
                <w:rFonts w:ascii="Times New Roman" w:hAnsi="Times New Roman"/>
                <w:b/>
              </w:rPr>
              <w:t>Staff Response</w:t>
            </w:r>
          </w:p>
        </w:tc>
      </w:tr>
      <w:tr w:rsidR="00D20827" w:rsidRPr="00F53968" w:rsidTr="004D6D3A">
        <w:tc>
          <w:tcPr>
            <w:tcW w:w="376" w:type="dxa"/>
          </w:tcPr>
          <w:p w:rsidR="00D20827" w:rsidRPr="00F53968" w:rsidRDefault="00D20827" w:rsidP="00F84C58">
            <w:pPr>
              <w:spacing w:line="240" w:lineRule="auto"/>
              <w:rPr>
                <w:rFonts w:ascii="Times New Roman" w:hAnsi="Times New Roman"/>
              </w:rPr>
            </w:pPr>
          </w:p>
        </w:tc>
        <w:tc>
          <w:tcPr>
            <w:tcW w:w="2229" w:type="dxa"/>
          </w:tcPr>
          <w:p w:rsidR="00D20827" w:rsidRDefault="00D20827" w:rsidP="00F84C58">
            <w:pPr>
              <w:spacing w:line="240" w:lineRule="auto"/>
              <w:rPr>
                <w:rFonts w:ascii="Bookman Old Style" w:hAnsi="Bookman Old Style"/>
              </w:rPr>
            </w:pPr>
          </w:p>
          <w:p w:rsidR="00D20827" w:rsidRPr="00CE0CC9" w:rsidRDefault="00D20827" w:rsidP="00AE2080">
            <w:pPr>
              <w:spacing w:line="240" w:lineRule="auto"/>
              <w:rPr>
                <w:rFonts w:ascii="Bookman Old Style" w:hAnsi="Bookman Old Style"/>
              </w:rPr>
            </w:pPr>
            <w:r>
              <w:rPr>
                <w:rFonts w:ascii="Bookman Old Style" w:hAnsi="Bookman Old Style"/>
              </w:rPr>
              <w:t>General Comments</w:t>
            </w:r>
          </w:p>
          <w:p w:rsidR="00D20827" w:rsidRPr="00CE0CC9" w:rsidRDefault="00D20827" w:rsidP="00F84C58">
            <w:pPr>
              <w:spacing w:line="240" w:lineRule="auto"/>
              <w:rPr>
                <w:rFonts w:ascii="Bookman Old Style" w:hAnsi="Bookman Old Style"/>
              </w:rPr>
            </w:pPr>
          </w:p>
        </w:tc>
        <w:tc>
          <w:tcPr>
            <w:tcW w:w="2346" w:type="dxa"/>
          </w:tcPr>
          <w:p w:rsidR="00D20827" w:rsidRDefault="00D20827" w:rsidP="00D20827">
            <w:pPr>
              <w:spacing w:line="240" w:lineRule="auto"/>
              <w:rPr>
                <w:rFonts w:ascii="Bookman Old Style" w:hAnsi="Bookman Old Style"/>
              </w:rPr>
            </w:pPr>
          </w:p>
          <w:p w:rsidR="00D20827" w:rsidRDefault="00D20827" w:rsidP="00D20827">
            <w:pPr>
              <w:spacing w:line="240" w:lineRule="auto"/>
              <w:rPr>
                <w:rFonts w:ascii="Bookman Old Style" w:hAnsi="Bookman Old Style"/>
              </w:rPr>
            </w:pPr>
            <w:r>
              <w:rPr>
                <w:rFonts w:ascii="Bookman Old Style" w:hAnsi="Bookman Old Style"/>
              </w:rPr>
              <w:t>C.J.</w:t>
            </w:r>
          </w:p>
          <w:p w:rsidR="00D20827" w:rsidRDefault="00D20827" w:rsidP="00D20827">
            <w:pPr>
              <w:spacing w:line="240" w:lineRule="auto"/>
              <w:rPr>
                <w:rFonts w:ascii="Bookman Old Style" w:hAnsi="Bookman Old Style"/>
              </w:rPr>
            </w:pPr>
            <w:r>
              <w:rPr>
                <w:rFonts w:ascii="Bookman Old Style" w:hAnsi="Bookman Old Style"/>
              </w:rPr>
              <w:t xml:space="preserve">Adams-Collier </w:t>
            </w:r>
          </w:p>
          <w:p w:rsidR="00D20827" w:rsidRDefault="00D20827" w:rsidP="00D20827">
            <w:pPr>
              <w:spacing w:line="240" w:lineRule="auto"/>
              <w:rPr>
                <w:rFonts w:ascii="Bookman Old Style" w:hAnsi="Bookman Old Style"/>
                <w:i/>
              </w:rPr>
            </w:pPr>
            <w:r w:rsidRPr="00CE0CC9">
              <w:rPr>
                <w:rFonts w:ascii="Bookman Old Style" w:hAnsi="Bookman Old Style"/>
              </w:rPr>
              <w:t xml:space="preserve">on behalf of </w:t>
            </w:r>
            <w:r>
              <w:rPr>
                <w:rFonts w:ascii="Bookman Old Style" w:hAnsi="Bookman Old Style"/>
                <w:i/>
              </w:rPr>
              <w:t>Collier Technologies LLC</w:t>
            </w:r>
          </w:p>
          <w:p w:rsidR="00D20827" w:rsidRPr="00CE0CC9" w:rsidRDefault="00D20827" w:rsidP="00D20827">
            <w:pPr>
              <w:spacing w:line="240" w:lineRule="auto"/>
              <w:rPr>
                <w:rFonts w:ascii="Bookman Old Style" w:hAnsi="Bookman Old Style"/>
              </w:rPr>
            </w:pPr>
          </w:p>
        </w:tc>
        <w:tc>
          <w:tcPr>
            <w:tcW w:w="6735" w:type="dxa"/>
          </w:tcPr>
          <w:p w:rsidR="00D20827" w:rsidRDefault="00D20827" w:rsidP="00A73AF9">
            <w:pPr>
              <w:spacing w:line="240" w:lineRule="auto"/>
              <w:rPr>
                <w:rFonts w:ascii="Bookman Old Style" w:hAnsi="Bookman Old Style"/>
              </w:rPr>
            </w:pPr>
          </w:p>
          <w:p w:rsidR="00D20827" w:rsidRDefault="00D20827" w:rsidP="00803A3C">
            <w:pPr>
              <w:spacing w:line="240" w:lineRule="auto"/>
              <w:rPr>
                <w:rFonts w:ascii="Bookman Old Style" w:hAnsi="Bookman Old Style"/>
              </w:rPr>
            </w:pPr>
            <w:r>
              <w:rPr>
                <w:rFonts w:ascii="Bookman Old Style" w:hAnsi="Bookman Old Style"/>
              </w:rPr>
              <w:t>Collier Technologies LLC requests that filing fees be accepted in the form of volunteer service to public agencies such as the Washington State Guard or the Washington State Military Department’s telecommunications division.</w:t>
            </w:r>
          </w:p>
          <w:p w:rsidR="00D20827" w:rsidRPr="00F53968" w:rsidRDefault="00D20827" w:rsidP="00803A3C">
            <w:pPr>
              <w:spacing w:line="240" w:lineRule="auto"/>
              <w:rPr>
                <w:rFonts w:ascii="Times New Roman" w:hAnsi="Times New Roman"/>
              </w:rPr>
            </w:pPr>
          </w:p>
        </w:tc>
        <w:tc>
          <w:tcPr>
            <w:tcW w:w="5882" w:type="dxa"/>
          </w:tcPr>
          <w:p w:rsidR="00D20827" w:rsidRDefault="00D20827" w:rsidP="00816FF5">
            <w:pPr>
              <w:autoSpaceDE w:val="0"/>
              <w:autoSpaceDN w:val="0"/>
              <w:spacing w:line="240" w:lineRule="atLeast"/>
              <w:rPr>
                <w:rFonts w:ascii="Bookman Old Style" w:hAnsi="Bookman Old Style"/>
                <w:b/>
              </w:rPr>
            </w:pPr>
          </w:p>
          <w:p w:rsidR="00D20827" w:rsidRDefault="00D20827" w:rsidP="0024379E">
            <w:pPr>
              <w:autoSpaceDE w:val="0"/>
              <w:autoSpaceDN w:val="0"/>
              <w:spacing w:line="240" w:lineRule="atLeast"/>
              <w:rPr>
                <w:rFonts w:ascii="Bookman Old Style" w:hAnsi="Bookman Old Style"/>
              </w:rPr>
            </w:pPr>
            <w:r w:rsidRPr="00B31ACB">
              <w:rPr>
                <w:rFonts w:ascii="Bookman Old Style" w:hAnsi="Bookman Old Style"/>
              </w:rPr>
              <w:t>The</w:t>
            </w:r>
            <w:r>
              <w:rPr>
                <w:rFonts w:ascii="Bookman Old Style" w:hAnsi="Bookman Old Style"/>
              </w:rPr>
              <w:t xml:space="preserve"> statute does not appear to allow for this.</w:t>
            </w:r>
          </w:p>
          <w:p w:rsidR="00D20827" w:rsidRPr="00816FF5" w:rsidRDefault="00D20827" w:rsidP="0024379E">
            <w:pPr>
              <w:autoSpaceDE w:val="0"/>
              <w:autoSpaceDN w:val="0"/>
              <w:spacing w:line="240" w:lineRule="atLeast"/>
              <w:rPr>
                <w:rFonts w:ascii="Bookman Old Style" w:hAnsi="Bookman Old Style"/>
              </w:rPr>
            </w:pPr>
          </w:p>
        </w:tc>
      </w:tr>
      <w:tr w:rsidR="00D20827" w:rsidRPr="00F53968" w:rsidTr="004D6D3A">
        <w:tc>
          <w:tcPr>
            <w:tcW w:w="376" w:type="dxa"/>
          </w:tcPr>
          <w:p w:rsidR="00D20827" w:rsidRPr="00F53968" w:rsidRDefault="00D20827" w:rsidP="00F84C58">
            <w:pPr>
              <w:spacing w:line="240" w:lineRule="auto"/>
              <w:rPr>
                <w:rFonts w:ascii="Times New Roman" w:hAnsi="Times New Roman"/>
              </w:rPr>
            </w:pPr>
          </w:p>
        </w:tc>
        <w:tc>
          <w:tcPr>
            <w:tcW w:w="2229" w:type="dxa"/>
          </w:tcPr>
          <w:p w:rsidR="00D20827" w:rsidRDefault="00D20827" w:rsidP="00DF72A4">
            <w:pPr>
              <w:spacing w:line="240" w:lineRule="auto"/>
              <w:rPr>
                <w:rFonts w:ascii="Bookman Old Style" w:hAnsi="Bookman Old Style"/>
              </w:rPr>
            </w:pPr>
          </w:p>
          <w:p w:rsidR="006262E2" w:rsidRPr="00CE0CC9" w:rsidRDefault="006262E2" w:rsidP="006262E2">
            <w:pPr>
              <w:spacing w:line="240" w:lineRule="auto"/>
              <w:rPr>
                <w:rFonts w:ascii="Bookman Old Style" w:hAnsi="Bookman Old Style"/>
              </w:rPr>
            </w:pPr>
            <w:r>
              <w:rPr>
                <w:rFonts w:ascii="Bookman Old Style" w:hAnsi="Bookman Old Style"/>
              </w:rPr>
              <w:t>General Comments</w:t>
            </w:r>
          </w:p>
          <w:p w:rsidR="00D20827" w:rsidRPr="00CE0CC9" w:rsidRDefault="00D20827" w:rsidP="006262E2">
            <w:pPr>
              <w:spacing w:line="240" w:lineRule="auto"/>
              <w:rPr>
                <w:rFonts w:ascii="Bookman Old Style" w:hAnsi="Bookman Old Style"/>
              </w:rPr>
            </w:pPr>
          </w:p>
        </w:tc>
        <w:tc>
          <w:tcPr>
            <w:tcW w:w="2346" w:type="dxa"/>
          </w:tcPr>
          <w:p w:rsidR="00D20827" w:rsidRDefault="00D20827" w:rsidP="00DF72A4">
            <w:pPr>
              <w:spacing w:line="240" w:lineRule="auto"/>
              <w:rPr>
                <w:rFonts w:ascii="Bookman Old Style" w:hAnsi="Bookman Old Style"/>
              </w:rPr>
            </w:pPr>
          </w:p>
          <w:p w:rsidR="00D20827" w:rsidRDefault="00D20827" w:rsidP="008C7CCC">
            <w:pPr>
              <w:spacing w:line="240" w:lineRule="auto"/>
              <w:rPr>
                <w:rFonts w:ascii="Bookman Old Style" w:hAnsi="Bookman Old Style"/>
              </w:rPr>
            </w:pPr>
            <w:r>
              <w:rPr>
                <w:rFonts w:ascii="Bookman Old Style" w:hAnsi="Bookman Old Style"/>
              </w:rPr>
              <w:t>Art Butler</w:t>
            </w:r>
          </w:p>
          <w:p w:rsidR="00D20827" w:rsidRDefault="00D20827" w:rsidP="008C7CCC">
            <w:pPr>
              <w:spacing w:line="240" w:lineRule="auto"/>
              <w:rPr>
                <w:rFonts w:ascii="Bookman Old Style" w:hAnsi="Bookman Old Style"/>
              </w:rPr>
            </w:pPr>
            <w:proofErr w:type="gramStart"/>
            <w:r w:rsidRPr="00CE0CC9">
              <w:rPr>
                <w:rFonts w:ascii="Bookman Old Style" w:hAnsi="Bookman Old Style"/>
              </w:rPr>
              <w:t>on</w:t>
            </w:r>
            <w:proofErr w:type="gramEnd"/>
            <w:r w:rsidRPr="00CE0CC9">
              <w:rPr>
                <w:rFonts w:ascii="Bookman Old Style" w:hAnsi="Bookman Old Style"/>
              </w:rPr>
              <w:t xml:space="preserve"> behalf of </w:t>
            </w:r>
            <w:r w:rsidRPr="006B0CA9">
              <w:rPr>
                <w:rFonts w:ascii="Bookman Old Style" w:hAnsi="Bookman Old Style"/>
              </w:rPr>
              <w:t>Level 3 Communications and Global Crossing Local Services, Inc.</w:t>
            </w:r>
          </w:p>
          <w:p w:rsidR="00D20827" w:rsidRPr="00CE0CC9" w:rsidRDefault="00D20827" w:rsidP="008C7CCC">
            <w:pPr>
              <w:spacing w:line="240" w:lineRule="auto"/>
              <w:rPr>
                <w:rFonts w:ascii="Bookman Old Style" w:hAnsi="Bookman Old Style"/>
              </w:rPr>
            </w:pPr>
          </w:p>
        </w:tc>
        <w:tc>
          <w:tcPr>
            <w:tcW w:w="6735" w:type="dxa"/>
          </w:tcPr>
          <w:p w:rsidR="00D20827" w:rsidRDefault="00D20827" w:rsidP="00DF72A4">
            <w:pPr>
              <w:spacing w:line="240" w:lineRule="auto"/>
              <w:rPr>
                <w:rFonts w:ascii="Bookman Old Style" w:hAnsi="Bookman Old Style"/>
              </w:rPr>
            </w:pPr>
          </w:p>
          <w:p w:rsidR="00D20827" w:rsidRDefault="00D20827" w:rsidP="00D20827">
            <w:pPr>
              <w:spacing w:line="240" w:lineRule="auto"/>
              <w:rPr>
                <w:rFonts w:ascii="Bookman Old Style" w:hAnsi="Bookman Old Style"/>
              </w:rPr>
            </w:pPr>
            <w:r w:rsidRPr="006B0CA9">
              <w:rPr>
                <w:rFonts w:ascii="Bookman Old Style" w:hAnsi="Bookman Old Style"/>
              </w:rPr>
              <w:t xml:space="preserve">Level 3 and Global Crossing request that </w:t>
            </w:r>
            <w:r w:rsidR="006B0CA9" w:rsidRPr="006B0CA9">
              <w:rPr>
                <w:rFonts w:ascii="Bookman Old Style" w:hAnsi="Bookman Old Style"/>
              </w:rPr>
              <w:t>the full cost of arbitration be split equally between the parties to the negotiation that gave rise to the arbitration.</w:t>
            </w:r>
          </w:p>
          <w:p w:rsidR="006B0CA9" w:rsidRPr="006B0CA9" w:rsidRDefault="006B0CA9" w:rsidP="00D20827">
            <w:pPr>
              <w:spacing w:line="240" w:lineRule="auto"/>
              <w:rPr>
                <w:rFonts w:ascii="Bookman Old Style" w:hAnsi="Bookman Old Style"/>
              </w:rPr>
            </w:pPr>
          </w:p>
        </w:tc>
        <w:tc>
          <w:tcPr>
            <w:tcW w:w="5882" w:type="dxa"/>
          </w:tcPr>
          <w:p w:rsidR="00D20827" w:rsidRDefault="00D20827" w:rsidP="00DF72A4">
            <w:pPr>
              <w:autoSpaceDE w:val="0"/>
              <w:autoSpaceDN w:val="0"/>
              <w:spacing w:line="240" w:lineRule="atLeast"/>
              <w:rPr>
                <w:rFonts w:ascii="Bookman Old Style" w:hAnsi="Bookman Old Style"/>
              </w:rPr>
            </w:pPr>
          </w:p>
          <w:p w:rsidR="00D23E95" w:rsidRDefault="00D23E95" w:rsidP="00DF72A4">
            <w:pPr>
              <w:autoSpaceDE w:val="0"/>
              <w:autoSpaceDN w:val="0"/>
              <w:spacing w:line="240" w:lineRule="atLeast"/>
              <w:rPr>
                <w:rFonts w:ascii="Bookman Old Style" w:hAnsi="Bookman Old Style"/>
              </w:rPr>
            </w:pPr>
          </w:p>
          <w:p w:rsidR="00631814" w:rsidRDefault="00631814" w:rsidP="00DF72A4">
            <w:pPr>
              <w:autoSpaceDE w:val="0"/>
              <w:autoSpaceDN w:val="0"/>
              <w:spacing w:line="240" w:lineRule="atLeast"/>
              <w:rPr>
                <w:rFonts w:ascii="Bookman Old Style" w:hAnsi="Bookman Old Style"/>
              </w:rPr>
            </w:pPr>
            <w:r>
              <w:rPr>
                <w:rFonts w:ascii="Bookman Old Style" w:hAnsi="Bookman Old Style"/>
              </w:rPr>
              <w:t>This appears to answer the CR-101 question #2.</w:t>
            </w:r>
          </w:p>
          <w:p w:rsidR="00D20827" w:rsidRPr="00816FF5" w:rsidRDefault="00D20827" w:rsidP="00DF72A4">
            <w:pPr>
              <w:autoSpaceDE w:val="0"/>
              <w:autoSpaceDN w:val="0"/>
              <w:spacing w:line="240" w:lineRule="atLeast"/>
              <w:rPr>
                <w:rFonts w:ascii="Bookman Old Style" w:hAnsi="Bookman Old Style"/>
              </w:rPr>
            </w:pPr>
          </w:p>
        </w:tc>
      </w:tr>
      <w:tr w:rsidR="00D20827" w:rsidRPr="00F53968" w:rsidTr="004D6D3A">
        <w:tc>
          <w:tcPr>
            <w:tcW w:w="376" w:type="dxa"/>
          </w:tcPr>
          <w:p w:rsidR="00D20827" w:rsidRPr="00F53968" w:rsidRDefault="00D20827" w:rsidP="00AE2080">
            <w:pPr>
              <w:spacing w:line="240" w:lineRule="auto"/>
              <w:rPr>
                <w:rFonts w:ascii="Times New Roman" w:hAnsi="Times New Roman"/>
              </w:rPr>
            </w:pPr>
          </w:p>
        </w:tc>
        <w:tc>
          <w:tcPr>
            <w:tcW w:w="2229" w:type="dxa"/>
            <w:tcBorders>
              <w:bottom w:val="single" w:sz="4" w:space="0" w:color="000000"/>
            </w:tcBorders>
          </w:tcPr>
          <w:p w:rsidR="00D20827" w:rsidRDefault="00D20827" w:rsidP="00AE2080">
            <w:pPr>
              <w:spacing w:line="240" w:lineRule="auto"/>
              <w:rPr>
                <w:rFonts w:ascii="Bookman Old Style" w:hAnsi="Bookman Old Style"/>
              </w:rPr>
            </w:pPr>
          </w:p>
          <w:p w:rsidR="006262E2" w:rsidRPr="00CE0CC9" w:rsidRDefault="006262E2" w:rsidP="006262E2">
            <w:pPr>
              <w:spacing w:line="240" w:lineRule="auto"/>
              <w:rPr>
                <w:rFonts w:ascii="Bookman Old Style" w:hAnsi="Bookman Old Style"/>
              </w:rPr>
            </w:pPr>
            <w:r>
              <w:rPr>
                <w:rFonts w:ascii="Bookman Old Style" w:hAnsi="Bookman Old Style"/>
              </w:rPr>
              <w:t>General Comments</w:t>
            </w:r>
          </w:p>
          <w:p w:rsidR="00D20827" w:rsidRDefault="00D20827" w:rsidP="006262E2">
            <w:pPr>
              <w:spacing w:line="240" w:lineRule="auto"/>
              <w:rPr>
                <w:rFonts w:ascii="Bookman Old Style" w:hAnsi="Bookman Old Style"/>
              </w:rPr>
            </w:pPr>
          </w:p>
          <w:p w:rsidR="00182E75" w:rsidRDefault="00182E75" w:rsidP="006262E2">
            <w:pPr>
              <w:spacing w:line="240" w:lineRule="auto"/>
              <w:rPr>
                <w:rFonts w:ascii="Bookman Old Style" w:hAnsi="Bookman Old Style"/>
              </w:rPr>
            </w:pPr>
          </w:p>
          <w:p w:rsidR="00182E75" w:rsidRDefault="00182E75" w:rsidP="006262E2">
            <w:pPr>
              <w:spacing w:line="240" w:lineRule="auto"/>
              <w:rPr>
                <w:rFonts w:ascii="Bookman Old Style" w:hAnsi="Bookman Old Style"/>
              </w:rPr>
            </w:pPr>
          </w:p>
          <w:p w:rsidR="00182E75" w:rsidRDefault="00182E75" w:rsidP="006262E2">
            <w:pPr>
              <w:spacing w:line="240" w:lineRule="auto"/>
              <w:rPr>
                <w:rFonts w:ascii="Bookman Old Style" w:hAnsi="Bookman Old Style"/>
              </w:rPr>
            </w:pPr>
          </w:p>
          <w:p w:rsidR="00182E75" w:rsidRDefault="00182E75" w:rsidP="006262E2">
            <w:pPr>
              <w:spacing w:line="240" w:lineRule="auto"/>
              <w:rPr>
                <w:rFonts w:ascii="Bookman Old Style" w:hAnsi="Bookman Old Style"/>
              </w:rPr>
            </w:pPr>
          </w:p>
          <w:p w:rsidR="00182E75" w:rsidRDefault="00182E75" w:rsidP="006262E2">
            <w:pPr>
              <w:spacing w:line="240" w:lineRule="auto"/>
              <w:rPr>
                <w:rFonts w:ascii="Bookman Old Style" w:hAnsi="Bookman Old Style"/>
              </w:rPr>
            </w:pPr>
          </w:p>
          <w:p w:rsidR="00182E75" w:rsidRDefault="00182E75" w:rsidP="006262E2">
            <w:pPr>
              <w:spacing w:line="240" w:lineRule="auto"/>
              <w:rPr>
                <w:rFonts w:ascii="Bookman Old Style" w:hAnsi="Bookman Old Style"/>
              </w:rPr>
            </w:pPr>
          </w:p>
          <w:p w:rsidR="00182E75" w:rsidRDefault="00182E75" w:rsidP="006262E2">
            <w:pPr>
              <w:spacing w:line="240" w:lineRule="auto"/>
              <w:rPr>
                <w:rFonts w:ascii="Bookman Old Style" w:hAnsi="Bookman Old Style"/>
              </w:rPr>
            </w:pPr>
          </w:p>
          <w:p w:rsidR="00182E75" w:rsidRDefault="00182E75" w:rsidP="006262E2">
            <w:pPr>
              <w:spacing w:line="240" w:lineRule="auto"/>
              <w:rPr>
                <w:rFonts w:ascii="Bookman Old Style" w:hAnsi="Bookman Old Style"/>
              </w:rPr>
            </w:pPr>
          </w:p>
          <w:p w:rsidR="00182E75" w:rsidRDefault="00182E75" w:rsidP="006262E2">
            <w:pPr>
              <w:spacing w:line="240" w:lineRule="auto"/>
              <w:rPr>
                <w:rFonts w:ascii="Bookman Old Style" w:hAnsi="Bookman Old Style"/>
              </w:rPr>
            </w:pPr>
          </w:p>
          <w:p w:rsidR="00182E75" w:rsidRDefault="00182E75" w:rsidP="006262E2">
            <w:pPr>
              <w:spacing w:line="240" w:lineRule="auto"/>
              <w:rPr>
                <w:rFonts w:ascii="Bookman Old Style" w:hAnsi="Bookman Old Style"/>
              </w:rPr>
            </w:pPr>
          </w:p>
          <w:p w:rsidR="00182E75" w:rsidRDefault="00182E75" w:rsidP="006262E2">
            <w:pPr>
              <w:spacing w:line="240" w:lineRule="auto"/>
              <w:rPr>
                <w:rFonts w:ascii="Bookman Old Style" w:hAnsi="Bookman Old Style"/>
              </w:rPr>
            </w:pPr>
          </w:p>
          <w:p w:rsidR="00182E75" w:rsidRDefault="00182E75" w:rsidP="006262E2">
            <w:pPr>
              <w:spacing w:line="240" w:lineRule="auto"/>
              <w:rPr>
                <w:rFonts w:ascii="Bookman Old Style" w:hAnsi="Bookman Old Style"/>
              </w:rPr>
            </w:pPr>
          </w:p>
          <w:p w:rsidR="0041556B" w:rsidRDefault="0041556B" w:rsidP="0041556B">
            <w:pPr>
              <w:spacing w:line="240" w:lineRule="auto"/>
              <w:rPr>
                <w:rFonts w:ascii="Bookman Old Style" w:hAnsi="Bookman Old Style"/>
              </w:rPr>
            </w:pPr>
            <w:r>
              <w:rPr>
                <w:rFonts w:ascii="Bookman Old Style" w:hAnsi="Bookman Old Style"/>
              </w:rPr>
              <w:t>continued . . .</w:t>
            </w:r>
          </w:p>
          <w:p w:rsidR="00427FE9" w:rsidRDefault="00427FE9" w:rsidP="0041556B">
            <w:pPr>
              <w:spacing w:line="240" w:lineRule="auto"/>
              <w:rPr>
                <w:rFonts w:ascii="Bookman Old Style" w:hAnsi="Bookman Old Style"/>
              </w:rPr>
            </w:pPr>
          </w:p>
        </w:tc>
        <w:tc>
          <w:tcPr>
            <w:tcW w:w="2346" w:type="dxa"/>
            <w:tcBorders>
              <w:bottom w:val="single" w:sz="4" w:space="0" w:color="000000"/>
            </w:tcBorders>
          </w:tcPr>
          <w:p w:rsidR="00D20827" w:rsidRDefault="00D20827" w:rsidP="00AE2080">
            <w:pPr>
              <w:spacing w:line="240" w:lineRule="auto"/>
              <w:rPr>
                <w:rFonts w:ascii="Bookman Old Style" w:hAnsi="Bookman Old Style"/>
              </w:rPr>
            </w:pPr>
          </w:p>
          <w:p w:rsidR="006B0CA9" w:rsidRDefault="00E202FE" w:rsidP="00AE2080">
            <w:pPr>
              <w:spacing w:line="240" w:lineRule="auto"/>
              <w:rPr>
                <w:rFonts w:ascii="Bookman Old Style" w:hAnsi="Bookman Old Style"/>
              </w:rPr>
            </w:pPr>
            <w:r>
              <w:rPr>
                <w:rFonts w:ascii="Bookman Old Style" w:hAnsi="Bookman Old Style"/>
              </w:rPr>
              <w:t xml:space="preserve">Cindy Manheim and </w:t>
            </w:r>
            <w:r w:rsidR="006B0CA9">
              <w:rPr>
                <w:rFonts w:ascii="Bookman Old Style" w:hAnsi="Bookman Old Style"/>
              </w:rPr>
              <w:t xml:space="preserve">David Collier </w:t>
            </w:r>
            <w:r w:rsidR="006B0CA9" w:rsidRPr="00CE0CC9">
              <w:rPr>
                <w:rFonts w:ascii="Bookman Old Style" w:hAnsi="Bookman Old Style"/>
              </w:rPr>
              <w:t xml:space="preserve">on behalf of </w:t>
            </w:r>
            <w:r w:rsidR="006B0CA9">
              <w:rPr>
                <w:rFonts w:ascii="Bookman Old Style" w:hAnsi="Bookman Old Style"/>
                <w:i/>
              </w:rPr>
              <w:t>AT&amp;T Communications of the Pacific Northwest, I</w:t>
            </w:r>
            <w:r w:rsidR="006B0CA9" w:rsidRPr="008C7CCC">
              <w:rPr>
                <w:rFonts w:ascii="Bookman Old Style" w:hAnsi="Bookman Old Style"/>
                <w:i/>
              </w:rPr>
              <w:t>nc.</w:t>
            </w:r>
            <w:r w:rsidR="00696F00">
              <w:rPr>
                <w:rFonts w:ascii="Bookman Old Style" w:hAnsi="Bookman Old Style"/>
                <w:i/>
              </w:rPr>
              <w:t>, New Cingular Wireless PCS, LLC, and TCG Seattle</w:t>
            </w:r>
            <w:r w:rsidR="006B0CA9">
              <w:rPr>
                <w:rFonts w:ascii="Bookman Old Style" w:hAnsi="Bookman Old Style"/>
              </w:rPr>
              <w:t xml:space="preserve"> (</w:t>
            </w:r>
            <w:r w:rsidR="00696F00">
              <w:rPr>
                <w:rFonts w:ascii="Bookman Old Style" w:hAnsi="Bookman Old Style"/>
              </w:rPr>
              <w:t xml:space="preserve">collectively </w:t>
            </w:r>
            <w:r w:rsidR="006B0CA9">
              <w:rPr>
                <w:rFonts w:ascii="Bookman Old Style" w:hAnsi="Bookman Old Style"/>
              </w:rPr>
              <w:t>“AT&amp;T”)</w:t>
            </w:r>
          </w:p>
          <w:p w:rsidR="006B0CA9" w:rsidRDefault="006B0CA9" w:rsidP="00AE2080">
            <w:pPr>
              <w:spacing w:line="240" w:lineRule="auto"/>
              <w:rPr>
                <w:rFonts w:ascii="Bookman Old Style" w:hAnsi="Bookman Old Style"/>
              </w:rPr>
            </w:pPr>
          </w:p>
          <w:p w:rsidR="00696F00" w:rsidRDefault="00696F00" w:rsidP="00AE2080">
            <w:pPr>
              <w:spacing w:line="240" w:lineRule="auto"/>
              <w:rPr>
                <w:rFonts w:ascii="Bookman Old Style" w:hAnsi="Bookman Old Style"/>
              </w:rPr>
            </w:pPr>
          </w:p>
          <w:p w:rsidR="00696F00" w:rsidRDefault="00696F00" w:rsidP="00AE2080">
            <w:pPr>
              <w:spacing w:line="240" w:lineRule="auto"/>
              <w:rPr>
                <w:rFonts w:ascii="Bookman Old Style" w:hAnsi="Bookman Old Style"/>
              </w:rPr>
            </w:pPr>
          </w:p>
          <w:p w:rsidR="00696F00" w:rsidRDefault="00696F00" w:rsidP="00AE2080">
            <w:pPr>
              <w:spacing w:line="240" w:lineRule="auto"/>
              <w:rPr>
                <w:rFonts w:ascii="Bookman Old Style" w:hAnsi="Bookman Old Style"/>
              </w:rPr>
            </w:pPr>
          </w:p>
          <w:p w:rsidR="00631814" w:rsidRDefault="00631814" w:rsidP="00AE2080">
            <w:pPr>
              <w:spacing w:line="240" w:lineRule="auto"/>
              <w:rPr>
                <w:rFonts w:ascii="Bookman Old Style" w:hAnsi="Bookman Old Style"/>
              </w:rPr>
            </w:pPr>
          </w:p>
        </w:tc>
        <w:tc>
          <w:tcPr>
            <w:tcW w:w="6735" w:type="dxa"/>
            <w:tcBorders>
              <w:bottom w:val="single" w:sz="4" w:space="0" w:color="000000"/>
            </w:tcBorders>
          </w:tcPr>
          <w:p w:rsidR="00D20827" w:rsidRDefault="00D20827" w:rsidP="00AE2080">
            <w:pPr>
              <w:spacing w:line="240" w:lineRule="auto"/>
              <w:rPr>
                <w:rFonts w:ascii="Bookman Old Style" w:hAnsi="Bookman Old Style"/>
              </w:rPr>
            </w:pPr>
          </w:p>
          <w:p w:rsidR="00D23E95" w:rsidRDefault="00D23E95" w:rsidP="00AE2080">
            <w:pPr>
              <w:spacing w:line="240" w:lineRule="auto"/>
              <w:rPr>
                <w:rFonts w:ascii="Bookman Old Style" w:hAnsi="Bookman Old Style"/>
              </w:rPr>
            </w:pPr>
            <w:r>
              <w:rPr>
                <w:rFonts w:ascii="Bookman Old Style" w:hAnsi="Bookman Old Style"/>
              </w:rPr>
              <w:t>AT&amp;T believes that any fee established by the Commission should adhere to the four basic principles outlined below.</w:t>
            </w:r>
          </w:p>
          <w:p w:rsidR="00696F00" w:rsidRDefault="00D23E95" w:rsidP="00D23E95">
            <w:pPr>
              <w:pStyle w:val="ListParagraph"/>
              <w:numPr>
                <w:ilvl w:val="0"/>
                <w:numId w:val="1"/>
              </w:numPr>
              <w:spacing w:line="240" w:lineRule="auto"/>
              <w:rPr>
                <w:rFonts w:ascii="Bookman Old Style" w:hAnsi="Bookman Old Style"/>
              </w:rPr>
            </w:pPr>
            <w:r w:rsidRPr="00D23E95">
              <w:rPr>
                <w:rFonts w:ascii="Bookman Old Style" w:hAnsi="Bookman Old Style"/>
              </w:rPr>
              <w:t>First, the fee should be reasonable.</w:t>
            </w:r>
          </w:p>
          <w:p w:rsidR="00D23E95" w:rsidRDefault="00D23E95" w:rsidP="00D23E95">
            <w:pPr>
              <w:pStyle w:val="ListParagraph"/>
              <w:numPr>
                <w:ilvl w:val="0"/>
                <w:numId w:val="1"/>
              </w:numPr>
              <w:spacing w:line="240" w:lineRule="auto"/>
              <w:rPr>
                <w:rFonts w:ascii="Bookman Old Style" w:hAnsi="Bookman Old Style"/>
              </w:rPr>
            </w:pPr>
            <w:r>
              <w:rPr>
                <w:rFonts w:ascii="Bookman Old Style" w:hAnsi="Bookman Old Style"/>
              </w:rPr>
              <w:t>Second, the fee should be a flat rate “filing” fee.</w:t>
            </w:r>
          </w:p>
          <w:p w:rsidR="00D23E95" w:rsidRDefault="00D23E95" w:rsidP="00D23E95">
            <w:pPr>
              <w:pStyle w:val="ListParagraph"/>
              <w:numPr>
                <w:ilvl w:val="0"/>
                <w:numId w:val="1"/>
              </w:numPr>
              <w:spacing w:line="240" w:lineRule="auto"/>
              <w:rPr>
                <w:rFonts w:ascii="Bookman Old Style" w:hAnsi="Bookman Old Style"/>
              </w:rPr>
            </w:pPr>
            <w:r>
              <w:rPr>
                <w:rFonts w:ascii="Bookman Old Style" w:hAnsi="Bookman Old Style"/>
              </w:rPr>
              <w:t>Third, the fee should only be assessed on those companies that are not already paying the fee on regulated services.</w:t>
            </w:r>
          </w:p>
          <w:p w:rsidR="00D23E95" w:rsidRPr="00D23E95" w:rsidRDefault="00D23E95" w:rsidP="00D23E95">
            <w:pPr>
              <w:pStyle w:val="ListParagraph"/>
              <w:numPr>
                <w:ilvl w:val="0"/>
                <w:numId w:val="1"/>
              </w:numPr>
              <w:spacing w:line="240" w:lineRule="auto"/>
              <w:rPr>
                <w:rFonts w:ascii="Bookman Old Style" w:hAnsi="Bookman Old Style"/>
              </w:rPr>
            </w:pPr>
            <w:r>
              <w:rPr>
                <w:rFonts w:ascii="Bookman Old Style" w:hAnsi="Bookman Old Style"/>
              </w:rPr>
              <w:t>Fourth, there should be a graduated filing fee system, such that items which generally take less of staff’s time should have a lower filing fee and those items which generally take more of staff’s time should have a higher filing fee.</w:t>
            </w:r>
          </w:p>
          <w:p w:rsidR="00696F00" w:rsidRDefault="00696F00" w:rsidP="00AE2080">
            <w:pPr>
              <w:spacing w:line="240" w:lineRule="auto"/>
              <w:rPr>
                <w:rFonts w:ascii="Bookman Old Style" w:hAnsi="Bookman Old Style"/>
              </w:rPr>
            </w:pPr>
          </w:p>
          <w:p w:rsidR="0041556B" w:rsidRDefault="0041556B" w:rsidP="00AE2080">
            <w:pPr>
              <w:spacing w:line="240" w:lineRule="auto"/>
              <w:rPr>
                <w:rFonts w:ascii="Bookman Old Style" w:hAnsi="Bookman Old Style"/>
              </w:rPr>
            </w:pPr>
          </w:p>
          <w:p w:rsidR="0041556B" w:rsidRDefault="0041556B" w:rsidP="00AE2080">
            <w:pPr>
              <w:spacing w:line="240" w:lineRule="auto"/>
              <w:rPr>
                <w:rFonts w:ascii="Bookman Old Style" w:hAnsi="Bookman Old Style"/>
              </w:rPr>
            </w:pPr>
          </w:p>
          <w:p w:rsidR="0041556B" w:rsidRDefault="0041556B" w:rsidP="00AE2080">
            <w:pPr>
              <w:spacing w:line="240" w:lineRule="auto"/>
              <w:rPr>
                <w:rFonts w:ascii="Bookman Old Style" w:hAnsi="Bookman Old Style"/>
              </w:rPr>
            </w:pPr>
          </w:p>
        </w:tc>
        <w:tc>
          <w:tcPr>
            <w:tcW w:w="5882" w:type="dxa"/>
            <w:tcBorders>
              <w:bottom w:val="single" w:sz="4" w:space="0" w:color="000000"/>
            </w:tcBorders>
          </w:tcPr>
          <w:p w:rsidR="00D20827" w:rsidRDefault="00D20827" w:rsidP="00AE2080">
            <w:pPr>
              <w:autoSpaceDE w:val="0"/>
              <w:autoSpaceDN w:val="0"/>
              <w:spacing w:line="240" w:lineRule="atLeast"/>
              <w:rPr>
                <w:rFonts w:ascii="Bookman Old Style" w:hAnsi="Bookman Old Style"/>
                <w:b/>
              </w:rPr>
            </w:pPr>
          </w:p>
          <w:p w:rsidR="00D23E95" w:rsidRDefault="00D23E95" w:rsidP="00AE2080">
            <w:pPr>
              <w:autoSpaceDE w:val="0"/>
              <w:autoSpaceDN w:val="0"/>
              <w:spacing w:line="240" w:lineRule="atLeast"/>
              <w:rPr>
                <w:rFonts w:ascii="Bookman Old Style" w:hAnsi="Bookman Old Style"/>
              </w:rPr>
            </w:pPr>
          </w:p>
          <w:p w:rsidR="00D23E95" w:rsidRDefault="00D23E95" w:rsidP="00AE2080">
            <w:pPr>
              <w:autoSpaceDE w:val="0"/>
              <w:autoSpaceDN w:val="0"/>
              <w:spacing w:line="240" w:lineRule="atLeast"/>
              <w:rPr>
                <w:rFonts w:ascii="Bookman Old Style" w:hAnsi="Bookman Old Style"/>
              </w:rPr>
            </w:pPr>
          </w:p>
          <w:p w:rsidR="00D23E95" w:rsidRDefault="00D23E95" w:rsidP="00AE2080">
            <w:pPr>
              <w:autoSpaceDE w:val="0"/>
              <w:autoSpaceDN w:val="0"/>
              <w:spacing w:line="240" w:lineRule="atLeast"/>
              <w:rPr>
                <w:rFonts w:ascii="Bookman Old Style" w:hAnsi="Bookman Old Style"/>
              </w:rPr>
            </w:pPr>
          </w:p>
          <w:p w:rsidR="00D23E95" w:rsidRDefault="00D23E95" w:rsidP="00AE2080">
            <w:pPr>
              <w:autoSpaceDE w:val="0"/>
              <w:autoSpaceDN w:val="0"/>
              <w:spacing w:line="240" w:lineRule="atLeast"/>
              <w:rPr>
                <w:rFonts w:ascii="Bookman Old Style" w:hAnsi="Bookman Old Style"/>
              </w:rPr>
            </w:pPr>
          </w:p>
          <w:p w:rsidR="00D23E95" w:rsidRPr="00D23E95" w:rsidRDefault="00D23E95" w:rsidP="00AE2080">
            <w:pPr>
              <w:autoSpaceDE w:val="0"/>
              <w:autoSpaceDN w:val="0"/>
              <w:spacing w:line="240" w:lineRule="atLeast"/>
              <w:rPr>
                <w:rFonts w:ascii="Bookman Old Style" w:hAnsi="Bookman Old Style"/>
              </w:rPr>
            </w:pPr>
            <w:r>
              <w:rPr>
                <w:rFonts w:ascii="Bookman Old Style" w:hAnsi="Bookman Old Style"/>
              </w:rPr>
              <w:t>This appears to answer the CR-101 question #6.</w:t>
            </w:r>
          </w:p>
          <w:p w:rsidR="00D23E95" w:rsidRDefault="00D23E95" w:rsidP="00AE2080">
            <w:pPr>
              <w:autoSpaceDE w:val="0"/>
              <w:autoSpaceDN w:val="0"/>
              <w:spacing w:line="240" w:lineRule="atLeast"/>
              <w:rPr>
                <w:rFonts w:ascii="Bookman Old Style" w:hAnsi="Bookman Old Style"/>
                <w:b/>
              </w:rPr>
            </w:pPr>
          </w:p>
          <w:p w:rsidR="0041556B" w:rsidRDefault="0041556B" w:rsidP="00AE2080">
            <w:pPr>
              <w:autoSpaceDE w:val="0"/>
              <w:autoSpaceDN w:val="0"/>
              <w:spacing w:line="240" w:lineRule="atLeast"/>
              <w:rPr>
                <w:rFonts w:ascii="Bookman Old Style" w:hAnsi="Bookman Old Style"/>
                <w:b/>
              </w:rPr>
            </w:pPr>
          </w:p>
          <w:p w:rsidR="0041556B" w:rsidRDefault="0041556B" w:rsidP="00AE2080">
            <w:pPr>
              <w:autoSpaceDE w:val="0"/>
              <w:autoSpaceDN w:val="0"/>
              <w:spacing w:line="240" w:lineRule="atLeast"/>
              <w:rPr>
                <w:rFonts w:ascii="Bookman Old Style" w:hAnsi="Bookman Old Style"/>
                <w:b/>
              </w:rPr>
            </w:pPr>
          </w:p>
          <w:p w:rsidR="0041556B" w:rsidRDefault="0041556B" w:rsidP="00AE2080">
            <w:pPr>
              <w:autoSpaceDE w:val="0"/>
              <w:autoSpaceDN w:val="0"/>
              <w:spacing w:line="240" w:lineRule="atLeast"/>
              <w:rPr>
                <w:rFonts w:ascii="Bookman Old Style" w:hAnsi="Bookman Old Style"/>
                <w:b/>
              </w:rPr>
            </w:pPr>
          </w:p>
          <w:p w:rsidR="0041556B" w:rsidRDefault="0041556B" w:rsidP="00AE2080">
            <w:pPr>
              <w:autoSpaceDE w:val="0"/>
              <w:autoSpaceDN w:val="0"/>
              <w:spacing w:line="240" w:lineRule="atLeast"/>
              <w:rPr>
                <w:rFonts w:ascii="Bookman Old Style" w:hAnsi="Bookman Old Style"/>
                <w:b/>
              </w:rPr>
            </w:pPr>
          </w:p>
          <w:p w:rsidR="0041556B" w:rsidRDefault="0041556B" w:rsidP="00AE2080">
            <w:pPr>
              <w:autoSpaceDE w:val="0"/>
              <w:autoSpaceDN w:val="0"/>
              <w:spacing w:line="240" w:lineRule="atLeast"/>
              <w:rPr>
                <w:rFonts w:ascii="Bookman Old Style" w:hAnsi="Bookman Old Style"/>
                <w:b/>
              </w:rPr>
            </w:pPr>
          </w:p>
          <w:p w:rsidR="0041556B" w:rsidRDefault="0041556B" w:rsidP="00AE2080">
            <w:pPr>
              <w:autoSpaceDE w:val="0"/>
              <w:autoSpaceDN w:val="0"/>
              <w:spacing w:line="240" w:lineRule="atLeast"/>
              <w:rPr>
                <w:rFonts w:ascii="Bookman Old Style" w:hAnsi="Bookman Old Style"/>
                <w:b/>
              </w:rPr>
            </w:pPr>
          </w:p>
          <w:p w:rsidR="0041556B" w:rsidRDefault="0041556B" w:rsidP="00AE2080">
            <w:pPr>
              <w:autoSpaceDE w:val="0"/>
              <w:autoSpaceDN w:val="0"/>
              <w:spacing w:line="240" w:lineRule="atLeast"/>
              <w:rPr>
                <w:rFonts w:ascii="Bookman Old Style" w:hAnsi="Bookman Old Style"/>
                <w:b/>
              </w:rPr>
            </w:pPr>
          </w:p>
          <w:p w:rsidR="0041556B" w:rsidRDefault="0041556B" w:rsidP="00AE2080">
            <w:pPr>
              <w:autoSpaceDE w:val="0"/>
              <w:autoSpaceDN w:val="0"/>
              <w:spacing w:line="240" w:lineRule="atLeast"/>
              <w:rPr>
                <w:rFonts w:ascii="Bookman Old Style" w:hAnsi="Bookman Old Style"/>
                <w:b/>
              </w:rPr>
            </w:pPr>
          </w:p>
          <w:p w:rsidR="0041556B" w:rsidRDefault="0041556B" w:rsidP="00AE2080">
            <w:pPr>
              <w:autoSpaceDE w:val="0"/>
              <w:autoSpaceDN w:val="0"/>
              <w:spacing w:line="240" w:lineRule="atLeast"/>
              <w:rPr>
                <w:rFonts w:ascii="Bookman Old Style" w:hAnsi="Bookman Old Style"/>
                <w:b/>
              </w:rPr>
            </w:pPr>
          </w:p>
        </w:tc>
      </w:tr>
      <w:tr w:rsidR="00D20827" w:rsidRPr="00F53968" w:rsidTr="00427FE9">
        <w:tc>
          <w:tcPr>
            <w:tcW w:w="376" w:type="dxa"/>
          </w:tcPr>
          <w:p w:rsidR="00D20827" w:rsidRPr="00F53968" w:rsidRDefault="00D20827" w:rsidP="00AE2080">
            <w:pPr>
              <w:spacing w:line="240" w:lineRule="auto"/>
              <w:rPr>
                <w:rFonts w:ascii="Times New Roman" w:hAnsi="Times New Roman"/>
                <w:b/>
              </w:rPr>
            </w:pPr>
          </w:p>
        </w:tc>
        <w:tc>
          <w:tcPr>
            <w:tcW w:w="2229" w:type="dxa"/>
            <w:shd w:val="pct15" w:color="auto" w:fill="auto"/>
          </w:tcPr>
          <w:p w:rsidR="00D20827" w:rsidRPr="00F53968" w:rsidRDefault="00D20827" w:rsidP="00AE2080">
            <w:pPr>
              <w:spacing w:line="240" w:lineRule="auto"/>
              <w:rPr>
                <w:rFonts w:ascii="Times New Roman" w:hAnsi="Times New Roman"/>
                <w:b/>
              </w:rPr>
            </w:pPr>
            <w:r w:rsidRPr="00F53968">
              <w:rPr>
                <w:rFonts w:ascii="Times New Roman" w:hAnsi="Times New Roman"/>
                <w:b/>
              </w:rPr>
              <w:t>Section</w:t>
            </w:r>
          </w:p>
        </w:tc>
        <w:tc>
          <w:tcPr>
            <w:tcW w:w="2346" w:type="dxa"/>
            <w:shd w:val="pct15" w:color="auto" w:fill="auto"/>
          </w:tcPr>
          <w:p w:rsidR="00D20827" w:rsidRPr="00F53968" w:rsidRDefault="00D20827" w:rsidP="00AE2080">
            <w:pPr>
              <w:spacing w:line="240" w:lineRule="auto"/>
              <w:rPr>
                <w:rFonts w:ascii="Times New Roman" w:hAnsi="Times New Roman"/>
                <w:b/>
              </w:rPr>
            </w:pPr>
            <w:r w:rsidRPr="00F53968">
              <w:rPr>
                <w:rFonts w:ascii="Times New Roman" w:hAnsi="Times New Roman"/>
                <w:b/>
              </w:rPr>
              <w:t>Commenter</w:t>
            </w:r>
          </w:p>
        </w:tc>
        <w:tc>
          <w:tcPr>
            <w:tcW w:w="6735" w:type="dxa"/>
            <w:shd w:val="pct15" w:color="auto" w:fill="auto"/>
          </w:tcPr>
          <w:p w:rsidR="00D20827" w:rsidRPr="00F53968" w:rsidRDefault="00D20827" w:rsidP="00AE2080">
            <w:pPr>
              <w:spacing w:line="240" w:lineRule="auto"/>
              <w:rPr>
                <w:rFonts w:ascii="Times New Roman" w:hAnsi="Times New Roman"/>
                <w:b/>
              </w:rPr>
            </w:pPr>
            <w:r w:rsidRPr="00F53968">
              <w:rPr>
                <w:rFonts w:ascii="Times New Roman" w:hAnsi="Times New Roman"/>
                <w:b/>
              </w:rPr>
              <w:t>Comments</w:t>
            </w:r>
          </w:p>
        </w:tc>
        <w:tc>
          <w:tcPr>
            <w:tcW w:w="5882" w:type="dxa"/>
            <w:shd w:val="pct15" w:color="auto" w:fill="auto"/>
            <w:tcMar>
              <w:left w:w="115" w:type="dxa"/>
              <w:right w:w="115" w:type="dxa"/>
            </w:tcMar>
          </w:tcPr>
          <w:p w:rsidR="00D20827" w:rsidRPr="00F53968" w:rsidRDefault="00D20827" w:rsidP="00AE2080">
            <w:pPr>
              <w:spacing w:line="240" w:lineRule="auto"/>
              <w:rPr>
                <w:rFonts w:ascii="Times New Roman" w:hAnsi="Times New Roman"/>
                <w:b/>
              </w:rPr>
            </w:pPr>
            <w:r w:rsidRPr="00F53968">
              <w:rPr>
                <w:rFonts w:ascii="Times New Roman" w:hAnsi="Times New Roman"/>
                <w:b/>
              </w:rPr>
              <w:t>Staff Response</w:t>
            </w:r>
          </w:p>
        </w:tc>
      </w:tr>
      <w:tr w:rsidR="00D20827" w:rsidRPr="00F53968" w:rsidTr="00427FE9">
        <w:tc>
          <w:tcPr>
            <w:tcW w:w="376" w:type="dxa"/>
          </w:tcPr>
          <w:p w:rsidR="00D20827" w:rsidRPr="00F53968" w:rsidRDefault="00D20827" w:rsidP="00AE2080">
            <w:pPr>
              <w:spacing w:line="240" w:lineRule="auto"/>
              <w:rPr>
                <w:rFonts w:ascii="Times New Roman" w:hAnsi="Times New Roman"/>
              </w:rPr>
            </w:pPr>
          </w:p>
        </w:tc>
        <w:tc>
          <w:tcPr>
            <w:tcW w:w="2229" w:type="dxa"/>
          </w:tcPr>
          <w:p w:rsidR="00D20827" w:rsidRDefault="00D20827" w:rsidP="00AE2080">
            <w:pPr>
              <w:spacing w:line="240" w:lineRule="auto"/>
              <w:rPr>
                <w:rFonts w:ascii="Bookman Old Style" w:hAnsi="Bookman Old Style"/>
              </w:rPr>
            </w:pPr>
          </w:p>
          <w:p w:rsidR="006262E2" w:rsidRPr="00CE0CC9" w:rsidRDefault="006262E2" w:rsidP="006262E2">
            <w:pPr>
              <w:spacing w:line="240" w:lineRule="auto"/>
              <w:rPr>
                <w:rFonts w:ascii="Bookman Old Style" w:hAnsi="Bookman Old Style"/>
              </w:rPr>
            </w:pPr>
            <w:r>
              <w:rPr>
                <w:rFonts w:ascii="Bookman Old Style" w:hAnsi="Bookman Old Style"/>
              </w:rPr>
              <w:t>General Comments</w:t>
            </w:r>
          </w:p>
          <w:p w:rsidR="00696F00" w:rsidRDefault="00696F00" w:rsidP="006B0CA9">
            <w:pPr>
              <w:spacing w:line="240" w:lineRule="auto"/>
              <w:rPr>
                <w:rFonts w:ascii="Bookman Old Style" w:hAnsi="Bookman Old Style"/>
              </w:rPr>
            </w:pPr>
          </w:p>
          <w:p w:rsidR="006262E2" w:rsidRPr="00CE0CC9" w:rsidRDefault="006262E2" w:rsidP="006B0CA9">
            <w:pPr>
              <w:spacing w:line="240" w:lineRule="auto"/>
              <w:rPr>
                <w:rFonts w:ascii="Bookman Old Style" w:hAnsi="Bookman Old Style"/>
              </w:rPr>
            </w:pPr>
          </w:p>
        </w:tc>
        <w:tc>
          <w:tcPr>
            <w:tcW w:w="2346" w:type="dxa"/>
          </w:tcPr>
          <w:p w:rsidR="00D20827" w:rsidRDefault="00D20827" w:rsidP="006B0CA9">
            <w:pPr>
              <w:spacing w:line="240" w:lineRule="auto"/>
              <w:rPr>
                <w:rFonts w:ascii="Bookman Old Style" w:hAnsi="Bookman Old Style"/>
              </w:rPr>
            </w:pPr>
          </w:p>
          <w:p w:rsidR="00696F00" w:rsidRDefault="006262E2" w:rsidP="006262E2">
            <w:pPr>
              <w:spacing w:line="240" w:lineRule="auto"/>
              <w:rPr>
                <w:rFonts w:ascii="Bookman Old Style" w:hAnsi="Bookman Old Style"/>
                <w:i/>
              </w:rPr>
            </w:pPr>
            <w:r>
              <w:rPr>
                <w:rFonts w:ascii="Bookman Old Style" w:hAnsi="Bookman Old Style"/>
              </w:rPr>
              <w:t xml:space="preserve">Betty S. Buckley on behalf of the </w:t>
            </w:r>
            <w:r w:rsidRPr="00182E75">
              <w:rPr>
                <w:rFonts w:ascii="Bookman Old Style" w:hAnsi="Bookman Old Style"/>
                <w:i/>
              </w:rPr>
              <w:t>W</w:t>
            </w:r>
            <w:r w:rsidR="00631814">
              <w:rPr>
                <w:rFonts w:ascii="Bookman Old Style" w:hAnsi="Bookman Old Style"/>
                <w:i/>
              </w:rPr>
              <w:t xml:space="preserve">ashington </w:t>
            </w:r>
            <w:r w:rsidRPr="00182E75">
              <w:rPr>
                <w:rFonts w:ascii="Bookman Old Style" w:hAnsi="Bookman Old Style"/>
                <w:i/>
              </w:rPr>
              <w:t>I</w:t>
            </w:r>
            <w:r>
              <w:rPr>
                <w:rFonts w:ascii="Bookman Old Style" w:hAnsi="Bookman Old Style"/>
                <w:i/>
              </w:rPr>
              <w:t xml:space="preserve">ndependent </w:t>
            </w:r>
            <w:r w:rsidRPr="00182E75">
              <w:rPr>
                <w:rFonts w:ascii="Bookman Old Style" w:hAnsi="Bookman Old Style"/>
                <w:i/>
              </w:rPr>
              <w:t>T</w:t>
            </w:r>
            <w:r>
              <w:rPr>
                <w:rFonts w:ascii="Bookman Old Style" w:hAnsi="Bookman Old Style"/>
                <w:i/>
              </w:rPr>
              <w:t>ele</w:t>
            </w:r>
            <w:r w:rsidR="00631814">
              <w:rPr>
                <w:rFonts w:ascii="Bookman Old Style" w:hAnsi="Bookman Old Style"/>
                <w:i/>
              </w:rPr>
              <w:t xml:space="preserve">communications </w:t>
            </w:r>
            <w:r w:rsidR="00631814" w:rsidRPr="00182E75">
              <w:rPr>
                <w:rFonts w:ascii="Bookman Old Style" w:hAnsi="Bookman Old Style"/>
                <w:i/>
              </w:rPr>
              <w:t>A</w:t>
            </w:r>
            <w:r w:rsidR="00631814">
              <w:rPr>
                <w:rFonts w:ascii="Bookman Old Style" w:hAnsi="Bookman Old Style"/>
                <w:i/>
              </w:rPr>
              <w:t>ssociation (“WITA”)</w:t>
            </w:r>
          </w:p>
          <w:p w:rsidR="00631814" w:rsidRPr="006262E2" w:rsidRDefault="00631814" w:rsidP="006262E2">
            <w:pPr>
              <w:spacing w:line="240" w:lineRule="auto"/>
              <w:rPr>
                <w:rFonts w:ascii="Bookman Old Style" w:hAnsi="Bookman Old Style"/>
                <w:i/>
              </w:rPr>
            </w:pPr>
          </w:p>
          <w:p w:rsidR="006262E2" w:rsidRPr="00CE0CC9" w:rsidRDefault="006262E2" w:rsidP="006262E2">
            <w:pPr>
              <w:spacing w:line="240" w:lineRule="auto"/>
              <w:rPr>
                <w:rFonts w:ascii="Bookman Old Style" w:hAnsi="Bookman Old Style"/>
              </w:rPr>
            </w:pPr>
          </w:p>
        </w:tc>
        <w:tc>
          <w:tcPr>
            <w:tcW w:w="6735" w:type="dxa"/>
          </w:tcPr>
          <w:p w:rsidR="00631814" w:rsidRPr="00C425F9" w:rsidRDefault="00631814" w:rsidP="006B0CA9">
            <w:pPr>
              <w:spacing w:line="240" w:lineRule="auto"/>
              <w:rPr>
                <w:rFonts w:ascii="Bookman Old Style" w:hAnsi="Bookman Old Style"/>
              </w:rPr>
            </w:pPr>
          </w:p>
          <w:p w:rsidR="00696F00" w:rsidRDefault="00C425F9" w:rsidP="006B0CA9">
            <w:pPr>
              <w:spacing w:line="240" w:lineRule="auto"/>
              <w:rPr>
                <w:rFonts w:ascii="Bookman Old Style" w:hAnsi="Bookman Old Style"/>
              </w:rPr>
            </w:pPr>
            <w:r w:rsidRPr="00C425F9">
              <w:rPr>
                <w:rFonts w:ascii="Bookman Old Style" w:hAnsi="Bookman Old Style"/>
              </w:rPr>
              <w:t xml:space="preserve">WITA supports the </w:t>
            </w:r>
            <w:r>
              <w:rPr>
                <w:rFonts w:ascii="Bookman Old Style" w:hAnsi="Bookman Old Style"/>
              </w:rPr>
              <w:t xml:space="preserve">concept of establishing filing fees for those companies that are currently paying </w:t>
            </w:r>
            <w:r w:rsidR="00FB2558">
              <w:rPr>
                <w:rFonts w:ascii="Bookman Old Style" w:hAnsi="Bookman Old Style"/>
              </w:rPr>
              <w:t>“</w:t>
            </w:r>
            <w:r w:rsidRPr="00C425F9">
              <w:rPr>
                <w:rFonts w:ascii="Bookman Old Style" w:hAnsi="Bookman Old Style"/>
                <w:u w:val="single"/>
              </w:rPr>
              <w:t>no</w:t>
            </w:r>
            <w:r w:rsidR="00FB2558" w:rsidRPr="00FB2558">
              <w:rPr>
                <w:rFonts w:ascii="Bookman Old Style" w:hAnsi="Bookman Old Style"/>
              </w:rPr>
              <w:t>”</w:t>
            </w:r>
            <w:r>
              <w:rPr>
                <w:rFonts w:ascii="Bookman Old Style" w:hAnsi="Bookman Old Style"/>
              </w:rPr>
              <w:t xml:space="preserve"> regulatory fees.</w:t>
            </w:r>
          </w:p>
          <w:p w:rsidR="00C425F9" w:rsidRDefault="00C425F9" w:rsidP="006B0CA9">
            <w:pPr>
              <w:spacing w:line="240" w:lineRule="auto"/>
              <w:rPr>
                <w:rFonts w:ascii="Bookman Old Style" w:hAnsi="Bookman Old Style"/>
              </w:rPr>
            </w:pPr>
          </w:p>
          <w:p w:rsidR="00C425F9" w:rsidRDefault="00C425F9" w:rsidP="006B0CA9">
            <w:pPr>
              <w:spacing w:line="240" w:lineRule="auto"/>
              <w:rPr>
                <w:rFonts w:ascii="Bookman Old Style" w:hAnsi="Bookman Old Style"/>
              </w:rPr>
            </w:pPr>
            <w:r>
              <w:rPr>
                <w:rFonts w:ascii="Bookman Old Style" w:hAnsi="Bookman Old Style"/>
              </w:rPr>
              <w:t>WITA has some concern about the concept that those</w:t>
            </w:r>
            <w:r w:rsidR="00FB2558">
              <w:rPr>
                <w:rFonts w:ascii="Bookman Old Style" w:hAnsi="Bookman Old Style"/>
              </w:rPr>
              <w:t xml:space="preserve"> companies</w:t>
            </w:r>
            <w:r>
              <w:rPr>
                <w:rFonts w:ascii="Bookman Old Style" w:hAnsi="Bookman Old Style"/>
              </w:rPr>
              <w:t xml:space="preserve"> that </w:t>
            </w:r>
            <w:r w:rsidR="00FB2558">
              <w:rPr>
                <w:rFonts w:ascii="Bookman Old Style" w:hAnsi="Bookman Old Style"/>
              </w:rPr>
              <w:t xml:space="preserve">already </w:t>
            </w:r>
            <w:r>
              <w:rPr>
                <w:rFonts w:ascii="Bookman Old Style" w:hAnsi="Bookman Old Style"/>
              </w:rPr>
              <w:t xml:space="preserve">pay </w:t>
            </w:r>
            <w:r w:rsidR="00FB2558">
              <w:rPr>
                <w:rFonts w:ascii="Bookman Old Style" w:hAnsi="Bookman Old Style"/>
              </w:rPr>
              <w:t>“</w:t>
            </w:r>
            <w:r>
              <w:rPr>
                <w:rFonts w:ascii="Bookman Old Style" w:hAnsi="Bookman Old Style"/>
              </w:rPr>
              <w:t>minimal</w:t>
            </w:r>
            <w:r w:rsidR="00FB2558">
              <w:rPr>
                <w:rFonts w:ascii="Bookman Old Style" w:hAnsi="Bookman Old Style"/>
              </w:rPr>
              <w:t>”</w:t>
            </w:r>
            <w:r>
              <w:rPr>
                <w:rFonts w:ascii="Bookman Old Style" w:hAnsi="Bookman Old Style"/>
              </w:rPr>
              <w:t xml:space="preserve"> regulatory fees would be subject to the filing fees.</w:t>
            </w:r>
          </w:p>
          <w:p w:rsidR="00C425F9" w:rsidRDefault="00C425F9" w:rsidP="006B0CA9">
            <w:pPr>
              <w:spacing w:line="240" w:lineRule="auto"/>
              <w:rPr>
                <w:rFonts w:ascii="Bookman Old Style" w:hAnsi="Bookman Old Style"/>
              </w:rPr>
            </w:pPr>
          </w:p>
          <w:p w:rsidR="00C425F9" w:rsidRDefault="00C425F9" w:rsidP="006B0CA9">
            <w:pPr>
              <w:spacing w:line="240" w:lineRule="auto"/>
              <w:rPr>
                <w:rFonts w:ascii="Bookman Old Style" w:hAnsi="Bookman Old Style"/>
              </w:rPr>
            </w:pPr>
            <w:r>
              <w:rPr>
                <w:rFonts w:ascii="Bookman Old Style" w:hAnsi="Bookman Old Style"/>
              </w:rPr>
              <w:t>WITA does not support a filing fee for the annual ETC recertification</w:t>
            </w:r>
            <w:r w:rsidR="00FB2558">
              <w:rPr>
                <w:rFonts w:ascii="Bookman Old Style" w:hAnsi="Bookman Old Style"/>
              </w:rPr>
              <w:t xml:space="preserve"> process; or for fully negotiated interconnection agreements, amendments to interconnection agreements, or adoption of existing interconnection agreements.</w:t>
            </w:r>
          </w:p>
          <w:p w:rsidR="00FB2558" w:rsidRDefault="00FB2558" w:rsidP="006B0CA9">
            <w:pPr>
              <w:spacing w:line="240" w:lineRule="auto"/>
              <w:rPr>
                <w:rFonts w:ascii="Bookman Old Style" w:hAnsi="Bookman Old Style"/>
              </w:rPr>
            </w:pPr>
          </w:p>
          <w:p w:rsidR="00FB2558" w:rsidRDefault="00FB2558" w:rsidP="006B0CA9">
            <w:pPr>
              <w:spacing w:line="240" w:lineRule="auto"/>
              <w:rPr>
                <w:rFonts w:ascii="Bookman Old Style" w:hAnsi="Bookman Old Style"/>
              </w:rPr>
            </w:pPr>
            <w:r>
              <w:rPr>
                <w:rFonts w:ascii="Bookman Old Style" w:hAnsi="Bookman Old Style"/>
              </w:rPr>
              <w:t>WITA supports filing fees (</w:t>
            </w:r>
            <w:r w:rsidRPr="00FB2558">
              <w:rPr>
                <w:rFonts w:ascii="Bookman Old Style" w:hAnsi="Bookman Old Style"/>
                <w:i/>
              </w:rPr>
              <w:t>only for those entities that do not already pay full regulatory fees</w:t>
            </w:r>
            <w:r>
              <w:rPr>
                <w:rFonts w:ascii="Bookman Old Style" w:hAnsi="Bookman Old Style"/>
              </w:rPr>
              <w:t>) for initial designation of ETC status; and for simple and complex interconnection arbitrations.</w:t>
            </w:r>
          </w:p>
          <w:p w:rsidR="00FB2558" w:rsidRPr="00C425F9" w:rsidRDefault="00FB2558" w:rsidP="006B0CA9">
            <w:pPr>
              <w:spacing w:line="240" w:lineRule="auto"/>
              <w:rPr>
                <w:rFonts w:ascii="Bookman Old Style" w:hAnsi="Bookman Old Style"/>
              </w:rPr>
            </w:pPr>
          </w:p>
          <w:p w:rsidR="00696F00" w:rsidRDefault="00696F00" w:rsidP="006B0CA9">
            <w:pPr>
              <w:spacing w:line="240" w:lineRule="auto"/>
              <w:rPr>
                <w:rFonts w:ascii="Times New Roman" w:hAnsi="Times New Roman"/>
              </w:rPr>
            </w:pPr>
          </w:p>
          <w:p w:rsidR="0041556B" w:rsidRDefault="0041556B" w:rsidP="006B0CA9">
            <w:pPr>
              <w:spacing w:line="240" w:lineRule="auto"/>
              <w:rPr>
                <w:rFonts w:ascii="Times New Roman" w:hAnsi="Times New Roman"/>
              </w:rPr>
            </w:pPr>
          </w:p>
          <w:p w:rsidR="0041556B" w:rsidRDefault="0041556B" w:rsidP="006B0CA9">
            <w:pPr>
              <w:spacing w:line="240" w:lineRule="auto"/>
              <w:rPr>
                <w:rFonts w:ascii="Times New Roman" w:hAnsi="Times New Roman"/>
              </w:rPr>
            </w:pPr>
          </w:p>
          <w:p w:rsidR="0041556B" w:rsidRDefault="0041556B" w:rsidP="006B0CA9">
            <w:pPr>
              <w:spacing w:line="240" w:lineRule="auto"/>
              <w:rPr>
                <w:rFonts w:ascii="Times New Roman" w:hAnsi="Times New Roman"/>
              </w:rPr>
            </w:pPr>
          </w:p>
          <w:p w:rsidR="0041556B" w:rsidRDefault="0041556B" w:rsidP="006B0CA9">
            <w:pPr>
              <w:spacing w:line="240" w:lineRule="auto"/>
              <w:rPr>
                <w:rFonts w:ascii="Times New Roman" w:hAnsi="Times New Roman"/>
              </w:rPr>
            </w:pPr>
          </w:p>
          <w:p w:rsidR="0041556B" w:rsidRDefault="0041556B" w:rsidP="006B0CA9">
            <w:pPr>
              <w:spacing w:line="240" w:lineRule="auto"/>
              <w:rPr>
                <w:rFonts w:ascii="Times New Roman" w:hAnsi="Times New Roman"/>
              </w:rPr>
            </w:pPr>
          </w:p>
          <w:p w:rsidR="0041556B" w:rsidRDefault="0041556B" w:rsidP="006B0CA9">
            <w:pPr>
              <w:spacing w:line="240" w:lineRule="auto"/>
              <w:rPr>
                <w:rFonts w:ascii="Times New Roman" w:hAnsi="Times New Roman"/>
              </w:rPr>
            </w:pPr>
          </w:p>
          <w:p w:rsidR="0041556B" w:rsidRDefault="0041556B" w:rsidP="006B0CA9">
            <w:pPr>
              <w:spacing w:line="240" w:lineRule="auto"/>
              <w:rPr>
                <w:rFonts w:ascii="Times New Roman" w:hAnsi="Times New Roman"/>
              </w:rPr>
            </w:pPr>
          </w:p>
          <w:p w:rsidR="0041556B" w:rsidRDefault="0041556B" w:rsidP="006B0CA9">
            <w:pPr>
              <w:spacing w:line="240" w:lineRule="auto"/>
              <w:rPr>
                <w:rFonts w:ascii="Times New Roman" w:hAnsi="Times New Roman"/>
              </w:rPr>
            </w:pPr>
          </w:p>
          <w:p w:rsidR="0041556B" w:rsidRPr="00F53968" w:rsidRDefault="0041556B" w:rsidP="006B0CA9">
            <w:pPr>
              <w:spacing w:line="240" w:lineRule="auto"/>
              <w:rPr>
                <w:rFonts w:ascii="Times New Roman" w:hAnsi="Times New Roman"/>
              </w:rPr>
            </w:pPr>
          </w:p>
        </w:tc>
        <w:tc>
          <w:tcPr>
            <w:tcW w:w="5882" w:type="dxa"/>
            <w:tcMar>
              <w:left w:w="115" w:type="dxa"/>
              <w:right w:w="115" w:type="dxa"/>
            </w:tcMar>
          </w:tcPr>
          <w:p w:rsidR="00696F00" w:rsidRDefault="00696F00" w:rsidP="006B0CA9">
            <w:pPr>
              <w:autoSpaceDE w:val="0"/>
              <w:autoSpaceDN w:val="0"/>
              <w:spacing w:line="240" w:lineRule="atLeast"/>
              <w:rPr>
                <w:rFonts w:ascii="Bookman Old Style" w:hAnsi="Bookman Old Style"/>
              </w:rPr>
            </w:pPr>
          </w:p>
          <w:p w:rsidR="00696F00" w:rsidRDefault="004D6D3A" w:rsidP="006B0CA9">
            <w:pPr>
              <w:autoSpaceDE w:val="0"/>
              <w:autoSpaceDN w:val="0"/>
              <w:spacing w:line="240" w:lineRule="atLeast"/>
              <w:rPr>
                <w:rFonts w:ascii="Bookman Old Style" w:hAnsi="Bookman Old Style"/>
              </w:rPr>
            </w:pPr>
            <w:r>
              <w:rPr>
                <w:rFonts w:ascii="Bookman Old Style" w:hAnsi="Bookman Old Style"/>
              </w:rPr>
              <w:t>This appears to answer the CR-101 question #6.</w:t>
            </w:r>
          </w:p>
          <w:p w:rsidR="004D6D3A" w:rsidRDefault="004D6D3A" w:rsidP="006B0CA9">
            <w:pPr>
              <w:autoSpaceDE w:val="0"/>
              <w:autoSpaceDN w:val="0"/>
              <w:spacing w:line="240" w:lineRule="atLeast"/>
              <w:rPr>
                <w:rFonts w:ascii="Bookman Old Style" w:hAnsi="Bookman Old Style"/>
              </w:rPr>
            </w:pPr>
          </w:p>
          <w:p w:rsidR="004D6D3A" w:rsidRDefault="004D6D3A" w:rsidP="006B0CA9">
            <w:pPr>
              <w:autoSpaceDE w:val="0"/>
              <w:autoSpaceDN w:val="0"/>
              <w:spacing w:line="240" w:lineRule="atLeast"/>
              <w:rPr>
                <w:rFonts w:ascii="Bookman Old Style" w:hAnsi="Bookman Old Style"/>
              </w:rPr>
            </w:pPr>
          </w:p>
          <w:p w:rsidR="004D6D3A" w:rsidRDefault="004D6D3A" w:rsidP="006B0CA9">
            <w:pPr>
              <w:autoSpaceDE w:val="0"/>
              <w:autoSpaceDN w:val="0"/>
              <w:spacing w:line="240" w:lineRule="atLeast"/>
              <w:rPr>
                <w:rFonts w:ascii="Bookman Old Style" w:hAnsi="Bookman Old Style"/>
              </w:rPr>
            </w:pPr>
          </w:p>
          <w:p w:rsidR="004D6D3A" w:rsidRDefault="004D6D3A" w:rsidP="006B0CA9">
            <w:pPr>
              <w:autoSpaceDE w:val="0"/>
              <w:autoSpaceDN w:val="0"/>
              <w:spacing w:line="240" w:lineRule="atLeast"/>
              <w:rPr>
                <w:rFonts w:ascii="Bookman Old Style" w:hAnsi="Bookman Old Style"/>
              </w:rPr>
            </w:pPr>
            <w:r>
              <w:rPr>
                <w:rFonts w:ascii="Bookman Old Style" w:hAnsi="Bookman Old Style"/>
              </w:rPr>
              <w:t>This appears to answer the CR-101 question #6.</w:t>
            </w:r>
          </w:p>
          <w:p w:rsidR="004D6D3A" w:rsidRDefault="004D6D3A" w:rsidP="006B0CA9">
            <w:pPr>
              <w:autoSpaceDE w:val="0"/>
              <w:autoSpaceDN w:val="0"/>
              <w:spacing w:line="240" w:lineRule="atLeast"/>
              <w:rPr>
                <w:rFonts w:ascii="Bookman Old Style" w:hAnsi="Bookman Old Style"/>
              </w:rPr>
            </w:pPr>
          </w:p>
          <w:p w:rsidR="004D6D3A" w:rsidRDefault="004D6D3A" w:rsidP="006B0CA9">
            <w:pPr>
              <w:autoSpaceDE w:val="0"/>
              <w:autoSpaceDN w:val="0"/>
              <w:spacing w:line="240" w:lineRule="atLeast"/>
              <w:rPr>
                <w:rFonts w:ascii="Bookman Old Style" w:hAnsi="Bookman Old Style"/>
              </w:rPr>
            </w:pPr>
          </w:p>
          <w:p w:rsidR="004D6D3A" w:rsidRDefault="004D6D3A" w:rsidP="006B0CA9">
            <w:pPr>
              <w:autoSpaceDE w:val="0"/>
              <w:autoSpaceDN w:val="0"/>
              <w:spacing w:line="240" w:lineRule="atLeast"/>
              <w:rPr>
                <w:rFonts w:ascii="Bookman Old Style" w:hAnsi="Bookman Old Style"/>
              </w:rPr>
            </w:pPr>
          </w:p>
          <w:p w:rsidR="004D6D3A" w:rsidRDefault="004D6D3A" w:rsidP="006B0CA9">
            <w:pPr>
              <w:autoSpaceDE w:val="0"/>
              <w:autoSpaceDN w:val="0"/>
              <w:spacing w:line="240" w:lineRule="atLeast"/>
              <w:rPr>
                <w:rFonts w:ascii="Bookman Old Style" w:hAnsi="Bookman Old Style"/>
              </w:rPr>
            </w:pPr>
            <w:r>
              <w:rPr>
                <w:rFonts w:ascii="Bookman Old Style" w:hAnsi="Bookman Old Style"/>
              </w:rPr>
              <w:t>This appears to answer the CR-101 question #3.</w:t>
            </w:r>
          </w:p>
          <w:p w:rsidR="004D6D3A" w:rsidRDefault="004D6D3A" w:rsidP="004D6D3A">
            <w:pPr>
              <w:autoSpaceDE w:val="0"/>
              <w:autoSpaceDN w:val="0"/>
              <w:spacing w:line="240" w:lineRule="atLeast"/>
              <w:rPr>
                <w:rFonts w:ascii="Bookman Old Style" w:hAnsi="Bookman Old Style"/>
              </w:rPr>
            </w:pPr>
            <w:r>
              <w:rPr>
                <w:rFonts w:ascii="Bookman Old Style" w:hAnsi="Bookman Old Style"/>
              </w:rPr>
              <w:t>This appears to answer the CR-101 question #7.</w:t>
            </w:r>
          </w:p>
          <w:p w:rsidR="004D6D3A" w:rsidRDefault="004D6D3A" w:rsidP="006B0CA9">
            <w:pPr>
              <w:autoSpaceDE w:val="0"/>
              <w:autoSpaceDN w:val="0"/>
              <w:spacing w:line="240" w:lineRule="atLeast"/>
              <w:rPr>
                <w:rFonts w:ascii="Bookman Old Style" w:hAnsi="Bookman Old Style"/>
              </w:rPr>
            </w:pPr>
          </w:p>
          <w:p w:rsidR="004D6D3A" w:rsidRDefault="004D6D3A" w:rsidP="006B0CA9">
            <w:pPr>
              <w:autoSpaceDE w:val="0"/>
              <w:autoSpaceDN w:val="0"/>
              <w:spacing w:line="240" w:lineRule="atLeast"/>
              <w:rPr>
                <w:rFonts w:ascii="Bookman Old Style" w:hAnsi="Bookman Old Style"/>
              </w:rPr>
            </w:pPr>
          </w:p>
          <w:p w:rsidR="004D6D3A" w:rsidRDefault="004D6D3A" w:rsidP="006B0CA9">
            <w:pPr>
              <w:autoSpaceDE w:val="0"/>
              <w:autoSpaceDN w:val="0"/>
              <w:spacing w:line="240" w:lineRule="atLeast"/>
              <w:rPr>
                <w:rFonts w:ascii="Bookman Old Style" w:hAnsi="Bookman Old Style"/>
              </w:rPr>
            </w:pPr>
          </w:p>
          <w:p w:rsidR="004D6D3A" w:rsidRDefault="004D6D3A" w:rsidP="006B0CA9">
            <w:pPr>
              <w:autoSpaceDE w:val="0"/>
              <w:autoSpaceDN w:val="0"/>
              <w:spacing w:line="240" w:lineRule="atLeast"/>
              <w:rPr>
                <w:rFonts w:ascii="Bookman Old Style" w:hAnsi="Bookman Old Style"/>
              </w:rPr>
            </w:pPr>
          </w:p>
          <w:p w:rsidR="004D6D3A" w:rsidRDefault="004D6D3A" w:rsidP="004D6D3A">
            <w:pPr>
              <w:autoSpaceDE w:val="0"/>
              <w:autoSpaceDN w:val="0"/>
              <w:spacing w:line="240" w:lineRule="atLeast"/>
              <w:rPr>
                <w:rFonts w:ascii="Bookman Old Style" w:hAnsi="Bookman Old Style"/>
              </w:rPr>
            </w:pPr>
            <w:bookmarkStart w:id="0" w:name="_GoBack"/>
            <w:bookmarkEnd w:id="0"/>
            <w:r>
              <w:rPr>
                <w:rFonts w:ascii="Bookman Old Style" w:hAnsi="Bookman Old Style"/>
              </w:rPr>
              <w:t>This appears to answer the CR-101 question #8.</w:t>
            </w:r>
          </w:p>
          <w:p w:rsidR="004D6D3A" w:rsidRDefault="004D6D3A" w:rsidP="006B0CA9">
            <w:pPr>
              <w:autoSpaceDE w:val="0"/>
              <w:autoSpaceDN w:val="0"/>
              <w:spacing w:line="240" w:lineRule="atLeast"/>
              <w:rPr>
                <w:rFonts w:ascii="Bookman Old Style" w:hAnsi="Bookman Old Style"/>
              </w:rPr>
            </w:pPr>
            <w:r>
              <w:rPr>
                <w:rFonts w:ascii="Bookman Old Style" w:hAnsi="Bookman Old Style"/>
              </w:rPr>
              <w:t>This appears to answer the CR-101 question #1.</w:t>
            </w:r>
          </w:p>
          <w:p w:rsidR="00696F00" w:rsidRPr="00816FF5" w:rsidRDefault="00696F00" w:rsidP="006B0CA9">
            <w:pPr>
              <w:autoSpaceDE w:val="0"/>
              <w:autoSpaceDN w:val="0"/>
              <w:spacing w:line="240" w:lineRule="atLeast"/>
              <w:rPr>
                <w:rFonts w:ascii="Bookman Old Style" w:hAnsi="Bookman Old Style"/>
              </w:rPr>
            </w:pPr>
          </w:p>
        </w:tc>
      </w:tr>
    </w:tbl>
    <w:p w:rsidR="001C660D" w:rsidRDefault="001C660D">
      <w:pPr>
        <w:rPr>
          <w:rFonts w:ascii="Times New Roman" w:hAnsi="Times New Roman"/>
        </w:rPr>
      </w:pPr>
    </w:p>
    <w:p w:rsidR="0041556B" w:rsidRDefault="0041556B">
      <w:pPr>
        <w:rPr>
          <w:rFonts w:ascii="Times New Roman" w:hAnsi="Times New Roman"/>
        </w:rPr>
      </w:pPr>
    </w:p>
    <w:tbl>
      <w:tblPr>
        <w:tblStyle w:val="TableGrid"/>
        <w:tblW w:w="0" w:type="auto"/>
        <w:tblLook w:val="04A0" w:firstRow="1" w:lastRow="0" w:firstColumn="1" w:lastColumn="0" w:noHBand="0" w:noVBand="1"/>
      </w:tblPr>
      <w:tblGrid>
        <w:gridCol w:w="6138"/>
        <w:gridCol w:w="11358"/>
      </w:tblGrid>
      <w:tr w:rsidR="0041556B" w:rsidTr="0041556B">
        <w:tc>
          <w:tcPr>
            <w:tcW w:w="6138" w:type="dxa"/>
          </w:tcPr>
          <w:p w:rsidR="00427FE9" w:rsidRPr="00427FE9" w:rsidRDefault="00427FE9">
            <w:pPr>
              <w:rPr>
                <w:rFonts w:ascii="Times New Roman" w:hAnsi="Times New Roman"/>
                <w:sz w:val="24"/>
                <w:szCs w:val="24"/>
              </w:rPr>
            </w:pPr>
          </w:p>
          <w:p w:rsidR="0041556B" w:rsidRDefault="0041556B" w:rsidP="0041556B">
            <w:pPr>
              <w:spacing w:line="240" w:lineRule="auto"/>
              <w:rPr>
                <w:rFonts w:ascii="Bookman Old Style" w:hAnsi="Bookman Old Style"/>
                <w:sz w:val="24"/>
                <w:szCs w:val="24"/>
              </w:rPr>
            </w:pPr>
            <w:r w:rsidRPr="00427FE9">
              <w:rPr>
                <w:rFonts w:ascii="Bookman Old Style" w:hAnsi="Bookman Old Style"/>
                <w:sz w:val="24"/>
                <w:szCs w:val="24"/>
              </w:rPr>
              <w:t>Open Questions for Comment</w:t>
            </w:r>
            <w:r w:rsidR="00427FE9">
              <w:rPr>
                <w:rFonts w:ascii="Bookman Old Style" w:hAnsi="Bookman Old Style"/>
                <w:sz w:val="24"/>
                <w:szCs w:val="24"/>
              </w:rPr>
              <w:t>:</w:t>
            </w:r>
          </w:p>
          <w:p w:rsidR="00427FE9" w:rsidRDefault="00427FE9" w:rsidP="0041556B">
            <w:pPr>
              <w:spacing w:line="240" w:lineRule="auto"/>
              <w:rPr>
                <w:rFonts w:ascii="Bookman Old Style" w:hAnsi="Bookman Old Style"/>
                <w:sz w:val="24"/>
                <w:szCs w:val="24"/>
              </w:rPr>
            </w:pPr>
          </w:p>
          <w:p w:rsidR="00427FE9" w:rsidRDefault="00427FE9" w:rsidP="0041556B">
            <w:pPr>
              <w:spacing w:line="240" w:lineRule="auto"/>
              <w:rPr>
                <w:rFonts w:ascii="Bookman Old Style" w:hAnsi="Bookman Old Style"/>
                <w:sz w:val="24"/>
                <w:szCs w:val="24"/>
              </w:rPr>
            </w:pPr>
            <w:r>
              <w:rPr>
                <w:rFonts w:ascii="Bookman Old Style" w:hAnsi="Bookman Old Style"/>
                <w:sz w:val="24"/>
                <w:szCs w:val="24"/>
              </w:rPr>
              <w:t>See page 2 of the Commission’s,</w:t>
            </w:r>
          </w:p>
          <w:p w:rsidR="00427FE9" w:rsidRPr="00427FE9" w:rsidRDefault="00427FE9" w:rsidP="0041556B">
            <w:pPr>
              <w:spacing w:line="240" w:lineRule="auto"/>
              <w:rPr>
                <w:rFonts w:ascii="Bookman Old Style" w:hAnsi="Bookman Old Style"/>
                <w:sz w:val="24"/>
                <w:szCs w:val="24"/>
              </w:rPr>
            </w:pPr>
            <w:r>
              <w:rPr>
                <w:rFonts w:ascii="Bookman Old Style" w:hAnsi="Bookman Old Style"/>
                <w:sz w:val="24"/>
                <w:szCs w:val="24"/>
              </w:rPr>
              <w:t>“Notice of Opportunity to File Written Comments.”</w:t>
            </w:r>
          </w:p>
          <w:p w:rsidR="0041556B" w:rsidRPr="00427FE9" w:rsidRDefault="0041556B" w:rsidP="0041556B">
            <w:pPr>
              <w:spacing w:line="240" w:lineRule="auto"/>
              <w:rPr>
                <w:rFonts w:ascii="Bookman Old Style" w:hAnsi="Bookman Old Style"/>
                <w:sz w:val="24"/>
                <w:szCs w:val="24"/>
              </w:rPr>
            </w:pPr>
          </w:p>
          <w:p w:rsidR="0041556B" w:rsidRPr="00427FE9" w:rsidRDefault="0041556B" w:rsidP="0041556B">
            <w:pPr>
              <w:spacing w:line="240" w:lineRule="auto"/>
              <w:rPr>
                <w:rFonts w:ascii="Bookman Old Style" w:hAnsi="Bookman Old Style"/>
                <w:sz w:val="24"/>
                <w:szCs w:val="24"/>
              </w:rPr>
            </w:pPr>
            <w:r w:rsidRPr="00427FE9">
              <w:rPr>
                <w:rFonts w:ascii="Bookman Old Style" w:hAnsi="Bookman Old Style"/>
                <w:sz w:val="24"/>
                <w:szCs w:val="24"/>
              </w:rPr>
              <w:t>These specific questions will be discussed further at the Workshop on November 30, 2011.</w:t>
            </w:r>
          </w:p>
          <w:p w:rsidR="0041556B" w:rsidRPr="00427FE9" w:rsidRDefault="0041556B" w:rsidP="0041556B">
            <w:pPr>
              <w:spacing w:line="240" w:lineRule="auto"/>
              <w:rPr>
                <w:rFonts w:ascii="Bookman Old Style" w:hAnsi="Bookman Old Style"/>
                <w:sz w:val="24"/>
                <w:szCs w:val="24"/>
              </w:rPr>
            </w:pPr>
          </w:p>
          <w:p w:rsidR="0041556B" w:rsidRPr="00427FE9" w:rsidRDefault="0041556B">
            <w:pPr>
              <w:rPr>
                <w:rFonts w:ascii="Times New Roman" w:hAnsi="Times New Roman"/>
                <w:sz w:val="24"/>
                <w:szCs w:val="24"/>
              </w:rPr>
            </w:pPr>
          </w:p>
        </w:tc>
        <w:tc>
          <w:tcPr>
            <w:tcW w:w="11358" w:type="dxa"/>
          </w:tcPr>
          <w:p w:rsidR="00427FE9" w:rsidRPr="00427FE9" w:rsidRDefault="00427FE9">
            <w:pPr>
              <w:rPr>
                <w:rFonts w:ascii="Times New Roman" w:hAnsi="Times New Roman"/>
                <w:sz w:val="24"/>
                <w:szCs w:val="24"/>
              </w:rPr>
            </w:pPr>
          </w:p>
          <w:p w:rsidR="0041556B" w:rsidRPr="00427FE9" w:rsidRDefault="0041556B" w:rsidP="0041556B">
            <w:pPr>
              <w:spacing w:line="240" w:lineRule="auto"/>
              <w:rPr>
                <w:rFonts w:ascii="Bookman Old Style" w:hAnsi="Bookman Old Style"/>
                <w:sz w:val="24"/>
                <w:szCs w:val="24"/>
              </w:rPr>
            </w:pPr>
            <w:r w:rsidRPr="00427FE9">
              <w:rPr>
                <w:rFonts w:ascii="Bookman Old Style" w:hAnsi="Bookman Old Style"/>
                <w:sz w:val="24"/>
                <w:szCs w:val="24"/>
              </w:rPr>
              <w:t>The Commission requests that interested persons provide written comments addressing specifically:</w:t>
            </w:r>
          </w:p>
          <w:p w:rsidR="0041556B" w:rsidRPr="00427FE9" w:rsidRDefault="0041556B" w:rsidP="0041556B">
            <w:pPr>
              <w:spacing w:line="240" w:lineRule="auto"/>
              <w:rPr>
                <w:rFonts w:ascii="Bookman Old Style" w:hAnsi="Bookman Old Style"/>
                <w:sz w:val="24"/>
                <w:szCs w:val="24"/>
              </w:rPr>
            </w:pPr>
          </w:p>
          <w:p w:rsidR="0041556B" w:rsidRPr="00427FE9" w:rsidRDefault="0041556B" w:rsidP="0041556B">
            <w:pPr>
              <w:pStyle w:val="ListParagraph"/>
              <w:numPr>
                <w:ilvl w:val="0"/>
                <w:numId w:val="3"/>
              </w:numPr>
              <w:spacing w:line="240" w:lineRule="auto"/>
              <w:rPr>
                <w:rFonts w:ascii="Bookman Old Style" w:hAnsi="Bookman Old Style"/>
                <w:sz w:val="24"/>
                <w:szCs w:val="24"/>
              </w:rPr>
            </w:pPr>
            <w:r w:rsidRPr="00427FE9">
              <w:rPr>
                <w:rFonts w:ascii="Bookman Old Style" w:hAnsi="Bookman Old Style"/>
                <w:sz w:val="24"/>
                <w:szCs w:val="24"/>
              </w:rPr>
              <w:t>Should there be a split charge for simple arbitrations versus complex arbitrations?</w:t>
            </w:r>
          </w:p>
          <w:p w:rsidR="0041556B" w:rsidRPr="00427FE9" w:rsidRDefault="0041556B" w:rsidP="0041556B">
            <w:pPr>
              <w:pStyle w:val="ListParagraph"/>
              <w:spacing w:line="240" w:lineRule="auto"/>
              <w:rPr>
                <w:rFonts w:ascii="Bookman Old Style" w:hAnsi="Bookman Old Style"/>
                <w:sz w:val="24"/>
                <w:szCs w:val="24"/>
              </w:rPr>
            </w:pPr>
          </w:p>
          <w:p w:rsidR="0041556B" w:rsidRPr="00427FE9" w:rsidRDefault="0041556B" w:rsidP="0041556B">
            <w:pPr>
              <w:pStyle w:val="ListParagraph"/>
              <w:numPr>
                <w:ilvl w:val="0"/>
                <w:numId w:val="3"/>
              </w:numPr>
              <w:spacing w:line="240" w:lineRule="auto"/>
              <w:rPr>
                <w:rFonts w:ascii="Bookman Old Style" w:hAnsi="Bookman Old Style"/>
                <w:sz w:val="24"/>
                <w:szCs w:val="24"/>
              </w:rPr>
            </w:pPr>
            <w:r w:rsidRPr="00427FE9">
              <w:rPr>
                <w:rFonts w:ascii="Bookman Old Style" w:hAnsi="Bookman Old Style"/>
                <w:sz w:val="24"/>
                <w:szCs w:val="24"/>
              </w:rPr>
              <w:t>Should the petitioning party for arbitration bear the full cost of an arbitration fee, or should it be split between the parties in some fashion?</w:t>
            </w:r>
          </w:p>
          <w:p w:rsidR="0041556B" w:rsidRPr="00427FE9" w:rsidRDefault="0041556B" w:rsidP="0041556B">
            <w:pPr>
              <w:pStyle w:val="ListParagraph"/>
              <w:rPr>
                <w:rFonts w:ascii="Bookman Old Style" w:hAnsi="Bookman Old Style"/>
                <w:sz w:val="24"/>
                <w:szCs w:val="24"/>
              </w:rPr>
            </w:pPr>
          </w:p>
          <w:p w:rsidR="0041556B" w:rsidRPr="00427FE9" w:rsidRDefault="0041556B" w:rsidP="0041556B">
            <w:pPr>
              <w:pStyle w:val="ListParagraph"/>
              <w:numPr>
                <w:ilvl w:val="0"/>
                <w:numId w:val="3"/>
              </w:numPr>
              <w:spacing w:line="240" w:lineRule="auto"/>
              <w:rPr>
                <w:rFonts w:ascii="Bookman Old Style" w:hAnsi="Bookman Old Style"/>
                <w:sz w:val="24"/>
                <w:szCs w:val="24"/>
              </w:rPr>
            </w:pPr>
            <w:r w:rsidRPr="00427FE9">
              <w:rPr>
                <w:rFonts w:ascii="Bookman Old Style" w:hAnsi="Bookman Old Style"/>
                <w:sz w:val="24"/>
                <w:szCs w:val="24"/>
              </w:rPr>
              <w:t>Should there be a separate charge for reviewing and approving ICA amendments?</w:t>
            </w:r>
          </w:p>
          <w:p w:rsidR="0041556B" w:rsidRPr="00427FE9" w:rsidRDefault="0041556B" w:rsidP="0041556B">
            <w:pPr>
              <w:pStyle w:val="ListParagraph"/>
              <w:rPr>
                <w:rFonts w:ascii="Bookman Old Style" w:hAnsi="Bookman Old Style"/>
                <w:sz w:val="24"/>
                <w:szCs w:val="24"/>
              </w:rPr>
            </w:pPr>
          </w:p>
          <w:p w:rsidR="0041556B" w:rsidRPr="00427FE9" w:rsidRDefault="0041556B" w:rsidP="0041556B">
            <w:pPr>
              <w:pStyle w:val="ListParagraph"/>
              <w:numPr>
                <w:ilvl w:val="0"/>
                <w:numId w:val="3"/>
              </w:numPr>
              <w:spacing w:line="240" w:lineRule="auto"/>
              <w:rPr>
                <w:rFonts w:ascii="Bookman Old Style" w:hAnsi="Bookman Old Style"/>
                <w:sz w:val="24"/>
                <w:szCs w:val="24"/>
              </w:rPr>
            </w:pPr>
            <w:r w:rsidRPr="00427FE9">
              <w:rPr>
                <w:rFonts w:ascii="Bookman Old Style" w:hAnsi="Bookman Old Style"/>
                <w:sz w:val="24"/>
                <w:szCs w:val="24"/>
              </w:rPr>
              <w:t>Should there be a charge for enforcement of certain provisions in an existing ICA?</w:t>
            </w:r>
          </w:p>
          <w:p w:rsidR="0041556B" w:rsidRPr="00427FE9" w:rsidRDefault="0041556B" w:rsidP="0041556B">
            <w:pPr>
              <w:pStyle w:val="ListParagraph"/>
              <w:rPr>
                <w:rFonts w:ascii="Bookman Old Style" w:hAnsi="Bookman Old Style"/>
                <w:sz w:val="24"/>
                <w:szCs w:val="24"/>
              </w:rPr>
            </w:pPr>
          </w:p>
          <w:p w:rsidR="0041556B" w:rsidRPr="00427FE9" w:rsidRDefault="0041556B" w:rsidP="0041556B">
            <w:pPr>
              <w:pStyle w:val="ListParagraph"/>
              <w:numPr>
                <w:ilvl w:val="0"/>
                <w:numId w:val="3"/>
              </w:numPr>
              <w:spacing w:line="240" w:lineRule="auto"/>
              <w:rPr>
                <w:rFonts w:ascii="Bookman Old Style" w:hAnsi="Bookman Old Style"/>
                <w:sz w:val="24"/>
                <w:szCs w:val="24"/>
              </w:rPr>
            </w:pPr>
            <w:r w:rsidRPr="00427FE9">
              <w:rPr>
                <w:rFonts w:ascii="Bookman Old Style" w:hAnsi="Bookman Old Style"/>
                <w:sz w:val="24"/>
                <w:szCs w:val="24"/>
              </w:rPr>
              <w:t>Should there be a charge for processing a fully adopted ICA?</w:t>
            </w:r>
          </w:p>
          <w:p w:rsidR="0041556B" w:rsidRPr="00427FE9" w:rsidRDefault="0041556B" w:rsidP="0041556B">
            <w:pPr>
              <w:pStyle w:val="ListParagraph"/>
              <w:rPr>
                <w:rFonts w:ascii="Bookman Old Style" w:hAnsi="Bookman Old Style"/>
                <w:sz w:val="24"/>
                <w:szCs w:val="24"/>
              </w:rPr>
            </w:pPr>
          </w:p>
          <w:p w:rsidR="0041556B" w:rsidRPr="00427FE9" w:rsidRDefault="0041556B" w:rsidP="0041556B">
            <w:pPr>
              <w:pStyle w:val="ListParagraph"/>
              <w:numPr>
                <w:ilvl w:val="0"/>
                <w:numId w:val="3"/>
              </w:numPr>
              <w:spacing w:line="240" w:lineRule="auto"/>
              <w:rPr>
                <w:rFonts w:ascii="Bookman Old Style" w:hAnsi="Bookman Old Style"/>
                <w:sz w:val="24"/>
                <w:szCs w:val="24"/>
              </w:rPr>
            </w:pPr>
            <w:r w:rsidRPr="00427FE9">
              <w:rPr>
                <w:rFonts w:ascii="Bookman Old Style" w:hAnsi="Bookman Old Style"/>
                <w:sz w:val="24"/>
                <w:szCs w:val="24"/>
              </w:rPr>
              <w:t>How would charges be applied to entities that already pay regulatory fees versus those entities that don’t pay such fees?</w:t>
            </w:r>
          </w:p>
          <w:p w:rsidR="0041556B" w:rsidRPr="00427FE9" w:rsidRDefault="0041556B" w:rsidP="0041556B">
            <w:pPr>
              <w:pStyle w:val="ListParagraph"/>
              <w:rPr>
                <w:rFonts w:ascii="Bookman Old Style" w:hAnsi="Bookman Old Style"/>
                <w:sz w:val="24"/>
                <w:szCs w:val="24"/>
              </w:rPr>
            </w:pPr>
          </w:p>
          <w:p w:rsidR="0041556B" w:rsidRPr="00427FE9" w:rsidRDefault="0041556B" w:rsidP="0041556B">
            <w:pPr>
              <w:pStyle w:val="ListParagraph"/>
              <w:numPr>
                <w:ilvl w:val="0"/>
                <w:numId w:val="3"/>
              </w:numPr>
              <w:spacing w:line="240" w:lineRule="auto"/>
              <w:rPr>
                <w:rFonts w:ascii="Bookman Old Style" w:hAnsi="Bookman Old Style"/>
                <w:sz w:val="24"/>
                <w:szCs w:val="24"/>
              </w:rPr>
            </w:pPr>
            <w:r w:rsidRPr="00427FE9">
              <w:rPr>
                <w:rFonts w:ascii="Bookman Old Style" w:hAnsi="Bookman Old Style"/>
                <w:sz w:val="24"/>
                <w:szCs w:val="24"/>
              </w:rPr>
              <w:t>Should there be a charge for the annual rec</w:t>
            </w:r>
            <w:r w:rsidR="00427FE9">
              <w:rPr>
                <w:rFonts w:ascii="Bookman Old Style" w:hAnsi="Bookman Old Style"/>
                <w:sz w:val="24"/>
                <w:szCs w:val="24"/>
              </w:rPr>
              <w:t>ertification of ETC designation?</w:t>
            </w:r>
          </w:p>
          <w:p w:rsidR="0041556B" w:rsidRPr="00427FE9" w:rsidRDefault="0041556B" w:rsidP="0041556B">
            <w:pPr>
              <w:pStyle w:val="ListParagraph"/>
              <w:rPr>
                <w:rFonts w:ascii="Bookman Old Style" w:hAnsi="Bookman Old Style"/>
                <w:sz w:val="24"/>
                <w:szCs w:val="24"/>
              </w:rPr>
            </w:pPr>
          </w:p>
          <w:p w:rsidR="00427FE9" w:rsidRPr="00427FE9" w:rsidRDefault="0041556B" w:rsidP="00427FE9">
            <w:pPr>
              <w:pStyle w:val="ListParagraph"/>
              <w:numPr>
                <w:ilvl w:val="0"/>
                <w:numId w:val="3"/>
              </w:numPr>
              <w:spacing w:line="240" w:lineRule="auto"/>
              <w:rPr>
                <w:rFonts w:ascii="Times New Roman" w:hAnsi="Times New Roman"/>
                <w:sz w:val="24"/>
                <w:szCs w:val="24"/>
              </w:rPr>
            </w:pPr>
            <w:r w:rsidRPr="00427FE9">
              <w:rPr>
                <w:rFonts w:ascii="Bookman Old Style" w:hAnsi="Bookman Old Style"/>
                <w:sz w:val="24"/>
                <w:szCs w:val="24"/>
              </w:rPr>
              <w:t>Should there be separate charges ETC designations for high cost companies versus lifeline designations?</w:t>
            </w:r>
          </w:p>
          <w:p w:rsidR="00427FE9" w:rsidRPr="00427FE9" w:rsidRDefault="00427FE9" w:rsidP="00427FE9">
            <w:pPr>
              <w:pStyle w:val="ListParagraph"/>
              <w:rPr>
                <w:rFonts w:ascii="Bookman Old Style" w:hAnsi="Bookman Old Style"/>
                <w:sz w:val="24"/>
                <w:szCs w:val="24"/>
              </w:rPr>
            </w:pPr>
          </w:p>
          <w:p w:rsidR="00427FE9" w:rsidRPr="00427FE9" w:rsidRDefault="0041556B" w:rsidP="00427FE9">
            <w:pPr>
              <w:pStyle w:val="ListParagraph"/>
              <w:numPr>
                <w:ilvl w:val="0"/>
                <w:numId w:val="3"/>
              </w:numPr>
              <w:spacing w:line="240" w:lineRule="auto"/>
              <w:rPr>
                <w:rFonts w:ascii="Times New Roman" w:hAnsi="Times New Roman"/>
                <w:sz w:val="24"/>
                <w:szCs w:val="24"/>
              </w:rPr>
            </w:pPr>
            <w:r w:rsidRPr="00427FE9">
              <w:rPr>
                <w:rFonts w:ascii="Bookman Old Style" w:hAnsi="Bookman Old Style"/>
                <w:sz w:val="24"/>
                <w:szCs w:val="24"/>
              </w:rPr>
              <w:t>Under federal law states are authorized, but not required, to conduct arbitrations and designate ETCs to the extent allowed by state law.  Absent application of fees for conducting such activities prospectively, should the Commission consider deferring all arbitration and ETC requests to the Federal Communications Commission for resolution as is done by some other states currently?</w:t>
            </w:r>
          </w:p>
          <w:p w:rsidR="00427FE9" w:rsidRPr="00427FE9" w:rsidRDefault="00427FE9" w:rsidP="00427FE9">
            <w:pPr>
              <w:spacing w:line="240" w:lineRule="auto"/>
              <w:rPr>
                <w:rFonts w:ascii="Times New Roman" w:hAnsi="Times New Roman"/>
                <w:sz w:val="24"/>
                <w:szCs w:val="24"/>
              </w:rPr>
            </w:pPr>
          </w:p>
        </w:tc>
      </w:tr>
    </w:tbl>
    <w:p w:rsidR="0041556B" w:rsidRPr="00F53968" w:rsidRDefault="0041556B" w:rsidP="00427FE9">
      <w:pPr>
        <w:rPr>
          <w:rFonts w:ascii="Times New Roman" w:hAnsi="Times New Roman"/>
        </w:rPr>
      </w:pPr>
    </w:p>
    <w:sectPr w:rsidR="0041556B" w:rsidRPr="00F53968" w:rsidSect="00AE2080">
      <w:footerReference w:type="default" r:id="rId9"/>
      <w:pgSz w:w="20160" w:h="12240" w:orient="landscape" w:code="5"/>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56B" w:rsidRDefault="0041556B" w:rsidP="00F84C58">
      <w:pPr>
        <w:spacing w:line="240" w:lineRule="auto"/>
      </w:pPr>
      <w:r>
        <w:separator/>
      </w:r>
    </w:p>
  </w:endnote>
  <w:endnote w:type="continuationSeparator" w:id="0">
    <w:p w:rsidR="0041556B" w:rsidRDefault="0041556B" w:rsidP="00F84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797857"/>
      <w:docPartObj>
        <w:docPartGallery w:val="Page Numbers (Bottom of Page)"/>
        <w:docPartUnique/>
      </w:docPartObj>
    </w:sdtPr>
    <w:sdtEndPr>
      <w:rPr>
        <w:rFonts w:ascii="Bookman Old Style" w:hAnsi="Bookman Old Style"/>
        <w:i/>
        <w:sz w:val="24"/>
        <w:szCs w:val="24"/>
      </w:rPr>
    </w:sdtEndPr>
    <w:sdtContent>
      <w:sdt>
        <w:sdtPr>
          <w:id w:val="860082579"/>
          <w:docPartObj>
            <w:docPartGallery w:val="Page Numbers (Top of Page)"/>
            <w:docPartUnique/>
          </w:docPartObj>
        </w:sdtPr>
        <w:sdtEndPr>
          <w:rPr>
            <w:rFonts w:ascii="Bookman Old Style" w:hAnsi="Bookman Old Style"/>
            <w:i/>
            <w:sz w:val="24"/>
            <w:szCs w:val="24"/>
          </w:rPr>
        </w:sdtEndPr>
        <w:sdtContent>
          <w:p w:rsidR="00427FE9" w:rsidRDefault="00427FE9">
            <w:pPr>
              <w:pStyle w:val="Footer"/>
              <w:jc w:val="right"/>
            </w:pPr>
          </w:p>
          <w:p w:rsidR="00427FE9" w:rsidRPr="00427FE9" w:rsidRDefault="00427FE9">
            <w:pPr>
              <w:pStyle w:val="Footer"/>
              <w:jc w:val="right"/>
              <w:rPr>
                <w:rFonts w:ascii="Bookman Old Style" w:hAnsi="Bookman Old Style"/>
                <w:i/>
                <w:sz w:val="24"/>
                <w:szCs w:val="24"/>
              </w:rPr>
            </w:pPr>
            <w:r w:rsidRPr="00427FE9">
              <w:rPr>
                <w:rFonts w:ascii="Bookman Old Style" w:hAnsi="Bookman Old Style"/>
                <w:i/>
                <w:sz w:val="24"/>
                <w:szCs w:val="24"/>
              </w:rPr>
              <w:t xml:space="preserve">Page </w:t>
            </w:r>
            <w:r w:rsidRPr="00427FE9">
              <w:rPr>
                <w:rFonts w:ascii="Bookman Old Style" w:hAnsi="Bookman Old Style"/>
                <w:bCs/>
                <w:i/>
                <w:sz w:val="24"/>
                <w:szCs w:val="24"/>
              </w:rPr>
              <w:fldChar w:fldCharType="begin"/>
            </w:r>
            <w:r w:rsidRPr="00427FE9">
              <w:rPr>
                <w:rFonts w:ascii="Bookman Old Style" w:hAnsi="Bookman Old Style"/>
                <w:bCs/>
                <w:i/>
                <w:sz w:val="24"/>
                <w:szCs w:val="24"/>
              </w:rPr>
              <w:instrText xml:space="preserve"> PAGE </w:instrText>
            </w:r>
            <w:r w:rsidRPr="00427FE9">
              <w:rPr>
                <w:rFonts w:ascii="Bookman Old Style" w:hAnsi="Bookman Old Style"/>
                <w:bCs/>
                <w:i/>
                <w:sz w:val="24"/>
                <w:szCs w:val="24"/>
              </w:rPr>
              <w:fldChar w:fldCharType="separate"/>
            </w:r>
            <w:r w:rsidR="006E0E0A">
              <w:rPr>
                <w:rFonts w:ascii="Bookman Old Style" w:hAnsi="Bookman Old Style"/>
                <w:bCs/>
                <w:i/>
                <w:noProof/>
                <w:sz w:val="24"/>
                <w:szCs w:val="24"/>
              </w:rPr>
              <w:t>1</w:t>
            </w:r>
            <w:r w:rsidRPr="00427FE9">
              <w:rPr>
                <w:rFonts w:ascii="Bookman Old Style" w:hAnsi="Bookman Old Style"/>
                <w:bCs/>
                <w:i/>
                <w:sz w:val="24"/>
                <w:szCs w:val="24"/>
              </w:rPr>
              <w:fldChar w:fldCharType="end"/>
            </w:r>
            <w:r w:rsidRPr="00427FE9">
              <w:rPr>
                <w:rFonts w:ascii="Bookman Old Style" w:hAnsi="Bookman Old Style"/>
                <w:i/>
                <w:sz w:val="24"/>
                <w:szCs w:val="24"/>
              </w:rPr>
              <w:t xml:space="preserve"> of </w:t>
            </w:r>
            <w:r w:rsidRPr="00427FE9">
              <w:rPr>
                <w:rFonts w:ascii="Bookman Old Style" w:hAnsi="Bookman Old Style"/>
                <w:bCs/>
                <w:i/>
                <w:sz w:val="24"/>
                <w:szCs w:val="24"/>
              </w:rPr>
              <w:fldChar w:fldCharType="begin"/>
            </w:r>
            <w:r w:rsidRPr="00427FE9">
              <w:rPr>
                <w:rFonts w:ascii="Bookman Old Style" w:hAnsi="Bookman Old Style"/>
                <w:bCs/>
                <w:i/>
                <w:sz w:val="24"/>
                <w:szCs w:val="24"/>
              </w:rPr>
              <w:instrText xml:space="preserve"> NUMPAGES  </w:instrText>
            </w:r>
            <w:r w:rsidRPr="00427FE9">
              <w:rPr>
                <w:rFonts w:ascii="Bookman Old Style" w:hAnsi="Bookman Old Style"/>
                <w:bCs/>
                <w:i/>
                <w:sz w:val="24"/>
                <w:szCs w:val="24"/>
              </w:rPr>
              <w:fldChar w:fldCharType="separate"/>
            </w:r>
            <w:r w:rsidR="006E0E0A">
              <w:rPr>
                <w:rFonts w:ascii="Bookman Old Style" w:hAnsi="Bookman Old Style"/>
                <w:bCs/>
                <w:i/>
                <w:noProof/>
                <w:sz w:val="24"/>
                <w:szCs w:val="24"/>
              </w:rPr>
              <w:t>3</w:t>
            </w:r>
            <w:r w:rsidRPr="00427FE9">
              <w:rPr>
                <w:rFonts w:ascii="Bookman Old Style" w:hAnsi="Bookman Old Style"/>
                <w:bCs/>
                <w:i/>
                <w:sz w:val="24"/>
                <w:szCs w:val="24"/>
              </w:rPr>
              <w:fldChar w:fldCharType="end"/>
            </w:r>
          </w:p>
        </w:sdtContent>
      </w:sdt>
    </w:sdtContent>
  </w:sdt>
  <w:p w:rsidR="0041556B" w:rsidRDefault="00415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56B" w:rsidRDefault="0041556B" w:rsidP="00F84C58">
      <w:pPr>
        <w:spacing w:line="240" w:lineRule="auto"/>
      </w:pPr>
      <w:r>
        <w:separator/>
      </w:r>
    </w:p>
  </w:footnote>
  <w:footnote w:type="continuationSeparator" w:id="0">
    <w:p w:rsidR="0041556B" w:rsidRDefault="0041556B" w:rsidP="00F84C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7158B"/>
    <w:multiLevelType w:val="hybridMultilevel"/>
    <w:tmpl w:val="5DE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C81900"/>
    <w:multiLevelType w:val="hybridMultilevel"/>
    <w:tmpl w:val="F32A4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7A2F29"/>
    <w:multiLevelType w:val="hybridMultilevel"/>
    <w:tmpl w:val="F32A4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0D"/>
    <w:rsid w:val="00015542"/>
    <w:rsid w:val="00015B95"/>
    <w:rsid w:val="0007391C"/>
    <w:rsid w:val="00082D9B"/>
    <w:rsid w:val="00083421"/>
    <w:rsid w:val="000C1B2B"/>
    <w:rsid w:val="000D15F2"/>
    <w:rsid w:val="000D1B23"/>
    <w:rsid w:val="000E1D9F"/>
    <w:rsid w:val="000F3E17"/>
    <w:rsid w:val="001100FE"/>
    <w:rsid w:val="0011706F"/>
    <w:rsid w:val="00117F95"/>
    <w:rsid w:val="00132698"/>
    <w:rsid w:val="0016411F"/>
    <w:rsid w:val="00182E75"/>
    <w:rsid w:val="00190B7F"/>
    <w:rsid w:val="00196AC6"/>
    <w:rsid w:val="001C5AB1"/>
    <w:rsid w:val="001C660D"/>
    <w:rsid w:val="001D2914"/>
    <w:rsid w:val="001E7457"/>
    <w:rsid w:val="001F4FBD"/>
    <w:rsid w:val="0024379E"/>
    <w:rsid w:val="00261BB4"/>
    <w:rsid w:val="002722C6"/>
    <w:rsid w:val="0027488E"/>
    <w:rsid w:val="002C039A"/>
    <w:rsid w:val="002C2191"/>
    <w:rsid w:val="002F00C9"/>
    <w:rsid w:val="0030247E"/>
    <w:rsid w:val="0031381F"/>
    <w:rsid w:val="00340BA9"/>
    <w:rsid w:val="00347EF1"/>
    <w:rsid w:val="00397EDB"/>
    <w:rsid w:val="003B06A1"/>
    <w:rsid w:val="004067AE"/>
    <w:rsid w:val="0041288F"/>
    <w:rsid w:val="0041556B"/>
    <w:rsid w:val="00427518"/>
    <w:rsid w:val="00427FE9"/>
    <w:rsid w:val="0043023D"/>
    <w:rsid w:val="00462BA2"/>
    <w:rsid w:val="00477415"/>
    <w:rsid w:val="00481799"/>
    <w:rsid w:val="00495A86"/>
    <w:rsid w:val="004D6D3A"/>
    <w:rsid w:val="004E4387"/>
    <w:rsid w:val="00527F74"/>
    <w:rsid w:val="005652D7"/>
    <w:rsid w:val="0058639C"/>
    <w:rsid w:val="00590375"/>
    <w:rsid w:val="0059420D"/>
    <w:rsid w:val="005A049E"/>
    <w:rsid w:val="005E07AB"/>
    <w:rsid w:val="005F0DCE"/>
    <w:rsid w:val="006262E2"/>
    <w:rsid w:val="00631814"/>
    <w:rsid w:val="0066561E"/>
    <w:rsid w:val="00696F00"/>
    <w:rsid w:val="006B0CA9"/>
    <w:rsid w:val="006E0B51"/>
    <w:rsid w:val="006E0E0A"/>
    <w:rsid w:val="006E5085"/>
    <w:rsid w:val="006F2FA1"/>
    <w:rsid w:val="00702FB4"/>
    <w:rsid w:val="00722E3E"/>
    <w:rsid w:val="00723A3A"/>
    <w:rsid w:val="00767B43"/>
    <w:rsid w:val="00771EDA"/>
    <w:rsid w:val="007A000A"/>
    <w:rsid w:val="007A7A66"/>
    <w:rsid w:val="007B2C91"/>
    <w:rsid w:val="007E1036"/>
    <w:rsid w:val="00800391"/>
    <w:rsid w:val="00803A3C"/>
    <w:rsid w:val="00811605"/>
    <w:rsid w:val="00816FF5"/>
    <w:rsid w:val="00845B20"/>
    <w:rsid w:val="008634E6"/>
    <w:rsid w:val="00863564"/>
    <w:rsid w:val="008B4A08"/>
    <w:rsid w:val="008C6CCF"/>
    <w:rsid w:val="008C7CCC"/>
    <w:rsid w:val="00914AE3"/>
    <w:rsid w:val="00914B54"/>
    <w:rsid w:val="00921AB1"/>
    <w:rsid w:val="00957D86"/>
    <w:rsid w:val="00960A0F"/>
    <w:rsid w:val="0096794A"/>
    <w:rsid w:val="00976792"/>
    <w:rsid w:val="00986749"/>
    <w:rsid w:val="009B0AE7"/>
    <w:rsid w:val="009C327F"/>
    <w:rsid w:val="009D03DE"/>
    <w:rsid w:val="009D7E48"/>
    <w:rsid w:val="00A73AF9"/>
    <w:rsid w:val="00A75A11"/>
    <w:rsid w:val="00A84C2A"/>
    <w:rsid w:val="00A95019"/>
    <w:rsid w:val="00A97694"/>
    <w:rsid w:val="00AC4987"/>
    <w:rsid w:val="00AD5449"/>
    <w:rsid w:val="00AD7A30"/>
    <w:rsid w:val="00AE02E5"/>
    <w:rsid w:val="00AE2080"/>
    <w:rsid w:val="00AE6171"/>
    <w:rsid w:val="00B31ACB"/>
    <w:rsid w:val="00B32EA1"/>
    <w:rsid w:val="00B64989"/>
    <w:rsid w:val="00B8092B"/>
    <w:rsid w:val="00B80ACA"/>
    <w:rsid w:val="00BA2BA3"/>
    <w:rsid w:val="00BA4996"/>
    <w:rsid w:val="00C03F96"/>
    <w:rsid w:val="00C132C6"/>
    <w:rsid w:val="00C34277"/>
    <w:rsid w:val="00C425F9"/>
    <w:rsid w:val="00C65710"/>
    <w:rsid w:val="00C739CA"/>
    <w:rsid w:val="00C75BD9"/>
    <w:rsid w:val="00C85315"/>
    <w:rsid w:val="00C934D3"/>
    <w:rsid w:val="00CE0CC9"/>
    <w:rsid w:val="00CE5625"/>
    <w:rsid w:val="00CF3945"/>
    <w:rsid w:val="00D20827"/>
    <w:rsid w:val="00D23E95"/>
    <w:rsid w:val="00D36950"/>
    <w:rsid w:val="00D36BB5"/>
    <w:rsid w:val="00D82AE5"/>
    <w:rsid w:val="00DA40C7"/>
    <w:rsid w:val="00DC1FBF"/>
    <w:rsid w:val="00DC7CD9"/>
    <w:rsid w:val="00DD2A47"/>
    <w:rsid w:val="00DF72A4"/>
    <w:rsid w:val="00E11A25"/>
    <w:rsid w:val="00E202FE"/>
    <w:rsid w:val="00E45AD2"/>
    <w:rsid w:val="00E531BD"/>
    <w:rsid w:val="00E53455"/>
    <w:rsid w:val="00EB596A"/>
    <w:rsid w:val="00EC4904"/>
    <w:rsid w:val="00F07E22"/>
    <w:rsid w:val="00F53968"/>
    <w:rsid w:val="00F73E57"/>
    <w:rsid w:val="00F82CDC"/>
    <w:rsid w:val="00F84C58"/>
    <w:rsid w:val="00FB2558"/>
    <w:rsid w:val="00FC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6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84C58"/>
    <w:pPr>
      <w:tabs>
        <w:tab w:val="center" w:pos="4680"/>
        <w:tab w:val="right" w:pos="9360"/>
      </w:tabs>
      <w:spacing w:line="240" w:lineRule="auto"/>
    </w:pPr>
  </w:style>
  <w:style w:type="character" w:customStyle="1" w:styleId="HeaderChar">
    <w:name w:val="Header Char"/>
    <w:basedOn w:val="DefaultParagraphFont"/>
    <w:link w:val="Header"/>
    <w:uiPriority w:val="99"/>
    <w:rsid w:val="00F84C58"/>
  </w:style>
  <w:style w:type="paragraph" w:styleId="Footer">
    <w:name w:val="footer"/>
    <w:basedOn w:val="Normal"/>
    <w:link w:val="FooterChar"/>
    <w:uiPriority w:val="99"/>
    <w:unhideWhenUsed/>
    <w:rsid w:val="00F84C58"/>
    <w:pPr>
      <w:tabs>
        <w:tab w:val="center" w:pos="4680"/>
        <w:tab w:val="right" w:pos="9360"/>
      </w:tabs>
      <w:spacing w:line="240" w:lineRule="auto"/>
    </w:pPr>
  </w:style>
  <w:style w:type="character" w:customStyle="1" w:styleId="FooterChar">
    <w:name w:val="Footer Char"/>
    <w:basedOn w:val="DefaultParagraphFont"/>
    <w:link w:val="Footer"/>
    <w:uiPriority w:val="99"/>
    <w:rsid w:val="00F84C58"/>
  </w:style>
  <w:style w:type="character" w:styleId="CommentReference">
    <w:name w:val="annotation reference"/>
    <w:basedOn w:val="DefaultParagraphFont"/>
    <w:uiPriority w:val="99"/>
    <w:semiHidden/>
    <w:unhideWhenUsed/>
    <w:rsid w:val="00CE0CC9"/>
    <w:rPr>
      <w:sz w:val="16"/>
      <w:szCs w:val="16"/>
    </w:rPr>
  </w:style>
  <w:style w:type="paragraph" w:styleId="CommentText">
    <w:name w:val="annotation text"/>
    <w:basedOn w:val="Normal"/>
    <w:link w:val="CommentTextChar"/>
    <w:uiPriority w:val="99"/>
    <w:semiHidden/>
    <w:unhideWhenUsed/>
    <w:rsid w:val="00CE0CC9"/>
    <w:rPr>
      <w:sz w:val="20"/>
      <w:szCs w:val="20"/>
    </w:rPr>
  </w:style>
  <w:style w:type="character" w:customStyle="1" w:styleId="CommentTextChar">
    <w:name w:val="Comment Text Char"/>
    <w:basedOn w:val="DefaultParagraphFont"/>
    <w:link w:val="CommentText"/>
    <w:uiPriority w:val="99"/>
    <w:semiHidden/>
    <w:rsid w:val="00CE0CC9"/>
  </w:style>
  <w:style w:type="paragraph" w:styleId="CommentSubject">
    <w:name w:val="annotation subject"/>
    <w:basedOn w:val="CommentText"/>
    <w:next w:val="CommentText"/>
    <w:link w:val="CommentSubjectChar"/>
    <w:uiPriority w:val="99"/>
    <w:semiHidden/>
    <w:unhideWhenUsed/>
    <w:rsid w:val="00CE0CC9"/>
    <w:rPr>
      <w:b/>
      <w:bCs/>
    </w:rPr>
  </w:style>
  <w:style w:type="character" w:customStyle="1" w:styleId="CommentSubjectChar">
    <w:name w:val="Comment Subject Char"/>
    <w:basedOn w:val="CommentTextChar"/>
    <w:link w:val="CommentSubject"/>
    <w:uiPriority w:val="99"/>
    <w:semiHidden/>
    <w:rsid w:val="00CE0CC9"/>
    <w:rPr>
      <w:b/>
      <w:bCs/>
    </w:rPr>
  </w:style>
  <w:style w:type="paragraph" w:styleId="Revision">
    <w:name w:val="Revision"/>
    <w:hidden/>
    <w:uiPriority w:val="99"/>
    <w:semiHidden/>
    <w:rsid w:val="00CE0CC9"/>
    <w:rPr>
      <w:sz w:val="22"/>
      <w:szCs w:val="22"/>
    </w:rPr>
  </w:style>
  <w:style w:type="paragraph" w:styleId="BalloonText">
    <w:name w:val="Balloon Text"/>
    <w:basedOn w:val="Normal"/>
    <w:link w:val="BalloonTextChar"/>
    <w:uiPriority w:val="99"/>
    <w:semiHidden/>
    <w:unhideWhenUsed/>
    <w:rsid w:val="00CE0C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CC9"/>
    <w:rPr>
      <w:rFonts w:ascii="Tahoma" w:hAnsi="Tahoma" w:cs="Tahoma"/>
      <w:sz w:val="16"/>
      <w:szCs w:val="16"/>
    </w:rPr>
  </w:style>
  <w:style w:type="paragraph" w:styleId="ListParagraph">
    <w:name w:val="List Paragraph"/>
    <w:basedOn w:val="Normal"/>
    <w:uiPriority w:val="34"/>
    <w:qFormat/>
    <w:rsid w:val="00D23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6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84C58"/>
    <w:pPr>
      <w:tabs>
        <w:tab w:val="center" w:pos="4680"/>
        <w:tab w:val="right" w:pos="9360"/>
      </w:tabs>
      <w:spacing w:line="240" w:lineRule="auto"/>
    </w:pPr>
  </w:style>
  <w:style w:type="character" w:customStyle="1" w:styleId="HeaderChar">
    <w:name w:val="Header Char"/>
    <w:basedOn w:val="DefaultParagraphFont"/>
    <w:link w:val="Header"/>
    <w:uiPriority w:val="99"/>
    <w:rsid w:val="00F84C58"/>
  </w:style>
  <w:style w:type="paragraph" w:styleId="Footer">
    <w:name w:val="footer"/>
    <w:basedOn w:val="Normal"/>
    <w:link w:val="FooterChar"/>
    <w:uiPriority w:val="99"/>
    <w:unhideWhenUsed/>
    <w:rsid w:val="00F84C58"/>
    <w:pPr>
      <w:tabs>
        <w:tab w:val="center" w:pos="4680"/>
        <w:tab w:val="right" w:pos="9360"/>
      </w:tabs>
      <w:spacing w:line="240" w:lineRule="auto"/>
    </w:pPr>
  </w:style>
  <w:style w:type="character" w:customStyle="1" w:styleId="FooterChar">
    <w:name w:val="Footer Char"/>
    <w:basedOn w:val="DefaultParagraphFont"/>
    <w:link w:val="Footer"/>
    <w:uiPriority w:val="99"/>
    <w:rsid w:val="00F84C58"/>
  </w:style>
  <w:style w:type="character" w:styleId="CommentReference">
    <w:name w:val="annotation reference"/>
    <w:basedOn w:val="DefaultParagraphFont"/>
    <w:uiPriority w:val="99"/>
    <w:semiHidden/>
    <w:unhideWhenUsed/>
    <w:rsid w:val="00CE0CC9"/>
    <w:rPr>
      <w:sz w:val="16"/>
      <w:szCs w:val="16"/>
    </w:rPr>
  </w:style>
  <w:style w:type="paragraph" w:styleId="CommentText">
    <w:name w:val="annotation text"/>
    <w:basedOn w:val="Normal"/>
    <w:link w:val="CommentTextChar"/>
    <w:uiPriority w:val="99"/>
    <w:semiHidden/>
    <w:unhideWhenUsed/>
    <w:rsid w:val="00CE0CC9"/>
    <w:rPr>
      <w:sz w:val="20"/>
      <w:szCs w:val="20"/>
    </w:rPr>
  </w:style>
  <w:style w:type="character" w:customStyle="1" w:styleId="CommentTextChar">
    <w:name w:val="Comment Text Char"/>
    <w:basedOn w:val="DefaultParagraphFont"/>
    <w:link w:val="CommentText"/>
    <w:uiPriority w:val="99"/>
    <w:semiHidden/>
    <w:rsid w:val="00CE0CC9"/>
  </w:style>
  <w:style w:type="paragraph" w:styleId="CommentSubject">
    <w:name w:val="annotation subject"/>
    <w:basedOn w:val="CommentText"/>
    <w:next w:val="CommentText"/>
    <w:link w:val="CommentSubjectChar"/>
    <w:uiPriority w:val="99"/>
    <w:semiHidden/>
    <w:unhideWhenUsed/>
    <w:rsid w:val="00CE0CC9"/>
    <w:rPr>
      <w:b/>
      <w:bCs/>
    </w:rPr>
  </w:style>
  <w:style w:type="character" w:customStyle="1" w:styleId="CommentSubjectChar">
    <w:name w:val="Comment Subject Char"/>
    <w:basedOn w:val="CommentTextChar"/>
    <w:link w:val="CommentSubject"/>
    <w:uiPriority w:val="99"/>
    <w:semiHidden/>
    <w:rsid w:val="00CE0CC9"/>
    <w:rPr>
      <w:b/>
      <w:bCs/>
    </w:rPr>
  </w:style>
  <w:style w:type="paragraph" w:styleId="Revision">
    <w:name w:val="Revision"/>
    <w:hidden/>
    <w:uiPriority w:val="99"/>
    <w:semiHidden/>
    <w:rsid w:val="00CE0CC9"/>
    <w:rPr>
      <w:sz w:val="22"/>
      <w:szCs w:val="22"/>
    </w:rPr>
  </w:style>
  <w:style w:type="paragraph" w:styleId="BalloonText">
    <w:name w:val="Balloon Text"/>
    <w:basedOn w:val="Normal"/>
    <w:link w:val="BalloonTextChar"/>
    <w:uiPriority w:val="99"/>
    <w:semiHidden/>
    <w:unhideWhenUsed/>
    <w:rsid w:val="00CE0C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CC9"/>
    <w:rPr>
      <w:rFonts w:ascii="Tahoma" w:hAnsi="Tahoma" w:cs="Tahoma"/>
      <w:sz w:val="16"/>
      <w:szCs w:val="16"/>
    </w:rPr>
  </w:style>
  <w:style w:type="paragraph" w:styleId="ListParagraph">
    <w:name w:val="List Paragraph"/>
    <w:basedOn w:val="Normal"/>
    <w:uiPriority w:val="34"/>
    <w:qFormat/>
    <w:rsid w:val="00D23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2011-09-09T07:00:00+00:00</OpenedDate>
    <Date1 xmlns="dc463f71-b30c-4ab2-9473-d307f9d35888">2011-11-29T08:00:00+00:00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111634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89AD465143494E8E4B5EF7B9F464F8" ma:contentTypeVersion="143" ma:contentTypeDescription="" ma:contentTypeScope="" ma:versionID="bf6db44f2d6e00c382717eb24fe1ca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2191A-541D-4A24-A3E8-CE529CE1BB72}"/>
</file>

<file path=customXml/itemProps2.xml><?xml version="1.0" encoding="utf-8"?>
<ds:datastoreItem xmlns:ds="http://schemas.openxmlformats.org/officeDocument/2006/customXml" ds:itemID="{11C5AC05-42BB-45CA-916E-01F670FA02F1}"/>
</file>

<file path=customXml/itemProps3.xml><?xml version="1.0" encoding="utf-8"?>
<ds:datastoreItem xmlns:ds="http://schemas.openxmlformats.org/officeDocument/2006/customXml" ds:itemID="{16FDF930-CA84-4040-93C1-0F6304977134}"/>
</file>

<file path=customXml/itemProps4.xml><?xml version="1.0" encoding="utf-8"?>
<ds:datastoreItem xmlns:ds="http://schemas.openxmlformats.org/officeDocument/2006/customXml" ds:itemID="{82687C13-90D1-4968-98DD-5CE729458ACA}"/>
</file>

<file path=customXml/itemProps5.xml><?xml version="1.0" encoding="utf-8"?>
<ds:datastoreItem xmlns:ds="http://schemas.openxmlformats.org/officeDocument/2006/customXml" ds:itemID="{BF7AC291-B2C6-4925-9D89-D42E1A51503B}"/>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2011-11-28T18:24:00Z</dcterms:created>
  <dcterms:modified xsi:type="dcterms:W3CDTF">2011-11-28T18:24:00Z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0x0101006E56B4D1795A2E4DB2F0B01679ED314A00B889AD465143494E8E4B5EF7B9F464F8</vt:lpwstr>
  </property>
  <property fmtid="{D5CDD505-2E9C-101B-9397-08002B2CF9AE}" pid="3" name="_docset_NoMedatataSyncRequired">
    <vt:lpwstr>False</vt:lpwstr>
  </property>
</Properties>
</file>