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D4" w:rsidRDefault="00B678A1" w:rsidP="004C6E86">
      <w:pPr>
        <w:pStyle w:val="Title"/>
      </w:pPr>
      <w:bookmarkStart w:id="0" w:name="_GoBack"/>
      <w:bookmarkEnd w:id="0"/>
      <w:r>
        <w:t xml:space="preserve">Attachment to Commission’s Acknowledgement Letter for </w:t>
      </w:r>
      <w:r w:rsidR="00194ED4" w:rsidRPr="00E5716D">
        <w:t>Avista Corporation’s</w:t>
      </w:r>
      <w:r w:rsidR="004313F9" w:rsidRPr="00E5716D">
        <w:t xml:space="preserve"> </w:t>
      </w:r>
      <w:r w:rsidR="000715D6" w:rsidRPr="00E5716D">
        <w:t>20</w:t>
      </w:r>
      <w:r w:rsidR="00FB3BD2">
        <w:t>12</w:t>
      </w:r>
      <w:r w:rsidR="00194ED4" w:rsidRPr="00E5716D">
        <w:t xml:space="preserve"> Natural Gas Integrated Resource Plan</w:t>
      </w:r>
    </w:p>
    <w:p w:rsidR="0055328D" w:rsidRPr="00E5716D" w:rsidRDefault="0055328D" w:rsidP="00DE6922">
      <w:pPr>
        <w:pStyle w:val="Title"/>
      </w:pPr>
      <w:r>
        <w:t>UG-</w:t>
      </w:r>
      <w:r w:rsidR="00FB3BD2">
        <w:t>111588</w:t>
      </w:r>
    </w:p>
    <w:p w:rsidR="00B678A1" w:rsidRDefault="00B678A1" w:rsidP="00DE6922">
      <w:pPr>
        <w:pStyle w:val="Title"/>
        <w:jc w:val="left"/>
        <w:rPr>
          <w:u w:val="single"/>
        </w:rPr>
      </w:pPr>
    </w:p>
    <w:p w:rsidR="006D2E44" w:rsidRPr="00712C6E" w:rsidRDefault="004306D3" w:rsidP="00DE6922">
      <w:pPr>
        <w:pStyle w:val="Title"/>
        <w:jc w:val="left"/>
        <w:rPr>
          <w:u w:val="single"/>
        </w:rPr>
      </w:pPr>
      <w:r w:rsidRPr="00712C6E">
        <w:rPr>
          <w:u w:val="single"/>
        </w:rPr>
        <w:t>Background</w:t>
      </w:r>
    </w:p>
    <w:p w:rsidR="00A9020C" w:rsidRDefault="00194ED4" w:rsidP="00D02E54">
      <w:pPr>
        <w:pStyle w:val="NoSpacing"/>
        <w:spacing w:line="264" w:lineRule="auto"/>
      </w:pPr>
      <w:r w:rsidRPr="00E5716D">
        <w:t xml:space="preserve">As a </w:t>
      </w:r>
      <w:r w:rsidR="000648BA">
        <w:t>gas</w:t>
      </w:r>
      <w:r w:rsidRPr="00E5716D">
        <w:t xml:space="preserve"> utility in Washington, Avista </w:t>
      </w:r>
      <w:r w:rsidR="00B82621">
        <w:t>Corporation (Avista</w:t>
      </w:r>
      <w:r w:rsidR="003A45E8">
        <w:t xml:space="preserve"> or </w:t>
      </w:r>
      <w:r w:rsidR="00AF5537">
        <w:t>company</w:t>
      </w:r>
      <w:r w:rsidR="00B82621">
        <w:t xml:space="preserve">) </w:t>
      </w:r>
      <w:r w:rsidRPr="00E5716D">
        <w:t xml:space="preserve">has a fundamental responsibility to manage the risks and opportunities associated with acquiring and delivering </w:t>
      </w:r>
      <w:r w:rsidR="000648BA">
        <w:t>gas</w:t>
      </w:r>
      <w:r w:rsidRPr="00E5716D">
        <w:t xml:space="preserve"> on</w:t>
      </w:r>
      <w:r w:rsidR="00AD7A5A">
        <w:t xml:space="preserve"> behalf of its customers</w:t>
      </w:r>
      <w:r w:rsidR="00CC5D85">
        <w:t xml:space="preserve">. </w:t>
      </w:r>
      <w:r w:rsidR="00561300">
        <w:t xml:space="preserve">This </w:t>
      </w:r>
      <w:r w:rsidRPr="00E5716D">
        <w:t>responsibility is part</w:t>
      </w:r>
      <w:r w:rsidR="0096741E">
        <w:t>icularly important in an era of</w:t>
      </w:r>
      <w:r w:rsidR="0040527D">
        <w:t xml:space="preserve"> changing gas </w:t>
      </w:r>
      <w:r w:rsidR="00561300">
        <w:t xml:space="preserve">supply and </w:t>
      </w:r>
      <w:r w:rsidR="0040527D">
        <w:t xml:space="preserve">demand and </w:t>
      </w:r>
      <w:r w:rsidR="00180AA5">
        <w:t xml:space="preserve">requires a long-range planning </w:t>
      </w:r>
      <w:r w:rsidR="002C62C2">
        <w:t>perspective</w:t>
      </w:r>
      <w:r w:rsidR="00CC5D85">
        <w:t xml:space="preserve">. </w:t>
      </w:r>
      <w:r w:rsidRPr="00E5716D">
        <w:t>The planning requirements specified in WAC 480</w:t>
      </w:r>
      <w:r w:rsidRPr="00E5716D">
        <w:noBreakHyphen/>
        <w:t xml:space="preserve">90-238 are intended to help each utility develop a strategic approach to </w:t>
      </w:r>
      <w:r w:rsidR="00C47C59" w:rsidRPr="00E5716D">
        <w:t>address</w:t>
      </w:r>
      <w:r w:rsidRPr="00E5716D">
        <w:t xml:space="preserve"> marketplace opportunities and risks based on that utility’s unique attributes</w:t>
      </w:r>
      <w:r w:rsidR="00CC5D85">
        <w:t>.</w:t>
      </w:r>
      <w:r w:rsidR="00BE758C">
        <w:t xml:space="preserve"> </w:t>
      </w:r>
      <w:r w:rsidRPr="00E5716D">
        <w:t xml:space="preserve">Avista’s </w:t>
      </w:r>
      <w:r w:rsidR="000715D6" w:rsidRPr="00E5716D">
        <w:t>20</w:t>
      </w:r>
      <w:r w:rsidR="000647E9">
        <w:t>12</w:t>
      </w:r>
      <w:r w:rsidR="00B63A94" w:rsidRPr="00E5716D">
        <w:t xml:space="preserve"> Natural Gas</w:t>
      </w:r>
      <w:r w:rsidRPr="00E5716D">
        <w:t xml:space="preserve"> Integrated Resource Plan </w:t>
      </w:r>
      <w:r w:rsidR="00E97E36" w:rsidRPr="00E5716D">
        <w:t>(</w:t>
      </w:r>
      <w:r w:rsidR="00E97E36">
        <w:t xml:space="preserve">Gas </w:t>
      </w:r>
      <w:r w:rsidR="002547AA">
        <w:t xml:space="preserve">IRP or </w:t>
      </w:r>
      <w:r w:rsidR="008E179F" w:rsidRPr="00E5716D">
        <w:t>P</w:t>
      </w:r>
      <w:r w:rsidRPr="00E5716D">
        <w:t>lan) represents such a strategic approach</w:t>
      </w:r>
      <w:r w:rsidR="00CC5D85">
        <w:t xml:space="preserve">. </w:t>
      </w:r>
      <w:r w:rsidRPr="00E5716D">
        <w:t xml:space="preserve">  </w:t>
      </w:r>
    </w:p>
    <w:p w:rsidR="000F145A" w:rsidRDefault="000F145A" w:rsidP="00D02E54">
      <w:pPr>
        <w:pStyle w:val="NoSpacing"/>
        <w:spacing w:line="264" w:lineRule="auto"/>
      </w:pPr>
    </w:p>
    <w:p w:rsidR="00F36515" w:rsidRDefault="006045C5" w:rsidP="00A9020C">
      <w:pPr>
        <w:pStyle w:val="NoSpacing"/>
        <w:spacing w:line="264" w:lineRule="auto"/>
        <w:rPr>
          <w:b/>
          <w:u w:val="single"/>
        </w:rPr>
      </w:pPr>
      <w:r>
        <w:rPr>
          <w:b/>
          <w:u w:val="single"/>
        </w:rPr>
        <w:t>Overview</w:t>
      </w:r>
    </w:p>
    <w:p w:rsidR="006045C5" w:rsidRPr="006045C5" w:rsidRDefault="006045C5" w:rsidP="00A9020C">
      <w:pPr>
        <w:pStyle w:val="NoSpacing"/>
        <w:spacing w:line="264" w:lineRule="auto"/>
        <w:rPr>
          <w:b/>
          <w:u w:val="single"/>
        </w:rPr>
      </w:pPr>
    </w:p>
    <w:p w:rsidR="00D76C7A" w:rsidRDefault="009F74E0" w:rsidP="000707C6">
      <w:pPr>
        <w:pStyle w:val="NoSpacing"/>
        <w:spacing w:line="264" w:lineRule="auto"/>
      </w:pPr>
      <w:r>
        <w:t xml:space="preserve">Commission staff members participate in the development of IRPs through advisory group meetings and through review and comment on the company’s work plan and draft </w:t>
      </w:r>
      <w:r w:rsidR="00E97E36">
        <w:t xml:space="preserve">Gas </w:t>
      </w:r>
      <w:r>
        <w:t xml:space="preserve">IRP. In this document, the commission highlights issues raised during the development of the </w:t>
      </w:r>
      <w:r w:rsidR="008B41EC">
        <w:t xml:space="preserve">Gas </w:t>
      </w:r>
      <w:r>
        <w:t>IRP and whether the company response resolved the issues satisfactorily. As a result of its review, t</w:t>
      </w:r>
      <w:r w:rsidR="007A5D49">
        <w:t>he commission</w:t>
      </w:r>
      <w:r w:rsidR="00BF0821">
        <w:t xml:space="preserve"> </w:t>
      </w:r>
      <w:r w:rsidR="00936D8C">
        <w:t>recommends</w:t>
      </w:r>
      <w:r w:rsidR="00925AEF">
        <w:t xml:space="preserve"> that Avista </w:t>
      </w:r>
      <w:r w:rsidR="00E97E36">
        <w:t>incorporate the</w:t>
      </w:r>
      <w:r w:rsidR="00936D8C">
        <w:t xml:space="preserve"> following improvements </w:t>
      </w:r>
      <w:r w:rsidR="00925AEF">
        <w:t>in</w:t>
      </w:r>
      <w:r w:rsidR="00936D8C">
        <w:t xml:space="preserve"> </w:t>
      </w:r>
      <w:r w:rsidR="005E0163">
        <w:t xml:space="preserve">future </w:t>
      </w:r>
      <w:r w:rsidR="00936D8C">
        <w:t>IRP</w:t>
      </w:r>
      <w:r w:rsidR="005E0163">
        <w:t>s</w:t>
      </w:r>
      <w:r w:rsidR="006D661C">
        <w:t>.</w:t>
      </w:r>
      <w:r w:rsidR="00D41BB9">
        <w:t xml:space="preserve"> </w:t>
      </w:r>
    </w:p>
    <w:p w:rsidR="00936D8C" w:rsidRDefault="00936D8C" w:rsidP="000707C6">
      <w:pPr>
        <w:pStyle w:val="NoSpacing"/>
        <w:spacing w:line="264" w:lineRule="auto"/>
      </w:pPr>
    </w:p>
    <w:p w:rsidR="00936D8C" w:rsidRDefault="00936D8C" w:rsidP="00936D8C">
      <w:pPr>
        <w:pStyle w:val="NoSpacing"/>
        <w:numPr>
          <w:ilvl w:val="0"/>
          <w:numId w:val="7"/>
        </w:numPr>
        <w:spacing w:line="264" w:lineRule="auto"/>
      </w:pPr>
      <w:r>
        <w:t>Avista should describe more clearly how it derived its customer growth scenarios, including the low growth and high growth scenario. To this end, the company may include a narrative in the demand forecast chapter.</w:t>
      </w:r>
    </w:p>
    <w:p w:rsidR="00936D8C" w:rsidRDefault="005E0163" w:rsidP="00936D8C">
      <w:pPr>
        <w:pStyle w:val="NoSpacing"/>
        <w:numPr>
          <w:ilvl w:val="0"/>
          <w:numId w:val="7"/>
        </w:numPr>
        <w:spacing w:line="264" w:lineRule="auto"/>
      </w:pPr>
      <w:r>
        <w:t>Avista</w:t>
      </w:r>
      <w:r w:rsidR="00936D8C">
        <w:t xml:space="preserve"> should use the five-year use-per-customer data set</w:t>
      </w:r>
      <w:r w:rsidR="002C0BB9">
        <w:t xml:space="preserve"> in its demand forecasts</w:t>
      </w:r>
      <w:r w:rsidR="00936D8C">
        <w:t xml:space="preserve">.   </w:t>
      </w:r>
    </w:p>
    <w:p w:rsidR="00936D8C" w:rsidRPr="002B33D0" w:rsidRDefault="00936D8C" w:rsidP="00936D8C">
      <w:pPr>
        <w:pStyle w:val="NoSpacing"/>
        <w:numPr>
          <w:ilvl w:val="0"/>
          <w:numId w:val="7"/>
        </w:numPr>
        <w:spacing w:line="264" w:lineRule="auto"/>
      </w:pPr>
      <w:r w:rsidRPr="0063156E">
        <w:t>A</w:t>
      </w:r>
      <w:r w:rsidR="005E0163" w:rsidRPr="0063156E">
        <w:t>vista should provide a</w:t>
      </w:r>
      <w:r w:rsidRPr="0063156E">
        <w:t xml:space="preserve"> comparative avoided cost analysis</w:t>
      </w:r>
      <w:r w:rsidR="002C0BB9" w:rsidRPr="0063156E">
        <w:t xml:space="preserve"> in its analysis of </w:t>
      </w:r>
      <w:r w:rsidR="002C0BB9">
        <w:t>conservation</w:t>
      </w:r>
      <w:r>
        <w:t>.</w:t>
      </w:r>
    </w:p>
    <w:p w:rsidR="00936D8C" w:rsidRPr="000B25EE" w:rsidRDefault="00936D8C" w:rsidP="00936D8C">
      <w:pPr>
        <w:pStyle w:val="NoSpacing"/>
        <w:numPr>
          <w:ilvl w:val="0"/>
          <w:numId w:val="7"/>
        </w:numPr>
        <w:spacing w:line="264" w:lineRule="auto"/>
        <w:rPr>
          <w:color w:val="000000" w:themeColor="text1"/>
        </w:rPr>
      </w:pPr>
      <w:r>
        <w:rPr>
          <w:color w:val="000000" w:themeColor="text1"/>
        </w:rPr>
        <w:t xml:space="preserve">Avista needs to include an analysis and narrative describing the “trigger point” avoided cost value, where the conservation programs of the company become cost-effective. </w:t>
      </w:r>
    </w:p>
    <w:p w:rsidR="00936D8C" w:rsidRDefault="00925AEF" w:rsidP="00936D8C">
      <w:pPr>
        <w:pStyle w:val="NoSpacing"/>
        <w:numPr>
          <w:ilvl w:val="0"/>
          <w:numId w:val="7"/>
        </w:numPr>
        <w:spacing w:line="264" w:lineRule="auto"/>
      </w:pPr>
      <w:r>
        <w:t xml:space="preserve">Between IRPs, </w:t>
      </w:r>
      <w:r w:rsidR="005E0163">
        <w:t>Avista should routinely compare its</w:t>
      </w:r>
      <w:r w:rsidR="00936D8C">
        <w:t xml:space="preserve"> modeling assumptions with actual demand. </w:t>
      </w:r>
    </w:p>
    <w:p w:rsidR="00936D8C" w:rsidRPr="00E5716D" w:rsidRDefault="00936D8C" w:rsidP="00936D8C">
      <w:pPr>
        <w:pStyle w:val="NoSpacing"/>
        <w:numPr>
          <w:ilvl w:val="0"/>
          <w:numId w:val="7"/>
        </w:numPr>
        <w:spacing w:line="264" w:lineRule="auto"/>
      </w:pPr>
      <w:r>
        <w:t xml:space="preserve">Avista needs to include a Washington-specific </w:t>
      </w:r>
      <w:r w:rsidRPr="00A00393">
        <w:t>city-gate</w:t>
      </w:r>
      <w:r>
        <w:t xml:space="preserve"> analysis, including a narrative of </w:t>
      </w:r>
      <w:r w:rsidR="002D6A86">
        <w:t xml:space="preserve">its </w:t>
      </w:r>
      <w:r>
        <w:t>conclusions as a result of such an analysis.</w:t>
      </w:r>
    </w:p>
    <w:p w:rsidR="00936D8C" w:rsidRDefault="00936D8C" w:rsidP="000707C6">
      <w:pPr>
        <w:pStyle w:val="NoSpacing"/>
        <w:spacing w:line="264" w:lineRule="auto"/>
      </w:pPr>
    </w:p>
    <w:p w:rsidR="00D76C7A" w:rsidRDefault="00D76C7A" w:rsidP="006D78F8">
      <w:pPr>
        <w:pStyle w:val="NoSpacing"/>
      </w:pPr>
    </w:p>
    <w:p w:rsidR="008B41EC" w:rsidRDefault="008B41EC" w:rsidP="006D78F8">
      <w:pPr>
        <w:pStyle w:val="NoSpacing"/>
      </w:pPr>
    </w:p>
    <w:p w:rsidR="008B41EC" w:rsidRDefault="008B41EC" w:rsidP="006D78F8">
      <w:pPr>
        <w:pStyle w:val="NoSpacing"/>
      </w:pPr>
    </w:p>
    <w:p w:rsidR="00194ED4" w:rsidRDefault="00A14D46" w:rsidP="006D78F8">
      <w:pPr>
        <w:pStyle w:val="NoSpacing"/>
        <w:rPr>
          <w:b/>
          <w:u w:val="single"/>
        </w:rPr>
      </w:pPr>
      <w:r w:rsidRPr="00D02E54">
        <w:rPr>
          <w:b/>
          <w:u w:val="single"/>
        </w:rPr>
        <w:lastRenderedPageBreak/>
        <w:t xml:space="preserve">Demand </w:t>
      </w:r>
      <w:r w:rsidR="00194ED4" w:rsidRPr="00D02E54">
        <w:rPr>
          <w:b/>
          <w:u w:val="single"/>
        </w:rPr>
        <w:t xml:space="preserve">Forecast of Retail Gas Requirements </w:t>
      </w:r>
      <w:r w:rsidRPr="00D02E54">
        <w:rPr>
          <w:b/>
          <w:u w:val="single"/>
        </w:rPr>
        <w:t xml:space="preserve">(Chapter </w:t>
      </w:r>
      <w:r w:rsidR="00031CEC" w:rsidRPr="00D02E54">
        <w:rPr>
          <w:b/>
          <w:u w:val="single"/>
        </w:rPr>
        <w:t>3</w:t>
      </w:r>
      <w:r w:rsidRPr="00D02E54">
        <w:rPr>
          <w:b/>
          <w:u w:val="single"/>
        </w:rPr>
        <w:t>)</w:t>
      </w:r>
    </w:p>
    <w:p w:rsidR="00D76C7A" w:rsidRPr="00D02E54" w:rsidRDefault="00D76C7A" w:rsidP="006D78F8">
      <w:pPr>
        <w:pStyle w:val="NoSpacing"/>
        <w:rPr>
          <w:b/>
          <w:u w:val="single"/>
        </w:rPr>
      </w:pPr>
    </w:p>
    <w:p w:rsidR="008167A5" w:rsidRDefault="00BC6E13" w:rsidP="008167A5">
      <w:pPr>
        <w:pStyle w:val="NoSpacing"/>
        <w:spacing w:line="264" w:lineRule="auto"/>
      </w:pPr>
      <w:proofErr w:type="gramStart"/>
      <w:r w:rsidRPr="00A818D0">
        <w:rPr>
          <w:u w:val="single"/>
        </w:rPr>
        <w:t>Additional Forecasts and Price Elasticity</w:t>
      </w:r>
      <w:r w:rsidR="0063544E">
        <w:rPr>
          <w:u w:val="single"/>
        </w:rPr>
        <w:t>.</w:t>
      </w:r>
      <w:proofErr w:type="gramEnd"/>
      <w:r w:rsidR="0039749C" w:rsidRPr="0039749C">
        <w:t xml:space="preserve"> </w:t>
      </w:r>
      <w:r w:rsidR="008167A5" w:rsidRPr="00E5716D">
        <w:t>WAC</w:t>
      </w:r>
      <w:r w:rsidR="008167A5">
        <w:t xml:space="preserve"> 480-90-238(3)(a) requires the Plan to </w:t>
      </w:r>
      <w:r w:rsidR="008167A5" w:rsidRPr="00E5716D">
        <w:t>include “</w:t>
      </w:r>
      <w:r w:rsidR="00925AEF">
        <w:t>[</w:t>
      </w:r>
      <w:r w:rsidR="00765F70">
        <w:t>A</w:t>
      </w:r>
      <w:r w:rsidR="00925AEF">
        <w:t>]</w:t>
      </w:r>
      <w:r w:rsidR="008167A5" w:rsidRPr="00E5716D">
        <w:t xml:space="preserve"> range of forecasts of future </w:t>
      </w:r>
      <w:r w:rsidR="00925AEF">
        <w:t xml:space="preserve">natural </w:t>
      </w:r>
      <w:r w:rsidR="000648BA">
        <w:t>gas</w:t>
      </w:r>
      <w:r w:rsidR="008167A5" w:rsidRPr="00E5716D">
        <w:t xml:space="preserve"> demand in firm and interruptible markets for each customer class that examine the effect of economic forces on the consumption of </w:t>
      </w:r>
      <w:r w:rsidR="00B40DDA">
        <w:t xml:space="preserve">natural </w:t>
      </w:r>
      <w:r w:rsidR="000648BA">
        <w:t>gas</w:t>
      </w:r>
      <w:r w:rsidR="008167A5" w:rsidRPr="00E5716D">
        <w:t xml:space="preserve"> and that address changes in the number, type and efficiency of </w:t>
      </w:r>
      <w:r w:rsidR="00B40DDA">
        <w:t xml:space="preserve">natural </w:t>
      </w:r>
      <w:r w:rsidR="000648BA">
        <w:t>gas</w:t>
      </w:r>
      <w:r w:rsidR="008167A5" w:rsidRPr="00E5716D">
        <w:t xml:space="preserve"> end-uses.” </w:t>
      </w:r>
    </w:p>
    <w:p w:rsidR="00F24E0F" w:rsidRDefault="00F24E0F" w:rsidP="008167A5">
      <w:pPr>
        <w:pStyle w:val="NoSpacing"/>
        <w:spacing w:line="264" w:lineRule="auto"/>
      </w:pPr>
    </w:p>
    <w:p w:rsidR="006D78F8" w:rsidRDefault="00265361" w:rsidP="009E49C4">
      <w:pPr>
        <w:pStyle w:val="NoSpacing"/>
        <w:spacing w:line="264" w:lineRule="auto"/>
      </w:pPr>
      <w:r>
        <w:t xml:space="preserve">The </w:t>
      </w:r>
      <w:r w:rsidR="00AF5537">
        <w:t>company</w:t>
      </w:r>
      <w:r>
        <w:t xml:space="preserve"> worked towards meeting the </w:t>
      </w:r>
      <w:r w:rsidR="005815C5">
        <w:t>first co</w:t>
      </w:r>
      <w:r w:rsidR="00BE758C">
        <w:t>mponent of the rule which calls for a range of forecasts</w:t>
      </w:r>
      <w:r w:rsidR="00B15452">
        <w:t xml:space="preserve"> </w:t>
      </w:r>
      <w:r w:rsidR="00D44EF4">
        <w:t>using</w:t>
      </w:r>
      <w:r w:rsidR="00B15452">
        <w:t xml:space="preserve"> five scenarios: the average case, the expected case, the high growth</w:t>
      </w:r>
      <w:r w:rsidR="00E57E2A">
        <w:t>/</w:t>
      </w:r>
      <w:r w:rsidR="00B15452">
        <w:t>low price case, the low growth</w:t>
      </w:r>
      <w:r w:rsidR="00E57E2A">
        <w:t>/</w:t>
      </w:r>
      <w:r w:rsidR="00B15452">
        <w:t>high price case, and the altern</w:t>
      </w:r>
      <w:r w:rsidR="003F185F">
        <w:t>a</w:t>
      </w:r>
      <w:r w:rsidR="00B15452">
        <w:t>te weather standard case</w:t>
      </w:r>
      <w:r w:rsidR="00CC5D85">
        <w:t>.</w:t>
      </w:r>
      <w:r w:rsidR="00803841">
        <w:rPr>
          <w:rStyle w:val="FootnoteReference"/>
        </w:rPr>
        <w:footnoteReference w:id="1"/>
      </w:r>
    </w:p>
    <w:p w:rsidR="00585F99" w:rsidRDefault="00585F99" w:rsidP="009E49C4">
      <w:pPr>
        <w:pStyle w:val="NoSpacing"/>
        <w:spacing w:line="264" w:lineRule="auto"/>
      </w:pPr>
    </w:p>
    <w:p w:rsidR="005A35FB" w:rsidRDefault="005A35FB" w:rsidP="009E49C4">
      <w:pPr>
        <w:pStyle w:val="NoSpacing"/>
        <w:spacing w:line="264" w:lineRule="auto"/>
      </w:pPr>
      <w:r>
        <w:t xml:space="preserve">Avista </w:t>
      </w:r>
      <w:r w:rsidR="00957555">
        <w:t>incorporates a price elasticity</w:t>
      </w:r>
      <w:r w:rsidR="008B41EC">
        <w:t xml:space="preserve"> </w:t>
      </w:r>
      <w:r w:rsidR="00957555">
        <w:t>of negative 0.13</w:t>
      </w:r>
      <w:r w:rsidR="00337CAA">
        <w:t xml:space="preserve"> </w:t>
      </w:r>
      <w:r w:rsidR="009A608F">
        <w:t>into its current forecast</w:t>
      </w:r>
      <w:r w:rsidR="00957555">
        <w:t>.</w:t>
      </w:r>
      <w:r w:rsidR="008B41EC" w:rsidRPr="008B41EC">
        <w:rPr>
          <w:vertAlign w:val="superscript"/>
        </w:rPr>
        <w:footnoteReference w:id="2"/>
      </w:r>
      <w:r w:rsidR="00957555">
        <w:t xml:space="preserve"> </w:t>
      </w:r>
      <w:r w:rsidR="006C1C4B">
        <w:t>This is an improvement</w:t>
      </w:r>
      <w:r w:rsidR="00957555">
        <w:t xml:space="preserve"> over the work which the </w:t>
      </w:r>
      <w:r w:rsidR="00AF5537">
        <w:t>company</w:t>
      </w:r>
      <w:r w:rsidR="00957555">
        <w:t xml:space="preserve"> conducted for its last Plan, where </w:t>
      </w:r>
      <w:r w:rsidR="00805955">
        <w:t>it</w:t>
      </w:r>
      <w:r w:rsidR="00957555">
        <w:t xml:space="preserve"> looked at a high and low elasticity assumption, omitting a calculat</w:t>
      </w:r>
      <w:r w:rsidR="0063544E">
        <w:t>ion of the</w:t>
      </w:r>
      <w:r w:rsidR="00957555">
        <w:t xml:space="preserve"> expected elasticity</w:t>
      </w:r>
      <w:r w:rsidR="006C1C4B">
        <w:t>.</w:t>
      </w:r>
      <w:r w:rsidR="00CC5D85">
        <w:t xml:space="preserve"> </w:t>
      </w:r>
      <w:r w:rsidR="007A5D49">
        <w:t xml:space="preserve">The </w:t>
      </w:r>
      <w:r w:rsidR="00265361">
        <w:t xml:space="preserve">research </w:t>
      </w:r>
      <w:r w:rsidR="005E5350">
        <w:t>that</w:t>
      </w:r>
      <w:r w:rsidR="00265361">
        <w:t xml:space="preserve"> Avista conducted into price elasticity effects </w:t>
      </w:r>
      <w:r w:rsidR="006D661C">
        <w:t xml:space="preserve">meets </w:t>
      </w:r>
      <w:r w:rsidR="005E5350">
        <w:t xml:space="preserve">our </w:t>
      </w:r>
      <w:r w:rsidR="006D661C">
        <w:t>expectations</w:t>
      </w:r>
      <w:r w:rsidR="00265361">
        <w:t xml:space="preserve">. </w:t>
      </w:r>
    </w:p>
    <w:p w:rsidR="00A73FB8" w:rsidRDefault="00A73FB8" w:rsidP="009E49C4">
      <w:pPr>
        <w:pStyle w:val="NoSpacing"/>
        <w:spacing w:line="264" w:lineRule="auto"/>
      </w:pPr>
    </w:p>
    <w:p w:rsidR="00A73FB8" w:rsidRDefault="00A73FB8" w:rsidP="0063156E">
      <w:pPr>
        <w:pStyle w:val="NoSpacing"/>
        <w:numPr>
          <w:ilvl w:val="0"/>
          <w:numId w:val="7"/>
        </w:numPr>
        <w:spacing w:line="264" w:lineRule="auto"/>
      </w:pPr>
      <w:r>
        <w:t xml:space="preserve">Avista should </w:t>
      </w:r>
      <w:r w:rsidR="0073434C">
        <w:t>describe more clearly</w:t>
      </w:r>
      <w:r w:rsidR="00957555">
        <w:t xml:space="preserve"> in its next IRP</w:t>
      </w:r>
      <w:r w:rsidR="0073434C">
        <w:t xml:space="preserve"> how it derived its </w:t>
      </w:r>
      <w:r>
        <w:t>customer growth scenarios, including the low growth and high growth scenario</w:t>
      </w:r>
      <w:r w:rsidR="00473174">
        <w:t>.</w:t>
      </w:r>
      <w:r>
        <w:t xml:space="preserve"> </w:t>
      </w:r>
      <w:r w:rsidR="00473174">
        <w:t>To this end, t</w:t>
      </w:r>
      <w:r>
        <w:t xml:space="preserve">he </w:t>
      </w:r>
      <w:r w:rsidR="00AF5537">
        <w:t>company</w:t>
      </w:r>
      <w:r>
        <w:t xml:space="preserve"> may include a narrative in the demand forecast chapter</w:t>
      </w:r>
      <w:r w:rsidR="00473174">
        <w:t>.</w:t>
      </w:r>
    </w:p>
    <w:p w:rsidR="0040527D" w:rsidRDefault="0040527D" w:rsidP="009E49C4">
      <w:pPr>
        <w:pStyle w:val="NoSpacing"/>
        <w:spacing w:line="264" w:lineRule="auto"/>
      </w:pPr>
    </w:p>
    <w:p w:rsidR="001C729D" w:rsidRDefault="00BC6E13" w:rsidP="009E49C4">
      <w:pPr>
        <w:pStyle w:val="NoSpacing"/>
        <w:spacing w:line="264" w:lineRule="auto"/>
      </w:pPr>
      <w:proofErr w:type="gramStart"/>
      <w:r w:rsidRPr="00A818D0">
        <w:rPr>
          <w:u w:val="single"/>
        </w:rPr>
        <w:t>Overly Optimistic Future Demand Assumptions</w:t>
      </w:r>
      <w:r w:rsidR="005E5350">
        <w:rPr>
          <w:u w:val="single"/>
        </w:rPr>
        <w:t>.</w:t>
      </w:r>
      <w:proofErr w:type="gramEnd"/>
      <w:r>
        <w:t xml:space="preserve"> </w:t>
      </w:r>
      <w:r w:rsidR="005779A3">
        <w:t xml:space="preserve">The </w:t>
      </w:r>
      <w:r w:rsidR="00AF5537">
        <w:t>commission</w:t>
      </w:r>
      <w:r w:rsidR="005779A3">
        <w:t>’s last acknowledgement letter stated that Avista may have been too optimistic in its economic recovery assumptions</w:t>
      </w:r>
      <w:r w:rsidR="00F3622D">
        <w:t xml:space="preserve"> and its effect on demand</w:t>
      </w:r>
      <w:r w:rsidR="00874235">
        <w:t xml:space="preserve"> in its previous IRP</w:t>
      </w:r>
      <w:r w:rsidR="00F3622D">
        <w:t>. Avista</w:t>
      </w:r>
      <w:r w:rsidR="00874235">
        <w:t>’s</w:t>
      </w:r>
      <w:r w:rsidR="00F3622D">
        <w:t xml:space="preserve"> 2012 </w:t>
      </w:r>
      <w:r w:rsidR="008B41EC">
        <w:t xml:space="preserve">Gas </w:t>
      </w:r>
      <w:r w:rsidR="00F3622D">
        <w:t xml:space="preserve">IRP </w:t>
      </w:r>
      <w:r w:rsidR="00874235">
        <w:t xml:space="preserve">shows very low </w:t>
      </w:r>
      <w:r w:rsidR="00F3622D">
        <w:t xml:space="preserve">growth across </w:t>
      </w:r>
      <w:r w:rsidR="00B27E03">
        <w:t>its</w:t>
      </w:r>
      <w:r w:rsidR="00F3622D">
        <w:t xml:space="preserve"> service territory and continued declining use-per-customer.</w:t>
      </w:r>
      <w:r w:rsidR="00F376E1">
        <w:rPr>
          <w:rStyle w:val="FootnoteReference"/>
        </w:rPr>
        <w:footnoteReference w:id="3"/>
      </w:r>
      <w:r w:rsidR="00C04111">
        <w:t xml:space="preserve"> The</w:t>
      </w:r>
      <w:r w:rsidR="00B27E03">
        <w:t xml:space="preserve"> company</w:t>
      </w:r>
      <w:r w:rsidR="00C04111">
        <w:t xml:space="preserve"> also indicate</w:t>
      </w:r>
      <w:r w:rsidR="00B27E03">
        <w:t>s</w:t>
      </w:r>
      <w:r w:rsidR="00F36FB7">
        <w:t xml:space="preserve"> that such low to moderate growth in the region is projected for years into the future</w:t>
      </w:r>
      <w:r w:rsidR="00CC5D85">
        <w:t xml:space="preserve">. </w:t>
      </w:r>
      <w:r w:rsidR="007A5D49">
        <w:t>The commission</w:t>
      </w:r>
      <w:r w:rsidR="00A818D0">
        <w:t xml:space="preserve"> </w:t>
      </w:r>
      <w:r w:rsidR="00925AEF">
        <w:t xml:space="preserve">agrees </w:t>
      </w:r>
      <w:r w:rsidR="00A818D0">
        <w:t>with this lower demand forecast.</w:t>
      </w:r>
    </w:p>
    <w:p w:rsidR="001577D6" w:rsidRDefault="001577D6" w:rsidP="009E49C4">
      <w:pPr>
        <w:pStyle w:val="NoSpacing"/>
        <w:spacing w:line="264" w:lineRule="auto"/>
      </w:pPr>
    </w:p>
    <w:p w:rsidR="00665E50" w:rsidRDefault="002B266B" w:rsidP="009E49C4">
      <w:pPr>
        <w:pStyle w:val="NoSpacing"/>
        <w:spacing w:line="264" w:lineRule="auto"/>
      </w:pPr>
      <w:proofErr w:type="gramStart"/>
      <w:r>
        <w:rPr>
          <w:u w:val="single"/>
        </w:rPr>
        <w:t>Use-</w:t>
      </w:r>
      <w:r w:rsidR="005A72ED" w:rsidRPr="005561C9">
        <w:rPr>
          <w:u w:val="single"/>
        </w:rPr>
        <w:t>Per</w:t>
      </w:r>
      <w:r>
        <w:rPr>
          <w:u w:val="single"/>
        </w:rPr>
        <w:t>-</w:t>
      </w:r>
      <w:r w:rsidR="005A72ED" w:rsidRPr="005561C9">
        <w:rPr>
          <w:u w:val="single"/>
        </w:rPr>
        <w:t>Customer</w:t>
      </w:r>
      <w:r w:rsidR="005A72ED" w:rsidRPr="005A72ED">
        <w:rPr>
          <w:u w:val="single"/>
        </w:rPr>
        <w:t xml:space="preserve"> </w:t>
      </w:r>
      <w:r w:rsidR="005A72ED" w:rsidRPr="005561C9">
        <w:rPr>
          <w:u w:val="single"/>
        </w:rPr>
        <w:t>Timeframe</w:t>
      </w:r>
      <w:r w:rsidR="009F7DCA" w:rsidRPr="00D67537">
        <w:rPr>
          <w:u w:val="single"/>
        </w:rPr>
        <w:t>.</w:t>
      </w:r>
      <w:proofErr w:type="gramEnd"/>
      <w:r w:rsidR="005A72ED">
        <w:t xml:space="preserve"> </w:t>
      </w:r>
      <w:r w:rsidR="000032D8">
        <w:t>C</w:t>
      </w:r>
      <w:r w:rsidR="007A5D49">
        <w:t>ommission</w:t>
      </w:r>
      <w:r w:rsidR="00785233">
        <w:t xml:space="preserve"> </w:t>
      </w:r>
      <w:r w:rsidR="000032D8">
        <w:t xml:space="preserve">staff </w:t>
      </w:r>
      <w:r>
        <w:t>raised</w:t>
      </w:r>
      <w:r w:rsidR="00785233">
        <w:t xml:space="preserve"> concerns </w:t>
      </w:r>
      <w:r w:rsidR="00D76C7A">
        <w:t xml:space="preserve">during the </w:t>
      </w:r>
      <w:r w:rsidR="00A66B06">
        <w:t xml:space="preserve">development of </w:t>
      </w:r>
      <w:r w:rsidR="00D76C7A">
        <w:t xml:space="preserve">2012 Avista </w:t>
      </w:r>
      <w:r w:rsidR="002D79C4">
        <w:t>G</w:t>
      </w:r>
      <w:r w:rsidR="000648BA">
        <w:t>as</w:t>
      </w:r>
      <w:r>
        <w:t xml:space="preserve"> </w:t>
      </w:r>
      <w:r w:rsidR="00A66B06">
        <w:t>IRP</w:t>
      </w:r>
      <w:r w:rsidR="00F376E1">
        <w:t xml:space="preserve"> </w:t>
      </w:r>
      <w:r w:rsidR="00785233">
        <w:t>that</w:t>
      </w:r>
      <w:r w:rsidR="00092874">
        <w:t xml:space="preserve"> the </w:t>
      </w:r>
      <w:r w:rsidR="00785233">
        <w:t xml:space="preserve">three years of data </w:t>
      </w:r>
      <w:r w:rsidR="00092874">
        <w:t xml:space="preserve">the </w:t>
      </w:r>
      <w:r w:rsidR="00AF5537">
        <w:t>company</w:t>
      </w:r>
      <w:r w:rsidR="00092874">
        <w:t xml:space="preserve"> used </w:t>
      </w:r>
      <w:r w:rsidR="00785233">
        <w:t xml:space="preserve">is not sufficient to establish its </w:t>
      </w:r>
      <w:r>
        <w:t>use-per-customer</w:t>
      </w:r>
      <w:r w:rsidR="00785233">
        <w:t xml:space="preserve"> </w:t>
      </w:r>
      <w:r w:rsidR="000A6720">
        <w:t>values</w:t>
      </w:r>
      <w:r w:rsidR="00785233">
        <w:t>,</w:t>
      </w:r>
      <w:r w:rsidR="006D78F8">
        <w:t xml:space="preserve"> </w:t>
      </w:r>
      <w:r w:rsidR="00785233">
        <w:t>and using at least five years of data</w:t>
      </w:r>
      <w:r w:rsidR="005F304F">
        <w:t xml:space="preserve"> would be more appropriate</w:t>
      </w:r>
      <w:r w:rsidR="00CC5D85">
        <w:t>.</w:t>
      </w:r>
    </w:p>
    <w:p w:rsidR="00665E50" w:rsidRDefault="00665E50" w:rsidP="009E49C4">
      <w:pPr>
        <w:pStyle w:val="NoSpacing"/>
        <w:spacing w:line="264" w:lineRule="auto"/>
      </w:pPr>
    </w:p>
    <w:p w:rsidR="000C74A9" w:rsidRDefault="00785233" w:rsidP="009E49C4">
      <w:pPr>
        <w:pStyle w:val="NoSpacing"/>
        <w:spacing w:line="264" w:lineRule="auto"/>
      </w:pPr>
      <w:r>
        <w:t xml:space="preserve">The </w:t>
      </w:r>
      <w:r w:rsidR="00AF5537">
        <w:t>company</w:t>
      </w:r>
      <w:r>
        <w:t xml:space="preserve"> stated in its IRP that</w:t>
      </w:r>
      <w:r w:rsidR="006D78F8">
        <w:t xml:space="preserve"> </w:t>
      </w:r>
      <w:r w:rsidR="000F7F8F">
        <w:t>“</w:t>
      </w:r>
      <w:r>
        <w:t xml:space="preserve">five years incorporate some years of higher </w:t>
      </w:r>
      <w:r w:rsidR="002B266B">
        <w:t>use-per-customer</w:t>
      </w:r>
      <w:r>
        <w:t xml:space="preserve">, which may overstate use due to changes in building codes and investments made in </w:t>
      </w:r>
      <w:r>
        <w:lastRenderedPageBreak/>
        <w:t>conservation initiatives</w:t>
      </w:r>
      <w:r w:rsidR="00CC5D85">
        <w:t>.</w:t>
      </w:r>
      <w:r w:rsidR="00337CAA">
        <w:t>”</w:t>
      </w:r>
      <w:r w:rsidR="009A13F6">
        <w:rPr>
          <w:rStyle w:val="FootnoteReference"/>
        </w:rPr>
        <w:footnoteReference w:id="4"/>
      </w:r>
      <w:r w:rsidR="00337CAA">
        <w:t xml:space="preserve"> </w:t>
      </w:r>
      <w:r w:rsidR="002B266B">
        <w:t>Figure</w:t>
      </w:r>
      <w:r w:rsidR="00222875">
        <w:t xml:space="preserve"> </w:t>
      </w:r>
      <w:r w:rsidR="00E534F7">
        <w:t>3.3</w:t>
      </w:r>
      <w:r w:rsidR="002D79C4">
        <w:t xml:space="preserve"> </w:t>
      </w:r>
      <w:r w:rsidR="00665E50">
        <w:t xml:space="preserve">of the Plan </w:t>
      </w:r>
      <w:r w:rsidR="00805546">
        <w:t xml:space="preserve">shows </w:t>
      </w:r>
      <w:r w:rsidR="002B266B">
        <w:t>use-per-customer</w:t>
      </w:r>
      <w:r w:rsidR="00805546">
        <w:t xml:space="preserve"> </w:t>
      </w:r>
      <w:r w:rsidR="00665E50">
        <w:t xml:space="preserve">derived from three-year data </w:t>
      </w:r>
      <w:r w:rsidR="00805546">
        <w:t>v</w:t>
      </w:r>
      <w:r w:rsidR="00901CA3">
        <w:t>ersus</w:t>
      </w:r>
      <w:r w:rsidR="001862F4">
        <w:t xml:space="preserve"> the </w:t>
      </w:r>
      <w:r w:rsidR="002B266B">
        <w:t>use-per-customer</w:t>
      </w:r>
      <w:r w:rsidR="00805546">
        <w:t xml:space="preserve"> </w:t>
      </w:r>
      <w:r w:rsidR="00665E50">
        <w:t xml:space="preserve">derived from five-year data </w:t>
      </w:r>
      <w:r w:rsidR="00805546">
        <w:t xml:space="preserve">on a total system basis, </w:t>
      </w:r>
      <w:r w:rsidR="002B266B">
        <w:t>and the difference is minimal</w:t>
      </w:r>
      <w:r w:rsidR="00CC5D85">
        <w:t>.</w:t>
      </w:r>
      <w:r w:rsidR="002D79C4" w:rsidRPr="002D79C4">
        <w:rPr>
          <w:vertAlign w:val="superscript"/>
        </w:rPr>
        <w:footnoteReference w:id="5"/>
      </w:r>
      <w:r w:rsidR="002D79C4" w:rsidRPr="002D79C4">
        <w:t xml:space="preserve"> </w:t>
      </w:r>
      <w:r w:rsidR="00722653">
        <w:t xml:space="preserve">However, </w:t>
      </w:r>
      <w:r w:rsidR="00806E08">
        <w:t>energy efficiency measure implementation and building code change</w:t>
      </w:r>
      <w:r w:rsidR="00B10A18">
        <w:t xml:space="preserve"> </w:t>
      </w:r>
      <w:r w:rsidR="00D50BDF">
        <w:t>are unlikely to</w:t>
      </w:r>
      <w:r w:rsidR="00B10A18">
        <w:t xml:space="preserve"> advance rapidly enough </w:t>
      </w:r>
      <w:r w:rsidR="006322F8">
        <w:t xml:space="preserve">in the marketplace </w:t>
      </w:r>
      <w:r w:rsidR="00B10A18">
        <w:t>to warrant shortening a data</w:t>
      </w:r>
      <w:r w:rsidR="002D79C4">
        <w:t xml:space="preserve"> </w:t>
      </w:r>
      <w:r w:rsidR="00B10A18">
        <w:t xml:space="preserve">set by </w:t>
      </w:r>
      <w:r w:rsidR="00D50BDF">
        <w:t>forty percent</w:t>
      </w:r>
      <w:r w:rsidR="006322F8">
        <w:t xml:space="preserve"> for </w:t>
      </w:r>
      <w:r w:rsidR="002B266B">
        <w:t>use-per-customer</w:t>
      </w:r>
      <w:r w:rsidR="006322F8">
        <w:t xml:space="preserve"> estimation</w:t>
      </w:r>
      <w:r w:rsidR="00B10A18">
        <w:t>.</w:t>
      </w:r>
      <w:r w:rsidR="00806E08">
        <w:t xml:space="preserve"> </w:t>
      </w:r>
      <w:r w:rsidR="009764EB">
        <w:t xml:space="preserve">More data points usually ensure better depictions of </w:t>
      </w:r>
      <w:r w:rsidR="00D50BDF">
        <w:t xml:space="preserve">data </w:t>
      </w:r>
      <w:r w:rsidR="009764EB">
        <w:t>relationships.</w:t>
      </w:r>
      <w:r w:rsidR="00625D95">
        <w:t xml:space="preserve"> </w:t>
      </w:r>
      <w:r w:rsidR="00806E08">
        <w:t xml:space="preserve"> </w:t>
      </w:r>
    </w:p>
    <w:p w:rsidR="009D1084" w:rsidRDefault="009D1084" w:rsidP="009E49C4">
      <w:pPr>
        <w:pStyle w:val="NoSpacing"/>
        <w:spacing w:line="264" w:lineRule="auto"/>
      </w:pPr>
    </w:p>
    <w:p w:rsidR="009D1084" w:rsidRDefault="009D1084" w:rsidP="009E49C4">
      <w:pPr>
        <w:pStyle w:val="NoSpacing"/>
        <w:spacing w:line="264" w:lineRule="auto"/>
      </w:pPr>
      <w:r>
        <w:t xml:space="preserve">Avista responded to </w:t>
      </w:r>
      <w:r w:rsidR="007A5D49">
        <w:t>commission</w:t>
      </w:r>
      <w:r>
        <w:t xml:space="preserve"> </w:t>
      </w:r>
      <w:r w:rsidR="00D67AEC">
        <w:t xml:space="preserve">staff </w:t>
      </w:r>
      <w:r>
        <w:t>concerns by stating that</w:t>
      </w:r>
      <w:r w:rsidR="00B06A29">
        <w:t xml:space="preserve"> for</w:t>
      </w:r>
      <w:r>
        <w:t xml:space="preserve"> Washi</w:t>
      </w:r>
      <w:r w:rsidR="0020124A">
        <w:t>n</w:t>
      </w:r>
      <w:r>
        <w:t xml:space="preserve">gton </w:t>
      </w:r>
      <w:r w:rsidR="004C2A79">
        <w:t>S</w:t>
      </w:r>
      <w:r>
        <w:t>tate</w:t>
      </w:r>
      <w:r w:rsidR="00B06A29">
        <w:t xml:space="preserve">, </w:t>
      </w:r>
      <w:r w:rsidR="00F30B7D">
        <w:t>the</w:t>
      </w:r>
      <w:r>
        <w:t xml:space="preserve"> str</w:t>
      </w:r>
      <w:r w:rsidR="004C2A79">
        <w:t xml:space="preserve">ength of the </w:t>
      </w:r>
      <w:r w:rsidR="0020124A">
        <w:t>correlation between the data points</w:t>
      </w:r>
      <w:r w:rsidR="004C2A79">
        <w:t xml:space="preserve"> was not decreased </w:t>
      </w:r>
      <w:r w:rsidR="00F30B7D">
        <w:t>significantly</w:t>
      </w:r>
      <w:r w:rsidR="0020124A">
        <w:t xml:space="preserve"> when the </w:t>
      </w:r>
      <w:r w:rsidR="00AF5537">
        <w:t>company</w:t>
      </w:r>
      <w:r w:rsidR="0020124A">
        <w:t xml:space="preserve"> moved from five years of data to three years of data</w:t>
      </w:r>
      <w:r w:rsidR="00B23F76">
        <w:t>.</w:t>
      </w:r>
      <w:r w:rsidR="00CC5D85">
        <w:t xml:space="preserve"> </w:t>
      </w:r>
      <w:r w:rsidR="00B06A29">
        <w:t xml:space="preserve">The driver of the change to three years of data for Washington was </w:t>
      </w:r>
      <w:r w:rsidR="00B23F76">
        <w:t xml:space="preserve">the </w:t>
      </w:r>
      <w:r w:rsidR="00B06A29">
        <w:t>significant difference for the Oregon service territory</w:t>
      </w:r>
      <w:r w:rsidR="0020124A">
        <w:t xml:space="preserve"> </w:t>
      </w:r>
      <w:r w:rsidR="00B06A29">
        <w:t>between using three years of data versus five years</w:t>
      </w:r>
      <w:r w:rsidR="00CC5D85">
        <w:t xml:space="preserve">. </w:t>
      </w:r>
      <w:r w:rsidR="00B06A29">
        <w:t xml:space="preserve">In the </w:t>
      </w:r>
      <w:r w:rsidR="00AF5537">
        <w:t>company</w:t>
      </w:r>
      <w:r w:rsidR="00B06A29">
        <w:t xml:space="preserve">’s desire to maintain consistency, Avista </w:t>
      </w:r>
      <w:r w:rsidR="00851F0D">
        <w:t xml:space="preserve">used three years of data for </w:t>
      </w:r>
      <w:r w:rsidR="00B06A29">
        <w:t>both Washington and Oregon.</w:t>
      </w:r>
    </w:p>
    <w:p w:rsidR="00866710" w:rsidRDefault="00866710" w:rsidP="009E49C4">
      <w:pPr>
        <w:pStyle w:val="NoSpacing"/>
        <w:spacing w:line="264" w:lineRule="auto"/>
      </w:pPr>
    </w:p>
    <w:p w:rsidR="00874235" w:rsidRDefault="00866710" w:rsidP="009E49C4">
      <w:pPr>
        <w:pStyle w:val="NoSpacing"/>
        <w:spacing w:line="264" w:lineRule="auto"/>
      </w:pPr>
      <w:r>
        <w:t xml:space="preserve">Avista’s response is not satisfactory to </w:t>
      </w:r>
      <w:r w:rsidR="002D6A86">
        <w:t xml:space="preserve">the </w:t>
      </w:r>
      <w:r w:rsidR="007A5D49">
        <w:t>commission</w:t>
      </w:r>
      <w:r>
        <w:t xml:space="preserve">, despite the high correlation for </w:t>
      </w:r>
      <w:r w:rsidR="00D50BDF">
        <w:t xml:space="preserve">the </w:t>
      </w:r>
      <w:r>
        <w:t>Washington service territory for the three</w:t>
      </w:r>
      <w:r w:rsidR="00D50BDF">
        <w:t>-</w:t>
      </w:r>
      <w:r>
        <w:t>year data set</w:t>
      </w:r>
      <w:r w:rsidR="00CC5D85">
        <w:t xml:space="preserve">. </w:t>
      </w:r>
      <w:r w:rsidR="005A49D1">
        <w:t xml:space="preserve">Given the nature of </w:t>
      </w:r>
      <w:r w:rsidR="009C57E2">
        <w:t>the</w:t>
      </w:r>
      <w:r w:rsidR="005A49D1">
        <w:t xml:space="preserve"> IRP as a long-range planning tool, </w:t>
      </w:r>
      <w:r w:rsidR="009C57E2">
        <w:t xml:space="preserve">five years of data </w:t>
      </w:r>
      <w:r w:rsidR="00A114BB">
        <w:t>do</w:t>
      </w:r>
      <w:r w:rsidR="00BF61D1">
        <w:t>es</w:t>
      </w:r>
      <w:r w:rsidR="00A114BB">
        <w:t xml:space="preserve"> a better job of</w:t>
      </w:r>
      <w:r w:rsidR="009C57E2">
        <w:t xml:space="preserve"> smooth</w:t>
      </w:r>
      <w:r w:rsidR="00A114BB">
        <w:t>ing</w:t>
      </w:r>
      <w:r w:rsidR="009C57E2">
        <w:t xml:space="preserve"> out any abnormalities that may lie in the shorter data set.</w:t>
      </w:r>
      <w:r w:rsidR="004C2A79">
        <w:t xml:space="preserve"> </w:t>
      </w:r>
    </w:p>
    <w:p w:rsidR="00874235" w:rsidRDefault="00874235" w:rsidP="009E49C4">
      <w:pPr>
        <w:pStyle w:val="NoSpacing"/>
        <w:spacing w:line="264" w:lineRule="auto"/>
      </w:pPr>
    </w:p>
    <w:p w:rsidR="00F0220A" w:rsidRDefault="00A114BB" w:rsidP="0063156E">
      <w:pPr>
        <w:pStyle w:val="NoSpacing"/>
        <w:numPr>
          <w:ilvl w:val="0"/>
          <w:numId w:val="7"/>
        </w:numPr>
        <w:spacing w:line="264" w:lineRule="auto"/>
      </w:pPr>
      <w:r>
        <w:t xml:space="preserve">The </w:t>
      </w:r>
      <w:r w:rsidR="00AF5537">
        <w:t>company</w:t>
      </w:r>
      <w:r>
        <w:t xml:space="preserve"> should </w:t>
      </w:r>
      <w:r w:rsidR="00722653">
        <w:t xml:space="preserve">use </w:t>
      </w:r>
      <w:r>
        <w:t xml:space="preserve">the </w:t>
      </w:r>
      <w:r w:rsidR="00936D8C">
        <w:t xml:space="preserve">five-year use-per-customer </w:t>
      </w:r>
      <w:r>
        <w:t>data set in future IRPs</w:t>
      </w:r>
      <w:r w:rsidR="00CC5D85">
        <w:t xml:space="preserve">. </w:t>
      </w:r>
      <w:r w:rsidR="005A49D1">
        <w:t xml:space="preserve">  </w:t>
      </w:r>
    </w:p>
    <w:p w:rsidR="00110738" w:rsidRDefault="00110738" w:rsidP="006D78F8">
      <w:pPr>
        <w:pStyle w:val="NoSpacing"/>
      </w:pPr>
    </w:p>
    <w:p w:rsidR="00194ED4" w:rsidRPr="00D02E54" w:rsidRDefault="004F206F" w:rsidP="006D78F8">
      <w:pPr>
        <w:pStyle w:val="NoSpacing"/>
        <w:rPr>
          <w:b/>
          <w:u w:val="single"/>
        </w:rPr>
      </w:pPr>
      <w:r w:rsidRPr="00D02E54">
        <w:rPr>
          <w:b/>
          <w:u w:val="single"/>
        </w:rPr>
        <w:t xml:space="preserve">Conservation and </w:t>
      </w:r>
      <w:r w:rsidR="00194ED4" w:rsidRPr="00D02E54">
        <w:rPr>
          <w:b/>
          <w:u w:val="single"/>
        </w:rPr>
        <w:t>Demand Side Management</w:t>
      </w:r>
      <w:r w:rsidR="00A14D46" w:rsidRPr="00D02E54">
        <w:rPr>
          <w:b/>
          <w:u w:val="single"/>
        </w:rPr>
        <w:t xml:space="preserve"> (Chapter </w:t>
      </w:r>
      <w:r w:rsidR="00031CEC" w:rsidRPr="00D02E54">
        <w:rPr>
          <w:b/>
          <w:u w:val="single"/>
        </w:rPr>
        <w:t>4</w:t>
      </w:r>
      <w:r w:rsidR="00A14D46" w:rsidRPr="00D02E54">
        <w:rPr>
          <w:b/>
          <w:u w:val="single"/>
        </w:rPr>
        <w:t>)</w:t>
      </w:r>
    </w:p>
    <w:p w:rsidR="00D02E54" w:rsidRPr="00E5716D" w:rsidRDefault="00D02E54" w:rsidP="00D02E54">
      <w:pPr>
        <w:pStyle w:val="NoSpacing"/>
        <w:spacing w:line="264" w:lineRule="auto"/>
      </w:pPr>
    </w:p>
    <w:p w:rsidR="00BB4D90" w:rsidRDefault="00BC3A90" w:rsidP="00D02E54">
      <w:pPr>
        <w:pStyle w:val="NoSpacing"/>
        <w:spacing w:line="264" w:lineRule="auto"/>
      </w:pPr>
      <w:r w:rsidRPr="005561C9">
        <w:rPr>
          <w:u w:val="single"/>
        </w:rPr>
        <w:t>Conservation Potential Assessment and Avoided Costs</w:t>
      </w:r>
      <w:r w:rsidR="009F7DCA">
        <w:rPr>
          <w:u w:val="single"/>
        </w:rPr>
        <w:t>.</w:t>
      </w:r>
      <w:r>
        <w:t xml:space="preserve"> </w:t>
      </w:r>
      <w:r w:rsidR="00330AF6">
        <w:t xml:space="preserve">In the </w:t>
      </w:r>
      <w:r w:rsidR="00AF5537">
        <w:t>commission</w:t>
      </w:r>
      <w:r w:rsidR="00330AF6">
        <w:t xml:space="preserve">’s prior </w:t>
      </w:r>
      <w:r w:rsidR="00722653">
        <w:t>acknowledgment</w:t>
      </w:r>
      <w:r w:rsidR="00330AF6">
        <w:t xml:space="preserve"> letter, </w:t>
      </w:r>
      <w:r w:rsidR="00722653">
        <w:t xml:space="preserve">the </w:t>
      </w:r>
      <w:r w:rsidR="00AF5537">
        <w:t>company</w:t>
      </w:r>
      <w:r w:rsidR="00722653">
        <w:t xml:space="preserve"> was directed to </w:t>
      </w:r>
      <w:r w:rsidR="00811290">
        <w:t>conduct a new Conservation Potential A</w:t>
      </w:r>
      <w:r w:rsidR="00330AF6">
        <w:t xml:space="preserve">ssessment </w:t>
      </w:r>
      <w:r w:rsidR="00811290">
        <w:t xml:space="preserve">(CPA) </w:t>
      </w:r>
      <w:r w:rsidR="001B4A20">
        <w:t xml:space="preserve">study for the next </w:t>
      </w:r>
      <w:r w:rsidR="00FB4B19">
        <w:t>G</w:t>
      </w:r>
      <w:r w:rsidR="00330AF6">
        <w:t>as IRP</w:t>
      </w:r>
      <w:r w:rsidR="00EC20B7">
        <w:t>.</w:t>
      </w:r>
      <w:r w:rsidR="00330AF6">
        <w:t xml:space="preserve"> </w:t>
      </w:r>
      <w:r w:rsidR="00B23F76">
        <w:t xml:space="preserve">The </w:t>
      </w:r>
      <w:r w:rsidR="00AF5537">
        <w:t>commission</w:t>
      </w:r>
      <w:r w:rsidR="00B23F76">
        <w:t xml:space="preserve"> concluded an assessment was necessary to fulfill </w:t>
      </w:r>
      <w:r w:rsidR="00A76F89" w:rsidRPr="00E5716D">
        <w:t>WAC</w:t>
      </w:r>
      <w:r w:rsidR="00A76F89">
        <w:t xml:space="preserve"> 480-90-238(3)(b)</w:t>
      </w:r>
      <w:r w:rsidR="001632AE">
        <w:t>, which</w:t>
      </w:r>
      <w:r w:rsidR="00A76F89">
        <w:t xml:space="preserve"> requires the P</w:t>
      </w:r>
      <w:r w:rsidR="00A76F89" w:rsidRPr="00E5716D">
        <w:t>lan to include “an assessment of commercially available conservation, including load management, as well as an assessment of currently employed and new policies and programs needed to obtain the conservation improvements.</w:t>
      </w:r>
      <w:r w:rsidR="00EC20B7">
        <w:t xml:space="preserve">” </w:t>
      </w:r>
      <w:r w:rsidR="000648BA">
        <w:t xml:space="preserve">The letter further directed the </w:t>
      </w:r>
      <w:r w:rsidR="00AF5537">
        <w:t>company</w:t>
      </w:r>
      <w:r w:rsidR="00436041">
        <w:t xml:space="preserve"> to separate Washington and Idaho conservation goals</w:t>
      </w:r>
      <w:r w:rsidR="00AC4418">
        <w:t xml:space="preserve"> in this </w:t>
      </w:r>
      <w:r w:rsidR="002D79C4">
        <w:t>G</w:t>
      </w:r>
      <w:r w:rsidR="00436041">
        <w:t>as IRP.</w:t>
      </w:r>
    </w:p>
    <w:p w:rsidR="00FB1F46" w:rsidRDefault="00FB1F46" w:rsidP="00D02E54">
      <w:pPr>
        <w:pStyle w:val="NoSpacing"/>
        <w:spacing w:line="264" w:lineRule="auto"/>
      </w:pPr>
    </w:p>
    <w:p w:rsidR="00D25D1B" w:rsidRDefault="00FB1F46">
      <w:pPr>
        <w:pStyle w:val="NoSpacing"/>
        <w:spacing w:line="264" w:lineRule="auto"/>
      </w:pPr>
      <w:r>
        <w:t xml:space="preserve">The </w:t>
      </w:r>
      <w:r w:rsidR="00AF5537">
        <w:t>company</w:t>
      </w:r>
      <w:r>
        <w:t xml:space="preserve"> developed a Conservation Potential Assessment (CPA) as part of its 2012 </w:t>
      </w:r>
      <w:r w:rsidR="002D79C4">
        <w:t>G</w:t>
      </w:r>
      <w:r>
        <w:t xml:space="preserve">as IRP process. </w:t>
      </w:r>
      <w:r w:rsidR="00BC7834">
        <w:t>T</w:t>
      </w:r>
      <w:r>
        <w:t>he avoided cost calculations focused on direct resource costs such as</w:t>
      </w:r>
      <w:r w:rsidR="00EE5FA9">
        <w:t xml:space="preserve"> the</w:t>
      </w:r>
      <w:r>
        <w:t xml:space="preserve"> price of gas, storage and transmission, and </w:t>
      </w:r>
      <w:r w:rsidR="00BC7834">
        <w:t>in</w:t>
      </w:r>
      <w:r>
        <w:t>cluded the cost of environmental externalities</w:t>
      </w:r>
      <w:r w:rsidR="00BC7834">
        <w:t xml:space="preserve"> and other unquantifiable benefits with the inclusion of a 10 percent conservation adder</w:t>
      </w:r>
      <w:r>
        <w:t>.</w:t>
      </w:r>
      <w:r w:rsidR="00BC7834">
        <w:t xml:space="preserve"> The </w:t>
      </w:r>
      <w:r w:rsidR="00AF5537">
        <w:t>company</w:t>
      </w:r>
      <w:r w:rsidR="00BC7834">
        <w:t xml:space="preserve"> also includes a CO</w:t>
      </w:r>
      <w:r w:rsidR="00BC7834" w:rsidRPr="00FB4B19">
        <w:rPr>
          <w:vertAlign w:val="subscript"/>
        </w:rPr>
        <w:t>2</w:t>
      </w:r>
      <w:r w:rsidR="00BC7834">
        <w:t xml:space="preserve"> adder which it embeds into its expected price curve.</w:t>
      </w:r>
      <w:r w:rsidR="00FB4B19">
        <w:t xml:space="preserve"> </w:t>
      </w:r>
      <w:r w:rsidR="00EE5FA9">
        <w:t xml:space="preserve">The CPA made separate assessments for </w:t>
      </w:r>
      <w:r w:rsidR="005A72ED">
        <w:t>Idaho and Washington</w:t>
      </w:r>
      <w:r w:rsidR="00EC20B7">
        <w:t>.</w:t>
      </w:r>
      <w:r w:rsidR="005A72ED">
        <w:t xml:space="preserve"> </w:t>
      </w:r>
      <w:r w:rsidR="00722653">
        <w:t>This</w:t>
      </w:r>
      <w:r w:rsidR="009A7EC2">
        <w:t xml:space="preserve"> </w:t>
      </w:r>
      <w:r w:rsidR="00722653">
        <w:t>CPA</w:t>
      </w:r>
      <w:r w:rsidR="009A7EC2">
        <w:t xml:space="preserve"> </w:t>
      </w:r>
      <w:r w:rsidR="00AD2ACC">
        <w:t xml:space="preserve">is based on </w:t>
      </w:r>
      <w:r w:rsidR="000648BA">
        <w:t xml:space="preserve">current </w:t>
      </w:r>
      <w:r w:rsidR="00092874">
        <w:t xml:space="preserve">low </w:t>
      </w:r>
      <w:r w:rsidR="000648BA">
        <w:t>gas</w:t>
      </w:r>
      <w:r w:rsidR="009A7EC2">
        <w:t xml:space="preserve"> prices and </w:t>
      </w:r>
      <w:r w:rsidR="00722653">
        <w:t>Avista</w:t>
      </w:r>
      <w:r w:rsidR="009A7EC2">
        <w:t xml:space="preserve"> state</w:t>
      </w:r>
      <w:r w:rsidR="00AD2ACC">
        <w:t>s</w:t>
      </w:r>
      <w:r w:rsidR="009A7EC2">
        <w:t xml:space="preserve"> in </w:t>
      </w:r>
      <w:r w:rsidR="00722653">
        <w:t>its</w:t>
      </w:r>
      <w:r w:rsidR="009A7EC2">
        <w:t xml:space="preserve"> </w:t>
      </w:r>
      <w:r w:rsidR="00AD2ACC">
        <w:t>Plan</w:t>
      </w:r>
      <w:r w:rsidR="009A7EC2">
        <w:t xml:space="preserve"> that </w:t>
      </w:r>
      <w:r w:rsidR="00AD2ACC">
        <w:t xml:space="preserve">low gas prices reduce the avoided cost that in turn reduces the number of measures that are </w:t>
      </w:r>
      <w:r w:rsidR="009A7EC2">
        <w:t>cost-effective</w:t>
      </w:r>
      <w:r w:rsidR="006C7CE9">
        <w:t>.</w:t>
      </w:r>
    </w:p>
    <w:p w:rsidR="00AD2ACC" w:rsidRDefault="00AD2ACC" w:rsidP="00D02E54">
      <w:pPr>
        <w:pStyle w:val="NoSpacing"/>
        <w:spacing w:line="264" w:lineRule="auto"/>
      </w:pPr>
    </w:p>
    <w:p w:rsidR="00624292" w:rsidRDefault="009C57E2" w:rsidP="009C57E2">
      <w:pPr>
        <w:pStyle w:val="NoSpacing"/>
        <w:spacing w:line="264" w:lineRule="auto"/>
      </w:pPr>
      <w:r>
        <w:t xml:space="preserve">In its review of the </w:t>
      </w:r>
      <w:r w:rsidR="00AF5537">
        <w:t>company</w:t>
      </w:r>
      <w:r>
        <w:t>’s draft P</w:t>
      </w:r>
      <w:r w:rsidR="00624292">
        <w:t>lan</w:t>
      </w:r>
      <w:r>
        <w:t xml:space="preserve">, </w:t>
      </w:r>
      <w:r w:rsidR="007A5D49">
        <w:t>commission</w:t>
      </w:r>
      <w:r w:rsidR="00055034">
        <w:t xml:space="preserve"> staff</w:t>
      </w:r>
      <w:r w:rsidR="00FF5840">
        <w:t xml:space="preserve"> </w:t>
      </w:r>
      <w:r>
        <w:t xml:space="preserve">asked the </w:t>
      </w:r>
      <w:r w:rsidR="00AF5537">
        <w:t>company</w:t>
      </w:r>
      <w:r>
        <w:t xml:space="preserve"> to</w:t>
      </w:r>
      <w:r w:rsidR="00FF5840">
        <w:t xml:space="preserve"> include </w:t>
      </w:r>
      <w:r w:rsidR="00722653">
        <w:t>a</w:t>
      </w:r>
      <w:r w:rsidR="00DC2EF4">
        <w:t xml:space="preserve"> comparative avoided cost analys</w:t>
      </w:r>
      <w:r w:rsidR="00722653">
        <w:t>i</w:t>
      </w:r>
      <w:r w:rsidR="00DC2EF4">
        <w:t xml:space="preserve">s </w:t>
      </w:r>
      <w:r w:rsidR="00BC3A90">
        <w:t xml:space="preserve">such as </w:t>
      </w:r>
      <w:r w:rsidR="00DC2EF4">
        <w:t xml:space="preserve">that shown in </w:t>
      </w:r>
      <w:r w:rsidR="002D79C4">
        <w:t xml:space="preserve">Chapter 6.2 of </w:t>
      </w:r>
      <w:r w:rsidR="00DC2EF4">
        <w:t>NW Natural</w:t>
      </w:r>
      <w:r>
        <w:t xml:space="preserve">’s 2010 </w:t>
      </w:r>
      <w:r w:rsidR="00DC2EF4">
        <w:t xml:space="preserve">Natural Gas IRP, Docket UG-100245 and </w:t>
      </w:r>
      <w:r w:rsidR="00443171">
        <w:t xml:space="preserve">to </w:t>
      </w:r>
      <w:r w:rsidR="00DC2EF4">
        <w:t xml:space="preserve">present the results in its </w:t>
      </w:r>
      <w:r w:rsidR="00981481">
        <w:t>final</w:t>
      </w:r>
      <w:r w:rsidR="00DC2EF4">
        <w:t xml:space="preserve"> </w:t>
      </w:r>
      <w:r w:rsidR="00EB198A">
        <w:t>P</w:t>
      </w:r>
      <w:r w:rsidR="00DC2EF4">
        <w:t>lan</w:t>
      </w:r>
      <w:r w:rsidR="00CC5D85">
        <w:t xml:space="preserve">. </w:t>
      </w:r>
      <w:r w:rsidR="00624292" w:rsidRPr="00624292">
        <w:t xml:space="preserve">NW Natural’s method incorporates a 10 percent conservation adder which can be seen as a proxy for some of the more qualitative </w:t>
      </w:r>
      <w:r w:rsidR="00C30F19">
        <w:t>benefits</w:t>
      </w:r>
      <w:r w:rsidR="00685E90">
        <w:t xml:space="preserve"> of conservation.</w:t>
      </w:r>
      <w:r w:rsidR="00624292" w:rsidRPr="00624292">
        <w:t xml:space="preserve"> NW Natural also incorporates a CO</w:t>
      </w:r>
      <w:r w:rsidR="00624292" w:rsidRPr="00443171">
        <w:rPr>
          <w:vertAlign w:val="subscript"/>
        </w:rPr>
        <w:t>2</w:t>
      </w:r>
      <w:r w:rsidR="00624292" w:rsidRPr="00624292">
        <w:t xml:space="preserve"> adder which satisfies the need to account for the costs of risks associated with environmental effects including emissions of carbon dioxide</w:t>
      </w:r>
      <w:r w:rsidR="00A638DA">
        <w:t>.</w:t>
      </w:r>
      <w:r w:rsidR="00624292" w:rsidRPr="00624292">
        <w:t xml:space="preserve"> </w:t>
      </w:r>
    </w:p>
    <w:p w:rsidR="00624292" w:rsidRDefault="00624292" w:rsidP="009C57E2">
      <w:pPr>
        <w:pStyle w:val="NoSpacing"/>
        <w:spacing w:line="264" w:lineRule="auto"/>
      </w:pPr>
    </w:p>
    <w:p w:rsidR="00443171" w:rsidRPr="002B33D0" w:rsidRDefault="009C57E2" w:rsidP="00443171">
      <w:pPr>
        <w:pStyle w:val="NoSpacing"/>
        <w:spacing w:line="264" w:lineRule="auto"/>
      </w:pPr>
      <w:r>
        <w:t xml:space="preserve">Avista addressed the other issues </w:t>
      </w:r>
      <w:r w:rsidR="007A5D49">
        <w:t>commission</w:t>
      </w:r>
      <w:r w:rsidR="00624292">
        <w:t xml:space="preserve"> </w:t>
      </w:r>
      <w:r w:rsidR="00055034">
        <w:t xml:space="preserve">staff </w:t>
      </w:r>
      <w:r>
        <w:t xml:space="preserve">raised </w:t>
      </w:r>
      <w:r w:rsidR="00624292">
        <w:t>about the draft Plan</w:t>
      </w:r>
      <w:r>
        <w:t>, but it did not provide the requested comparative avoided cost analysis.</w:t>
      </w:r>
      <w:r w:rsidR="005E5281">
        <w:t xml:space="preserve"> Stating that the company includes both the 10 percent conservation adder and the CO</w:t>
      </w:r>
      <w:r w:rsidR="005E5281" w:rsidRPr="002331C4">
        <w:rPr>
          <w:vertAlign w:val="subscript"/>
        </w:rPr>
        <w:t>2</w:t>
      </w:r>
      <w:r w:rsidR="005E5281">
        <w:t xml:space="preserve"> adder i</w:t>
      </w:r>
      <w:r w:rsidR="00594083">
        <w:t>s not a substitute for showing an in-</w:t>
      </w:r>
      <w:r w:rsidR="005E5281">
        <w:t>depth analysis of how these components are derived</w:t>
      </w:r>
      <w:r w:rsidR="00594083">
        <w:t xml:space="preserve"> and constructed</w:t>
      </w:r>
      <w:r w:rsidR="005E5281">
        <w:t>.</w:t>
      </w:r>
    </w:p>
    <w:p w:rsidR="00547AE2" w:rsidRPr="002B33D0" w:rsidRDefault="00547AE2" w:rsidP="00443171">
      <w:pPr>
        <w:pStyle w:val="NoSpacing"/>
        <w:spacing w:line="264" w:lineRule="auto"/>
      </w:pPr>
    </w:p>
    <w:p w:rsidR="00443171" w:rsidRPr="00443171" w:rsidRDefault="00443171" w:rsidP="00443171">
      <w:pPr>
        <w:pStyle w:val="NoSpacing"/>
        <w:numPr>
          <w:ilvl w:val="0"/>
          <w:numId w:val="9"/>
        </w:numPr>
        <w:rPr>
          <w:color w:val="000000" w:themeColor="text1"/>
        </w:rPr>
      </w:pPr>
      <w:r>
        <w:rPr>
          <w:color w:val="000000" w:themeColor="text1"/>
        </w:rPr>
        <w:t xml:space="preserve">Avista </w:t>
      </w:r>
      <w:r w:rsidRPr="00443171">
        <w:rPr>
          <w:color w:val="000000" w:themeColor="text1"/>
        </w:rPr>
        <w:t>should provide a comparative avoided cost analysis in future IRPs.</w:t>
      </w:r>
    </w:p>
    <w:p w:rsidR="005E0163" w:rsidRPr="000B25EE" w:rsidRDefault="005E0163" w:rsidP="005E0163">
      <w:pPr>
        <w:pStyle w:val="NoSpacing"/>
        <w:numPr>
          <w:ilvl w:val="0"/>
          <w:numId w:val="9"/>
        </w:numPr>
        <w:spacing w:line="264" w:lineRule="auto"/>
        <w:rPr>
          <w:color w:val="000000" w:themeColor="text1"/>
        </w:rPr>
      </w:pPr>
      <w:r>
        <w:rPr>
          <w:color w:val="000000" w:themeColor="text1"/>
        </w:rPr>
        <w:t>In future IRPs, Avista needs to include an analysis and/or narrative describing the “trigger point” avoided cost value, where the conservation programs of the company become cost-effective.</w:t>
      </w:r>
      <w:r w:rsidR="00A00393">
        <w:rPr>
          <w:rStyle w:val="FootnoteReference"/>
          <w:color w:val="000000" w:themeColor="text1"/>
        </w:rPr>
        <w:footnoteReference w:id="6"/>
      </w:r>
      <w:r>
        <w:rPr>
          <w:color w:val="000000" w:themeColor="text1"/>
        </w:rPr>
        <w:t xml:space="preserve"> </w:t>
      </w:r>
    </w:p>
    <w:p w:rsidR="005E0163" w:rsidRDefault="005E0163" w:rsidP="005E0163">
      <w:pPr>
        <w:pStyle w:val="NoSpacing"/>
        <w:spacing w:line="264" w:lineRule="auto"/>
      </w:pPr>
    </w:p>
    <w:p w:rsidR="000B25EE" w:rsidRPr="000B25EE" w:rsidRDefault="000B25EE" w:rsidP="000B25EE">
      <w:pPr>
        <w:pStyle w:val="NoSpacing"/>
        <w:spacing w:line="264" w:lineRule="auto"/>
        <w:rPr>
          <w:color w:val="000000" w:themeColor="text1"/>
        </w:rPr>
      </w:pPr>
      <w:r w:rsidRPr="000B25EE">
        <w:rPr>
          <w:color w:val="000000" w:themeColor="text1"/>
        </w:rPr>
        <w:t xml:space="preserve">On November 16, 2012, </w:t>
      </w:r>
      <w:r w:rsidR="00A114BB">
        <w:rPr>
          <w:color w:val="000000" w:themeColor="text1"/>
        </w:rPr>
        <w:t xml:space="preserve">the </w:t>
      </w:r>
      <w:r w:rsidR="00AF5537">
        <w:rPr>
          <w:color w:val="000000" w:themeColor="text1"/>
        </w:rPr>
        <w:t>commission</w:t>
      </w:r>
      <w:r w:rsidRPr="000B25EE">
        <w:rPr>
          <w:color w:val="000000" w:themeColor="text1"/>
        </w:rPr>
        <w:t xml:space="preserve"> conducted a workshop</w:t>
      </w:r>
      <w:r w:rsidR="00936D8C">
        <w:rPr>
          <w:color w:val="000000" w:themeColor="text1"/>
        </w:rPr>
        <w:t xml:space="preserve"> in Docket UG-121207</w:t>
      </w:r>
      <w:r w:rsidRPr="000B25EE">
        <w:rPr>
          <w:color w:val="000000" w:themeColor="text1"/>
        </w:rPr>
        <w:t xml:space="preserve"> </w:t>
      </w:r>
      <w:r w:rsidR="00A114BB">
        <w:rPr>
          <w:color w:val="000000" w:themeColor="text1"/>
        </w:rPr>
        <w:t xml:space="preserve">to </w:t>
      </w:r>
      <w:r w:rsidR="00936D8C">
        <w:rPr>
          <w:color w:val="000000" w:themeColor="text1"/>
        </w:rPr>
        <w:t xml:space="preserve">review </w:t>
      </w:r>
      <w:r w:rsidR="00A114BB">
        <w:rPr>
          <w:color w:val="000000" w:themeColor="text1"/>
        </w:rPr>
        <w:t>the current methods by</w:t>
      </w:r>
      <w:r w:rsidRPr="000B25EE">
        <w:rPr>
          <w:color w:val="000000" w:themeColor="text1"/>
        </w:rPr>
        <w:t xml:space="preserve"> which </w:t>
      </w:r>
      <w:r w:rsidR="000648BA">
        <w:rPr>
          <w:color w:val="000000" w:themeColor="text1"/>
        </w:rPr>
        <w:t>gas</w:t>
      </w:r>
      <w:r w:rsidRPr="000B25EE">
        <w:rPr>
          <w:color w:val="000000" w:themeColor="text1"/>
        </w:rPr>
        <w:t xml:space="preserve"> conservation portfolios are evaluated. Several elements were discussed at the workshop, including the appropriate inputs to avoided cost calculations, the long</w:t>
      </w:r>
      <w:r w:rsidR="00725FC5">
        <w:rPr>
          <w:color w:val="000000" w:themeColor="text1"/>
        </w:rPr>
        <w:t>-</w:t>
      </w:r>
      <w:r w:rsidRPr="000B25EE">
        <w:rPr>
          <w:color w:val="000000" w:themeColor="text1"/>
        </w:rPr>
        <w:t>term discount rate as applied to conservation measures, and how the various cost</w:t>
      </w:r>
      <w:r w:rsidR="00A114BB">
        <w:rPr>
          <w:color w:val="000000" w:themeColor="text1"/>
        </w:rPr>
        <w:t xml:space="preserve"> effectiveness</w:t>
      </w:r>
      <w:r w:rsidRPr="000B25EE">
        <w:rPr>
          <w:color w:val="000000" w:themeColor="text1"/>
        </w:rPr>
        <w:t xml:space="preserve"> tests are currentl</w:t>
      </w:r>
      <w:r w:rsidR="00722653">
        <w:rPr>
          <w:color w:val="000000" w:themeColor="text1"/>
        </w:rPr>
        <w:t xml:space="preserve">y </w:t>
      </w:r>
      <w:r w:rsidR="00A114BB">
        <w:rPr>
          <w:color w:val="000000" w:themeColor="text1"/>
        </w:rPr>
        <w:t>used</w:t>
      </w:r>
      <w:r w:rsidR="00722653">
        <w:rPr>
          <w:color w:val="000000" w:themeColor="text1"/>
        </w:rPr>
        <w:t xml:space="preserve"> by the regulated c</w:t>
      </w:r>
      <w:r w:rsidRPr="000B25EE">
        <w:rPr>
          <w:color w:val="000000" w:themeColor="text1"/>
        </w:rPr>
        <w:t>ompanies.</w:t>
      </w:r>
    </w:p>
    <w:p w:rsidR="000B25EE" w:rsidRPr="000B25EE" w:rsidRDefault="000B25EE" w:rsidP="000B25EE">
      <w:pPr>
        <w:pStyle w:val="NoSpacing"/>
        <w:spacing w:line="264" w:lineRule="auto"/>
        <w:rPr>
          <w:color w:val="000000" w:themeColor="text1"/>
        </w:rPr>
      </w:pPr>
    </w:p>
    <w:p w:rsidR="000B25EE" w:rsidRDefault="00925AEF" w:rsidP="000B25EE">
      <w:pPr>
        <w:pStyle w:val="NoSpacing"/>
        <w:spacing w:line="264" w:lineRule="auto"/>
        <w:rPr>
          <w:color w:val="000000" w:themeColor="text1"/>
        </w:rPr>
      </w:pPr>
      <w:r>
        <w:rPr>
          <w:color w:val="000000" w:themeColor="text1"/>
        </w:rPr>
        <w:t xml:space="preserve">The commission intends to </w:t>
      </w:r>
      <w:r w:rsidR="005E0163">
        <w:rPr>
          <w:color w:val="000000" w:themeColor="text1"/>
        </w:rPr>
        <w:t>provide guidance on the relevance of</w:t>
      </w:r>
      <w:r w:rsidR="000B25EE" w:rsidRPr="000B25EE">
        <w:rPr>
          <w:color w:val="000000" w:themeColor="text1"/>
        </w:rPr>
        <w:t xml:space="preserve"> differences between the </w:t>
      </w:r>
      <w:r w:rsidR="00AF5537">
        <w:rPr>
          <w:color w:val="000000" w:themeColor="text1"/>
        </w:rPr>
        <w:t>company</w:t>
      </w:r>
      <w:r w:rsidR="000B25EE" w:rsidRPr="000B25EE">
        <w:rPr>
          <w:color w:val="000000" w:themeColor="text1"/>
        </w:rPr>
        <w:t xml:space="preserve">’s </w:t>
      </w:r>
      <w:r w:rsidR="00742A77">
        <w:rPr>
          <w:color w:val="000000" w:themeColor="text1"/>
        </w:rPr>
        <w:t>avoided cost</w:t>
      </w:r>
      <w:r w:rsidR="000648BA">
        <w:rPr>
          <w:color w:val="000000" w:themeColor="text1"/>
        </w:rPr>
        <w:t>s</w:t>
      </w:r>
      <w:r w:rsidR="000B25EE" w:rsidRPr="000B25EE">
        <w:rPr>
          <w:color w:val="000000" w:themeColor="text1"/>
        </w:rPr>
        <w:t xml:space="preserve"> and the</w:t>
      </w:r>
      <w:r w:rsidR="000648BA">
        <w:rPr>
          <w:color w:val="000000" w:themeColor="text1"/>
        </w:rPr>
        <w:t xml:space="preserve"> avoided costs of the</w:t>
      </w:r>
      <w:r w:rsidR="000B25EE" w:rsidRPr="000B25EE">
        <w:rPr>
          <w:color w:val="000000" w:themeColor="text1"/>
        </w:rPr>
        <w:t xml:space="preserve"> other three gas companies regulated by the </w:t>
      </w:r>
      <w:r w:rsidR="00AF5537">
        <w:rPr>
          <w:color w:val="000000" w:themeColor="text1"/>
        </w:rPr>
        <w:t>commission</w:t>
      </w:r>
      <w:r w:rsidR="000B25EE" w:rsidRPr="000B25EE">
        <w:rPr>
          <w:color w:val="000000" w:themeColor="text1"/>
        </w:rPr>
        <w:t xml:space="preserve">. </w:t>
      </w:r>
      <w:r w:rsidR="00A114BB">
        <w:rPr>
          <w:color w:val="000000" w:themeColor="text1"/>
        </w:rPr>
        <w:t xml:space="preserve">If changes to the avoided cost calculations are recommended, the </w:t>
      </w:r>
      <w:r w:rsidR="00AF5537">
        <w:rPr>
          <w:color w:val="000000" w:themeColor="text1"/>
        </w:rPr>
        <w:t>company</w:t>
      </w:r>
      <w:r w:rsidR="00A114BB">
        <w:rPr>
          <w:color w:val="000000" w:themeColor="text1"/>
        </w:rPr>
        <w:t xml:space="preserve"> should </w:t>
      </w:r>
      <w:r w:rsidR="005E0163">
        <w:rPr>
          <w:color w:val="000000" w:themeColor="text1"/>
        </w:rPr>
        <w:t xml:space="preserve">immediately update </w:t>
      </w:r>
      <w:r w:rsidR="008958B5">
        <w:rPr>
          <w:color w:val="000000" w:themeColor="text1"/>
        </w:rPr>
        <w:t xml:space="preserve">the analysis conducted in </w:t>
      </w:r>
      <w:r w:rsidR="005E0163">
        <w:rPr>
          <w:color w:val="000000" w:themeColor="text1"/>
        </w:rPr>
        <w:t>its</w:t>
      </w:r>
      <w:r w:rsidR="00A114BB">
        <w:rPr>
          <w:color w:val="000000" w:themeColor="text1"/>
        </w:rPr>
        <w:t xml:space="preserve"> IRP.</w:t>
      </w:r>
    </w:p>
    <w:p w:rsidR="00507B02" w:rsidRDefault="00507B02" w:rsidP="000B25EE">
      <w:pPr>
        <w:pStyle w:val="NoSpacing"/>
        <w:spacing w:line="264" w:lineRule="auto"/>
        <w:rPr>
          <w:color w:val="000000" w:themeColor="text1"/>
        </w:rPr>
      </w:pPr>
    </w:p>
    <w:p w:rsidR="00083579" w:rsidRPr="00D02E54" w:rsidRDefault="00083579" w:rsidP="00083579">
      <w:pPr>
        <w:pStyle w:val="NoSpacing"/>
        <w:rPr>
          <w:b/>
          <w:u w:val="single"/>
        </w:rPr>
      </w:pPr>
      <w:r>
        <w:rPr>
          <w:b/>
          <w:u w:val="single"/>
        </w:rPr>
        <w:t>Supply-side Resources</w:t>
      </w:r>
      <w:r w:rsidRPr="00D02E54">
        <w:rPr>
          <w:b/>
          <w:u w:val="single"/>
        </w:rPr>
        <w:t xml:space="preserve"> (Chapter </w:t>
      </w:r>
      <w:r>
        <w:rPr>
          <w:b/>
          <w:u w:val="single"/>
        </w:rPr>
        <w:t>5</w:t>
      </w:r>
      <w:r w:rsidRPr="00D02E54">
        <w:rPr>
          <w:b/>
          <w:u w:val="single"/>
        </w:rPr>
        <w:t>)</w:t>
      </w:r>
    </w:p>
    <w:p w:rsidR="00083579" w:rsidRDefault="00083579" w:rsidP="00F273A1">
      <w:pPr>
        <w:pStyle w:val="NoSpacing"/>
        <w:spacing w:line="264" w:lineRule="auto"/>
      </w:pPr>
    </w:p>
    <w:p w:rsidR="00083579" w:rsidRDefault="00083579" w:rsidP="00F273A1">
      <w:pPr>
        <w:pStyle w:val="NoSpacing"/>
        <w:spacing w:line="264" w:lineRule="auto"/>
      </w:pPr>
      <w:proofErr w:type="gramStart"/>
      <w:r w:rsidRPr="008B6FCF">
        <w:rPr>
          <w:u w:val="single"/>
        </w:rPr>
        <w:t>Monitoring Supply Alternatives</w:t>
      </w:r>
      <w:r w:rsidR="009F7DCA">
        <w:rPr>
          <w:u w:val="single"/>
        </w:rPr>
        <w:t>.</w:t>
      </w:r>
      <w:proofErr w:type="gramEnd"/>
      <w:r>
        <w:t xml:space="preserve"> In the </w:t>
      </w:r>
      <w:r w:rsidR="00AF5537">
        <w:t>commission</w:t>
      </w:r>
      <w:r w:rsidRPr="008F0B53">
        <w:t>’s acknowledgement letter</w:t>
      </w:r>
      <w:r>
        <w:t xml:space="preserve"> regarding the 2009 IRP</w:t>
      </w:r>
      <w:r w:rsidRPr="008F0B53">
        <w:t xml:space="preserve">, it was noted that the </w:t>
      </w:r>
      <w:r w:rsidR="00AF5537">
        <w:t>company</w:t>
      </w:r>
      <w:r w:rsidRPr="008F0B53">
        <w:t xml:space="preserve"> was resource sufficient until the 2022</w:t>
      </w:r>
      <w:r>
        <w:t>-</w:t>
      </w:r>
      <w:r w:rsidRPr="008F0B53">
        <w:t xml:space="preserve">23 heating season, and </w:t>
      </w:r>
      <w:r>
        <w:t xml:space="preserve">the </w:t>
      </w:r>
      <w:r w:rsidR="00AF5537">
        <w:t>company</w:t>
      </w:r>
      <w:r>
        <w:t xml:space="preserve"> </w:t>
      </w:r>
      <w:r w:rsidRPr="008F0B53">
        <w:t xml:space="preserve">was </w:t>
      </w:r>
      <w:r>
        <w:t xml:space="preserve">monitoring </w:t>
      </w:r>
      <w:r w:rsidRPr="008F0B53">
        <w:t>several activities</w:t>
      </w:r>
      <w:r>
        <w:t xml:space="preserve"> to track gas supply and rates. </w:t>
      </w:r>
      <w:r w:rsidRPr="008F0B53">
        <w:t>Some of these</w:t>
      </w:r>
      <w:r>
        <w:t xml:space="preserve"> activities</w:t>
      </w:r>
      <w:r w:rsidRPr="008F0B53">
        <w:t xml:space="preserve"> included </w:t>
      </w:r>
      <w:r>
        <w:t xml:space="preserve">monitoring </w:t>
      </w:r>
      <w:r w:rsidRPr="008F0B53">
        <w:t>gas production and effects of pipeline expansions on regional gas s</w:t>
      </w:r>
      <w:r>
        <w:t xml:space="preserve">upply and pipeline rates. The </w:t>
      </w:r>
      <w:r w:rsidR="00AF5537">
        <w:t>commission</w:t>
      </w:r>
      <w:r w:rsidRPr="008F0B53">
        <w:t xml:space="preserve"> acknowledged that these were important areas to monitor, </w:t>
      </w:r>
      <w:r>
        <w:t xml:space="preserve">and further encouraged the </w:t>
      </w:r>
      <w:r w:rsidR="00AF5537">
        <w:t>company</w:t>
      </w:r>
      <w:r w:rsidRPr="003A7B87">
        <w:t xml:space="preserve"> to </w:t>
      </w:r>
      <w:r w:rsidRPr="008F0B53">
        <w:t xml:space="preserve">monitor backhauling capacity on the </w:t>
      </w:r>
      <w:smartTag w:uri="urn:schemas-microsoft-com:office:smarttags" w:element="stockticker">
        <w:r w:rsidRPr="008F0B53">
          <w:t>GTN</w:t>
        </w:r>
      </w:smartTag>
      <w:r w:rsidRPr="008F0B53">
        <w:t xml:space="preserve"> pipeline north fro</w:t>
      </w:r>
      <w:r w:rsidRPr="00475D1A">
        <w:t xml:space="preserve">m </w:t>
      </w:r>
      <w:proofErr w:type="spellStart"/>
      <w:r w:rsidRPr="00475D1A">
        <w:t>Malin</w:t>
      </w:r>
      <w:proofErr w:type="spellEnd"/>
      <w:r>
        <w:t xml:space="preserve">. </w:t>
      </w:r>
      <w:r w:rsidRPr="00475D1A">
        <w:t xml:space="preserve">The </w:t>
      </w:r>
      <w:r w:rsidR="00AF5537">
        <w:t>company</w:t>
      </w:r>
      <w:r w:rsidRPr="00475D1A">
        <w:t xml:space="preserve"> </w:t>
      </w:r>
      <w:r w:rsidRPr="008F0B53">
        <w:t xml:space="preserve">included this resource in </w:t>
      </w:r>
      <w:r>
        <w:t>its current Plan as a result of these monitoring activities.</w:t>
      </w:r>
      <w:r>
        <w:rPr>
          <w:rStyle w:val="FootnoteReference"/>
        </w:rPr>
        <w:footnoteReference w:id="7"/>
      </w:r>
    </w:p>
    <w:p w:rsidR="00083579" w:rsidRDefault="00083579" w:rsidP="00F273A1">
      <w:pPr>
        <w:pStyle w:val="NoSpacing"/>
        <w:spacing w:line="264" w:lineRule="auto"/>
      </w:pPr>
    </w:p>
    <w:p w:rsidR="00083579" w:rsidRDefault="00083579" w:rsidP="00F273A1">
      <w:pPr>
        <w:pStyle w:val="NoSpacing"/>
        <w:spacing w:line="264" w:lineRule="auto"/>
      </w:pPr>
      <w:r>
        <w:t xml:space="preserve">The </w:t>
      </w:r>
      <w:r w:rsidR="00AF5537">
        <w:t>commission</w:t>
      </w:r>
      <w:r>
        <w:t xml:space="preserve"> further encouraged the </w:t>
      </w:r>
      <w:r w:rsidR="00AF5537">
        <w:t>company</w:t>
      </w:r>
      <w:r>
        <w:t xml:space="preserve"> to “pursue its goal of capturing additional value related to existing storage assets as well as Avista’s commitment to analyze its gas procurement practices.</w:t>
      </w:r>
      <w:r w:rsidR="0013754B">
        <w:t>”</w:t>
      </w:r>
      <w:r>
        <w:rPr>
          <w:rStyle w:val="FootnoteReference"/>
        </w:rPr>
        <w:footnoteReference w:id="8"/>
      </w:r>
      <w:r>
        <w:t xml:space="preserve"> The </w:t>
      </w:r>
      <w:r w:rsidR="00AF5537">
        <w:t>company</w:t>
      </w:r>
      <w:r>
        <w:t xml:space="preserve"> demonstrated appropriate consideration of these items, assessing in its supply-side resources</w:t>
      </w:r>
      <w:r w:rsidR="00E82DFC">
        <w:t xml:space="preserve"> </w:t>
      </w:r>
      <w:r>
        <w:t xml:space="preserve">the possibility of an expansion of its Jackson Prairie storage. Avista describes the position of the </w:t>
      </w:r>
      <w:r w:rsidR="00AF5537">
        <w:t>company</w:t>
      </w:r>
      <w:r>
        <w:t xml:space="preserve"> relative to major gas supply basins. The </w:t>
      </w:r>
      <w:r w:rsidR="00AF5537">
        <w:t>company</w:t>
      </w:r>
      <w:r>
        <w:t xml:space="preserve"> also addresses concern over the recent uncertainty surrounding the practice of </w:t>
      </w:r>
      <w:r w:rsidR="008958B5">
        <w:t xml:space="preserve">hydraulic fracturing </w:t>
      </w:r>
      <w:r>
        <w:t>and possible implications, such as the potential for longer-term commodity price increases arising from potential future environmental regulation.</w:t>
      </w:r>
    </w:p>
    <w:p w:rsidR="002A5B29" w:rsidRDefault="002A5B29" w:rsidP="00D02E54">
      <w:pPr>
        <w:pStyle w:val="NoSpacing"/>
      </w:pPr>
    </w:p>
    <w:p w:rsidR="002F12E8" w:rsidRPr="00D02E54" w:rsidRDefault="00194ED4" w:rsidP="00D02E54">
      <w:pPr>
        <w:pStyle w:val="NoSpacing"/>
        <w:rPr>
          <w:b/>
          <w:u w:val="single"/>
        </w:rPr>
      </w:pPr>
      <w:r w:rsidRPr="00D02E54">
        <w:rPr>
          <w:b/>
          <w:u w:val="single"/>
        </w:rPr>
        <w:t>Integrat</w:t>
      </w:r>
      <w:r w:rsidR="00890664" w:rsidRPr="00D02E54">
        <w:rPr>
          <w:b/>
          <w:u w:val="single"/>
        </w:rPr>
        <w:t>ion of Supply and Demand - Integrat</w:t>
      </w:r>
      <w:r w:rsidR="002F12E8" w:rsidRPr="00D02E54">
        <w:rPr>
          <w:b/>
          <w:u w:val="single"/>
        </w:rPr>
        <w:t>ed Resource Portfolio (Chapter 6)</w:t>
      </w:r>
    </w:p>
    <w:p w:rsidR="00D02E54" w:rsidRPr="00E5716D" w:rsidRDefault="00D02E54" w:rsidP="00D02E54">
      <w:pPr>
        <w:pStyle w:val="NoSpacing"/>
      </w:pPr>
    </w:p>
    <w:p w:rsidR="00936D8C" w:rsidRDefault="00BA1216" w:rsidP="00D02E54">
      <w:pPr>
        <w:pStyle w:val="NoSpacing"/>
        <w:spacing w:line="264" w:lineRule="auto"/>
      </w:pPr>
      <w:r w:rsidRPr="005561C9">
        <w:rPr>
          <w:u w:val="single"/>
        </w:rPr>
        <w:t>Adjustments for Future Gas Demand</w:t>
      </w:r>
      <w:r w:rsidR="009F7DCA">
        <w:rPr>
          <w:u w:val="single"/>
        </w:rPr>
        <w:t>.</w:t>
      </w:r>
      <w:r>
        <w:t xml:space="preserve"> Avista’s</w:t>
      </w:r>
      <w:r w:rsidR="00E17BA0">
        <w:t xml:space="preserve"> Washington/Idaho service territory</w:t>
      </w:r>
      <w:r w:rsidR="00936D8C">
        <w:t xml:space="preserve"> should not experience </w:t>
      </w:r>
      <w:r w:rsidR="000463A4">
        <w:t>peak day short</w:t>
      </w:r>
      <w:r w:rsidR="004737E8">
        <w:t xml:space="preserve">ages </w:t>
      </w:r>
      <w:r w:rsidR="007B7813">
        <w:t xml:space="preserve">until </w:t>
      </w:r>
      <w:r w:rsidR="004737E8">
        <w:t xml:space="preserve">the </w:t>
      </w:r>
      <w:r w:rsidR="007B7813">
        <w:t>2</w:t>
      </w:r>
      <w:r w:rsidR="00722653">
        <w:t>030-</w:t>
      </w:r>
      <w:r w:rsidR="007B7813">
        <w:t>2031</w:t>
      </w:r>
      <w:r w:rsidR="00722653">
        <w:t xml:space="preserve"> heating season</w:t>
      </w:r>
      <w:r w:rsidR="006022B4">
        <w:t>,</w:t>
      </w:r>
      <w:r w:rsidR="007B7813">
        <w:t xml:space="preserve"> </w:t>
      </w:r>
      <w:r w:rsidR="00E82DFC">
        <w:t xml:space="preserve">eight years </w:t>
      </w:r>
      <w:r w:rsidR="000648BA">
        <w:t>further out than</w:t>
      </w:r>
      <w:r>
        <w:t xml:space="preserve"> the prior</w:t>
      </w:r>
      <w:r w:rsidR="007B7813">
        <w:t xml:space="preserve"> IRP</w:t>
      </w:r>
      <w:r w:rsidR="00E82DFC">
        <w:t>.</w:t>
      </w:r>
      <w:r w:rsidR="00147E2B">
        <w:t xml:space="preserve"> </w:t>
      </w:r>
      <w:r w:rsidR="00E82DFC">
        <w:t>The rapid change in the timing of resource need</w:t>
      </w:r>
      <w:r w:rsidR="008D2052">
        <w:t xml:space="preserve"> </w:t>
      </w:r>
      <w:r w:rsidR="00F516E6">
        <w:t>highlights the</w:t>
      </w:r>
      <w:r w:rsidR="00147E2B">
        <w:t xml:space="preserve"> importance of continuing reassessment of assumptions made in the </w:t>
      </w:r>
      <w:r w:rsidR="00AF5537">
        <w:t>company</w:t>
      </w:r>
      <w:r w:rsidR="00147E2B">
        <w:t>’s models</w:t>
      </w:r>
      <w:r w:rsidR="00CC5D85">
        <w:t>.</w:t>
      </w:r>
      <w:r w:rsidR="0051508E">
        <w:rPr>
          <w:rStyle w:val="FootnoteReference"/>
        </w:rPr>
        <w:footnoteReference w:id="9"/>
      </w:r>
      <w:r w:rsidR="000648BA">
        <w:t xml:space="preserve"> </w:t>
      </w:r>
    </w:p>
    <w:p w:rsidR="00B335F6" w:rsidRDefault="00B335F6" w:rsidP="00D02E54">
      <w:pPr>
        <w:pStyle w:val="NoSpacing"/>
        <w:spacing w:line="264" w:lineRule="auto"/>
      </w:pPr>
    </w:p>
    <w:p w:rsidR="00972A40" w:rsidRDefault="00972A40" w:rsidP="00972A40">
      <w:pPr>
        <w:pStyle w:val="NoSpacing"/>
        <w:numPr>
          <w:ilvl w:val="0"/>
          <w:numId w:val="7"/>
        </w:numPr>
        <w:spacing w:line="264" w:lineRule="auto"/>
      </w:pPr>
      <w:r>
        <w:t xml:space="preserve">Between IRPs, Avista should routinely compare its modeling assumptions with actual demand. </w:t>
      </w:r>
    </w:p>
    <w:p w:rsidR="002C039A" w:rsidRPr="00E5716D" w:rsidRDefault="00830117" w:rsidP="0063156E">
      <w:pPr>
        <w:pStyle w:val="NoSpacing"/>
        <w:numPr>
          <w:ilvl w:val="0"/>
          <w:numId w:val="8"/>
        </w:numPr>
        <w:spacing w:line="264" w:lineRule="auto"/>
      </w:pPr>
      <w:r>
        <w:t xml:space="preserve">Avista needs to include a Washington-specific city-gate analysis in </w:t>
      </w:r>
      <w:r w:rsidR="00936D8C">
        <w:t>future IRPs</w:t>
      </w:r>
      <w:r>
        <w:t xml:space="preserve">, including a narrative of </w:t>
      </w:r>
      <w:r w:rsidR="002D6A86">
        <w:t xml:space="preserve">its </w:t>
      </w:r>
      <w:r>
        <w:t>conclusions as a result of such an analysis.</w:t>
      </w:r>
    </w:p>
    <w:sectPr w:rsidR="002C039A" w:rsidRPr="00E5716D" w:rsidSect="00D71DB0">
      <w:headerReference w:type="default" r:id="rId8"/>
      <w:footerReference w:type="default" r:id="rId9"/>
      <w:footerReference w:type="first" r:id="rId10"/>
      <w:pgSz w:w="12240" w:h="15840" w:code="1"/>
      <w:pgMar w:top="1440" w:right="1800" w:bottom="1627" w:left="1800" w:header="720" w:footer="720"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E7D" w:rsidRDefault="005E1E7D" w:rsidP="004313F9">
      <w:r>
        <w:separator/>
      </w:r>
    </w:p>
    <w:p w:rsidR="005E1E7D" w:rsidRDefault="005E1E7D" w:rsidP="004313F9"/>
  </w:endnote>
  <w:endnote w:type="continuationSeparator" w:id="0">
    <w:p w:rsidR="005E1E7D" w:rsidRDefault="005E1E7D" w:rsidP="004313F9">
      <w:r>
        <w:continuationSeparator/>
      </w:r>
    </w:p>
    <w:p w:rsidR="005E1E7D" w:rsidRDefault="005E1E7D" w:rsidP="00431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DA" w:rsidRPr="00D02E54" w:rsidRDefault="00B40DDA">
    <w:pPr>
      <w:pStyle w:val="Footer"/>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DA" w:rsidRPr="009E49C4" w:rsidRDefault="00B40DDA" w:rsidP="009E49C4">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E7D" w:rsidRDefault="005E1E7D" w:rsidP="004313F9">
      <w:r>
        <w:separator/>
      </w:r>
    </w:p>
    <w:p w:rsidR="005E1E7D" w:rsidRDefault="005E1E7D" w:rsidP="004313F9"/>
  </w:footnote>
  <w:footnote w:type="continuationSeparator" w:id="0">
    <w:p w:rsidR="005E1E7D" w:rsidRDefault="005E1E7D" w:rsidP="004313F9">
      <w:r>
        <w:continuationSeparator/>
      </w:r>
    </w:p>
    <w:p w:rsidR="005E1E7D" w:rsidRDefault="005E1E7D" w:rsidP="004313F9"/>
  </w:footnote>
  <w:footnote w:id="1">
    <w:p w:rsidR="00B40DDA" w:rsidRPr="00882E6D" w:rsidRDefault="00B40DDA">
      <w:pPr>
        <w:pStyle w:val="FootnoteText"/>
        <w:rPr>
          <w:rFonts w:ascii="Times New Roman" w:hAnsi="Times New Roman"/>
        </w:rPr>
      </w:pPr>
      <w:r w:rsidRPr="00882E6D">
        <w:rPr>
          <w:rStyle w:val="FootnoteReference"/>
          <w:rFonts w:ascii="Times New Roman" w:hAnsi="Times New Roman"/>
        </w:rPr>
        <w:footnoteRef/>
      </w:r>
      <w:r w:rsidRPr="00882E6D">
        <w:rPr>
          <w:rFonts w:ascii="Times New Roman" w:hAnsi="Times New Roman"/>
        </w:rPr>
        <w:t xml:space="preserve"> The alternate weather standard case is based on utilizing the coldest day in the past 20 years, rather than the coldest day on record.</w:t>
      </w:r>
    </w:p>
  </w:footnote>
  <w:footnote w:id="2">
    <w:p w:rsidR="008B41EC" w:rsidRPr="00882E6D" w:rsidRDefault="008B41EC" w:rsidP="008B41EC">
      <w:pPr>
        <w:pStyle w:val="FootnoteText"/>
        <w:rPr>
          <w:rFonts w:ascii="Times New Roman" w:hAnsi="Times New Roman"/>
        </w:rPr>
      </w:pPr>
      <w:r w:rsidRPr="00882E6D">
        <w:rPr>
          <w:rStyle w:val="FootnoteReference"/>
          <w:rFonts w:ascii="Times New Roman" w:hAnsi="Times New Roman"/>
        </w:rPr>
        <w:footnoteRef/>
      </w:r>
      <w:r w:rsidRPr="00882E6D">
        <w:rPr>
          <w:rFonts w:ascii="Times New Roman" w:hAnsi="Times New Roman"/>
        </w:rPr>
        <w:t xml:space="preserve"> Gas IRP at 3.11.</w:t>
      </w:r>
      <w:r w:rsidRPr="00882E6D">
        <w:rPr>
          <w:rFonts w:ascii="Times New Roman" w:hAnsi="Times New Roman"/>
          <w:spacing w:val="-5"/>
          <w:sz w:val="24"/>
        </w:rPr>
        <w:t xml:space="preserve"> </w:t>
      </w:r>
      <w:r w:rsidRPr="00882E6D">
        <w:rPr>
          <w:rFonts w:ascii="Times New Roman" w:hAnsi="Times New Roman"/>
        </w:rPr>
        <w:t>A price elasticity of negative 0.13 represents a 10 percent price increase causing a 1.3 percent consumption decrease, and a 10 percent price decrease causing a 1.3 percent consumption increase.</w:t>
      </w:r>
    </w:p>
  </w:footnote>
  <w:footnote w:id="3">
    <w:p w:rsidR="00B40DDA" w:rsidRDefault="00B40DDA">
      <w:pPr>
        <w:pStyle w:val="FootnoteText"/>
      </w:pPr>
      <w:r w:rsidRPr="00882E6D">
        <w:rPr>
          <w:rStyle w:val="FootnoteReference"/>
          <w:rFonts w:ascii="Times New Roman" w:hAnsi="Times New Roman"/>
        </w:rPr>
        <w:footnoteRef/>
      </w:r>
      <w:r w:rsidRPr="00882E6D">
        <w:rPr>
          <w:rFonts w:ascii="Times New Roman" w:hAnsi="Times New Roman"/>
        </w:rPr>
        <w:t xml:space="preserve"> </w:t>
      </w:r>
      <w:r w:rsidR="00337CAA" w:rsidRPr="00882E6D">
        <w:rPr>
          <w:rFonts w:ascii="Times New Roman" w:hAnsi="Times New Roman"/>
        </w:rPr>
        <w:t xml:space="preserve">Gas </w:t>
      </w:r>
      <w:r w:rsidR="00F30B7D" w:rsidRPr="00882E6D">
        <w:rPr>
          <w:rFonts w:ascii="Times New Roman" w:hAnsi="Times New Roman"/>
        </w:rPr>
        <w:t xml:space="preserve">IRP at </w:t>
      </w:r>
      <w:r w:rsidRPr="00882E6D">
        <w:rPr>
          <w:rFonts w:ascii="Times New Roman" w:hAnsi="Times New Roman"/>
        </w:rPr>
        <w:t>3.15</w:t>
      </w:r>
      <w:r w:rsidR="00D50BDF" w:rsidRPr="00882E6D">
        <w:rPr>
          <w:rFonts w:ascii="Times New Roman" w:hAnsi="Times New Roman"/>
        </w:rPr>
        <w:t>.</w:t>
      </w:r>
    </w:p>
  </w:footnote>
  <w:footnote w:id="4">
    <w:p w:rsidR="00B40DDA" w:rsidRPr="00882E6D" w:rsidRDefault="00B40DDA">
      <w:pPr>
        <w:pStyle w:val="FootnoteText"/>
        <w:rPr>
          <w:rFonts w:ascii="Times New Roman" w:hAnsi="Times New Roman"/>
        </w:rPr>
      </w:pPr>
      <w:r w:rsidRPr="00882E6D">
        <w:rPr>
          <w:rStyle w:val="FootnoteReference"/>
          <w:rFonts w:ascii="Times New Roman" w:hAnsi="Times New Roman"/>
        </w:rPr>
        <w:footnoteRef/>
      </w:r>
      <w:r w:rsidRPr="00882E6D">
        <w:rPr>
          <w:rFonts w:ascii="Times New Roman" w:hAnsi="Times New Roman"/>
        </w:rPr>
        <w:t xml:space="preserve"> </w:t>
      </w:r>
      <w:r w:rsidR="00337CAA" w:rsidRPr="00882E6D">
        <w:rPr>
          <w:rFonts w:ascii="Times New Roman" w:hAnsi="Times New Roman"/>
        </w:rPr>
        <w:t>Gas IRP at</w:t>
      </w:r>
      <w:r w:rsidRPr="00882E6D">
        <w:rPr>
          <w:rFonts w:ascii="Times New Roman" w:hAnsi="Times New Roman"/>
        </w:rPr>
        <w:t xml:space="preserve"> 3.4</w:t>
      </w:r>
      <w:r w:rsidR="00337CAA" w:rsidRPr="00882E6D">
        <w:rPr>
          <w:rFonts w:ascii="Times New Roman" w:hAnsi="Times New Roman"/>
        </w:rPr>
        <w:t>.</w:t>
      </w:r>
      <w:r w:rsidR="00F30B7D" w:rsidRPr="00882E6D">
        <w:rPr>
          <w:rFonts w:ascii="Times New Roman" w:hAnsi="Times New Roman"/>
        </w:rPr>
        <w:t xml:space="preserve"> </w:t>
      </w:r>
    </w:p>
  </w:footnote>
  <w:footnote w:id="5">
    <w:p w:rsidR="002D79C4" w:rsidRPr="00882E6D" w:rsidRDefault="002D79C4" w:rsidP="002D79C4">
      <w:pPr>
        <w:pStyle w:val="FootnoteText"/>
        <w:rPr>
          <w:rFonts w:ascii="Times New Roman" w:hAnsi="Times New Roman"/>
        </w:rPr>
      </w:pPr>
      <w:r w:rsidRPr="00882E6D">
        <w:rPr>
          <w:rStyle w:val="FootnoteReference"/>
          <w:rFonts w:ascii="Times New Roman" w:hAnsi="Times New Roman"/>
        </w:rPr>
        <w:footnoteRef/>
      </w:r>
      <w:r w:rsidRPr="00882E6D">
        <w:rPr>
          <w:rFonts w:ascii="Times New Roman" w:hAnsi="Times New Roman"/>
        </w:rPr>
        <w:t xml:space="preserve"> Gas IRP at page 3.5.</w:t>
      </w:r>
    </w:p>
  </w:footnote>
  <w:footnote w:id="6">
    <w:p w:rsidR="00A00393" w:rsidRDefault="00A00393">
      <w:pPr>
        <w:pStyle w:val="FootnoteText"/>
      </w:pPr>
      <w:r>
        <w:rPr>
          <w:rStyle w:val="FootnoteReference"/>
        </w:rPr>
        <w:footnoteRef/>
      </w:r>
      <w:r>
        <w:t xml:space="preserve"> </w:t>
      </w:r>
      <w:r w:rsidRPr="00135C11">
        <w:rPr>
          <w:rFonts w:ascii="Times New Roman" w:hAnsi="Times New Roman"/>
        </w:rPr>
        <w:t xml:space="preserve">In </w:t>
      </w:r>
      <w:r w:rsidR="004B375D">
        <w:rPr>
          <w:rFonts w:ascii="Times New Roman" w:hAnsi="Times New Roman"/>
        </w:rPr>
        <w:t>D</w:t>
      </w:r>
      <w:r w:rsidRPr="00135C11">
        <w:rPr>
          <w:rFonts w:ascii="Times New Roman" w:hAnsi="Times New Roman"/>
        </w:rPr>
        <w:t xml:space="preserve">ocket UG-121119, Avista filed to discontinue </w:t>
      </w:r>
      <w:r w:rsidR="004B375D">
        <w:rPr>
          <w:rFonts w:ascii="Times New Roman" w:hAnsi="Times New Roman"/>
        </w:rPr>
        <w:t>its</w:t>
      </w:r>
      <w:r w:rsidR="004B375D" w:rsidRPr="00135C11">
        <w:rPr>
          <w:rFonts w:ascii="Times New Roman" w:hAnsi="Times New Roman"/>
        </w:rPr>
        <w:t xml:space="preserve"> </w:t>
      </w:r>
      <w:r w:rsidRPr="00135C11">
        <w:rPr>
          <w:rFonts w:ascii="Times New Roman" w:hAnsi="Times New Roman"/>
        </w:rPr>
        <w:t>gas conservation programs</w:t>
      </w:r>
      <w:r w:rsidR="004B375D">
        <w:rPr>
          <w:rFonts w:ascii="Times New Roman" w:hAnsi="Times New Roman"/>
        </w:rPr>
        <w:t xml:space="preserve"> as described on page 4.11 of the IRP</w:t>
      </w:r>
      <w:r w:rsidRPr="00135C11">
        <w:rPr>
          <w:rFonts w:ascii="Times New Roman" w:hAnsi="Times New Roman"/>
        </w:rPr>
        <w:t>.</w:t>
      </w:r>
    </w:p>
  </w:footnote>
  <w:footnote w:id="7">
    <w:p w:rsidR="00B40DDA" w:rsidRPr="00882E6D" w:rsidRDefault="00B40DDA" w:rsidP="00083579">
      <w:pPr>
        <w:pStyle w:val="FootnoteText"/>
        <w:rPr>
          <w:rFonts w:ascii="Times New Roman" w:hAnsi="Times New Roman"/>
        </w:rPr>
      </w:pPr>
      <w:r w:rsidRPr="00882E6D">
        <w:rPr>
          <w:rStyle w:val="FootnoteReference"/>
          <w:rFonts w:ascii="Times New Roman" w:hAnsi="Times New Roman"/>
        </w:rPr>
        <w:footnoteRef/>
      </w:r>
      <w:r w:rsidRPr="00882E6D">
        <w:rPr>
          <w:rFonts w:ascii="Times New Roman" w:hAnsi="Times New Roman"/>
        </w:rPr>
        <w:t xml:space="preserve"> </w:t>
      </w:r>
      <w:r w:rsidR="00B335F6" w:rsidRPr="00882E6D">
        <w:rPr>
          <w:rFonts w:ascii="Times New Roman" w:hAnsi="Times New Roman"/>
        </w:rPr>
        <w:t xml:space="preserve">Gas IRP at 5.7. </w:t>
      </w:r>
    </w:p>
  </w:footnote>
  <w:footnote w:id="8">
    <w:p w:rsidR="00B40DDA" w:rsidRPr="00882E6D" w:rsidRDefault="00B40DDA" w:rsidP="00083579">
      <w:pPr>
        <w:pStyle w:val="FootnoteText"/>
        <w:rPr>
          <w:rFonts w:ascii="Times New Roman" w:hAnsi="Times New Roman"/>
        </w:rPr>
      </w:pPr>
      <w:r w:rsidRPr="00882E6D">
        <w:rPr>
          <w:rStyle w:val="FootnoteReference"/>
          <w:rFonts w:ascii="Times New Roman" w:hAnsi="Times New Roman"/>
        </w:rPr>
        <w:footnoteRef/>
      </w:r>
      <w:r w:rsidR="00B335F6" w:rsidRPr="00882E6D">
        <w:rPr>
          <w:rFonts w:ascii="Times New Roman" w:hAnsi="Times New Roman"/>
        </w:rPr>
        <w:t xml:space="preserve"> </w:t>
      </w:r>
      <w:proofErr w:type="gramStart"/>
      <w:r w:rsidRPr="00882E6D">
        <w:rPr>
          <w:rFonts w:ascii="Times New Roman" w:hAnsi="Times New Roman"/>
        </w:rPr>
        <w:t>Commission Acknowledgment Letter Attachment, Avista Gas IRP UG-090015.</w:t>
      </w:r>
      <w:proofErr w:type="gramEnd"/>
    </w:p>
  </w:footnote>
  <w:footnote w:id="9">
    <w:p w:rsidR="00B40DDA" w:rsidRPr="00882E6D" w:rsidRDefault="00B40DDA">
      <w:pPr>
        <w:pStyle w:val="FootnoteText"/>
        <w:rPr>
          <w:rFonts w:ascii="Times New Roman" w:hAnsi="Times New Roman"/>
        </w:rPr>
      </w:pPr>
      <w:r w:rsidRPr="00882E6D">
        <w:rPr>
          <w:rStyle w:val="FootnoteReference"/>
          <w:rFonts w:ascii="Times New Roman" w:hAnsi="Times New Roman"/>
        </w:rPr>
        <w:footnoteRef/>
      </w:r>
      <w:r w:rsidRPr="00882E6D">
        <w:rPr>
          <w:rFonts w:ascii="Times New Roman" w:hAnsi="Times New Roman"/>
        </w:rPr>
        <w:t xml:space="preserve"> Avista noted that resource lead times were from one to five or more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DA" w:rsidRDefault="00B40DDA" w:rsidP="00C52CA4">
    <w:pPr>
      <w:pStyle w:val="Header"/>
      <w:spacing w:after="0" w:line="240" w:lineRule="auto"/>
      <w:contextualSpacing/>
      <w:rPr>
        <w:rFonts w:ascii="Times New Roman" w:hAnsi="Times New Roman"/>
      </w:rPr>
    </w:pPr>
    <w:r w:rsidRPr="00C52CA4">
      <w:rPr>
        <w:rFonts w:ascii="Times New Roman" w:hAnsi="Times New Roman"/>
      </w:rPr>
      <w:t>UG-111588</w:t>
    </w:r>
  </w:p>
  <w:p w:rsidR="00B40DDA" w:rsidRDefault="00B40DDA" w:rsidP="00C52CA4">
    <w:pPr>
      <w:pStyle w:val="Header"/>
      <w:spacing w:after="0" w:line="240" w:lineRule="auto"/>
      <w:contextualSpacing/>
      <w:rPr>
        <w:rFonts w:ascii="Times New Roman" w:hAnsi="Times New Roman"/>
      </w:rPr>
    </w:pPr>
    <w:r>
      <w:rPr>
        <w:rFonts w:ascii="Times New Roman" w:hAnsi="Times New Roman"/>
      </w:rPr>
      <w:t xml:space="preserve">Page </w:t>
    </w:r>
    <w:r w:rsidR="00115946" w:rsidRPr="00D71DB0">
      <w:rPr>
        <w:rFonts w:ascii="Times New Roman" w:hAnsi="Times New Roman"/>
      </w:rPr>
      <w:fldChar w:fldCharType="begin"/>
    </w:r>
    <w:r w:rsidRPr="00D71DB0">
      <w:rPr>
        <w:rFonts w:ascii="Times New Roman" w:hAnsi="Times New Roman"/>
      </w:rPr>
      <w:instrText xml:space="preserve"> PAGE   \* MERGEFORMAT </w:instrText>
    </w:r>
    <w:r w:rsidR="00115946" w:rsidRPr="00D71DB0">
      <w:rPr>
        <w:rFonts w:ascii="Times New Roman" w:hAnsi="Times New Roman"/>
      </w:rPr>
      <w:fldChar w:fldCharType="separate"/>
    </w:r>
    <w:r w:rsidR="001D3C84" w:rsidRPr="001D3C84">
      <w:rPr>
        <w:rFonts w:ascii="Times New Roman" w:hAnsi="Times New Roman"/>
        <w:b/>
        <w:bCs/>
        <w:noProof/>
      </w:rPr>
      <w:t>2</w:t>
    </w:r>
    <w:r w:rsidR="00115946" w:rsidRPr="00D71DB0">
      <w:rPr>
        <w:rFonts w:ascii="Times New Roman" w:hAnsi="Times New Roman"/>
        <w:b/>
        <w:bCs/>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0D59"/>
    <w:multiLevelType w:val="hybridMultilevel"/>
    <w:tmpl w:val="70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9141B"/>
    <w:multiLevelType w:val="hybridMultilevel"/>
    <w:tmpl w:val="E376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A0D5E"/>
    <w:multiLevelType w:val="hybridMultilevel"/>
    <w:tmpl w:val="1CB0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481B1B"/>
    <w:multiLevelType w:val="hybridMultilevel"/>
    <w:tmpl w:val="45C6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7A5FAD"/>
    <w:multiLevelType w:val="hybridMultilevel"/>
    <w:tmpl w:val="79287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E3B2A69"/>
    <w:multiLevelType w:val="hybridMultilevel"/>
    <w:tmpl w:val="74E03E12"/>
    <w:lvl w:ilvl="0" w:tplc="A3E03D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647BD"/>
    <w:multiLevelType w:val="hybridMultilevel"/>
    <w:tmpl w:val="84C06278"/>
    <w:lvl w:ilvl="0" w:tplc="4D564D22">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0DE3676"/>
    <w:multiLevelType w:val="hybridMultilevel"/>
    <w:tmpl w:val="2EE0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53312"/>
    <w:multiLevelType w:val="hybridMultilevel"/>
    <w:tmpl w:val="B860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2"/>
  </w:num>
  <w:num w:numId="5">
    <w:abstractNumId w:val="4"/>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drawingGridHorizontalSpacing w:val="23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D4"/>
    <w:rsid w:val="00000C69"/>
    <w:rsid w:val="00001444"/>
    <w:rsid w:val="000032D8"/>
    <w:rsid w:val="00004026"/>
    <w:rsid w:val="0000417B"/>
    <w:rsid w:val="000049EE"/>
    <w:rsid w:val="00005BAE"/>
    <w:rsid w:val="0001039C"/>
    <w:rsid w:val="000134D5"/>
    <w:rsid w:val="000146D8"/>
    <w:rsid w:val="00024157"/>
    <w:rsid w:val="00024878"/>
    <w:rsid w:val="000252CD"/>
    <w:rsid w:val="0002536B"/>
    <w:rsid w:val="00027F4C"/>
    <w:rsid w:val="00031CEC"/>
    <w:rsid w:val="00032085"/>
    <w:rsid w:val="00042989"/>
    <w:rsid w:val="0004365A"/>
    <w:rsid w:val="000463A4"/>
    <w:rsid w:val="00047FB1"/>
    <w:rsid w:val="0005110F"/>
    <w:rsid w:val="00051688"/>
    <w:rsid w:val="00053095"/>
    <w:rsid w:val="00055034"/>
    <w:rsid w:val="000613EF"/>
    <w:rsid w:val="00062B87"/>
    <w:rsid w:val="000647E9"/>
    <w:rsid w:val="000648BA"/>
    <w:rsid w:val="00065AB0"/>
    <w:rsid w:val="00066672"/>
    <w:rsid w:val="000707C6"/>
    <w:rsid w:val="00070E74"/>
    <w:rsid w:val="000715D6"/>
    <w:rsid w:val="00073E0B"/>
    <w:rsid w:val="00075BE5"/>
    <w:rsid w:val="00080612"/>
    <w:rsid w:val="00080AE7"/>
    <w:rsid w:val="00082F83"/>
    <w:rsid w:val="00083579"/>
    <w:rsid w:val="00083ABE"/>
    <w:rsid w:val="00084C1A"/>
    <w:rsid w:val="00085C0D"/>
    <w:rsid w:val="00087178"/>
    <w:rsid w:val="00090661"/>
    <w:rsid w:val="00092874"/>
    <w:rsid w:val="00092C4D"/>
    <w:rsid w:val="00094FB2"/>
    <w:rsid w:val="000A0A63"/>
    <w:rsid w:val="000A2F45"/>
    <w:rsid w:val="000A4740"/>
    <w:rsid w:val="000A6720"/>
    <w:rsid w:val="000A760E"/>
    <w:rsid w:val="000B023B"/>
    <w:rsid w:val="000B1071"/>
    <w:rsid w:val="000B25EE"/>
    <w:rsid w:val="000B73A7"/>
    <w:rsid w:val="000C08E9"/>
    <w:rsid w:val="000C0AA1"/>
    <w:rsid w:val="000C347B"/>
    <w:rsid w:val="000C74A9"/>
    <w:rsid w:val="000C7BF8"/>
    <w:rsid w:val="000D0BE2"/>
    <w:rsid w:val="000D1556"/>
    <w:rsid w:val="000D4705"/>
    <w:rsid w:val="000D514F"/>
    <w:rsid w:val="000D5D17"/>
    <w:rsid w:val="000E3D29"/>
    <w:rsid w:val="000E4C33"/>
    <w:rsid w:val="000F145A"/>
    <w:rsid w:val="000F22CF"/>
    <w:rsid w:val="000F6910"/>
    <w:rsid w:val="000F7F8F"/>
    <w:rsid w:val="00100C69"/>
    <w:rsid w:val="00106FCF"/>
    <w:rsid w:val="00107C37"/>
    <w:rsid w:val="00110738"/>
    <w:rsid w:val="00115946"/>
    <w:rsid w:val="00115A88"/>
    <w:rsid w:val="00115C9B"/>
    <w:rsid w:val="001178E9"/>
    <w:rsid w:val="00125531"/>
    <w:rsid w:val="0012588F"/>
    <w:rsid w:val="0013194A"/>
    <w:rsid w:val="00131AA3"/>
    <w:rsid w:val="001338F0"/>
    <w:rsid w:val="00135C11"/>
    <w:rsid w:val="0013754B"/>
    <w:rsid w:val="00141DD6"/>
    <w:rsid w:val="00141F95"/>
    <w:rsid w:val="0014637F"/>
    <w:rsid w:val="00147938"/>
    <w:rsid w:val="00147E2B"/>
    <w:rsid w:val="00153538"/>
    <w:rsid w:val="001573C1"/>
    <w:rsid w:val="001577D6"/>
    <w:rsid w:val="001632AE"/>
    <w:rsid w:val="00163CAA"/>
    <w:rsid w:val="001655BD"/>
    <w:rsid w:val="00167117"/>
    <w:rsid w:val="00172E66"/>
    <w:rsid w:val="00172E94"/>
    <w:rsid w:val="001807F5"/>
    <w:rsid w:val="00180AA5"/>
    <w:rsid w:val="00182878"/>
    <w:rsid w:val="0018437A"/>
    <w:rsid w:val="00185D5A"/>
    <w:rsid w:val="00185DCD"/>
    <w:rsid w:val="001862F4"/>
    <w:rsid w:val="0019206A"/>
    <w:rsid w:val="00193117"/>
    <w:rsid w:val="0019327E"/>
    <w:rsid w:val="00194ED4"/>
    <w:rsid w:val="001979D6"/>
    <w:rsid w:val="001A0D90"/>
    <w:rsid w:val="001A1E14"/>
    <w:rsid w:val="001B0174"/>
    <w:rsid w:val="001B0C45"/>
    <w:rsid w:val="001B33BA"/>
    <w:rsid w:val="001B4A20"/>
    <w:rsid w:val="001B6291"/>
    <w:rsid w:val="001C5AB1"/>
    <w:rsid w:val="001C603D"/>
    <w:rsid w:val="001C64E5"/>
    <w:rsid w:val="001C729D"/>
    <w:rsid w:val="001D39C2"/>
    <w:rsid w:val="001D3C84"/>
    <w:rsid w:val="001D62CB"/>
    <w:rsid w:val="001D67B2"/>
    <w:rsid w:val="001D7E33"/>
    <w:rsid w:val="001E205C"/>
    <w:rsid w:val="001E3E41"/>
    <w:rsid w:val="001E5041"/>
    <w:rsid w:val="001E6235"/>
    <w:rsid w:val="001F2BFE"/>
    <w:rsid w:val="001F332E"/>
    <w:rsid w:val="002005C7"/>
    <w:rsid w:val="00200C21"/>
    <w:rsid w:val="0020124A"/>
    <w:rsid w:val="00202325"/>
    <w:rsid w:val="00202F6B"/>
    <w:rsid w:val="002103A2"/>
    <w:rsid w:val="0021472C"/>
    <w:rsid w:val="0021728E"/>
    <w:rsid w:val="00217D75"/>
    <w:rsid w:val="00222875"/>
    <w:rsid w:val="00225105"/>
    <w:rsid w:val="002331C4"/>
    <w:rsid w:val="002350F1"/>
    <w:rsid w:val="00245EB2"/>
    <w:rsid w:val="00252997"/>
    <w:rsid w:val="00253D16"/>
    <w:rsid w:val="00253FB2"/>
    <w:rsid w:val="002546FB"/>
    <w:rsid w:val="002547AA"/>
    <w:rsid w:val="00261767"/>
    <w:rsid w:val="00263B7B"/>
    <w:rsid w:val="00265361"/>
    <w:rsid w:val="00266010"/>
    <w:rsid w:val="002704F9"/>
    <w:rsid w:val="00271269"/>
    <w:rsid w:val="00275E7D"/>
    <w:rsid w:val="00291C91"/>
    <w:rsid w:val="002A0EBE"/>
    <w:rsid w:val="002A14AC"/>
    <w:rsid w:val="002A5B29"/>
    <w:rsid w:val="002A651F"/>
    <w:rsid w:val="002B266B"/>
    <w:rsid w:val="002B2EDC"/>
    <w:rsid w:val="002B33D0"/>
    <w:rsid w:val="002B4901"/>
    <w:rsid w:val="002B58B6"/>
    <w:rsid w:val="002B613E"/>
    <w:rsid w:val="002B6EAD"/>
    <w:rsid w:val="002B781C"/>
    <w:rsid w:val="002C039A"/>
    <w:rsid w:val="002C0BB9"/>
    <w:rsid w:val="002C2D96"/>
    <w:rsid w:val="002C2F55"/>
    <w:rsid w:val="002C3E7F"/>
    <w:rsid w:val="002C50D5"/>
    <w:rsid w:val="002C62C2"/>
    <w:rsid w:val="002C755E"/>
    <w:rsid w:val="002D363D"/>
    <w:rsid w:val="002D4013"/>
    <w:rsid w:val="002D48A7"/>
    <w:rsid w:val="002D6A86"/>
    <w:rsid w:val="002D77DC"/>
    <w:rsid w:val="002D79C4"/>
    <w:rsid w:val="002E5585"/>
    <w:rsid w:val="002E6880"/>
    <w:rsid w:val="002E6CB5"/>
    <w:rsid w:val="002E7615"/>
    <w:rsid w:val="002F10E3"/>
    <w:rsid w:val="002F12E8"/>
    <w:rsid w:val="002F315A"/>
    <w:rsid w:val="002F3B66"/>
    <w:rsid w:val="002F5B02"/>
    <w:rsid w:val="002F67A0"/>
    <w:rsid w:val="00300B25"/>
    <w:rsid w:val="00301B0D"/>
    <w:rsid w:val="00303F44"/>
    <w:rsid w:val="00307EC1"/>
    <w:rsid w:val="00312244"/>
    <w:rsid w:val="003122E8"/>
    <w:rsid w:val="00313A26"/>
    <w:rsid w:val="00314A3D"/>
    <w:rsid w:val="00314BF3"/>
    <w:rsid w:val="00315724"/>
    <w:rsid w:val="00327969"/>
    <w:rsid w:val="00330AF6"/>
    <w:rsid w:val="00333356"/>
    <w:rsid w:val="003349C9"/>
    <w:rsid w:val="003352CB"/>
    <w:rsid w:val="003354A5"/>
    <w:rsid w:val="00337CAA"/>
    <w:rsid w:val="003427EF"/>
    <w:rsid w:val="0034793B"/>
    <w:rsid w:val="00350A31"/>
    <w:rsid w:val="00351E5D"/>
    <w:rsid w:val="00354BEC"/>
    <w:rsid w:val="00357FD0"/>
    <w:rsid w:val="003643E6"/>
    <w:rsid w:val="003651AB"/>
    <w:rsid w:val="0036649E"/>
    <w:rsid w:val="003706D2"/>
    <w:rsid w:val="00376404"/>
    <w:rsid w:val="00383C48"/>
    <w:rsid w:val="00393C14"/>
    <w:rsid w:val="00394B44"/>
    <w:rsid w:val="00395B19"/>
    <w:rsid w:val="0039749C"/>
    <w:rsid w:val="003A2B01"/>
    <w:rsid w:val="003A45E8"/>
    <w:rsid w:val="003A4B81"/>
    <w:rsid w:val="003A69F4"/>
    <w:rsid w:val="003A7B87"/>
    <w:rsid w:val="003B3041"/>
    <w:rsid w:val="003C2C50"/>
    <w:rsid w:val="003D01B5"/>
    <w:rsid w:val="003D1610"/>
    <w:rsid w:val="003D2A7D"/>
    <w:rsid w:val="003D4316"/>
    <w:rsid w:val="003D6117"/>
    <w:rsid w:val="003D622B"/>
    <w:rsid w:val="003D73DF"/>
    <w:rsid w:val="003E131C"/>
    <w:rsid w:val="003E20DA"/>
    <w:rsid w:val="003F185F"/>
    <w:rsid w:val="003F34DC"/>
    <w:rsid w:val="003F6819"/>
    <w:rsid w:val="00403D27"/>
    <w:rsid w:val="0040527D"/>
    <w:rsid w:val="0040650D"/>
    <w:rsid w:val="004108E1"/>
    <w:rsid w:val="004126C1"/>
    <w:rsid w:val="0041656E"/>
    <w:rsid w:val="0042379C"/>
    <w:rsid w:val="00425C91"/>
    <w:rsid w:val="00426BD9"/>
    <w:rsid w:val="004306D3"/>
    <w:rsid w:val="00430EC9"/>
    <w:rsid w:val="004313F9"/>
    <w:rsid w:val="0043179B"/>
    <w:rsid w:val="00432485"/>
    <w:rsid w:val="00434E75"/>
    <w:rsid w:val="00435A2C"/>
    <w:rsid w:val="00436041"/>
    <w:rsid w:val="00440627"/>
    <w:rsid w:val="00442E6B"/>
    <w:rsid w:val="00443171"/>
    <w:rsid w:val="00444889"/>
    <w:rsid w:val="00445363"/>
    <w:rsid w:val="00450E4B"/>
    <w:rsid w:val="00452EFF"/>
    <w:rsid w:val="00455517"/>
    <w:rsid w:val="0045584E"/>
    <w:rsid w:val="00462170"/>
    <w:rsid w:val="004635F9"/>
    <w:rsid w:val="00464ADB"/>
    <w:rsid w:val="004663A4"/>
    <w:rsid w:val="00466D07"/>
    <w:rsid w:val="004675C3"/>
    <w:rsid w:val="00473174"/>
    <w:rsid w:val="004737E8"/>
    <w:rsid w:val="00473D6E"/>
    <w:rsid w:val="00475D1A"/>
    <w:rsid w:val="00480A1F"/>
    <w:rsid w:val="004820FF"/>
    <w:rsid w:val="00487CC0"/>
    <w:rsid w:val="00490D87"/>
    <w:rsid w:val="00491F57"/>
    <w:rsid w:val="004A61E0"/>
    <w:rsid w:val="004A630B"/>
    <w:rsid w:val="004B375D"/>
    <w:rsid w:val="004B6018"/>
    <w:rsid w:val="004C208D"/>
    <w:rsid w:val="004C291F"/>
    <w:rsid w:val="004C2A79"/>
    <w:rsid w:val="004C5BF8"/>
    <w:rsid w:val="004C6E86"/>
    <w:rsid w:val="004D20C2"/>
    <w:rsid w:val="004D3995"/>
    <w:rsid w:val="004E3118"/>
    <w:rsid w:val="004E5B25"/>
    <w:rsid w:val="004E656C"/>
    <w:rsid w:val="004E76CD"/>
    <w:rsid w:val="004F206F"/>
    <w:rsid w:val="004F3EDF"/>
    <w:rsid w:val="004F5E70"/>
    <w:rsid w:val="004F77C5"/>
    <w:rsid w:val="0050254E"/>
    <w:rsid w:val="00504A1A"/>
    <w:rsid w:val="00505B2E"/>
    <w:rsid w:val="00506A14"/>
    <w:rsid w:val="00507190"/>
    <w:rsid w:val="00507B02"/>
    <w:rsid w:val="005116AE"/>
    <w:rsid w:val="00514BC8"/>
    <w:rsid w:val="0051508E"/>
    <w:rsid w:val="00515C78"/>
    <w:rsid w:val="00515D3C"/>
    <w:rsid w:val="005203E0"/>
    <w:rsid w:val="005206B7"/>
    <w:rsid w:val="0052219C"/>
    <w:rsid w:val="00525133"/>
    <w:rsid w:val="0052663B"/>
    <w:rsid w:val="00530903"/>
    <w:rsid w:val="005309D1"/>
    <w:rsid w:val="00531C43"/>
    <w:rsid w:val="00535473"/>
    <w:rsid w:val="0053616A"/>
    <w:rsid w:val="00536C83"/>
    <w:rsid w:val="00537FE7"/>
    <w:rsid w:val="00542867"/>
    <w:rsid w:val="00544521"/>
    <w:rsid w:val="00544E52"/>
    <w:rsid w:val="0054549D"/>
    <w:rsid w:val="005458D8"/>
    <w:rsid w:val="00547AE2"/>
    <w:rsid w:val="0055328D"/>
    <w:rsid w:val="005545DA"/>
    <w:rsid w:val="00554D27"/>
    <w:rsid w:val="005561C9"/>
    <w:rsid w:val="00556274"/>
    <w:rsid w:val="0055632B"/>
    <w:rsid w:val="00561300"/>
    <w:rsid w:val="00561970"/>
    <w:rsid w:val="00563B3E"/>
    <w:rsid w:val="00564DE0"/>
    <w:rsid w:val="005706B5"/>
    <w:rsid w:val="005779A3"/>
    <w:rsid w:val="005815C5"/>
    <w:rsid w:val="005818EC"/>
    <w:rsid w:val="00581DD9"/>
    <w:rsid w:val="00583197"/>
    <w:rsid w:val="00585015"/>
    <w:rsid w:val="00585F99"/>
    <w:rsid w:val="005904CD"/>
    <w:rsid w:val="00590FB1"/>
    <w:rsid w:val="00591205"/>
    <w:rsid w:val="00594083"/>
    <w:rsid w:val="005972A0"/>
    <w:rsid w:val="005A35FB"/>
    <w:rsid w:val="005A437D"/>
    <w:rsid w:val="005A49D1"/>
    <w:rsid w:val="005A72ED"/>
    <w:rsid w:val="005B193E"/>
    <w:rsid w:val="005B218E"/>
    <w:rsid w:val="005B25D8"/>
    <w:rsid w:val="005B33C9"/>
    <w:rsid w:val="005B5733"/>
    <w:rsid w:val="005B63E1"/>
    <w:rsid w:val="005B79FE"/>
    <w:rsid w:val="005B7F38"/>
    <w:rsid w:val="005C08E7"/>
    <w:rsid w:val="005C0940"/>
    <w:rsid w:val="005C20A1"/>
    <w:rsid w:val="005C3996"/>
    <w:rsid w:val="005C5E5A"/>
    <w:rsid w:val="005C6048"/>
    <w:rsid w:val="005C7D9E"/>
    <w:rsid w:val="005D1B54"/>
    <w:rsid w:val="005D37B4"/>
    <w:rsid w:val="005E0163"/>
    <w:rsid w:val="005E1E7D"/>
    <w:rsid w:val="005E2920"/>
    <w:rsid w:val="005E49D4"/>
    <w:rsid w:val="005E5281"/>
    <w:rsid w:val="005E5350"/>
    <w:rsid w:val="005F0CA2"/>
    <w:rsid w:val="005F276E"/>
    <w:rsid w:val="005F304F"/>
    <w:rsid w:val="005F38CD"/>
    <w:rsid w:val="005F40D4"/>
    <w:rsid w:val="005F7963"/>
    <w:rsid w:val="00601295"/>
    <w:rsid w:val="006022B4"/>
    <w:rsid w:val="006025A7"/>
    <w:rsid w:val="0060419C"/>
    <w:rsid w:val="006045C5"/>
    <w:rsid w:val="006056B6"/>
    <w:rsid w:val="00605A9C"/>
    <w:rsid w:val="00611A06"/>
    <w:rsid w:val="00613EE9"/>
    <w:rsid w:val="00623E8D"/>
    <w:rsid w:val="00624292"/>
    <w:rsid w:val="00625D95"/>
    <w:rsid w:val="0063022A"/>
    <w:rsid w:val="006302A6"/>
    <w:rsid w:val="0063156E"/>
    <w:rsid w:val="006315B0"/>
    <w:rsid w:val="00631F60"/>
    <w:rsid w:val="006322F8"/>
    <w:rsid w:val="0063544E"/>
    <w:rsid w:val="00635EA6"/>
    <w:rsid w:val="0063728C"/>
    <w:rsid w:val="00637A5E"/>
    <w:rsid w:val="0064120B"/>
    <w:rsid w:val="00644D63"/>
    <w:rsid w:val="00645C10"/>
    <w:rsid w:val="00647A5F"/>
    <w:rsid w:val="006522BE"/>
    <w:rsid w:val="00653CE8"/>
    <w:rsid w:val="00654A4B"/>
    <w:rsid w:val="00655682"/>
    <w:rsid w:val="00661614"/>
    <w:rsid w:val="00661BE0"/>
    <w:rsid w:val="00665E50"/>
    <w:rsid w:val="00665F53"/>
    <w:rsid w:val="0066684A"/>
    <w:rsid w:val="00666E43"/>
    <w:rsid w:val="00673854"/>
    <w:rsid w:val="0068089B"/>
    <w:rsid w:val="00681968"/>
    <w:rsid w:val="00682FBB"/>
    <w:rsid w:val="00685E90"/>
    <w:rsid w:val="00686580"/>
    <w:rsid w:val="00687B15"/>
    <w:rsid w:val="00690479"/>
    <w:rsid w:val="00691449"/>
    <w:rsid w:val="006918DE"/>
    <w:rsid w:val="00694488"/>
    <w:rsid w:val="00695656"/>
    <w:rsid w:val="00696848"/>
    <w:rsid w:val="006A65F4"/>
    <w:rsid w:val="006A6F68"/>
    <w:rsid w:val="006B0C9E"/>
    <w:rsid w:val="006B3B7D"/>
    <w:rsid w:val="006B4382"/>
    <w:rsid w:val="006C080E"/>
    <w:rsid w:val="006C1C4B"/>
    <w:rsid w:val="006C7CE9"/>
    <w:rsid w:val="006D293E"/>
    <w:rsid w:val="006D2E44"/>
    <w:rsid w:val="006D48F9"/>
    <w:rsid w:val="006D661C"/>
    <w:rsid w:val="006D78F8"/>
    <w:rsid w:val="006E01AA"/>
    <w:rsid w:val="006E558C"/>
    <w:rsid w:val="006E74F6"/>
    <w:rsid w:val="006F22F3"/>
    <w:rsid w:val="006F348E"/>
    <w:rsid w:val="006F7E8C"/>
    <w:rsid w:val="00701D26"/>
    <w:rsid w:val="00702FA9"/>
    <w:rsid w:val="0070532A"/>
    <w:rsid w:val="007076B9"/>
    <w:rsid w:val="007115CF"/>
    <w:rsid w:val="00711F0D"/>
    <w:rsid w:val="00712C6E"/>
    <w:rsid w:val="0071666B"/>
    <w:rsid w:val="007172E5"/>
    <w:rsid w:val="00717832"/>
    <w:rsid w:val="00722653"/>
    <w:rsid w:val="00725FC5"/>
    <w:rsid w:val="00730DF9"/>
    <w:rsid w:val="007324B6"/>
    <w:rsid w:val="007335A3"/>
    <w:rsid w:val="007337A7"/>
    <w:rsid w:val="0073434C"/>
    <w:rsid w:val="007351DD"/>
    <w:rsid w:val="00736BC5"/>
    <w:rsid w:val="00736F81"/>
    <w:rsid w:val="00740846"/>
    <w:rsid w:val="007413D1"/>
    <w:rsid w:val="00742A77"/>
    <w:rsid w:val="00744D4E"/>
    <w:rsid w:val="00746C2B"/>
    <w:rsid w:val="00746CFC"/>
    <w:rsid w:val="00751431"/>
    <w:rsid w:val="007547A6"/>
    <w:rsid w:val="00754D06"/>
    <w:rsid w:val="0075703C"/>
    <w:rsid w:val="0076422B"/>
    <w:rsid w:val="007642A4"/>
    <w:rsid w:val="00764CDE"/>
    <w:rsid w:val="00765F70"/>
    <w:rsid w:val="0076724D"/>
    <w:rsid w:val="0077390E"/>
    <w:rsid w:val="00773DBA"/>
    <w:rsid w:val="00774DF4"/>
    <w:rsid w:val="00776AF5"/>
    <w:rsid w:val="007817E9"/>
    <w:rsid w:val="00781F23"/>
    <w:rsid w:val="00785233"/>
    <w:rsid w:val="007933C9"/>
    <w:rsid w:val="00793E6F"/>
    <w:rsid w:val="00795FC2"/>
    <w:rsid w:val="007974BE"/>
    <w:rsid w:val="007A4059"/>
    <w:rsid w:val="007A5D49"/>
    <w:rsid w:val="007B4FA9"/>
    <w:rsid w:val="007B7813"/>
    <w:rsid w:val="007C16A0"/>
    <w:rsid w:val="007C4E81"/>
    <w:rsid w:val="007C5A87"/>
    <w:rsid w:val="007C67F5"/>
    <w:rsid w:val="007C6B98"/>
    <w:rsid w:val="007D77B4"/>
    <w:rsid w:val="007E093A"/>
    <w:rsid w:val="007E1188"/>
    <w:rsid w:val="007E320F"/>
    <w:rsid w:val="007E603E"/>
    <w:rsid w:val="007E6A36"/>
    <w:rsid w:val="007E6FAE"/>
    <w:rsid w:val="007F4590"/>
    <w:rsid w:val="007F49DF"/>
    <w:rsid w:val="007F6A0E"/>
    <w:rsid w:val="00800154"/>
    <w:rsid w:val="008012C2"/>
    <w:rsid w:val="00803841"/>
    <w:rsid w:val="00805546"/>
    <w:rsid w:val="00805955"/>
    <w:rsid w:val="00806E08"/>
    <w:rsid w:val="00806FBD"/>
    <w:rsid w:val="00811290"/>
    <w:rsid w:val="008121F7"/>
    <w:rsid w:val="00813553"/>
    <w:rsid w:val="008149E6"/>
    <w:rsid w:val="008167A5"/>
    <w:rsid w:val="00817100"/>
    <w:rsid w:val="00817D2F"/>
    <w:rsid w:val="00830117"/>
    <w:rsid w:val="008310E0"/>
    <w:rsid w:val="00831C75"/>
    <w:rsid w:val="0083231E"/>
    <w:rsid w:val="00837115"/>
    <w:rsid w:val="00837122"/>
    <w:rsid w:val="00846146"/>
    <w:rsid w:val="0084696A"/>
    <w:rsid w:val="00851F0D"/>
    <w:rsid w:val="0085217E"/>
    <w:rsid w:val="00854E3A"/>
    <w:rsid w:val="00855FAE"/>
    <w:rsid w:val="00861762"/>
    <w:rsid w:val="00862239"/>
    <w:rsid w:val="00863165"/>
    <w:rsid w:val="0086324F"/>
    <w:rsid w:val="00864A22"/>
    <w:rsid w:val="00865B1D"/>
    <w:rsid w:val="0086642F"/>
    <w:rsid w:val="00866710"/>
    <w:rsid w:val="008715FA"/>
    <w:rsid w:val="00871F6B"/>
    <w:rsid w:val="00874235"/>
    <w:rsid w:val="00881390"/>
    <w:rsid w:val="00882E6D"/>
    <w:rsid w:val="008858AC"/>
    <w:rsid w:val="00890664"/>
    <w:rsid w:val="008938CD"/>
    <w:rsid w:val="008958B5"/>
    <w:rsid w:val="00895C65"/>
    <w:rsid w:val="00895D4D"/>
    <w:rsid w:val="00897C6D"/>
    <w:rsid w:val="008A1372"/>
    <w:rsid w:val="008A3734"/>
    <w:rsid w:val="008A657A"/>
    <w:rsid w:val="008A7450"/>
    <w:rsid w:val="008B34F8"/>
    <w:rsid w:val="008B41EC"/>
    <w:rsid w:val="008B48D4"/>
    <w:rsid w:val="008B544C"/>
    <w:rsid w:val="008B6FCF"/>
    <w:rsid w:val="008C036A"/>
    <w:rsid w:val="008C201F"/>
    <w:rsid w:val="008C239C"/>
    <w:rsid w:val="008C5A89"/>
    <w:rsid w:val="008C5BA1"/>
    <w:rsid w:val="008C652A"/>
    <w:rsid w:val="008C7F11"/>
    <w:rsid w:val="008D2052"/>
    <w:rsid w:val="008D3BCB"/>
    <w:rsid w:val="008D60F2"/>
    <w:rsid w:val="008D6E5A"/>
    <w:rsid w:val="008E179F"/>
    <w:rsid w:val="008F0B53"/>
    <w:rsid w:val="008F0D07"/>
    <w:rsid w:val="008F22A2"/>
    <w:rsid w:val="008F3A39"/>
    <w:rsid w:val="008F48C1"/>
    <w:rsid w:val="008F5E79"/>
    <w:rsid w:val="00900BCC"/>
    <w:rsid w:val="00901CA3"/>
    <w:rsid w:val="00901D43"/>
    <w:rsid w:val="009038A6"/>
    <w:rsid w:val="00905101"/>
    <w:rsid w:val="00905591"/>
    <w:rsid w:val="009079A4"/>
    <w:rsid w:val="009102BE"/>
    <w:rsid w:val="00912D00"/>
    <w:rsid w:val="00913471"/>
    <w:rsid w:val="00916B18"/>
    <w:rsid w:val="00916E3C"/>
    <w:rsid w:val="00921CC7"/>
    <w:rsid w:val="00924C30"/>
    <w:rsid w:val="00925AEF"/>
    <w:rsid w:val="009307B1"/>
    <w:rsid w:val="00931BE0"/>
    <w:rsid w:val="00932440"/>
    <w:rsid w:val="00932A38"/>
    <w:rsid w:val="00935604"/>
    <w:rsid w:val="00936D8C"/>
    <w:rsid w:val="0094013D"/>
    <w:rsid w:val="00940530"/>
    <w:rsid w:val="009416E6"/>
    <w:rsid w:val="00941AF3"/>
    <w:rsid w:val="00943678"/>
    <w:rsid w:val="009476CA"/>
    <w:rsid w:val="0095156E"/>
    <w:rsid w:val="00955A56"/>
    <w:rsid w:val="00956B71"/>
    <w:rsid w:val="0095745C"/>
    <w:rsid w:val="00957555"/>
    <w:rsid w:val="00961A84"/>
    <w:rsid w:val="00962113"/>
    <w:rsid w:val="00966F54"/>
    <w:rsid w:val="0096741E"/>
    <w:rsid w:val="009727DE"/>
    <w:rsid w:val="00972A40"/>
    <w:rsid w:val="00975D81"/>
    <w:rsid w:val="009764EB"/>
    <w:rsid w:val="00981481"/>
    <w:rsid w:val="00982875"/>
    <w:rsid w:val="00984618"/>
    <w:rsid w:val="00984775"/>
    <w:rsid w:val="00991971"/>
    <w:rsid w:val="009A09B5"/>
    <w:rsid w:val="009A13F6"/>
    <w:rsid w:val="009A4D29"/>
    <w:rsid w:val="009A608F"/>
    <w:rsid w:val="009A7EC2"/>
    <w:rsid w:val="009B1894"/>
    <w:rsid w:val="009B1C84"/>
    <w:rsid w:val="009B63E0"/>
    <w:rsid w:val="009B65A1"/>
    <w:rsid w:val="009C3349"/>
    <w:rsid w:val="009C57E2"/>
    <w:rsid w:val="009C630F"/>
    <w:rsid w:val="009C73D9"/>
    <w:rsid w:val="009C7D71"/>
    <w:rsid w:val="009D0A46"/>
    <w:rsid w:val="009D1084"/>
    <w:rsid w:val="009D3488"/>
    <w:rsid w:val="009D5F1F"/>
    <w:rsid w:val="009D616E"/>
    <w:rsid w:val="009E1F38"/>
    <w:rsid w:val="009E49C4"/>
    <w:rsid w:val="009E58B1"/>
    <w:rsid w:val="009E5D55"/>
    <w:rsid w:val="009E7161"/>
    <w:rsid w:val="009E7505"/>
    <w:rsid w:val="009F06C7"/>
    <w:rsid w:val="009F4A3A"/>
    <w:rsid w:val="009F74E0"/>
    <w:rsid w:val="009F7DCA"/>
    <w:rsid w:val="00A00393"/>
    <w:rsid w:val="00A0273B"/>
    <w:rsid w:val="00A03AC3"/>
    <w:rsid w:val="00A05A01"/>
    <w:rsid w:val="00A05A47"/>
    <w:rsid w:val="00A0671B"/>
    <w:rsid w:val="00A06CA8"/>
    <w:rsid w:val="00A07931"/>
    <w:rsid w:val="00A0796E"/>
    <w:rsid w:val="00A07F01"/>
    <w:rsid w:val="00A10618"/>
    <w:rsid w:val="00A114BB"/>
    <w:rsid w:val="00A13120"/>
    <w:rsid w:val="00A1407E"/>
    <w:rsid w:val="00A14D46"/>
    <w:rsid w:val="00A17822"/>
    <w:rsid w:val="00A23218"/>
    <w:rsid w:val="00A237EA"/>
    <w:rsid w:val="00A238FE"/>
    <w:rsid w:val="00A25636"/>
    <w:rsid w:val="00A33018"/>
    <w:rsid w:val="00A35098"/>
    <w:rsid w:val="00A35EB4"/>
    <w:rsid w:val="00A35F32"/>
    <w:rsid w:val="00A37CBB"/>
    <w:rsid w:val="00A41098"/>
    <w:rsid w:val="00A45B60"/>
    <w:rsid w:val="00A46644"/>
    <w:rsid w:val="00A471CF"/>
    <w:rsid w:val="00A515CE"/>
    <w:rsid w:val="00A52770"/>
    <w:rsid w:val="00A52B83"/>
    <w:rsid w:val="00A549C4"/>
    <w:rsid w:val="00A638DA"/>
    <w:rsid w:val="00A66A21"/>
    <w:rsid w:val="00A66B06"/>
    <w:rsid w:val="00A70E13"/>
    <w:rsid w:val="00A712EB"/>
    <w:rsid w:val="00A724DD"/>
    <w:rsid w:val="00A73FB8"/>
    <w:rsid w:val="00A74B6B"/>
    <w:rsid w:val="00A76F89"/>
    <w:rsid w:val="00A77F55"/>
    <w:rsid w:val="00A818D0"/>
    <w:rsid w:val="00A82770"/>
    <w:rsid w:val="00A83F09"/>
    <w:rsid w:val="00A84C2A"/>
    <w:rsid w:val="00A86AF3"/>
    <w:rsid w:val="00A87202"/>
    <w:rsid w:val="00A9020C"/>
    <w:rsid w:val="00A91612"/>
    <w:rsid w:val="00A91F85"/>
    <w:rsid w:val="00A96859"/>
    <w:rsid w:val="00A97560"/>
    <w:rsid w:val="00AA02EC"/>
    <w:rsid w:val="00AA7CDB"/>
    <w:rsid w:val="00AB1A82"/>
    <w:rsid w:val="00AB3323"/>
    <w:rsid w:val="00AB397C"/>
    <w:rsid w:val="00AC1843"/>
    <w:rsid w:val="00AC2E71"/>
    <w:rsid w:val="00AC3B13"/>
    <w:rsid w:val="00AC4418"/>
    <w:rsid w:val="00AC6931"/>
    <w:rsid w:val="00AC7839"/>
    <w:rsid w:val="00AD2ACC"/>
    <w:rsid w:val="00AD7A5A"/>
    <w:rsid w:val="00AE195C"/>
    <w:rsid w:val="00AF175B"/>
    <w:rsid w:val="00AF34BC"/>
    <w:rsid w:val="00AF5537"/>
    <w:rsid w:val="00B0180B"/>
    <w:rsid w:val="00B02A73"/>
    <w:rsid w:val="00B06A29"/>
    <w:rsid w:val="00B06CA9"/>
    <w:rsid w:val="00B075D6"/>
    <w:rsid w:val="00B07AF1"/>
    <w:rsid w:val="00B10A18"/>
    <w:rsid w:val="00B10B6E"/>
    <w:rsid w:val="00B15452"/>
    <w:rsid w:val="00B23F76"/>
    <w:rsid w:val="00B257F8"/>
    <w:rsid w:val="00B26D2F"/>
    <w:rsid w:val="00B27E03"/>
    <w:rsid w:val="00B30107"/>
    <w:rsid w:val="00B317E2"/>
    <w:rsid w:val="00B335F6"/>
    <w:rsid w:val="00B341B0"/>
    <w:rsid w:val="00B3450B"/>
    <w:rsid w:val="00B359AF"/>
    <w:rsid w:val="00B40B90"/>
    <w:rsid w:val="00B40DDA"/>
    <w:rsid w:val="00B4322E"/>
    <w:rsid w:val="00B469F8"/>
    <w:rsid w:val="00B56F73"/>
    <w:rsid w:val="00B57BCA"/>
    <w:rsid w:val="00B57C0A"/>
    <w:rsid w:val="00B62427"/>
    <w:rsid w:val="00B626B1"/>
    <w:rsid w:val="00B63A94"/>
    <w:rsid w:val="00B6513E"/>
    <w:rsid w:val="00B66A94"/>
    <w:rsid w:val="00B678A1"/>
    <w:rsid w:val="00B67B41"/>
    <w:rsid w:val="00B7293D"/>
    <w:rsid w:val="00B82621"/>
    <w:rsid w:val="00B83112"/>
    <w:rsid w:val="00B8378D"/>
    <w:rsid w:val="00B86C17"/>
    <w:rsid w:val="00B9123F"/>
    <w:rsid w:val="00B91753"/>
    <w:rsid w:val="00B92CD8"/>
    <w:rsid w:val="00B971D5"/>
    <w:rsid w:val="00BA0E06"/>
    <w:rsid w:val="00BA1216"/>
    <w:rsid w:val="00BA48FD"/>
    <w:rsid w:val="00BA4E44"/>
    <w:rsid w:val="00BA66E5"/>
    <w:rsid w:val="00BA7B8D"/>
    <w:rsid w:val="00BB0939"/>
    <w:rsid w:val="00BB4D90"/>
    <w:rsid w:val="00BB5620"/>
    <w:rsid w:val="00BB5B31"/>
    <w:rsid w:val="00BC2C83"/>
    <w:rsid w:val="00BC3A90"/>
    <w:rsid w:val="00BC3F1B"/>
    <w:rsid w:val="00BC4929"/>
    <w:rsid w:val="00BC4AC8"/>
    <w:rsid w:val="00BC6E13"/>
    <w:rsid w:val="00BC7834"/>
    <w:rsid w:val="00BD1088"/>
    <w:rsid w:val="00BD1233"/>
    <w:rsid w:val="00BD32DF"/>
    <w:rsid w:val="00BD4C90"/>
    <w:rsid w:val="00BD6A51"/>
    <w:rsid w:val="00BD6E82"/>
    <w:rsid w:val="00BE1F5C"/>
    <w:rsid w:val="00BE48E4"/>
    <w:rsid w:val="00BE502E"/>
    <w:rsid w:val="00BE51AD"/>
    <w:rsid w:val="00BE758C"/>
    <w:rsid w:val="00BF0821"/>
    <w:rsid w:val="00BF383F"/>
    <w:rsid w:val="00BF61D1"/>
    <w:rsid w:val="00BF665F"/>
    <w:rsid w:val="00C010CC"/>
    <w:rsid w:val="00C04111"/>
    <w:rsid w:val="00C068A4"/>
    <w:rsid w:val="00C17CB4"/>
    <w:rsid w:val="00C21D1F"/>
    <w:rsid w:val="00C21D20"/>
    <w:rsid w:val="00C22F67"/>
    <w:rsid w:val="00C27C17"/>
    <w:rsid w:val="00C30F19"/>
    <w:rsid w:val="00C35400"/>
    <w:rsid w:val="00C36CB7"/>
    <w:rsid w:val="00C426C9"/>
    <w:rsid w:val="00C42A1D"/>
    <w:rsid w:val="00C4605E"/>
    <w:rsid w:val="00C46432"/>
    <w:rsid w:val="00C46CEA"/>
    <w:rsid w:val="00C47C59"/>
    <w:rsid w:val="00C504FC"/>
    <w:rsid w:val="00C513A7"/>
    <w:rsid w:val="00C5159A"/>
    <w:rsid w:val="00C51E00"/>
    <w:rsid w:val="00C52CA4"/>
    <w:rsid w:val="00C542A2"/>
    <w:rsid w:val="00C5516E"/>
    <w:rsid w:val="00C61132"/>
    <w:rsid w:val="00C61882"/>
    <w:rsid w:val="00C6195A"/>
    <w:rsid w:val="00C636FA"/>
    <w:rsid w:val="00C63C55"/>
    <w:rsid w:val="00C64F73"/>
    <w:rsid w:val="00C658A1"/>
    <w:rsid w:val="00C713F9"/>
    <w:rsid w:val="00C73673"/>
    <w:rsid w:val="00C73691"/>
    <w:rsid w:val="00C76E85"/>
    <w:rsid w:val="00C77158"/>
    <w:rsid w:val="00C806F8"/>
    <w:rsid w:val="00C80BDF"/>
    <w:rsid w:val="00C845C5"/>
    <w:rsid w:val="00C84AAA"/>
    <w:rsid w:val="00C91BC9"/>
    <w:rsid w:val="00C9202B"/>
    <w:rsid w:val="00C92E7D"/>
    <w:rsid w:val="00C94353"/>
    <w:rsid w:val="00C944EA"/>
    <w:rsid w:val="00C95A55"/>
    <w:rsid w:val="00C97617"/>
    <w:rsid w:val="00CA4314"/>
    <w:rsid w:val="00CB278D"/>
    <w:rsid w:val="00CC051E"/>
    <w:rsid w:val="00CC0F3C"/>
    <w:rsid w:val="00CC429A"/>
    <w:rsid w:val="00CC4D15"/>
    <w:rsid w:val="00CC5D85"/>
    <w:rsid w:val="00CC7145"/>
    <w:rsid w:val="00CD3D62"/>
    <w:rsid w:val="00CE1F79"/>
    <w:rsid w:val="00CE4295"/>
    <w:rsid w:val="00CE4854"/>
    <w:rsid w:val="00CE4B2F"/>
    <w:rsid w:val="00CE6601"/>
    <w:rsid w:val="00CF3D6A"/>
    <w:rsid w:val="00CF4C44"/>
    <w:rsid w:val="00D02E54"/>
    <w:rsid w:val="00D04505"/>
    <w:rsid w:val="00D0660C"/>
    <w:rsid w:val="00D07B26"/>
    <w:rsid w:val="00D10C73"/>
    <w:rsid w:val="00D11F2B"/>
    <w:rsid w:val="00D162E7"/>
    <w:rsid w:val="00D16FC4"/>
    <w:rsid w:val="00D20D35"/>
    <w:rsid w:val="00D225E4"/>
    <w:rsid w:val="00D242B9"/>
    <w:rsid w:val="00D25B19"/>
    <w:rsid w:val="00D25D1B"/>
    <w:rsid w:val="00D3041B"/>
    <w:rsid w:val="00D333EF"/>
    <w:rsid w:val="00D376E0"/>
    <w:rsid w:val="00D37992"/>
    <w:rsid w:val="00D417F2"/>
    <w:rsid w:val="00D41BB9"/>
    <w:rsid w:val="00D443CF"/>
    <w:rsid w:val="00D4442C"/>
    <w:rsid w:val="00D44EF4"/>
    <w:rsid w:val="00D47367"/>
    <w:rsid w:val="00D50BDF"/>
    <w:rsid w:val="00D515B5"/>
    <w:rsid w:val="00D57E8B"/>
    <w:rsid w:val="00D6520C"/>
    <w:rsid w:val="00D65768"/>
    <w:rsid w:val="00D67537"/>
    <w:rsid w:val="00D67AEC"/>
    <w:rsid w:val="00D70031"/>
    <w:rsid w:val="00D71DB0"/>
    <w:rsid w:val="00D7351A"/>
    <w:rsid w:val="00D76BB8"/>
    <w:rsid w:val="00D76C7A"/>
    <w:rsid w:val="00D83D00"/>
    <w:rsid w:val="00D84467"/>
    <w:rsid w:val="00D92C21"/>
    <w:rsid w:val="00D95A6A"/>
    <w:rsid w:val="00DA07C7"/>
    <w:rsid w:val="00DA0DBA"/>
    <w:rsid w:val="00DA3785"/>
    <w:rsid w:val="00DA635A"/>
    <w:rsid w:val="00DB6612"/>
    <w:rsid w:val="00DB6B67"/>
    <w:rsid w:val="00DC2118"/>
    <w:rsid w:val="00DC261E"/>
    <w:rsid w:val="00DC2EF4"/>
    <w:rsid w:val="00DC7994"/>
    <w:rsid w:val="00DD0202"/>
    <w:rsid w:val="00DD2A47"/>
    <w:rsid w:val="00DD49D3"/>
    <w:rsid w:val="00DD7437"/>
    <w:rsid w:val="00DD79E9"/>
    <w:rsid w:val="00DE111B"/>
    <w:rsid w:val="00DE1FC2"/>
    <w:rsid w:val="00DE5316"/>
    <w:rsid w:val="00DE6922"/>
    <w:rsid w:val="00DE76E9"/>
    <w:rsid w:val="00DF4D7B"/>
    <w:rsid w:val="00DF6965"/>
    <w:rsid w:val="00E02DA9"/>
    <w:rsid w:val="00E050C6"/>
    <w:rsid w:val="00E10DC4"/>
    <w:rsid w:val="00E13DE5"/>
    <w:rsid w:val="00E16602"/>
    <w:rsid w:val="00E17BA0"/>
    <w:rsid w:val="00E244D3"/>
    <w:rsid w:val="00E26B06"/>
    <w:rsid w:val="00E31676"/>
    <w:rsid w:val="00E35094"/>
    <w:rsid w:val="00E3578E"/>
    <w:rsid w:val="00E36697"/>
    <w:rsid w:val="00E4216F"/>
    <w:rsid w:val="00E425DE"/>
    <w:rsid w:val="00E42C01"/>
    <w:rsid w:val="00E44EC2"/>
    <w:rsid w:val="00E4698F"/>
    <w:rsid w:val="00E50628"/>
    <w:rsid w:val="00E51AE7"/>
    <w:rsid w:val="00E5341E"/>
    <w:rsid w:val="00E534F7"/>
    <w:rsid w:val="00E550D7"/>
    <w:rsid w:val="00E5716D"/>
    <w:rsid w:val="00E57E2A"/>
    <w:rsid w:val="00E61DF7"/>
    <w:rsid w:val="00E7004F"/>
    <w:rsid w:val="00E7116C"/>
    <w:rsid w:val="00E7337B"/>
    <w:rsid w:val="00E74060"/>
    <w:rsid w:val="00E745FF"/>
    <w:rsid w:val="00E77754"/>
    <w:rsid w:val="00E81776"/>
    <w:rsid w:val="00E82DFC"/>
    <w:rsid w:val="00E84699"/>
    <w:rsid w:val="00E8627E"/>
    <w:rsid w:val="00E86B56"/>
    <w:rsid w:val="00E872C2"/>
    <w:rsid w:val="00E87C4F"/>
    <w:rsid w:val="00E94980"/>
    <w:rsid w:val="00E95C0A"/>
    <w:rsid w:val="00E95FA7"/>
    <w:rsid w:val="00E97E36"/>
    <w:rsid w:val="00EA0FF7"/>
    <w:rsid w:val="00EA66EC"/>
    <w:rsid w:val="00EB198A"/>
    <w:rsid w:val="00EB33A3"/>
    <w:rsid w:val="00EB4427"/>
    <w:rsid w:val="00EB6027"/>
    <w:rsid w:val="00EC1BC4"/>
    <w:rsid w:val="00EC20B7"/>
    <w:rsid w:val="00EC3C4C"/>
    <w:rsid w:val="00EC6B4B"/>
    <w:rsid w:val="00EC6B4E"/>
    <w:rsid w:val="00ED2F79"/>
    <w:rsid w:val="00ED3C52"/>
    <w:rsid w:val="00ED3F8F"/>
    <w:rsid w:val="00ED3FC8"/>
    <w:rsid w:val="00ED4630"/>
    <w:rsid w:val="00EE03BC"/>
    <w:rsid w:val="00EE184D"/>
    <w:rsid w:val="00EE2823"/>
    <w:rsid w:val="00EE5FA9"/>
    <w:rsid w:val="00EF10DC"/>
    <w:rsid w:val="00EF3C4A"/>
    <w:rsid w:val="00EF43F8"/>
    <w:rsid w:val="00EF4B50"/>
    <w:rsid w:val="00EF6F1C"/>
    <w:rsid w:val="00EF77C1"/>
    <w:rsid w:val="00F0220A"/>
    <w:rsid w:val="00F022A1"/>
    <w:rsid w:val="00F024F3"/>
    <w:rsid w:val="00F04CD6"/>
    <w:rsid w:val="00F06024"/>
    <w:rsid w:val="00F11B7F"/>
    <w:rsid w:val="00F1214D"/>
    <w:rsid w:val="00F12CD3"/>
    <w:rsid w:val="00F14D54"/>
    <w:rsid w:val="00F20FB1"/>
    <w:rsid w:val="00F21026"/>
    <w:rsid w:val="00F24CF4"/>
    <w:rsid w:val="00F24E0F"/>
    <w:rsid w:val="00F263A2"/>
    <w:rsid w:val="00F273A1"/>
    <w:rsid w:val="00F30B7D"/>
    <w:rsid w:val="00F31B3A"/>
    <w:rsid w:val="00F3622D"/>
    <w:rsid w:val="00F36285"/>
    <w:rsid w:val="00F36515"/>
    <w:rsid w:val="00F36FB7"/>
    <w:rsid w:val="00F376E1"/>
    <w:rsid w:val="00F41A11"/>
    <w:rsid w:val="00F42E6D"/>
    <w:rsid w:val="00F456ED"/>
    <w:rsid w:val="00F516E6"/>
    <w:rsid w:val="00F53ECC"/>
    <w:rsid w:val="00F55835"/>
    <w:rsid w:val="00F55DC7"/>
    <w:rsid w:val="00F57AF0"/>
    <w:rsid w:val="00F57F27"/>
    <w:rsid w:val="00F62FF3"/>
    <w:rsid w:val="00F65094"/>
    <w:rsid w:val="00F65A4F"/>
    <w:rsid w:val="00F70F6C"/>
    <w:rsid w:val="00F715EA"/>
    <w:rsid w:val="00F725D0"/>
    <w:rsid w:val="00F73973"/>
    <w:rsid w:val="00F7526F"/>
    <w:rsid w:val="00F752C0"/>
    <w:rsid w:val="00F75956"/>
    <w:rsid w:val="00F76960"/>
    <w:rsid w:val="00F770CD"/>
    <w:rsid w:val="00F779D6"/>
    <w:rsid w:val="00F809E6"/>
    <w:rsid w:val="00F854A4"/>
    <w:rsid w:val="00F868D3"/>
    <w:rsid w:val="00F908ED"/>
    <w:rsid w:val="00F915D8"/>
    <w:rsid w:val="00F92651"/>
    <w:rsid w:val="00F94937"/>
    <w:rsid w:val="00F96CA1"/>
    <w:rsid w:val="00F972A9"/>
    <w:rsid w:val="00F97C01"/>
    <w:rsid w:val="00F97E89"/>
    <w:rsid w:val="00FA0A08"/>
    <w:rsid w:val="00FA131B"/>
    <w:rsid w:val="00FA7BA9"/>
    <w:rsid w:val="00FB1F46"/>
    <w:rsid w:val="00FB2669"/>
    <w:rsid w:val="00FB2E79"/>
    <w:rsid w:val="00FB3BD2"/>
    <w:rsid w:val="00FB4354"/>
    <w:rsid w:val="00FB48D3"/>
    <w:rsid w:val="00FB4B19"/>
    <w:rsid w:val="00FB4B62"/>
    <w:rsid w:val="00FB56EF"/>
    <w:rsid w:val="00FC32C8"/>
    <w:rsid w:val="00FC42F7"/>
    <w:rsid w:val="00FC7D5C"/>
    <w:rsid w:val="00FD36E7"/>
    <w:rsid w:val="00FD3FCD"/>
    <w:rsid w:val="00FD5163"/>
    <w:rsid w:val="00FD7324"/>
    <w:rsid w:val="00FE01F3"/>
    <w:rsid w:val="00FE18AF"/>
    <w:rsid w:val="00FE57D5"/>
    <w:rsid w:val="00FE62C1"/>
    <w:rsid w:val="00FF084A"/>
    <w:rsid w:val="00FF4B4F"/>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F9"/>
    <w:pPr>
      <w:spacing w:after="120" w:line="264" w:lineRule="auto"/>
    </w:pPr>
    <w:rPr>
      <w:rFonts w:ascii="Times New Roman" w:eastAsia="Times New Roman" w:hAnsi="Times New Roman"/>
      <w:spacing w:val="-5"/>
      <w:sz w:val="24"/>
      <w:szCs w:val="24"/>
    </w:rPr>
  </w:style>
  <w:style w:type="paragraph" w:styleId="Heading1">
    <w:name w:val="heading 1"/>
    <w:basedOn w:val="Normal"/>
    <w:next w:val="Normal"/>
    <w:link w:val="Heading1Char"/>
    <w:uiPriority w:val="9"/>
    <w:qFormat/>
    <w:rsid w:val="004F206F"/>
    <w:pPr>
      <w:outlineLvl w:val="0"/>
    </w:pPr>
    <w:rPr>
      <w:b/>
      <w:kern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ED4"/>
    <w:pPr>
      <w:keepLines/>
      <w:tabs>
        <w:tab w:val="center" w:pos="4320"/>
        <w:tab w:val="right" w:pos="8640"/>
      </w:tabs>
      <w:spacing w:after="600" w:line="180" w:lineRule="atLeast"/>
      <w:jc w:val="both"/>
    </w:pPr>
    <w:rPr>
      <w:rFonts w:ascii="Arial" w:hAnsi="Arial"/>
      <w:sz w:val="20"/>
      <w:szCs w:val="20"/>
    </w:rPr>
  </w:style>
  <w:style w:type="character" w:customStyle="1" w:styleId="HeaderChar">
    <w:name w:val="Header Char"/>
    <w:link w:val="Header"/>
    <w:uiPriority w:val="99"/>
    <w:rsid w:val="00194ED4"/>
    <w:rPr>
      <w:rFonts w:ascii="Arial" w:eastAsia="Times New Roman" w:hAnsi="Arial" w:cs="Times New Roman"/>
      <w:spacing w:val="-5"/>
      <w:sz w:val="20"/>
      <w:szCs w:val="20"/>
    </w:rPr>
  </w:style>
  <w:style w:type="character" w:styleId="PageNumber">
    <w:name w:val="page number"/>
    <w:rsid w:val="00194ED4"/>
    <w:rPr>
      <w:sz w:val="18"/>
    </w:rPr>
  </w:style>
  <w:style w:type="paragraph" w:styleId="FootnoteText">
    <w:name w:val="footnote text"/>
    <w:basedOn w:val="Normal"/>
    <w:link w:val="FootnoteTextChar"/>
    <w:semiHidden/>
    <w:rsid w:val="00194ED4"/>
    <w:rPr>
      <w:rFonts w:ascii="Palatino Linotype" w:hAnsi="Palatino Linotype"/>
      <w:spacing w:val="0"/>
      <w:sz w:val="20"/>
    </w:rPr>
  </w:style>
  <w:style w:type="character" w:customStyle="1" w:styleId="FootnoteTextChar">
    <w:name w:val="Footnote Text Char"/>
    <w:link w:val="FootnoteText"/>
    <w:semiHidden/>
    <w:rsid w:val="00194ED4"/>
    <w:rPr>
      <w:rFonts w:ascii="Palatino Linotype" w:eastAsia="Times New Roman" w:hAnsi="Palatino Linotype" w:cs="Times New Roman"/>
      <w:sz w:val="20"/>
      <w:szCs w:val="24"/>
    </w:rPr>
  </w:style>
  <w:style w:type="character" w:styleId="FootnoteReference">
    <w:name w:val="footnote reference"/>
    <w:semiHidden/>
    <w:rsid w:val="00194ED4"/>
    <w:rPr>
      <w:vertAlign w:val="superscript"/>
    </w:rPr>
  </w:style>
  <w:style w:type="paragraph" w:styleId="BodyText3">
    <w:name w:val="Body Text 3"/>
    <w:basedOn w:val="Normal"/>
    <w:link w:val="BodyText3Char"/>
    <w:rsid w:val="00194ED4"/>
    <w:rPr>
      <w:rFonts w:ascii="Palatino Linotype" w:hAnsi="Palatino Linotype"/>
      <w:i/>
      <w:iCs/>
      <w:spacing w:val="0"/>
    </w:rPr>
  </w:style>
  <w:style w:type="character" w:customStyle="1" w:styleId="BodyText3Char">
    <w:name w:val="Body Text 3 Char"/>
    <w:link w:val="BodyText3"/>
    <w:rsid w:val="00194ED4"/>
    <w:rPr>
      <w:rFonts w:ascii="Palatino Linotype" w:eastAsia="Times New Roman" w:hAnsi="Palatino Linotype" w:cs="Times New Roman"/>
      <w:i/>
      <w:iCs/>
      <w:sz w:val="24"/>
      <w:szCs w:val="24"/>
    </w:rPr>
  </w:style>
  <w:style w:type="paragraph" w:styleId="Title">
    <w:name w:val="Title"/>
    <w:basedOn w:val="Normal"/>
    <w:link w:val="TitleChar"/>
    <w:qFormat/>
    <w:rsid w:val="004313F9"/>
    <w:pPr>
      <w:jc w:val="center"/>
    </w:pPr>
    <w:rPr>
      <w:b/>
      <w:bCs/>
      <w:spacing w:val="0"/>
      <w:kern w:val="24"/>
    </w:rPr>
  </w:style>
  <w:style w:type="character" w:customStyle="1" w:styleId="TitleChar">
    <w:name w:val="Title Char"/>
    <w:link w:val="Title"/>
    <w:rsid w:val="004313F9"/>
    <w:rPr>
      <w:rFonts w:ascii="Times New Roman" w:eastAsia="Times New Roman" w:hAnsi="Times New Roman"/>
      <w:b/>
      <w:bCs/>
      <w:kern w:val="24"/>
      <w:sz w:val="24"/>
      <w:szCs w:val="24"/>
    </w:rPr>
  </w:style>
  <w:style w:type="paragraph" w:styleId="Footer">
    <w:name w:val="footer"/>
    <w:basedOn w:val="Normal"/>
    <w:link w:val="FooterChar"/>
    <w:uiPriority w:val="99"/>
    <w:unhideWhenUsed/>
    <w:rsid w:val="0021472C"/>
    <w:pPr>
      <w:tabs>
        <w:tab w:val="center" w:pos="4680"/>
        <w:tab w:val="right" w:pos="9360"/>
      </w:tabs>
    </w:pPr>
    <w:rPr>
      <w:rFonts w:ascii="Arial" w:hAnsi="Arial"/>
      <w:sz w:val="20"/>
      <w:szCs w:val="20"/>
    </w:rPr>
  </w:style>
  <w:style w:type="character" w:customStyle="1" w:styleId="FooterChar">
    <w:name w:val="Footer Char"/>
    <w:link w:val="Footer"/>
    <w:uiPriority w:val="99"/>
    <w:rsid w:val="0021472C"/>
    <w:rPr>
      <w:rFonts w:ascii="Arial" w:eastAsia="Times New Roman" w:hAnsi="Arial"/>
      <w:spacing w:val="-5"/>
    </w:rPr>
  </w:style>
  <w:style w:type="paragraph" w:customStyle="1" w:styleId="footnote">
    <w:name w:val="footnote"/>
    <w:basedOn w:val="FootnoteText"/>
    <w:link w:val="footnoteChar"/>
    <w:qFormat/>
    <w:rsid w:val="00AA02EC"/>
    <w:rPr>
      <w:rFonts w:ascii="Times New Roman" w:hAnsi="Times New Roman"/>
    </w:rPr>
  </w:style>
  <w:style w:type="character" w:customStyle="1" w:styleId="Heading1Char">
    <w:name w:val="Heading 1 Char"/>
    <w:link w:val="Heading1"/>
    <w:uiPriority w:val="9"/>
    <w:rsid w:val="004F206F"/>
    <w:rPr>
      <w:rFonts w:ascii="Times New Roman" w:eastAsia="Times New Roman" w:hAnsi="Times New Roman"/>
      <w:b/>
      <w:spacing w:val="-5"/>
      <w:kern w:val="24"/>
      <w:sz w:val="24"/>
      <w:szCs w:val="24"/>
      <w:u w:val="single"/>
    </w:rPr>
  </w:style>
  <w:style w:type="character" w:customStyle="1" w:styleId="footnoteChar">
    <w:name w:val="footnote Char"/>
    <w:link w:val="footnote"/>
    <w:rsid w:val="00AA02EC"/>
    <w:rPr>
      <w:rFonts w:ascii="Times New Roman" w:eastAsia="Times New Roman" w:hAnsi="Times New Roman" w:cs="Times New Roman"/>
      <w:sz w:val="20"/>
      <w:szCs w:val="24"/>
    </w:rPr>
  </w:style>
  <w:style w:type="character" w:styleId="CommentReference">
    <w:name w:val="annotation reference"/>
    <w:uiPriority w:val="99"/>
    <w:semiHidden/>
    <w:unhideWhenUsed/>
    <w:rsid w:val="00051688"/>
    <w:rPr>
      <w:sz w:val="16"/>
      <w:szCs w:val="16"/>
    </w:rPr>
  </w:style>
  <w:style w:type="paragraph" w:styleId="CommentText">
    <w:name w:val="annotation text"/>
    <w:basedOn w:val="Normal"/>
    <w:link w:val="CommentTextChar"/>
    <w:uiPriority w:val="99"/>
    <w:semiHidden/>
    <w:unhideWhenUsed/>
    <w:rsid w:val="00051688"/>
    <w:rPr>
      <w:sz w:val="20"/>
      <w:szCs w:val="20"/>
    </w:rPr>
  </w:style>
  <w:style w:type="character" w:customStyle="1" w:styleId="CommentTextChar">
    <w:name w:val="Comment Text Char"/>
    <w:link w:val="CommentText"/>
    <w:uiPriority w:val="99"/>
    <w:semiHidden/>
    <w:rsid w:val="00051688"/>
    <w:rPr>
      <w:rFonts w:ascii="Times New Roman" w:eastAsia="Times New Roman" w:hAnsi="Times New Roman"/>
      <w:spacing w:val="-5"/>
    </w:rPr>
  </w:style>
  <w:style w:type="paragraph" w:styleId="CommentSubject">
    <w:name w:val="annotation subject"/>
    <w:basedOn w:val="CommentText"/>
    <w:next w:val="CommentText"/>
    <w:link w:val="CommentSubjectChar"/>
    <w:uiPriority w:val="99"/>
    <w:semiHidden/>
    <w:unhideWhenUsed/>
    <w:rsid w:val="00051688"/>
    <w:rPr>
      <w:b/>
      <w:bCs/>
    </w:rPr>
  </w:style>
  <w:style w:type="character" w:customStyle="1" w:styleId="CommentSubjectChar">
    <w:name w:val="Comment Subject Char"/>
    <w:link w:val="CommentSubject"/>
    <w:uiPriority w:val="99"/>
    <w:semiHidden/>
    <w:rsid w:val="00051688"/>
    <w:rPr>
      <w:rFonts w:ascii="Times New Roman" w:eastAsia="Times New Roman" w:hAnsi="Times New Roman"/>
      <w:b/>
      <w:bCs/>
      <w:spacing w:val="-5"/>
    </w:rPr>
  </w:style>
  <w:style w:type="paragraph" w:styleId="BalloonText">
    <w:name w:val="Balloon Text"/>
    <w:basedOn w:val="Normal"/>
    <w:link w:val="BalloonTextChar"/>
    <w:uiPriority w:val="99"/>
    <w:semiHidden/>
    <w:unhideWhenUsed/>
    <w:rsid w:val="0005168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51688"/>
    <w:rPr>
      <w:rFonts w:ascii="Tahoma" w:eastAsia="Times New Roman" w:hAnsi="Tahoma" w:cs="Tahoma"/>
      <w:spacing w:val="-5"/>
      <w:sz w:val="16"/>
      <w:szCs w:val="16"/>
    </w:rPr>
  </w:style>
  <w:style w:type="paragraph" w:styleId="EndnoteText">
    <w:name w:val="endnote text"/>
    <w:basedOn w:val="Normal"/>
    <w:link w:val="EndnoteTextChar"/>
    <w:uiPriority w:val="99"/>
    <w:semiHidden/>
    <w:unhideWhenUsed/>
    <w:rsid w:val="006025A7"/>
    <w:rPr>
      <w:sz w:val="20"/>
      <w:szCs w:val="20"/>
    </w:rPr>
  </w:style>
  <w:style w:type="character" w:customStyle="1" w:styleId="EndnoteTextChar">
    <w:name w:val="Endnote Text Char"/>
    <w:link w:val="EndnoteText"/>
    <w:uiPriority w:val="99"/>
    <w:semiHidden/>
    <w:rsid w:val="006025A7"/>
    <w:rPr>
      <w:rFonts w:ascii="Times New Roman" w:eastAsia="Times New Roman" w:hAnsi="Times New Roman"/>
      <w:spacing w:val="-5"/>
    </w:rPr>
  </w:style>
  <w:style w:type="character" w:styleId="EndnoteReference">
    <w:name w:val="endnote reference"/>
    <w:uiPriority w:val="99"/>
    <w:semiHidden/>
    <w:unhideWhenUsed/>
    <w:rsid w:val="006025A7"/>
    <w:rPr>
      <w:vertAlign w:val="superscript"/>
    </w:rPr>
  </w:style>
  <w:style w:type="paragraph" w:styleId="NoSpacing">
    <w:name w:val="No Spacing"/>
    <w:uiPriority w:val="1"/>
    <w:qFormat/>
    <w:rsid w:val="009E49C4"/>
    <w:rPr>
      <w:rFonts w:ascii="Times New Roman" w:eastAsia="Times New Roman" w:hAnsi="Times New Roman"/>
      <w:spacing w:val="-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F9"/>
    <w:pPr>
      <w:spacing w:after="120" w:line="264" w:lineRule="auto"/>
    </w:pPr>
    <w:rPr>
      <w:rFonts w:ascii="Times New Roman" w:eastAsia="Times New Roman" w:hAnsi="Times New Roman"/>
      <w:spacing w:val="-5"/>
      <w:sz w:val="24"/>
      <w:szCs w:val="24"/>
    </w:rPr>
  </w:style>
  <w:style w:type="paragraph" w:styleId="Heading1">
    <w:name w:val="heading 1"/>
    <w:basedOn w:val="Normal"/>
    <w:next w:val="Normal"/>
    <w:link w:val="Heading1Char"/>
    <w:uiPriority w:val="9"/>
    <w:qFormat/>
    <w:rsid w:val="004F206F"/>
    <w:pPr>
      <w:outlineLvl w:val="0"/>
    </w:pPr>
    <w:rPr>
      <w:b/>
      <w:kern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ED4"/>
    <w:pPr>
      <w:keepLines/>
      <w:tabs>
        <w:tab w:val="center" w:pos="4320"/>
        <w:tab w:val="right" w:pos="8640"/>
      </w:tabs>
      <w:spacing w:after="600" w:line="180" w:lineRule="atLeast"/>
      <w:jc w:val="both"/>
    </w:pPr>
    <w:rPr>
      <w:rFonts w:ascii="Arial" w:hAnsi="Arial"/>
      <w:sz w:val="20"/>
      <w:szCs w:val="20"/>
    </w:rPr>
  </w:style>
  <w:style w:type="character" w:customStyle="1" w:styleId="HeaderChar">
    <w:name w:val="Header Char"/>
    <w:link w:val="Header"/>
    <w:uiPriority w:val="99"/>
    <w:rsid w:val="00194ED4"/>
    <w:rPr>
      <w:rFonts w:ascii="Arial" w:eastAsia="Times New Roman" w:hAnsi="Arial" w:cs="Times New Roman"/>
      <w:spacing w:val="-5"/>
      <w:sz w:val="20"/>
      <w:szCs w:val="20"/>
    </w:rPr>
  </w:style>
  <w:style w:type="character" w:styleId="PageNumber">
    <w:name w:val="page number"/>
    <w:rsid w:val="00194ED4"/>
    <w:rPr>
      <w:sz w:val="18"/>
    </w:rPr>
  </w:style>
  <w:style w:type="paragraph" w:styleId="FootnoteText">
    <w:name w:val="footnote text"/>
    <w:basedOn w:val="Normal"/>
    <w:link w:val="FootnoteTextChar"/>
    <w:semiHidden/>
    <w:rsid w:val="00194ED4"/>
    <w:rPr>
      <w:rFonts w:ascii="Palatino Linotype" w:hAnsi="Palatino Linotype"/>
      <w:spacing w:val="0"/>
      <w:sz w:val="20"/>
    </w:rPr>
  </w:style>
  <w:style w:type="character" w:customStyle="1" w:styleId="FootnoteTextChar">
    <w:name w:val="Footnote Text Char"/>
    <w:link w:val="FootnoteText"/>
    <w:semiHidden/>
    <w:rsid w:val="00194ED4"/>
    <w:rPr>
      <w:rFonts w:ascii="Palatino Linotype" w:eastAsia="Times New Roman" w:hAnsi="Palatino Linotype" w:cs="Times New Roman"/>
      <w:sz w:val="20"/>
      <w:szCs w:val="24"/>
    </w:rPr>
  </w:style>
  <w:style w:type="character" w:styleId="FootnoteReference">
    <w:name w:val="footnote reference"/>
    <w:semiHidden/>
    <w:rsid w:val="00194ED4"/>
    <w:rPr>
      <w:vertAlign w:val="superscript"/>
    </w:rPr>
  </w:style>
  <w:style w:type="paragraph" w:styleId="BodyText3">
    <w:name w:val="Body Text 3"/>
    <w:basedOn w:val="Normal"/>
    <w:link w:val="BodyText3Char"/>
    <w:rsid w:val="00194ED4"/>
    <w:rPr>
      <w:rFonts w:ascii="Palatino Linotype" w:hAnsi="Palatino Linotype"/>
      <w:i/>
      <w:iCs/>
      <w:spacing w:val="0"/>
    </w:rPr>
  </w:style>
  <w:style w:type="character" w:customStyle="1" w:styleId="BodyText3Char">
    <w:name w:val="Body Text 3 Char"/>
    <w:link w:val="BodyText3"/>
    <w:rsid w:val="00194ED4"/>
    <w:rPr>
      <w:rFonts w:ascii="Palatino Linotype" w:eastAsia="Times New Roman" w:hAnsi="Palatino Linotype" w:cs="Times New Roman"/>
      <w:i/>
      <w:iCs/>
      <w:sz w:val="24"/>
      <w:szCs w:val="24"/>
    </w:rPr>
  </w:style>
  <w:style w:type="paragraph" w:styleId="Title">
    <w:name w:val="Title"/>
    <w:basedOn w:val="Normal"/>
    <w:link w:val="TitleChar"/>
    <w:qFormat/>
    <w:rsid w:val="004313F9"/>
    <w:pPr>
      <w:jc w:val="center"/>
    </w:pPr>
    <w:rPr>
      <w:b/>
      <w:bCs/>
      <w:spacing w:val="0"/>
      <w:kern w:val="24"/>
    </w:rPr>
  </w:style>
  <w:style w:type="character" w:customStyle="1" w:styleId="TitleChar">
    <w:name w:val="Title Char"/>
    <w:link w:val="Title"/>
    <w:rsid w:val="004313F9"/>
    <w:rPr>
      <w:rFonts w:ascii="Times New Roman" w:eastAsia="Times New Roman" w:hAnsi="Times New Roman"/>
      <w:b/>
      <w:bCs/>
      <w:kern w:val="24"/>
      <w:sz w:val="24"/>
      <w:szCs w:val="24"/>
    </w:rPr>
  </w:style>
  <w:style w:type="paragraph" w:styleId="Footer">
    <w:name w:val="footer"/>
    <w:basedOn w:val="Normal"/>
    <w:link w:val="FooterChar"/>
    <w:uiPriority w:val="99"/>
    <w:unhideWhenUsed/>
    <w:rsid w:val="0021472C"/>
    <w:pPr>
      <w:tabs>
        <w:tab w:val="center" w:pos="4680"/>
        <w:tab w:val="right" w:pos="9360"/>
      </w:tabs>
    </w:pPr>
    <w:rPr>
      <w:rFonts w:ascii="Arial" w:hAnsi="Arial"/>
      <w:sz w:val="20"/>
      <w:szCs w:val="20"/>
    </w:rPr>
  </w:style>
  <w:style w:type="character" w:customStyle="1" w:styleId="FooterChar">
    <w:name w:val="Footer Char"/>
    <w:link w:val="Footer"/>
    <w:uiPriority w:val="99"/>
    <w:rsid w:val="0021472C"/>
    <w:rPr>
      <w:rFonts w:ascii="Arial" w:eastAsia="Times New Roman" w:hAnsi="Arial"/>
      <w:spacing w:val="-5"/>
    </w:rPr>
  </w:style>
  <w:style w:type="paragraph" w:customStyle="1" w:styleId="footnote">
    <w:name w:val="footnote"/>
    <w:basedOn w:val="FootnoteText"/>
    <w:link w:val="footnoteChar"/>
    <w:qFormat/>
    <w:rsid w:val="00AA02EC"/>
    <w:rPr>
      <w:rFonts w:ascii="Times New Roman" w:hAnsi="Times New Roman"/>
    </w:rPr>
  </w:style>
  <w:style w:type="character" w:customStyle="1" w:styleId="Heading1Char">
    <w:name w:val="Heading 1 Char"/>
    <w:link w:val="Heading1"/>
    <w:uiPriority w:val="9"/>
    <w:rsid w:val="004F206F"/>
    <w:rPr>
      <w:rFonts w:ascii="Times New Roman" w:eastAsia="Times New Roman" w:hAnsi="Times New Roman"/>
      <w:b/>
      <w:spacing w:val="-5"/>
      <w:kern w:val="24"/>
      <w:sz w:val="24"/>
      <w:szCs w:val="24"/>
      <w:u w:val="single"/>
    </w:rPr>
  </w:style>
  <w:style w:type="character" w:customStyle="1" w:styleId="footnoteChar">
    <w:name w:val="footnote Char"/>
    <w:link w:val="footnote"/>
    <w:rsid w:val="00AA02EC"/>
    <w:rPr>
      <w:rFonts w:ascii="Times New Roman" w:eastAsia="Times New Roman" w:hAnsi="Times New Roman" w:cs="Times New Roman"/>
      <w:sz w:val="20"/>
      <w:szCs w:val="24"/>
    </w:rPr>
  </w:style>
  <w:style w:type="character" w:styleId="CommentReference">
    <w:name w:val="annotation reference"/>
    <w:uiPriority w:val="99"/>
    <w:semiHidden/>
    <w:unhideWhenUsed/>
    <w:rsid w:val="00051688"/>
    <w:rPr>
      <w:sz w:val="16"/>
      <w:szCs w:val="16"/>
    </w:rPr>
  </w:style>
  <w:style w:type="paragraph" w:styleId="CommentText">
    <w:name w:val="annotation text"/>
    <w:basedOn w:val="Normal"/>
    <w:link w:val="CommentTextChar"/>
    <w:uiPriority w:val="99"/>
    <w:semiHidden/>
    <w:unhideWhenUsed/>
    <w:rsid w:val="00051688"/>
    <w:rPr>
      <w:sz w:val="20"/>
      <w:szCs w:val="20"/>
    </w:rPr>
  </w:style>
  <w:style w:type="character" w:customStyle="1" w:styleId="CommentTextChar">
    <w:name w:val="Comment Text Char"/>
    <w:link w:val="CommentText"/>
    <w:uiPriority w:val="99"/>
    <w:semiHidden/>
    <w:rsid w:val="00051688"/>
    <w:rPr>
      <w:rFonts w:ascii="Times New Roman" w:eastAsia="Times New Roman" w:hAnsi="Times New Roman"/>
      <w:spacing w:val="-5"/>
    </w:rPr>
  </w:style>
  <w:style w:type="paragraph" w:styleId="CommentSubject">
    <w:name w:val="annotation subject"/>
    <w:basedOn w:val="CommentText"/>
    <w:next w:val="CommentText"/>
    <w:link w:val="CommentSubjectChar"/>
    <w:uiPriority w:val="99"/>
    <w:semiHidden/>
    <w:unhideWhenUsed/>
    <w:rsid w:val="00051688"/>
    <w:rPr>
      <w:b/>
      <w:bCs/>
    </w:rPr>
  </w:style>
  <w:style w:type="character" w:customStyle="1" w:styleId="CommentSubjectChar">
    <w:name w:val="Comment Subject Char"/>
    <w:link w:val="CommentSubject"/>
    <w:uiPriority w:val="99"/>
    <w:semiHidden/>
    <w:rsid w:val="00051688"/>
    <w:rPr>
      <w:rFonts w:ascii="Times New Roman" w:eastAsia="Times New Roman" w:hAnsi="Times New Roman"/>
      <w:b/>
      <w:bCs/>
      <w:spacing w:val="-5"/>
    </w:rPr>
  </w:style>
  <w:style w:type="paragraph" w:styleId="BalloonText">
    <w:name w:val="Balloon Text"/>
    <w:basedOn w:val="Normal"/>
    <w:link w:val="BalloonTextChar"/>
    <w:uiPriority w:val="99"/>
    <w:semiHidden/>
    <w:unhideWhenUsed/>
    <w:rsid w:val="0005168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51688"/>
    <w:rPr>
      <w:rFonts w:ascii="Tahoma" w:eastAsia="Times New Roman" w:hAnsi="Tahoma" w:cs="Tahoma"/>
      <w:spacing w:val="-5"/>
      <w:sz w:val="16"/>
      <w:szCs w:val="16"/>
    </w:rPr>
  </w:style>
  <w:style w:type="paragraph" w:styleId="EndnoteText">
    <w:name w:val="endnote text"/>
    <w:basedOn w:val="Normal"/>
    <w:link w:val="EndnoteTextChar"/>
    <w:uiPriority w:val="99"/>
    <w:semiHidden/>
    <w:unhideWhenUsed/>
    <w:rsid w:val="006025A7"/>
    <w:rPr>
      <w:sz w:val="20"/>
      <w:szCs w:val="20"/>
    </w:rPr>
  </w:style>
  <w:style w:type="character" w:customStyle="1" w:styleId="EndnoteTextChar">
    <w:name w:val="Endnote Text Char"/>
    <w:link w:val="EndnoteText"/>
    <w:uiPriority w:val="99"/>
    <w:semiHidden/>
    <w:rsid w:val="006025A7"/>
    <w:rPr>
      <w:rFonts w:ascii="Times New Roman" w:eastAsia="Times New Roman" w:hAnsi="Times New Roman"/>
      <w:spacing w:val="-5"/>
    </w:rPr>
  </w:style>
  <w:style w:type="character" w:styleId="EndnoteReference">
    <w:name w:val="endnote reference"/>
    <w:uiPriority w:val="99"/>
    <w:semiHidden/>
    <w:unhideWhenUsed/>
    <w:rsid w:val="006025A7"/>
    <w:rPr>
      <w:vertAlign w:val="superscript"/>
    </w:rPr>
  </w:style>
  <w:style w:type="paragraph" w:styleId="NoSpacing">
    <w:name w:val="No Spacing"/>
    <w:uiPriority w:val="1"/>
    <w:qFormat/>
    <w:rsid w:val="009E49C4"/>
    <w:rPr>
      <w:rFonts w:ascii="Times New Roman" w:eastAsia="Times New Roman" w:hAnsi="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6822">
      <w:bodyDiv w:val="1"/>
      <w:marLeft w:val="0"/>
      <w:marRight w:val="0"/>
      <w:marTop w:val="0"/>
      <w:marBottom w:val="0"/>
      <w:divBdr>
        <w:top w:val="none" w:sz="0" w:space="0" w:color="auto"/>
        <w:left w:val="none" w:sz="0" w:space="0" w:color="auto"/>
        <w:bottom w:val="none" w:sz="0" w:space="0" w:color="auto"/>
        <w:right w:val="none" w:sz="0" w:space="0" w:color="auto"/>
      </w:divBdr>
    </w:div>
    <w:div w:id="470171811">
      <w:bodyDiv w:val="1"/>
      <w:marLeft w:val="0"/>
      <w:marRight w:val="0"/>
      <w:marTop w:val="0"/>
      <w:marBottom w:val="0"/>
      <w:divBdr>
        <w:top w:val="none" w:sz="0" w:space="0" w:color="auto"/>
        <w:left w:val="none" w:sz="0" w:space="0" w:color="auto"/>
        <w:bottom w:val="none" w:sz="0" w:space="0" w:color="auto"/>
        <w:right w:val="none" w:sz="0" w:space="0" w:color="auto"/>
      </w:divBdr>
    </w:div>
    <w:div w:id="595598014">
      <w:bodyDiv w:val="1"/>
      <w:marLeft w:val="0"/>
      <w:marRight w:val="0"/>
      <w:marTop w:val="0"/>
      <w:marBottom w:val="0"/>
      <w:divBdr>
        <w:top w:val="none" w:sz="0" w:space="0" w:color="auto"/>
        <w:left w:val="none" w:sz="0" w:space="0" w:color="auto"/>
        <w:bottom w:val="none" w:sz="0" w:space="0" w:color="auto"/>
        <w:right w:val="none" w:sz="0" w:space="0" w:color="auto"/>
      </w:divBdr>
    </w:div>
    <w:div w:id="828446214">
      <w:bodyDiv w:val="1"/>
      <w:marLeft w:val="0"/>
      <w:marRight w:val="0"/>
      <w:marTop w:val="0"/>
      <w:marBottom w:val="0"/>
      <w:divBdr>
        <w:top w:val="none" w:sz="0" w:space="0" w:color="auto"/>
        <w:left w:val="none" w:sz="0" w:space="0" w:color="auto"/>
        <w:bottom w:val="none" w:sz="0" w:space="0" w:color="auto"/>
        <w:right w:val="none" w:sz="0" w:space="0" w:color="auto"/>
      </w:divBdr>
    </w:div>
    <w:div w:id="1906720259">
      <w:bodyDiv w:val="1"/>
      <w:marLeft w:val="0"/>
      <w:marRight w:val="0"/>
      <w:marTop w:val="0"/>
      <w:marBottom w:val="0"/>
      <w:divBdr>
        <w:top w:val="none" w:sz="0" w:space="0" w:color="auto"/>
        <w:left w:val="none" w:sz="0" w:space="0" w:color="auto"/>
        <w:bottom w:val="none" w:sz="0" w:space="0" w:color="auto"/>
        <w:right w:val="none" w:sz="0" w:space="0" w:color="auto"/>
      </w:divBdr>
    </w:div>
    <w:div w:id="21251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2011-08-31T07:00:00+00:00</OpenedDate>
    <Date1 xmlns="dc463f71-b30c-4ab2-9473-d307f9d35888">2013-02-11T08:00:00+00:00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111588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B0E8F8729F3B49952F88D109072BD9" ma:contentTypeVersion="143" ma:contentTypeDescription="" ma:contentTypeScope="" ma:versionID="ff9b2f94b9e7f6c8592cef859118ab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D1AB5-B394-43E5-A615-617A4A8325DC}"/>
</file>

<file path=customXml/itemProps2.xml><?xml version="1.0" encoding="utf-8"?>
<ds:datastoreItem xmlns:ds="http://schemas.openxmlformats.org/officeDocument/2006/customXml" ds:itemID="{C5F64021-377E-4A83-8F3F-A631C86B346D}"/>
</file>

<file path=customXml/itemProps3.xml><?xml version="1.0" encoding="utf-8"?>
<ds:datastoreItem xmlns:ds="http://schemas.openxmlformats.org/officeDocument/2006/customXml" ds:itemID="{602C3841-690B-4855-B1CE-24055B3FFEBA}"/>
</file>

<file path=customXml/itemProps4.xml><?xml version="1.0" encoding="utf-8"?>
<ds:datastoreItem xmlns:ds="http://schemas.openxmlformats.org/officeDocument/2006/customXml" ds:itemID="{8315F245-C306-46BC-BBA4-CD0784D423CC}"/>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9582</Characters>
  <Application>Microsoft Office Word</Application>
  <DocSecurity>0</DocSecurity>
  <Lines>79</Lines>
  <Paragraphs>22</Paragraphs>
  <ScaleCrop>false</ScaleCrop>
  <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2013-02-11T19:14:00Z</dcterms:created>
  <dcterms:modified xsi:type="dcterms:W3CDTF">2013-02-11T19:14:00Z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0x0101006E56B4D1795A2E4DB2F0B01679ED314A0094B0E8F8729F3B49952F88D109072BD9</vt:lpwstr>
  </property>
  <property fmtid="{D5CDD505-2E9C-101B-9397-08002B2CF9AE}" pid="3" name="_docset_NoMedatataSyncRequired">
    <vt:lpwstr>False</vt:lpwstr>
  </property>
</Properties>
</file>