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E8" w:rsidRDefault="001A2FE8" w:rsidP="006B00E0">
      <w:pPr>
        <w:pStyle w:val="Heading1"/>
        <w:spacing w:before="0"/>
        <w:rPr>
          <w:rFonts w:asciiTheme="minorHAnsi" w:hAnsiTheme="minorHAnsi"/>
        </w:rPr>
      </w:pPr>
    </w:p>
    <w:p w:rsidR="009E5CAB" w:rsidRPr="00081CEC" w:rsidRDefault="004A44BD" w:rsidP="006B00E0">
      <w:pPr>
        <w:pStyle w:val="Heading1"/>
        <w:spacing w:before="0"/>
        <w:rPr>
          <w:rFonts w:asciiTheme="minorHAnsi" w:hAnsiTheme="minorHAnsi"/>
        </w:rPr>
      </w:pPr>
      <w:r w:rsidRPr="00081CEC">
        <w:rPr>
          <w:rFonts w:asciiTheme="minorHAnsi" w:hAnsiTheme="minorHAnsi"/>
        </w:rPr>
        <w:t>Introduction</w:t>
      </w:r>
    </w:p>
    <w:p w:rsidR="00DE4341" w:rsidRPr="00081CEC" w:rsidRDefault="00DE4341" w:rsidP="009D2B60">
      <w:r w:rsidRPr="00081CEC">
        <w:t>NW Natural’s Smart Energy</w:t>
      </w:r>
      <w:r w:rsidRPr="00681396">
        <w:rPr>
          <w:vertAlign w:val="superscript"/>
        </w:rPr>
        <w:t>™</w:t>
      </w:r>
      <w:r w:rsidRPr="00081CEC">
        <w:t xml:space="preserve"> program offers customers an opportunity to offset their natural gas usage by purchasing high-qu</w:t>
      </w:r>
      <w:r w:rsidR="001618AB">
        <w:t xml:space="preserve">ality greenhouse gas offsets.  </w:t>
      </w:r>
      <w:r w:rsidRPr="00081CEC">
        <w:t>The money collected through Smart Energy</w:t>
      </w:r>
      <w:r w:rsidRPr="00681396">
        <w:rPr>
          <w:vertAlign w:val="superscript"/>
        </w:rPr>
        <w:t>™</w:t>
      </w:r>
      <w:r w:rsidRPr="00081CEC">
        <w:t xml:space="preserve"> customer charges are invested in local renewable energy projects </w:t>
      </w:r>
      <w:r w:rsidR="00FB3BA3">
        <w:t xml:space="preserve">— </w:t>
      </w:r>
      <w:r w:rsidRPr="00081CEC">
        <w:t>gener</w:t>
      </w:r>
      <w:r w:rsidR="00FB3BA3">
        <w:t xml:space="preserve">ally regional biogas projects — </w:t>
      </w:r>
      <w:r w:rsidRPr="00081CEC">
        <w:t xml:space="preserve">that will generate carbon offsets.  </w:t>
      </w:r>
    </w:p>
    <w:p w:rsidR="00DE4341" w:rsidRPr="00081CEC" w:rsidRDefault="00DE4341" w:rsidP="009D2B60"/>
    <w:p w:rsidR="00DE4341" w:rsidRPr="00081CEC" w:rsidRDefault="00DE4341" w:rsidP="009D2B60">
      <w:r w:rsidRPr="00081CEC">
        <w:t>In its effort to provide high quality carbon offsets, the Company has partnered with The Climate Trust, a nationally recognize</w:t>
      </w:r>
      <w:r w:rsidR="001618AB">
        <w:t xml:space="preserve">d leader in the carbon market. </w:t>
      </w:r>
      <w:r w:rsidRPr="00081CEC">
        <w:t xml:space="preserve">The Climate Trust </w:t>
      </w:r>
      <w:r w:rsidR="009E7304" w:rsidRPr="00081CEC">
        <w:t>identifies</w:t>
      </w:r>
      <w:r w:rsidRPr="00081CEC">
        <w:t xml:space="preserve"> projects</w:t>
      </w:r>
      <w:r w:rsidR="009E7304" w:rsidRPr="00081CEC">
        <w:t xml:space="preserve"> and contracts for offsets, then</w:t>
      </w:r>
      <w:r w:rsidRPr="00081CEC">
        <w:t xml:space="preserve"> verifies, and retires each Smart Energy</w:t>
      </w:r>
      <w:r w:rsidRPr="00681396">
        <w:rPr>
          <w:vertAlign w:val="superscript"/>
        </w:rPr>
        <w:t>™</w:t>
      </w:r>
      <w:r w:rsidRPr="00081CEC">
        <w:t xml:space="preserve"> offset.</w:t>
      </w:r>
    </w:p>
    <w:p w:rsidR="00DE4341" w:rsidRPr="00081CEC" w:rsidRDefault="00DE4341" w:rsidP="009D2B60"/>
    <w:p w:rsidR="00DE4341" w:rsidRPr="00081CEC" w:rsidRDefault="00DE4341" w:rsidP="009D2B60">
      <w:r w:rsidRPr="00081CEC">
        <w:t xml:space="preserve">According to the terms and conditions of Oregon Schedule 400 and Washington Schedule U, NW Natural herein provides the Public Utility Commission of Oregon (OPUC) and the Washington Utilities and Transportation Commission (WUTC) with an annual report detailing the program’s participation, funds collected, program costs, and The Climate Trust’s offset expenditures for the calendar year </w:t>
      </w:r>
      <w:r w:rsidR="00A15968">
        <w:t>2015</w:t>
      </w:r>
      <w:r w:rsidRPr="00081CEC">
        <w:t xml:space="preserve">. </w:t>
      </w:r>
    </w:p>
    <w:p w:rsidR="006B00E0" w:rsidRPr="00081CEC" w:rsidRDefault="006B00E0" w:rsidP="00DE4341">
      <w:pPr>
        <w:rPr>
          <w:rFonts w:asciiTheme="minorHAnsi" w:hAnsiTheme="minorHAnsi"/>
        </w:rPr>
      </w:pPr>
    </w:p>
    <w:p w:rsidR="00EC6A1A" w:rsidRPr="00081CEC" w:rsidRDefault="00EC6A1A" w:rsidP="006B00E0">
      <w:pPr>
        <w:pStyle w:val="Heading1"/>
        <w:spacing w:before="0"/>
        <w:rPr>
          <w:rFonts w:asciiTheme="minorHAnsi" w:hAnsiTheme="minorHAnsi"/>
        </w:rPr>
      </w:pPr>
      <w:r w:rsidRPr="00081CEC">
        <w:rPr>
          <w:rFonts w:asciiTheme="minorHAnsi" w:hAnsiTheme="minorHAnsi"/>
        </w:rPr>
        <w:t xml:space="preserve">Total Active Enrollments </w:t>
      </w:r>
    </w:p>
    <w:p w:rsidR="00EC6A1A" w:rsidRPr="00081CEC" w:rsidRDefault="00EC6A1A" w:rsidP="009D2B60">
      <w:r w:rsidRPr="00081CEC">
        <w:t xml:space="preserve">As of December 31, </w:t>
      </w:r>
      <w:r w:rsidR="00A15968">
        <w:t>2015</w:t>
      </w:r>
      <w:r w:rsidRPr="00081CEC">
        <w:t xml:space="preserve">, over </w:t>
      </w:r>
      <w:r w:rsidR="00A15968" w:rsidRPr="00081CEC">
        <w:t>2</w:t>
      </w:r>
      <w:r w:rsidR="00A15968">
        <w:t>9</w:t>
      </w:r>
      <w:r w:rsidRPr="00081CEC">
        <w:t xml:space="preserve">,000 customers were enrolled in the program, increasing enrollment by </w:t>
      </w:r>
      <w:r w:rsidR="005034CD">
        <w:t>22</w:t>
      </w:r>
      <w:r w:rsidR="005034CD" w:rsidRPr="00081CEC">
        <w:t xml:space="preserve"> </w:t>
      </w:r>
      <w:r w:rsidR="000E630F" w:rsidRPr="00081CEC">
        <w:t>percent</w:t>
      </w:r>
      <w:r w:rsidR="001618AB">
        <w:t xml:space="preserve"> from the previous year. </w:t>
      </w:r>
      <w:r w:rsidRPr="00081CEC">
        <w:t xml:space="preserve">Of the </w:t>
      </w:r>
      <w:r w:rsidR="00A15968" w:rsidRPr="00081CEC">
        <w:t>2</w:t>
      </w:r>
      <w:r w:rsidR="00A15968">
        <w:t>9,460</w:t>
      </w:r>
      <w:r w:rsidRPr="00081CEC">
        <w:t xml:space="preserve"> active residential customers enrolled, </w:t>
      </w:r>
      <w:r w:rsidR="00A15968">
        <w:t>18,335</w:t>
      </w:r>
      <w:r w:rsidRPr="00081CEC">
        <w:t xml:space="preserve"> or </w:t>
      </w:r>
      <w:r w:rsidR="00A15968">
        <w:t>6</w:t>
      </w:r>
      <w:r w:rsidR="00883D38">
        <w:t>2</w:t>
      </w:r>
      <w:r w:rsidR="00A15968" w:rsidRPr="00081CEC">
        <w:t xml:space="preserve"> </w:t>
      </w:r>
      <w:r w:rsidR="000E630F" w:rsidRPr="00081CEC">
        <w:t>percent</w:t>
      </w:r>
      <w:r w:rsidRPr="00081CEC">
        <w:t xml:space="preserve"> have selected the volumetric option.  </w:t>
      </w:r>
    </w:p>
    <w:p w:rsidR="00EC6A1A" w:rsidRPr="00081CEC" w:rsidRDefault="00EC6A1A" w:rsidP="009D2B60"/>
    <w:p w:rsidR="00D3135C" w:rsidRDefault="00EC6A1A" w:rsidP="00690A04">
      <w:r w:rsidRPr="00081CEC">
        <w:t>Tables 1a</w:t>
      </w:r>
      <w:r w:rsidR="00FF70CA" w:rsidRPr="00081CEC">
        <w:t xml:space="preserve"> and 1</w:t>
      </w:r>
      <w:r w:rsidRPr="00081CEC">
        <w:t xml:space="preserve">b demonstrate active enrollments as of December 31, </w:t>
      </w:r>
      <w:r w:rsidR="00A15968">
        <w:t>2015</w:t>
      </w:r>
      <w:r w:rsidRPr="00081CEC">
        <w:t xml:space="preserve"> and enrollment change</w:t>
      </w:r>
      <w:r w:rsidR="00FF70CA" w:rsidRPr="00081CEC">
        <w:t>s</w:t>
      </w:r>
      <w:r w:rsidRPr="00081CEC">
        <w:t xml:space="preserve"> since December 31, </w:t>
      </w:r>
      <w:r w:rsidR="00E21B97">
        <w:t>201</w:t>
      </w:r>
      <w:r w:rsidR="00A15968">
        <w:t>4</w:t>
      </w:r>
      <w:r w:rsidRPr="00081CEC">
        <w:t>.</w:t>
      </w:r>
    </w:p>
    <w:p w:rsidR="00535752" w:rsidRDefault="00535752" w:rsidP="00014CF8"/>
    <w:p w:rsidR="00A15968" w:rsidRPr="00D3135C" w:rsidRDefault="00A15968" w:rsidP="00D3135C">
      <w:pPr>
        <w:jc w:val="center"/>
        <w:rPr>
          <w:rStyle w:val="SubtleReference"/>
        </w:rPr>
      </w:pPr>
      <w:r w:rsidRPr="00D3135C">
        <w:rPr>
          <w:rStyle w:val="SubtleReference"/>
        </w:rPr>
        <w:t>Table 1</w:t>
      </w:r>
      <w:r w:rsidR="00014CF8">
        <w:rPr>
          <w:rStyle w:val="SubtleReference"/>
        </w:rPr>
        <w:t>a</w:t>
      </w:r>
      <w:r w:rsidRPr="00D3135C">
        <w:rPr>
          <w:rStyle w:val="SubtleReference"/>
        </w:rPr>
        <w:t xml:space="preserve"> – Active Enrollment </w:t>
      </w:r>
    </w:p>
    <w:tbl>
      <w:tblPr>
        <w:tblW w:w="6168" w:type="dxa"/>
        <w:tblInd w:w="262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6" w:space="0" w:color="ACB9CA" w:themeColor="text2" w:themeTint="66"/>
          <w:insideV w:val="single" w:sz="6" w:space="0" w:color="ACB9CA" w:themeColor="text2" w:themeTint="66"/>
        </w:tblBorders>
        <w:tblLook w:val="04A0" w:firstRow="1" w:lastRow="0" w:firstColumn="1" w:lastColumn="0" w:noHBand="0" w:noVBand="1"/>
      </w:tblPr>
      <w:tblGrid>
        <w:gridCol w:w="1300"/>
        <w:gridCol w:w="1058"/>
        <w:gridCol w:w="1046"/>
        <w:gridCol w:w="1102"/>
        <w:gridCol w:w="1662"/>
      </w:tblGrid>
      <w:tr w:rsidR="00A15968" w:rsidRPr="00BA4451" w:rsidTr="0048703A">
        <w:trPr>
          <w:trHeight w:val="20"/>
        </w:trPr>
        <w:tc>
          <w:tcPr>
            <w:tcW w:w="6168" w:type="dxa"/>
            <w:gridSpan w:val="5"/>
            <w:shd w:val="clear" w:color="auto" w:fill="8496B0" w:themeFill="text2" w:themeFillTint="99"/>
            <w:noWrap/>
            <w:vAlign w:val="bottom"/>
            <w:hideMark/>
          </w:tcPr>
          <w:p w:rsidR="00A15968" w:rsidRPr="00BA4451" w:rsidRDefault="00A15968" w:rsidP="007A1E04">
            <w:pPr>
              <w:jc w:val="center"/>
              <w:rPr>
                <w:sz w:val="16"/>
              </w:rPr>
            </w:pPr>
            <w:r w:rsidRPr="0048703A">
              <w:rPr>
                <w:sz w:val="16"/>
              </w:rPr>
              <w:t>Actual</w:t>
            </w:r>
          </w:p>
        </w:tc>
      </w:tr>
      <w:tr w:rsidR="00A15968" w:rsidRPr="00BA4451" w:rsidTr="001A2FE8">
        <w:trPr>
          <w:trHeight w:val="20"/>
        </w:trPr>
        <w:tc>
          <w:tcPr>
            <w:tcW w:w="1300" w:type="dxa"/>
            <w:shd w:val="clear" w:color="auto" w:fill="auto"/>
            <w:noWrap/>
            <w:vAlign w:val="bottom"/>
            <w:hideMark/>
          </w:tcPr>
          <w:p w:rsidR="00A15968" w:rsidRPr="001A2FE8" w:rsidRDefault="00A15968" w:rsidP="009D2B60">
            <w:pPr>
              <w:rPr>
                <w:b/>
                <w:sz w:val="16"/>
              </w:rPr>
            </w:pPr>
            <w:r w:rsidRPr="001A2FE8">
              <w:rPr>
                <w:b/>
                <w:sz w:val="16"/>
              </w:rPr>
              <w:t>System Total</w:t>
            </w:r>
          </w:p>
        </w:tc>
        <w:tc>
          <w:tcPr>
            <w:tcW w:w="1058" w:type="dxa"/>
            <w:shd w:val="clear" w:color="auto" w:fill="auto"/>
            <w:vAlign w:val="bottom"/>
            <w:hideMark/>
          </w:tcPr>
          <w:p w:rsidR="00A15968" w:rsidRPr="00BA4451" w:rsidRDefault="00A15968" w:rsidP="0004437A">
            <w:pPr>
              <w:jc w:val="center"/>
              <w:rPr>
                <w:sz w:val="16"/>
              </w:rPr>
            </w:pPr>
            <w:r w:rsidRPr="00BA4451">
              <w:rPr>
                <w:sz w:val="16"/>
              </w:rPr>
              <w:t># of Customers</w:t>
            </w:r>
          </w:p>
        </w:tc>
        <w:tc>
          <w:tcPr>
            <w:tcW w:w="1046" w:type="dxa"/>
            <w:shd w:val="clear" w:color="auto" w:fill="auto"/>
            <w:vAlign w:val="bottom"/>
            <w:hideMark/>
          </w:tcPr>
          <w:p w:rsidR="00A15968" w:rsidRPr="00BA4451" w:rsidRDefault="00A15968" w:rsidP="0004437A">
            <w:pPr>
              <w:jc w:val="center"/>
              <w:rPr>
                <w:sz w:val="16"/>
              </w:rPr>
            </w:pPr>
            <w:r w:rsidRPr="00BA4451">
              <w:rPr>
                <w:sz w:val="16"/>
              </w:rPr>
              <w:t>% of Customers</w:t>
            </w:r>
          </w:p>
        </w:tc>
        <w:tc>
          <w:tcPr>
            <w:tcW w:w="1102" w:type="dxa"/>
            <w:shd w:val="clear" w:color="auto" w:fill="auto"/>
            <w:vAlign w:val="bottom"/>
            <w:hideMark/>
          </w:tcPr>
          <w:p w:rsidR="00A15968" w:rsidRPr="00BA4451" w:rsidRDefault="00A15968" w:rsidP="0004437A">
            <w:pPr>
              <w:jc w:val="center"/>
              <w:rPr>
                <w:sz w:val="16"/>
              </w:rPr>
            </w:pPr>
            <w:r w:rsidRPr="00BA4451">
              <w:rPr>
                <w:sz w:val="16"/>
              </w:rPr>
              <w:t>Enrollments</w:t>
            </w:r>
          </w:p>
        </w:tc>
        <w:tc>
          <w:tcPr>
            <w:tcW w:w="1662" w:type="dxa"/>
            <w:shd w:val="clear" w:color="auto" w:fill="auto"/>
            <w:vAlign w:val="bottom"/>
            <w:hideMark/>
          </w:tcPr>
          <w:p w:rsidR="00A15968" w:rsidRPr="00BA4451" w:rsidRDefault="00A15968" w:rsidP="0004437A">
            <w:pPr>
              <w:jc w:val="center"/>
              <w:rPr>
                <w:sz w:val="16"/>
              </w:rPr>
            </w:pPr>
            <w:r w:rsidRPr="00BA4451">
              <w:rPr>
                <w:sz w:val="16"/>
              </w:rPr>
              <w:t>Enrollment % change from prior year</w:t>
            </w:r>
          </w:p>
        </w:tc>
      </w:tr>
      <w:tr w:rsidR="00A15968" w:rsidRPr="00BA4451" w:rsidTr="001A2FE8">
        <w:trPr>
          <w:trHeight w:val="20"/>
        </w:trPr>
        <w:tc>
          <w:tcPr>
            <w:tcW w:w="1300" w:type="dxa"/>
            <w:shd w:val="clear" w:color="auto" w:fill="auto"/>
            <w:noWrap/>
            <w:vAlign w:val="bottom"/>
            <w:hideMark/>
          </w:tcPr>
          <w:p w:rsidR="00A15968" w:rsidRPr="00BA4451" w:rsidRDefault="00A15968" w:rsidP="009D2B60">
            <w:pPr>
              <w:rPr>
                <w:sz w:val="16"/>
              </w:rPr>
            </w:pPr>
            <w:r w:rsidRPr="00BA4451">
              <w:rPr>
                <w:sz w:val="16"/>
              </w:rPr>
              <w:t>Residential</w:t>
            </w:r>
          </w:p>
        </w:tc>
        <w:tc>
          <w:tcPr>
            <w:tcW w:w="1058" w:type="dxa"/>
            <w:tcBorders>
              <w:bottom w:val="single" w:sz="6" w:space="0" w:color="ACB9CA" w:themeColor="text2" w:themeTint="66"/>
            </w:tcBorders>
            <w:shd w:val="clear" w:color="auto" w:fill="auto"/>
            <w:noWrap/>
            <w:vAlign w:val="bottom"/>
            <w:hideMark/>
          </w:tcPr>
          <w:p w:rsidR="00A15968" w:rsidRPr="00BA4451" w:rsidRDefault="00681396" w:rsidP="0028350F">
            <w:pPr>
              <w:jc w:val="right"/>
              <w:rPr>
                <w:sz w:val="16"/>
              </w:rPr>
            </w:pPr>
            <w:r>
              <w:rPr>
                <w:sz w:val="16"/>
              </w:rPr>
              <w:t>6</w:t>
            </w:r>
            <w:r w:rsidR="00A15968" w:rsidRPr="00BA4451">
              <w:rPr>
                <w:sz w:val="16"/>
              </w:rPr>
              <w:t>46,8</w:t>
            </w:r>
            <w:r w:rsidR="0028350F">
              <w:rPr>
                <w:sz w:val="16"/>
              </w:rPr>
              <w:t>41</w:t>
            </w:r>
            <w:r w:rsidR="00A15968" w:rsidRPr="00BA4451">
              <w:rPr>
                <w:sz w:val="16"/>
              </w:rPr>
              <w:t xml:space="preserve"> </w:t>
            </w:r>
          </w:p>
        </w:tc>
        <w:tc>
          <w:tcPr>
            <w:tcW w:w="1046" w:type="dxa"/>
            <w:tcBorders>
              <w:bottom w:val="single" w:sz="6"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4.6%</w:t>
            </w:r>
          </w:p>
        </w:tc>
        <w:tc>
          <w:tcPr>
            <w:tcW w:w="1102" w:type="dxa"/>
            <w:tcBorders>
              <w:bottom w:val="single" w:sz="6"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xml:space="preserve">29,460 </w:t>
            </w:r>
          </w:p>
        </w:tc>
        <w:tc>
          <w:tcPr>
            <w:tcW w:w="1662" w:type="dxa"/>
            <w:tcBorders>
              <w:bottom w:val="single" w:sz="6" w:space="0" w:color="ACB9CA" w:themeColor="text2" w:themeTint="66"/>
            </w:tcBorders>
            <w:shd w:val="clear" w:color="auto" w:fill="auto"/>
            <w:noWrap/>
            <w:vAlign w:val="bottom"/>
            <w:hideMark/>
          </w:tcPr>
          <w:p w:rsidR="00A15968" w:rsidRPr="00BA4451" w:rsidRDefault="00A15968" w:rsidP="007A1E04">
            <w:pPr>
              <w:jc w:val="center"/>
              <w:rPr>
                <w:sz w:val="16"/>
              </w:rPr>
            </w:pPr>
            <w:r w:rsidRPr="00BA4451">
              <w:rPr>
                <w:sz w:val="16"/>
              </w:rPr>
              <w:t>22.3%</w:t>
            </w:r>
          </w:p>
        </w:tc>
      </w:tr>
      <w:tr w:rsidR="00A15968" w:rsidRPr="00BA4451" w:rsidTr="001A2FE8">
        <w:trPr>
          <w:trHeight w:val="20"/>
        </w:trPr>
        <w:tc>
          <w:tcPr>
            <w:tcW w:w="1300" w:type="dxa"/>
            <w:shd w:val="clear" w:color="auto" w:fill="auto"/>
            <w:noWrap/>
            <w:vAlign w:val="bottom"/>
            <w:hideMark/>
          </w:tcPr>
          <w:p w:rsidR="00A15968" w:rsidRPr="00BA4451" w:rsidRDefault="00A15968" w:rsidP="009D2B60">
            <w:pPr>
              <w:rPr>
                <w:sz w:val="16"/>
              </w:rPr>
            </w:pPr>
            <w:r w:rsidRPr="00BA4451">
              <w:rPr>
                <w:sz w:val="16"/>
              </w:rPr>
              <w:t>Commercial</w:t>
            </w:r>
          </w:p>
        </w:tc>
        <w:tc>
          <w:tcPr>
            <w:tcW w:w="1058" w:type="dxa"/>
            <w:tcBorders>
              <w:top w:val="single" w:sz="6" w:space="0" w:color="ACB9CA" w:themeColor="text2" w:themeTint="66"/>
              <w:bottom w:val="double" w:sz="4" w:space="0" w:color="ACB9CA" w:themeColor="text2" w:themeTint="66"/>
            </w:tcBorders>
            <w:shd w:val="clear" w:color="auto" w:fill="auto"/>
            <w:noWrap/>
            <w:vAlign w:val="bottom"/>
            <w:hideMark/>
          </w:tcPr>
          <w:p w:rsidR="00A15968" w:rsidRPr="00BA4451" w:rsidRDefault="00A15968" w:rsidP="0028350F">
            <w:pPr>
              <w:jc w:val="right"/>
              <w:rPr>
                <w:sz w:val="16"/>
              </w:rPr>
            </w:pPr>
            <w:r w:rsidRPr="00BA4451">
              <w:rPr>
                <w:sz w:val="16"/>
              </w:rPr>
              <w:t>6</w:t>
            </w:r>
            <w:r w:rsidR="0028350F">
              <w:rPr>
                <w:sz w:val="16"/>
              </w:rPr>
              <w:t>6</w:t>
            </w:r>
            <w:r w:rsidRPr="00BA4451">
              <w:rPr>
                <w:sz w:val="16"/>
              </w:rPr>
              <w:t>,</w:t>
            </w:r>
            <w:r w:rsidR="0028350F">
              <w:rPr>
                <w:sz w:val="16"/>
              </w:rPr>
              <w:t>421</w:t>
            </w:r>
          </w:p>
        </w:tc>
        <w:tc>
          <w:tcPr>
            <w:tcW w:w="1046" w:type="dxa"/>
            <w:tcBorders>
              <w:top w:val="single" w:sz="6" w:space="0" w:color="ACB9CA" w:themeColor="text2" w:themeTint="66"/>
              <w:bottom w:val="double" w:sz="4"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0.5%</w:t>
            </w:r>
          </w:p>
        </w:tc>
        <w:tc>
          <w:tcPr>
            <w:tcW w:w="1102" w:type="dxa"/>
            <w:tcBorders>
              <w:top w:val="single" w:sz="6" w:space="0" w:color="ACB9CA" w:themeColor="text2" w:themeTint="66"/>
              <w:bottom w:val="double" w:sz="4"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xml:space="preserve">312 </w:t>
            </w:r>
          </w:p>
        </w:tc>
        <w:tc>
          <w:tcPr>
            <w:tcW w:w="1662" w:type="dxa"/>
            <w:tcBorders>
              <w:top w:val="single" w:sz="6" w:space="0" w:color="ACB9CA" w:themeColor="text2" w:themeTint="66"/>
              <w:bottom w:val="double" w:sz="4" w:space="0" w:color="ACB9CA" w:themeColor="text2" w:themeTint="66"/>
            </w:tcBorders>
            <w:shd w:val="clear" w:color="auto" w:fill="auto"/>
            <w:noWrap/>
            <w:vAlign w:val="bottom"/>
            <w:hideMark/>
          </w:tcPr>
          <w:p w:rsidR="00A15968" w:rsidRPr="00BA4451" w:rsidRDefault="00A15968" w:rsidP="007A1E04">
            <w:pPr>
              <w:jc w:val="center"/>
              <w:rPr>
                <w:sz w:val="16"/>
              </w:rPr>
            </w:pPr>
            <w:r w:rsidRPr="00BA4451">
              <w:rPr>
                <w:sz w:val="16"/>
              </w:rPr>
              <w:t>-6.0%</w:t>
            </w:r>
          </w:p>
        </w:tc>
      </w:tr>
      <w:tr w:rsidR="00A15968" w:rsidRPr="00BA4451" w:rsidTr="00FB3BA3">
        <w:trPr>
          <w:trHeight w:val="150"/>
        </w:trPr>
        <w:tc>
          <w:tcPr>
            <w:tcW w:w="1300" w:type="dxa"/>
            <w:tcBorders>
              <w:bottom w:val="single" w:sz="6" w:space="0" w:color="ACB9CA" w:themeColor="text2" w:themeTint="66"/>
            </w:tcBorders>
            <w:shd w:val="clear" w:color="auto" w:fill="auto"/>
            <w:noWrap/>
            <w:vAlign w:val="bottom"/>
            <w:hideMark/>
          </w:tcPr>
          <w:p w:rsidR="00A15968" w:rsidRPr="00BA4451" w:rsidRDefault="00A15968" w:rsidP="009D2B60">
            <w:pPr>
              <w:rPr>
                <w:sz w:val="16"/>
              </w:rPr>
            </w:pPr>
            <w:r w:rsidRPr="00BA4451">
              <w:rPr>
                <w:sz w:val="16"/>
              </w:rPr>
              <w:t> </w:t>
            </w:r>
          </w:p>
        </w:tc>
        <w:tc>
          <w:tcPr>
            <w:tcW w:w="1058" w:type="dxa"/>
            <w:tcBorders>
              <w:top w:val="double" w:sz="4" w:space="0" w:color="ACB9CA" w:themeColor="text2" w:themeTint="66"/>
              <w:bottom w:val="single" w:sz="6" w:space="0" w:color="ACB9CA" w:themeColor="text2" w:themeTint="66"/>
            </w:tcBorders>
            <w:shd w:val="clear" w:color="auto" w:fill="auto"/>
            <w:noWrap/>
            <w:vAlign w:val="bottom"/>
            <w:hideMark/>
          </w:tcPr>
          <w:p w:rsidR="00A15968" w:rsidRPr="00BA4451" w:rsidRDefault="0028350F" w:rsidP="007A1E04">
            <w:pPr>
              <w:jc w:val="right"/>
              <w:rPr>
                <w:sz w:val="16"/>
              </w:rPr>
            </w:pPr>
            <w:r>
              <w:rPr>
                <w:sz w:val="16"/>
              </w:rPr>
              <w:t>713,262</w:t>
            </w:r>
            <w:r w:rsidR="00A15968" w:rsidRPr="00BA4451">
              <w:rPr>
                <w:sz w:val="16"/>
              </w:rPr>
              <w:t xml:space="preserve"> </w:t>
            </w:r>
          </w:p>
        </w:tc>
        <w:tc>
          <w:tcPr>
            <w:tcW w:w="1046" w:type="dxa"/>
            <w:tcBorders>
              <w:top w:val="double" w:sz="4" w:space="0" w:color="ACB9CA" w:themeColor="text2" w:themeTint="66"/>
              <w:bottom w:val="single" w:sz="6"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w:t>
            </w:r>
          </w:p>
        </w:tc>
        <w:tc>
          <w:tcPr>
            <w:tcW w:w="1102" w:type="dxa"/>
            <w:tcBorders>
              <w:top w:val="double" w:sz="4" w:space="0" w:color="ACB9CA" w:themeColor="text2" w:themeTint="66"/>
              <w:bottom w:val="single" w:sz="6"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xml:space="preserve">29,772 </w:t>
            </w:r>
          </w:p>
        </w:tc>
        <w:tc>
          <w:tcPr>
            <w:tcW w:w="1662" w:type="dxa"/>
            <w:tcBorders>
              <w:top w:val="double" w:sz="4" w:space="0" w:color="ACB9CA" w:themeColor="text2" w:themeTint="66"/>
              <w:bottom w:val="single" w:sz="6" w:space="0" w:color="ACB9CA" w:themeColor="text2" w:themeTint="66"/>
            </w:tcBorders>
            <w:shd w:val="clear" w:color="auto" w:fill="auto"/>
            <w:noWrap/>
            <w:vAlign w:val="bottom"/>
            <w:hideMark/>
          </w:tcPr>
          <w:p w:rsidR="00A15968" w:rsidRPr="00BA4451" w:rsidRDefault="00A15968" w:rsidP="007A1E04">
            <w:pPr>
              <w:jc w:val="center"/>
              <w:rPr>
                <w:sz w:val="16"/>
              </w:rPr>
            </w:pPr>
            <w:r w:rsidRPr="00BA4451">
              <w:rPr>
                <w:sz w:val="16"/>
              </w:rPr>
              <w:t>22.0%</w:t>
            </w:r>
          </w:p>
        </w:tc>
      </w:tr>
      <w:tr w:rsidR="0004437A" w:rsidRPr="00A15968" w:rsidTr="0004437A">
        <w:trPr>
          <w:trHeight w:val="20"/>
        </w:trPr>
        <w:tc>
          <w:tcPr>
            <w:tcW w:w="6168" w:type="dxa"/>
            <w:gridSpan w:val="5"/>
            <w:tcBorders>
              <w:top w:val="single" w:sz="6" w:space="0" w:color="ACB9CA" w:themeColor="text2" w:themeTint="66"/>
              <w:left w:val="nil"/>
              <w:bottom w:val="nil"/>
              <w:right w:val="nil"/>
            </w:tcBorders>
            <w:shd w:val="clear" w:color="auto" w:fill="auto"/>
            <w:noWrap/>
            <w:vAlign w:val="bottom"/>
          </w:tcPr>
          <w:p w:rsidR="0004437A" w:rsidRPr="00D3135C" w:rsidRDefault="0004437A" w:rsidP="00145B37">
            <w:pPr>
              <w:jc w:val="center"/>
              <w:rPr>
                <w:rStyle w:val="SubtleReference"/>
              </w:rPr>
            </w:pPr>
          </w:p>
        </w:tc>
      </w:tr>
      <w:tr w:rsidR="00A15968" w:rsidRPr="00A15968" w:rsidTr="0004437A">
        <w:trPr>
          <w:trHeight w:val="20"/>
        </w:trPr>
        <w:tc>
          <w:tcPr>
            <w:tcW w:w="6168" w:type="dxa"/>
            <w:gridSpan w:val="5"/>
            <w:tcBorders>
              <w:top w:val="nil"/>
              <w:left w:val="nil"/>
              <w:bottom w:val="single" w:sz="6" w:space="0" w:color="ACB9CA" w:themeColor="text2" w:themeTint="66"/>
              <w:right w:val="nil"/>
            </w:tcBorders>
            <w:shd w:val="clear" w:color="auto" w:fill="auto"/>
            <w:noWrap/>
            <w:vAlign w:val="bottom"/>
            <w:hideMark/>
          </w:tcPr>
          <w:p w:rsidR="00A15968" w:rsidRPr="00D3135C" w:rsidRDefault="00A15968" w:rsidP="00145B37">
            <w:pPr>
              <w:jc w:val="center"/>
              <w:rPr>
                <w:rStyle w:val="SubtleReference"/>
              </w:rPr>
            </w:pPr>
            <w:r w:rsidRPr="00D3135C">
              <w:rPr>
                <w:rStyle w:val="SubtleReference"/>
              </w:rPr>
              <w:t xml:space="preserve">Table 1b – Active Enrollment by State </w:t>
            </w:r>
          </w:p>
        </w:tc>
      </w:tr>
      <w:tr w:rsidR="00A15968" w:rsidRPr="00BA4451" w:rsidTr="0048703A">
        <w:trPr>
          <w:trHeight w:val="20"/>
        </w:trPr>
        <w:tc>
          <w:tcPr>
            <w:tcW w:w="6168" w:type="dxa"/>
            <w:gridSpan w:val="5"/>
            <w:tcBorders>
              <w:top w:val="single" w:sz="6" w:space="0" w:color="ACB9CA" w:themeColor="text2" w:themeTint="66"/>
            </w:tcBorders>
            <w:shd w:val="clear" w:color="auto" w:fill="8496B0" w:themeFill="text2" w:themeFillTint="99"/>
            <w:noWrap/>
            <w:vAlign w:val="bottom"/>
            <w:hideMark/>
          </w:tcPr>
          <w:p w:rsidR="00A15968" w:rsidRPr="00BA4451" w:rsidRDefault="00A15968" w:rsidP="007A1E04">
            <w:pPr>
              <w:jc w:val="center"/>
              <w:rPr>
                <w:sz w:val="16"/>
              </w:rPr>
            </w:pPr>
            <w:r w:rsidRPr="0048703A">
              <w:rPr>
                <w:sz w:val="16"/>
              </w:rPr>
              <w:t>Actual</w:t>
            </w:r>
          </w:p>
        </w:tc>
      </w:tr>
      <w:tr w:rsidR="00A15968" w:rsidRPr="00BA4451" w:rsidTr="001A2FE8">
        <w:trPr>
          <w:trHeight w:val="20"/>
        </w:trPr>
        <w:tc>
          <w:tcPr>
            <w:tcW w:w="1300" w:type="dxa"/>
            <w:shd w:val="clear" w:color="auto" w:fill="auto"/>
            <w:noWrap/>
            <w:vAlign w:val="bottom"/>
            <w:hideMark/>
          </w:tcPr>
          <w:p w:rsidR="00A15968" w:rsidRPr="001A2FE8" w:rsidRDefault="00A15968" w:rsidP="009D2B60">
            <w:pPr>
              <w:rPr>
                <w:b/>
                <w:sz w:val="16"/>
              </w:rPr>
            </w:pPr>
            <w:r w:rsidRPr="001A2FE8">
              <w:rPr>
                <w:b/>
                <w:sz w:val="16"/>
              </w:rPr>
              <w:t>Oregon</w:t>
            </w:r>
          </w:p>
        </w:tc>
        <w:tc>
          <w:tcPr>
            <w:tcW w:w="1058" w:type="dxa"/>
            <w:shd w:val="clear" w:color="auto" w:fill="auto"/>
            <w:vAlign w:val="bottom"/>
            <w:hideMark/>
          </w:tcPr>
          <w:p w:rsidR="00A15968" w:rsidRPr="00BA4451" w:rsidRDefault="00A15968" w:rsidP="0004437A">
            <w:pPr>
              <w:jc w:val="center"/>
              <w:rPr>
                <w:sz w:val="16"/>
              </w:rPr>
            </w:pPr>
            <w:r w:rsidRPr="00BA4451">
              <w:rPr>
                <w:sz w:val="16"/>
              </w:rPr>
              <w:t># of Customers</w:t>
            </w:r>
          </w:p>
        </w:tc>
        <w:tc>
          <w:tcPr>
            <w:tcW w:w="1046" w:type="dxa"/>
            <w:shd w:val="clear" w:color="auto" w:fill="auto"/>
            <w:vAlign w:val="bottom"/>
            <w:hideMark/>
          </w:tcPr>
          <w:p w:rsidR="00A15968" w:rsidRPr="00BA4451" w:rsidRDefault="00A15968" w:rsidP="0004437A">
            <w:pPr>
              <w:jc w:val="center"/>
              <w:rPr>
                <w:sz w:val="16"/>
              </w:rPr>
            </w:pPr>
            <w:r w:rsidRPr="00BA4451">
              <w:rPr>
                <w:sz w:val="16"/>
              </w:rPr>
              <w:t>% of Customers</w:t>
            </w:r>
          </w:p>
        </w:tc>
        <w:tc>
          <w:tcPr>
            <w:tcW w:w="1102" w:type="dxa"/>
            <w:shd w:val="clear" w:color="auto" w:fill="auto"/>
            <w:vAlign w:val="bottom"/>
            <w:hideMark/>
          </w:tcPr>
          <w:p w:rsidR="00A15968" w:rsidRPr="00BA4451" w:rsidRDefault="00A15968" w:rsidP="0004437A">
            <w:pPr>
              <w:jc w:val="center"/>
              <w:rPr>
                <w:sz w:val="16"/>
              </w:rPr>
            </w:pPr>
            <w:r w:rsidRPr="00BA4451">
              <w:rPr>
                <w:sz w:val="16"/>
              </w:rPr>
              <w:t>Enrollments</w:t>
            </w:r>
          </w:p>
        </w:tc>
        <w:tc>
          <w:tcPr>
            <w:tcW w:w="1662" w:type="dxa"/>
            <w:shd w:val="clear" w:color="auto" w:fill="auto"/>
            <w:vAlign w:val="bottom"/>
            <w:hideMark/>
          </w:tcPr>
          <w:p w:rsidR="00A15968" w:rsidRPr="00BA4451" w:rsidRDefault="00A15968" w:rsidP="0004437A">
            <w:pPr>
              <w:jc w:val="center"/>
              <w:rPr>
                <w:sz w:val="16"/>
              </w:rPr>
            </w:pPr>
            <w:r w:rsidRPr="00BA4451">
              <w:rPr>
                <w:sz w:val="16"/>
              </w:rPr>
              <w:t>Enrollment % change from prior year</w:t>
            </w:r>
          </w:p>
        </w:tc>
      </w:tr>
      <w:tr w:rsidR="00A15968" w:rsidRPr="00BA4451" w:rsidTr="001A2FE8">
        <w:trPr>
          <w:trHeight w:val="20"/>
        </w:trPr>
        <w:tc>
          <w:tcPr>
            <w:tcW w:w="1300" w:type="dxa"/>
            <w:shd w:val="clear" w:color="auto" w:fill="auto"/>
            <w:noWrap/>
            <w:vAlign w:val="bottom"/>
            <w:hideMark/>
          </w:tcPr>
          <w:p w:rsidR="00A15968" w:rsidRPr="00BA4451" w:rsidRDefault="00A15968" w:rsidP="009D2B60">
            <w:pPr>
              <w:rPr>
                <w:sz w:val="16"/>
              </w:rPr>
            </w:pPr>
            <w:r w:rsidRPr="00BA4451">
              <w:rPr>
                <w:sz w:val="16"/>
              </w:rPr>
              <w:t>Residential</w:t>
            </w:r>
          </w:p>
        </w:tc>
        <w:tc>
          <w:tcPr>
            <w:tcW w:w="1058" w:type="dxa"/>
            <w:tcBorders>
              <w:bottom w:val="single" w:sz="6" w:space="0" w:color="ACB9CA" w:themeColor="text2" w:themeTint="66"/>
            </w:tcBorders>
            <w:shd w:val="clear" w:color="auto" w:fill="auto"/>
            <w:noWrap/>
            <w:vAlign w:val="bottom"/>
            <w:hideMark/>
          </w:tcPr>
          <w:p w:rsidR="00A15968" w:rsidRPr="00BA4451" w:rsidRDefault="00A15968" w:rsidP="0028350F">
            <w:pPr>
              <w:jc w:val="right"/>
              <w:rPr>
                <w:sz w:val="16"/>
              </w:rPr>
            </w:pPr>
            <w:r w:rsidRPr="00BA4451">
              <w:rPr>
                <w:sz w:val="16"/>
              </w:rPr>
              <w:t>576,24</w:t>
            </w:r>
            <w:r w:rsidR="0028350F">
              <w:rPr>
                <w:sz w:val="16"/>
              </w:rPr>
              <w:t>9</w:t>
            </w:r>
            <w:r w:rsidRPr="00BA4451">
              <w:rPr>
                <w:sz w:val="16"/>
              </w:rPr>
              <w:t xml:space="preserve"> </w:t>
            </w:r>
          </w:p>
        </w:tc>
        <w:tc>
          <w:tcPr>
            <w:tcW w:w="1046" w:type="dxa"/>
            <w:tcBorders>
              <w:bottom w:val="single" w:sz="6"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5.0%</w:t>
            </w:r>
          </w:p>
        </w:tc>
        <w:tc>
          <w:tcPr>
            <w:tcW w:w="1102" w:type="dxa"/>
            <w:tcBorders>
              <w:bottom w:val="single" w:sz="6"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xml:space="preserve">       28,588 </w:t>
            </w:r>
          </w:p>
        </w:tc>
        <w:tc>
          <w:tcPr>
            <w:tcW w:w="1662" w:type="dxa"/>
            <w:tcBorders>
              <w:bottom w:val="single" w:sz="6" w:space="0" w:color="ACB9CA" w:themeColor="text2" w:themeTint="66"/>
            </w:tcBorders>
            <w:shd w:val="clear" w:color="auto" w:fill="auto"/>
            <w:noWrap/>
            <w:vAlign w:val="bottom"/>
            <w:hideMark/>
          </w:tcPr>
          <w:p w:rsidR="00A15968" w:rsidRPr="00BA4451" w:rsidRDefault="00A15968" w:rsidP="007A1E04">
            <w:pPr>
              <w:jc w:val="center"/>
              <w:rPr>
                <w:sz w:val="16"/>
              </w:rPr>
            </w:pPr>
            <w:r w:rsidRPr="00BA4451">
              <w:rPr>
                <w:sz w:val="16"/>
              </w:rPr>
              <w:t>22.3%</w:t>
            </w:r>
          </w:p>
        </w:tc>
      </w:tr>
      <w:tr w:rsidR="00A15968" w:rsidRPr="00BA4451" w:rsidTr="001A2FE8">
        <w:trPr>
          <w:trHeight w:val="20"/>
        </w:trPr>
        <w:tc>
          <w:tcPr>
            <w:tcW w:w="1300" w:type="dxa"/>
            <w:shd w:val="clear" w:color="auto" w:fill="auto"/>
            <w:noWrap/>
            <w:vAlign w:val="bottom"/>
            <w:hideMark/>
          </w:tcPr>
          <w:p w:rsidR="00A15968" w:rsidRPr="00BA4451" w:rsidRDefault="00A15968" w:rsidP="009D2B60">
            <w:pPr>
              <w:rPr>
                <w:sz w:val="16"/>
              </w:rPr>
            </w:pPr>
            <w:r w:rsidRPr="00BA4451">
              <w:rPr>
                <w:sz w:val="16"/>
              </w:rPr>
              <w:t>Commercial</w:t>
            </w:r>
          </w:p>
        </w:tc>
        <w:tc>
          <w:tcPr>
            <w:tcW w:w="1058" w:type="dxa"/>
            <w:tcBorders>
              <w:top w:val="single" w:sz="6" w:space="0" w:color="ACB9CA" w:themeColor="text2" w:themeTint="66"/>
              <w:bottom w:val="double" w:sz="4" w:space="0" w:color="ACB9CA" w:themeColor="text2" w:themeTint="66"/>
            </w:tcBorders>
            <w:shd w:val="clear" w:color="auto" w:fill="auto"/>
            <w:noWrap/>
            <w:vAlign w:val="bottom"/>
            <w:hideMark/>
          </w:tcPr>
          <w:p w:rsidR="00A15968" w:rsidRPr="00BA4451" w:rsidRDefault="00A15968" w:rsidP="0028350F">
            <w:pPr>
              <w:jc w:val="right"/>
              <w:rPr>
                <w:sz w:val="16"/>
              </w:rPr>
            </w:pPr>
            <w:r w:rsidRPr="00BA4451">
              <w:rPr>
                <w:sz w:val="16"/>
              </w:rPr>
              <w:t>6</w:t>
            </w:r>
            <w:r w:rsidR="0028350F">
              <w:rPr>
                <w:sz w:val="16"/>
              </w:rPr>
              <w:t>0</w:t>
            </w:r>
            <w:r w:rsidRPr="00BA4451">
              <w:rPr>
                <w:sz w:val="16"/>
              </w:rPr>
              <w:t>,</w:t>
            </w:r>
            <w:r w:rsidR="0028350F">
              <w:rPr>
                <w:sz w:val="16"/>
              </w:rPr>
              <w:t>079</w:t>
            </w:r>
            <w:r w:rsidRPr="00BA4451">
              <w:rPr>
                <w:sz w:val="16"/>
              </w:rPr>
              <w:t xml:space="preserve"> </w:t>
            </w:r>
          </w:p>
        </w:tc>
        <w:tc>
          <w:tcPr>
            <w:tcW w:w="1046" w:type="dxa"/>
            <w:tcBorders>
              <w:top w:val="single" w:sz="6" w:space="0" w:color="ACB9CA" w:themeColor="text2" w:themeTint="66"/>
              <w:bottom w:val="double" w:sz="4"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0.5%</w:t>
            </w:r>
          </w:p>
        </w:tc>
        <w:tc>
          <w:tcPr>
            <w:tcW w:w="1102" w:type="dxa"/>
            <w:tcBorders>
              <w:top w:val="single" w:sz="6" w:space="0" w:color="ACB9CA" w:themeColor="text2" w:themeTint="66"/>
              <w:bottom w:val="double" w:sz="4"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xml:space="preserve">301 </w:t>
            </w:r>
          </w:p>
        </w:tc>
        <w:tc>
          <w:tcPr>
            <w:tcW w:w="1662" w:type="dxa"/>
            <w:tcBorders>
              <w:top w:val="single" w:sz="6" w:space="0" w:color="ACB9CA" w:themeColor="text2" w:themeTint="66"/>
              <w:bottom w:val="double" w:sz="4" w:space="0" w:color="ACB9CA" w:themeColor="text2" w:themeTint="66"/>
            </w:tcBorders>
            <w:shd w:val="clear" w:color="auto" w:fill="auto"/>
            <w:noWrap/>
            <w:vAlign w:val="bottom"/>
            <w:hideMark/>
          </w:tcPr>
          <w:p w:rsidR="00A15968" w:rsidRPr="00BA4451" w:rsidRDefault="00A15968" w:rsidP="007A1E04">
            <w:pPr>
              <w:jc w:val="center"/>
              <w:rPr>
                <w:sz w:val="16"/>
              </w:rPr>
            </w:pPr>
            <w:r w:rsidRPr="00BA4451">
              <w:rPr>
                <w:sz w:val="16"/>
              </w:rPr>
              <w:t>-6.5%</w:t>
            </w:r>
          </w:p>
        </w:tc>
      </w:tr>
      <w:tr w:rsidR="00A15968" w:rsidRPr="00BA4451" w:rsidTr="001A2FE8">
        <w:trPr>
          <w:trHeight w:val="20"/>
        </w:trPr>
        <w:tc>
          <w:tcPr>
            <w:tcW w:w="1300" w:type="dxa"/>
            <w:shd w:val="clear" w:color="auto" w:fill="auto"/>
            <w:noWrap/>
            <w:vAlign w:val="bottom"/>
            <w:hideMark/>
          </w:tcPr>
          <w:p w:rsidR="00A15968" w:rsidRPr="00BA4451" w:rsidRDefault="00A15968" w:rsidP="009D2B60">
            <w:pPr>
              <w:rPr>
                <w:sz w:val="16"/>
              </w:rPr>
            </w:pPr>
            <w:r w:rsidRPr="00BA4451">
              <w:rPr>
                <w:sz w:val="16"/>
              </w:rPr>
              <w:t> </w:t>
            </w:r>
          </w:p>
        </w:tc>
        <w:tc>
          <w:tcPr>
            <w:tcW w:w="1058" w:type="dxa"/>
            <w:tcBorders>
              <w:top w:val="double" w:sz="4" w:space="0" w:color="ACB9CA" w:themeColor="text2" w:themeTint="66"/>
            </w:tcBorders>
            <w:shd w:val="clear" w:color="auto" w:fill="auto"/>
            <w:noWrap/>
            <w:vAlign w:val="bottom"/>
            <w:hideMark/>
          </w:tcPr>
          <w:p w:rsidR="00A15968" w:rsidRPr="00BA4451" w:rsidRDefault="0028350F" w:rsidP="0028350F">
            <w:pPr>
              <w:jc w:val="right"/>
              <w:rPr>
                <w:sz w:val="16"/>
              </w:rPr>
            </w:pPr>
            <w:r>
              <w:rPr>
                <w:sz w:val="16"/>
              </w:rPr>
              <w:t>636</w:t>
            </w:r>
            <w:r w:rsidR="00A15968" w:rsidRPr="00BA4451">
              <w:rPr>
                <w:sz w:val="16"/>
              </w:rPr>
              <w:t>,</w:t>
            </w:r>
            <w:r>
              <w:rPr>
                <w:sz w:val="16"/>
              </w:rPr>
              <w:t>328</w:t>
            </w:r>
            <w:r w:rsidR="00A15968" w:rsidRPr="00BA4451">
              <w:rPr>
                <w:sz w:val="16"/>
              </w:rPr>
              <w:t xml:space="preserve"> </w:t>
            </w:r>
          </w:p>
        </w:tc>
        <w:tc>
          <w:tcPr>
            <w:tcW w:w="1046" w:type="dxa"/>
            <w:tcBorders>
              <w:top w:val="double" w:sz="4"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w:t>
            </w:r>
          </w:p>
        </w:tc>
        <w:tc>
          <w:tcPr>
            <w:tcW w:w="1102" w:type="dxa"/>
            <w:tcBorders>
              <w:top w:val="double" w:sz="4"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xml:space="preserve">28,889 </w:t>
            </w:r>
          </w:p>
        </w:tc>
        <w:tc>
          <w:tcPr>
            <w:tcW w:w="1662" w:type="dxa"/>
            <w:tcBorders>
              <w:top w:val="double" w:sz="4" w:space="0" w:color="ACB9CA" w:themeColor="text2" w:themeTint="66"/>
            </w:tcBorders>
            <w:shd w:val="clear" w:color="auto" w:fill="auto"/>
            <w:noWrap/>
            <w:vAlign w:val="bottom"/>
            <w:hideMark/>
          </w:tcPr>
          <w:p w:rsidR="00A15968" w:rsidRPr="00BA4451" w:rsidRDefault="00A15968" w:rsidP="007A1E04">
            <w:pPr>
              <w:jc w:val="center"/>
              <w:rPr>
                <w:sz w:val="16"/>
              </w:rPr>
            </w:pPr>
            <w:r w:rsidRPr="00BA4451">
              <w:rPr>
                <w:sz w:val="16"/>
              </w:rPr>
              <w:t>21.9%</w:t>
            </w:r>
          </w:p>
        </w:tc>
      </w:tr>
      <w:tr w:rsidR="00A15968" w:rsidRPr="00BA4451" w:rsidTr="0048703A">
        <w:trPr>
          <w:trHeight w:val="20"/>
        </w:trPr>
        <w:tc>
          <w:tcPr>
            <w:tcW w:w="6168" w:type="dxa"/>
            <w:gridSpan w:val="5"/>
            <w:shd w:val="clear" w:color="auto" w:fill="8496B0" w:themeFill="text2" w:themeFillTint="99"/>
            <w:noWrap/>
            <w:vAlign w:val="bottom"/>
            <w:hideMark/>
          </w:tcPr>
          <w:p w:rsidR="00A15968" w:rsidRPr="00BA4451" w:rsidRDefault="00A15968" w:rsidP="007A1E04">
            <w:pPr>
              <w:jc w:val="center"/>
              <w:rPr>
                <w:sz w:val="16"/>
              </w:rPr>
            </w:pPr>
            <w:r w:rsidRPr="0048703A">
              <w:rPr>
                <w:sz w:val="16"/>
              </w:rPr>
              <w:t>Actual</w:t>
            </w:r>
          </w:p>
        </w:tc>
      </w:tr>
      <w:tr w:rsidR="00A15968" w:rsidRPr="00BA4451" w:rsidTr="001A2FE8">
        <w:trPr>
          <w:trHeight w:val="20"/>
        </w:trPr>
        <w:tc>
          <w:tcPr>
            <w:tcW w:w="1300" w:type="dxa"/>
            <w:shd w:val="clear" w:color="auto" w:fill="auto"/>
            <w:noWrap/>
            <w:vAlign w:val="bottom"/>
            <w:hideMark/>
          </w:tcPr>
          <w:p w:rsidR="00A15968" w:rsidRPr="001A2FE8" w:rsidRDefault="00A15968" w:rsidP="009D2B60">
            <w:pPr>
              <w:rPr>
                <w:b/>
                <w:sz w:val="16"/>
              </w:rPr>
            </w:pPr>
            <w:r w:rsidRPr="001A2FE8">
              <w:rPr>
                <w:b/>
                <w:sz w:val="16"/>
              </w:rPr>
              <w:t>Washington</w:t>
            </w:r>
          </w:p>
        </w:tc>
        <w:tc>
          <w:tcPr>
            <w:tcW w:w="1058" w:type="dxa"/>
            <w:shd w:val="clear" w:color="auto" w:fill="auto"/>
            <w:vAlign w:val="bottom"/>
            <w:hideMark/>
          </w:tcPr>
          <w:p w:rsidR="00A15968" w:rsidRPr="00BA4451" w:rsidRDefault="00A15968" w:rsidP="0004437A">
            <w:pPr>
              <w:jc w:val="center"/>
              <w:rPr>
                <w:sz w:val="16"/>
              </w:rPr>
            </w:pPr>
            <w:r w:rsidRPr="00BA4451">
              <w:rPr>
                <w:sz w:val="16"/>
              </w:rPr>
              <w:t># of Customers</w:t>
            </w:r>
          </w:p>
        </w:tc>
        <w:tc>
          <w:tcPr>
            <w:tcW w:w="1046" w:type="dxa"/>
            <w:shd w:val="clear" w:color="auto" w:fill="auto"/>
            <w:vAlign w:val="bottom"/>
            <w:hideMark/>
          </w:tcPr>
          <w:p w:rsidR="00A15968" w:rsidRPr="00BA4451" w:rsidRDefault="00A15968" w:rsidP="0004437A">
            <w:pPr>
              <w:jc w:val="center"/>
              <w:rPr>
                <w:sz w:val="16"/>
              </w:rPr>
            </w:pPr>
            <w:r w:rsidRPr="00BA4451">
              <w:rPr>
                <w:sz w:val="16"/>
              </w:rPr>
              <w:t>% of Customers</w:t>
            </w:r>
          </w:p>
        </w:tc>
        <w:tc>
          <w:tcPr>
            <w:tcW w:w="1102" w:type="dxa"/>
            <w:shd w:val="clear" w:color="auto" w:fill="auto"/>
            <w:vAlign w:val="bottom"/>
            <w:hideMark/>
          </w:tcPr>
          <w:p w:rsidR="00A15968" w:rsidRPr="00BA4451" w:rsidRDefault="00A15968" w:rsidP="0004437A">
            <w:pPr>
              <w:jc w:val="center"/>
              <w:rPr>
                <w:sz w:val="16"/>
              </w:rPr>
            </w:pPr>
            <w:r w:rsidRPr="00BA4451">
              <w:rPr>
                <w:sz w:val="16"/>
              </w:rPr>
              <w:t>Enrollments</w:t>
            </w:r>
          </w:p>
        </w:tc>
        <w:tc>
          <w:tcPr>
            <w:tcW w:w="1662" w:type="dxa"/>
            <w:shd w:val="clear" w:color="auto" w:fill="auto"/>
            <w:vAlign w:val="bottom"/>
            <w:hideMark/>
          </w:tcPr>
          <w:p w:rsidR="00A15968" w:rsidRPr="00BA4451" w:rsidRDefault="00A15968" w:rsidP="0004437A">
            <w:pPr>
              <w:jc w:val="center"/>
              <w:rPr>
                <w:sz w:val="16"/>
              </w:rPr>
            </w:pPr>
            <w:r w:rsidRPr="00BA4451">
              <w:rPr>
                <w:sz w:val="16"/>
              </w:rPr>
              <w:t>Enrollment % change from prior year</w:t>
            </w:r>
          </w:p>
        </w:tc>
      </w:tr>
      <w:tr w:rsidR="00A15968" w:rsidRPr="00BA4451" w:rsidTr="001A2FE8">
        <w:trPr>
          <w:trHeight w:val="20"/>
        </w:trPr>
        <w:tc>
          <w:tcPr>
            <w:tcW w:w="1300" w:type="dxa"/>
            <w:shd w:val="clear" w:color="auto" w:fill="auto"/>
            <w:noWrap/>
            <w:vAlign w:val="bottom"/>
            <w:hideMark/>
          </w:tcPr>
          <w:p w:rsidR="00A15968" w:rsidRPr="00BA4451" w:rsidRDefault="00A15968" w:rsidP="009D2B60">
            <w:pPr>
              <w:rPr>
                <w:sz w:val="16"/>
              </w:rPr>
            </w:pPr>
            <w:r w:rsidRPr="00BA4451">
              <w:rPr>
                <w:sz w:val="16"/>
              </w:rPr>
              <w:t>Residential</w:t>
            </w:r>
          </w:p>
        </w:tc>
        <w:tc>
          <w:tcPr>
            <w:tcW w:w="1058" w:type="dxa"/>
            <w:tcBorders>
              <w:bottom w:val="single" w:sz="6"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xml:space="preserve">70,592 </w:t>
            </w:r>
          </w:p>
        </w:tc>
        <w:tc>
          <w:tcPr>
            <w:tcW w:w="1046" w:type="dxa"/>
            <w:tcBorders>
              <w:bottom w:val="single" w:sz="6"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1.2%</w:t>
            </w:r>
          </w:p>
        </w:tc>
        <w:tc>
          <w:tcPr>
            <w:tcW w:w="1102" w:type="dxa"/>
            <w:tcBorders>
              <w:bottom w:val="single" w:sz="6"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xml:space="preserve">872 </w:t>
            </w:r>
          </w:p>
        </w:tc>
        <w:tc>
          <w:tcPr>
            <w:tcW w:w="1662" w:type="dxa"/>
            <w:tcBorders>
              <w:bottom w:val="single" w:sz="6" w:space="0" w:color="ACB9CA" w:themeColor="text2" w:themeTint="66"/>
            </w:tcBorders>
            <w:shd w:val="clear" w:color="auto" w:fill="auto"/>
            <w:noWrap/>
            <w:vAlign w:val="bottom"/>
            <w:hideMark/>
          </w:tcPr>
          <w:p w:rsidR="00A15968" w:rsidRPr="00BA4451" w:rsidRDefault="00A15968" w:rsidP="007A1E04">
            <w:pPr>
              <w:jc w:val="center"/>
              <w:rPr>
                <w:sz w:val="16"/>
              </w:rPr>
            </w:pPr>
            <w:r w:rsidRPr="00BA4451">
              <w:rPr>
                <w:sz w:val="16"/>
              </w:rPr>
              <w:t>22.6%</w:t>
            </w:r>
          </w:p>
        </w:tc>
      </w:tr>
      <w:tr w:rsidR="00A15968" w:rsidRPr="00BA4451" w:rsidTr="001A2FE8">
        <w:trPr>
          <w:trHeight w:val="20"/>
        </w:trPr>
        <w:tc>
          <w:tcPr>
            <w:tcW w:w="1300" w:type="dxa"/>
            <w:shd w:val="clear" w:color="auto" w:fill="auto"/>
            <w:noWrap/>
            <w:vAlign w:val="bottom"/>
            <w:hideMark/>
          </w:tcPr>
          <w:p w:rsidR="00A15968" w:rsidRPr="00BA4451" w:rsidRDefault="00A15968" w:rsidP="009D2B60">
            <w:pPr>
              <w:rPr>
                <w:sz w:val="16"/>
              </w:rPr>
            </w:pPr>
            <w:r w:rsidRPr="00BA4451">
              <w:rPr>
                <w:sz w:val="16"/>
              </w:rPr>
              <w:t>Commercial</w:t>
            </w:r>
          </w:p>
        </w:tc>
        <w:tc>
          <w:tcPr>
            <w:tcW w:w="1058" w:type="dxa"/>
            <w:tcBorders>
              <w:top w:val="single" w:sz="6" w:space="0" w:color="ACB9CA" w:themeColor="text2" w:themeTint="66"/>
              <w:bottom w:val="double" w:sz="4" w:space="0" w:color="ACB9CA" w:themeColor="text2" w:themeTint="66"/>
            </w:tcBorders>
            <w:shd w:val="clear" w:color="auto" w:fill="auto"/>
            <w:noWrap/>
            <w:vAlign w:val="bottom"/>
            <w:hideMark/>
          </w:tcPr>
          <w:p w:rsidR="00A15968" w:rsidRPr="00BA4451" w:rsidRDefault="0028350F" w:rsidP="007A1E04">
            <w:pPr>
              <w:jc w:val="right"/>
              <w:rPr>
                <w:sz w:val="16"/>
              </w:rPr>
            </w:pPr>
            <w:r>
              <w:rPr>
                <w:sz w:val="16"/>
              </w:rPr>
              <w:t>6,</w:t>
            </w:r>
            <w:r w:rsidR="00A15968" w:rsidRPr="00BA4451">
              <w:rPr>
                <w:sz w:val="16"/>
              </w:rPr>
              <w:t>3</w:t>
            </w:r>
            <w:r>
              <w:rPr>
                <w:sz w:val="16"/>
              </w:rPr>
              <w:t>4</w:t>
            </w:r>
            <w:r w:rsidR="00A15968" w:rsidRPr="00BA4451">
              <w:rPr>
                <w:sz w:val="16"/>
              </w:rPr>
              <w:t xml:space="preserve">2 </w:t>
            </w:r>
          </w:p>
        </w:tc>
        <w:tc>
          <w:tcPr>
            <w:tcW w:w="1046" w:type="dxa"/>
            <w:tcBorders>
              <w:top w:val="single" w:sz="6" w:space="0" w:color="ACB9CA" w:themeColor="text2" w:themeTint="66"/>
              <w:bottom w:val="double" w:sz="4"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0.2%</w:t>
            </w:r>
          </w:p>
        </w:tc>
        <w:tc>
          <w:tcPr>
            <w:tcW w:w="1102" w:type="dxa"/>
            <w:tcBorders>
              <w:top w:val="single" w:sz="6" w:space="0" w:color="ACB9CA" w:themeColor="text2" w:themeTint="66"/>
              <w:bottom w:val="double" w:sz="4"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xml:space="preserve">11 </w:t>
            </w:r>
          </w:p>
        </w:tc>
        <w:tc>
          <w:tcPr>
            <w:tcW w:w="1662" w:type="dxa"/>
            <w:tcBorders>
              <w:top w:val="single" w:sz="6" w:space="0" w:color="ACB9CA" w:themeColor="text2" w:themeTint="66"/>
              <w:bottom w:val="double" w:sz="4" w:space="0" w:color="ACB9CA" w:themeColor="text2" w:themeTint="66"/>
            </w:tcBorders>
            <w:shd w:val="clear" w:color="auto" w:fill="auto"/>
            <w:noWrap/>
            <w:vAlign w:val="bottom"/>
            <w:hideMark/>
          </w:tcPr>
          <w:p w:rsidR="00A15968" w:rsidRPr="00BA4451" w:rsidRDefault="00A15968" w:rsidP="007A1E04">
            <w:pPr>
              <w:jc w:val="center"/>
              <w:rPr>
                <w:sz w:val="16"/>
              </w:rPr>
            </w:pPr>
            <w:r w:rsidRPr="00BA4451">
              <w:rPr>
                <w:sz w:val="16"/>
              </w:rPr>
              <w:t>10.0%</w:t>
            </w:r>
          </w:p>
        </w:tc>
      </w:tr>
      <w:tr w:rsidR="00A15968" w:rsidRPr="00BA4451" w:rsidTr="00FB3BA3">
        <w:trPr>
          <w:trHeight w:val="123"/>
        </w:trPr>
        <w:tc>
          <w:tcPr>
            <w:tcW w:w="1300" w:type="dxa"/>
            <w:shd w:val="clear" w:color="auto" w:fill="auto"/>
            <w:noWrap/>
            <w:vAlign w:val="bottom"/>
            <w:hideMark/>
          </w:tcPr>
          <w:p w:rsidR="00A15968" w:rsidRPr="00BA4451" w:rsidRDefault="00A15968" w:rsidP="009D2B60">
            <w:pPr>
              <w:rPr>
                <w:sz w:val="16"/>
              </w:rPr>
            </w:pPr>
            <w:r w:rsidRPr="00BA4451">
              <w:rPr>
                <w:sz w:val="16"/>
              </w:rPr>
              <w:t> </w:t>
            </w:r>
          </w:p>
        </w:tc>
        <w:tc>
          <w:tcPr>
            <w:tcW w:w="1058" w:type="dxa"/>
            <w:tcBorders>
              <w:top w:val="double" w:sz="4" w:space="0" w:color="ACB9CA" w:themeColor="text2" w:themeTint="66"/>
            </w:tcBorders>
            <w:shd w:val="clear" w:color="auto" w:fill="auto"/>
            <w:noWrap/>
            <w:vAlign w:val="bottom"/>
            <w:hideMark/>
          </w:tcPr>
          <w:p w:rsidR="00A15968" w:rsidRPr="00BA4451" w:rsidRDefault="0028350F" w:rsidP="0028350F">
            <w:pPr>
              <w:jc w:val="right"/>
              <w:rPr>
                <w:sz w:val="16"/>
              </w:rPr>
            </w:pPr>
            <w:r>
              <w:rPr>
                <w:sz w:val="16"/>
              </w:rPr>
              <w:t>76</w:t>
            </w:r>
            <w:r w:rsidR="00A15968" w:rsidRPr="00BA4451">
              <w:rPr>
                <w:sz w:val="16"/>
              </w:rPr>
              <w:t>,</w:t>
            </w:r>
            <w:r>
              <w:rPr>
                <w:sz w:val="16"/>
              </w:rPr>
              <w:t>93</w:t>
            </w:r>
            <w:r w:rsidR="00A15968" w:rsidRPr="00BA4451">
              <w:rPr>
                <w:sz w:val="16"/>
              </w:rPr>
              <w:t xml:space="preserve">4 </w:t>
            </w:r>
          </w:p>
        </w:tc>
        <w:tc>
          <w:tcPr>
            <w:tcW w:w="1046" w:type="dxa"/>
            <w:tcBorders>
              <w:top w:val="double" w:sz="4"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w:t>
            </w:r>
          </w:p>
        </w:tc>
        <w:tc>
          <w:tcPr>
            <w:tcW w:w="1102" w:type="dxa"/>
            <w:tcBorders>
              <w:top w:val="double" w:sz="4" w:space="0" w:color="ACB9CA" w:themeColor="text2" w:themeTint="66"/>
            </w:tcBorders>
            <w:shd w:val="clear" w:color="auto" w:fill="auto"/>
            <w:noWrap/>
            <w:vAlign w:val="bottom"/>
            <w:hideMark/>
          </w:tcPr>
          <w:p w:rsidR="00A15968" w:rsidRPr="00BA4451" w:rsidRDefault="00A15968" w:rsidP="007A1E04">
            <w:pPr>
              <w:jc w:val="right"/>
              <w:rPr>
                <w:sz w:val="16"/>
              </w:rPr>
            </w:pPr>
            <w:r w:rsidRPr="00BA4451">
              <w:rPr>
                <w:sz w:val="16"/>
              </w:rPr>
              <w:t xml:space="preserve">883 </w:t>
            </w:r>
          </w:p>
        </w:tc>
        <w:tc>
          <w:tcPr>
            <w:tcW w:w="1662" w:type="dxa"/>
            <w:tcBorders>
              <w:top w:val="double" w:sz="4" w:space="0" w:color="ACB9CA" w:themeColor="text2" w:themeTint="66"/>
            </w:tcBorders>
            <w:shd w:val="clear" w:color="auto" w:fill="auto"/>
            <w:noWrap/>
            <w:vAlign w:val="bottom"/>
            <w:hideMark/>
          </w:tcPr>
          <w:p w:rsidR="00A15968" w:rsidRPr="00BA4451" w:rsidRDefault="00A15968" w:rsidP="007A1E04">
            <w:pPr>
              <w:jc w:val="center"/>
              <w:rPr>
                <w:sz w:val="16"/>
              </w:rPr>
            </w:pPr>
            <w:r w:rsidRPr="00BA4451">
              <w:rPr>
                <w:sz w:val="16"/>
              </w:rPr>
              <w:t>22.5%</w:t>
            </w:r>
          </w:p>
        </w:tc>
      </w:tr>
    </w:tbl>
    <w:p w:rsidR="00B92FCD" w:rsidRPr="00081CEC" w:rsidRDefault="00B92FCD" w:rsidP="00B92FCD">
      <w:pPr>
        <w:ind w:left="1440" w:hanging="180"/>
        <w:rPr>
          <w:rFonts w:asciiTheme="minorHAnsi" w:hAnsiTheme="minorHAnsi"/>
          <w:szCs w:val="20"/>
        </w:rPr>
      </w:pPr>
    </w:p>
    <w:p w:rsidR="00943D3E" w:rsidRPr="00081CEC" w:rsidRDefault="00943D3E" w:rsidP="006B00E0">
      <w:pPr>
        <w:pStyle w:val="Heading1"/>
        <w:spacing w:before="0"/>
        <w:rPr>
          <w:rFonts w:asciiTheme="minorHAnsi" w:hAnsiTheme="minorHAnsi"/>
        </w:rPr>
      </w:pPr>
      <w:r w:rsidRPr="00081CEC">
        <w:rPr>
          <w:rFonts w:asciiTheme="minorHAnsi" w:hAnsiTheme="minorHAnsi"/>
        </w:rPr>
        <w:t>Analysis of Participant Funds Collected</w:t>
      </w:r>
      <w:r w:rsidR="008F3B55" w:rsidRPr="00081CEC">
        <w:rPr>
          <w:rFonts w:asciiTheme="minorHAnsi" w:hAnsiTheme="minorHAnsi"/>
        </w:rPr>
        <w:t xml:space="preserve"> and Program Spending</w:t>
      </w:r>
    </w:p>
    <w:p w:rsidR="00AA7F7F" w:rsidRDefault="008F3B55" w:rsidP="001A2FE8">
      <w:r w:rsidRPr="00081CEC">
        <w:t xml:space="preserve">The Company transfers 70 percent of </w:t>
      </w:r>
      <w:r w:rsidR="001462EB" w:rsidRPr="00081CEC">
        <w:t xml:space="preserve">net </w:t>
      </w:r>
      <w:r w:rsidRPr="00081CEC">
        <w:t>funds collected from participants to The Climate Trust</w:t>
      </w:r>
      <w:r w:rsidR="00391415" w:rsidRPr="00081CEC">
        <w:t>,</w:t>
      </w:r>
      <w:r w:rsidRPr="00081CEC">
        <w:t xml:space="preserve"> which reflects the projected split of program marketing and administrative costs a</w:t>
      </w:r>
      <w:r w:rsidR="001618AB">
        <w:t xml:space="preserve">nd funds for offset purchases. </w:t>
      </w:r>
      <w:r w:rsidR="005D194A" w:rsidRPr="00081CEC">
        <w:t>Net collections are t</w:t>
      </w:r>
      <w:r w:rsidR="001618AB">
        <w:t xml:space="preserve">ransferred on a two-month lag. </w:t>
      </w:r>
      <w:r w:rsidR="00A176C8" w:rsidRPr="00081CEC">
        <w:t xml:space="preserve">Table </w:t>
      </w:r>
      <w:r w:rsidR="00CC561C" w:rsidRPr="00081CEC">
        <w:t>2</w:t>
      </w:r>
      <w:r w:rsidR="00A176C8" w:rsidRPr="00081CEC">
        <w:t xml:space="preserve"> presents collections f</w:t>
      </w:r>
      <w:r w:rsidR="00943D3E" w:rsidRPr="00081CEC">
        <w:t xml:space="preserve">or the year ended December 31, </w:t>
      </w:r>
      <w:r w:rsidR="00A15968">
        <w:t>2015</w:t>
      </w:r>
      <w:r w:rsidR="00943D3E" w:rsidRPr="00081CEC">
        <w:t xml:space="preserve"> net of an uncollectible allowance</w:t>
      </w:r>
      <w:r w:rsidR="00A176C8" w:rsidRPr="00081CEC">
        <w:t xml:space="preserve"> and amounts </w:t>
      </w:r>
      <w:r w:rsidR="007E44AE" w:rsidRPr="00081CEC">
        <w:t xml:space="preserve">designated for marketing and administration </w:t>
      </w:r>
      <w:r w:rsidR="00A176C8" w:rsidRPr="00081CEC">
        <w:t>during the year</w:t>
      </w:r>
      <w:r w:rsidR="00E968DC" w:rsidRPr="00081CEC">
        <w:t>.</w:t>
      </w:r>
    </w:p>
    <w:p w:rsidR="00BB4492" w:rsidRPr="00081CEC" w:rsidRDefault="00BB4492" w:rsidP="009D2B60">
      <w:pPr>
        <w:rPr>
          <w:b/>
          <w:szCs w:val="22"/>
        </w:rPr>
      </w:pPr>
    </w:p>
    <w:p w:rsidR="00A176C8" w:rsidRPr="00D3135C" w:rsidRDefault="00A176C8" w:rsidP="00A176C8">
      <w:pPr>
        <w:jc w:val="center"/>
        <w:rPr>
          <w:rStyle w:val="SubtleReference"/>
        </w:rPr>
      </w:pPr>
      <w:r w:rsidRPr="00D3135C">
        <w:rPr>
          <w:rStyle w:val="SubtleReference"/>
        </w:rPr>
        <w:t xml:space="preserve">Table </w:t>
      </w:r>
      <w:r w:rsidR="00CC561C" w:rsidRPr="00D3135C">
        <w:rPr>
          <w:rStyle w:val="SubtleReference"/>
        </w:rPr>
        <w:t>2</w:t>
      </w:r>
      <w:r w:rsidRPr="00D3135C">
        <w:rPr>
          <w:rStyle w:val="SubtleReference"/>
        </w:rPr>
        <w:t xml:space="preserve"> – Funds Collected and Transfers Due</w:t>
      </w:r>
    </w:p>
    <w:tbl>
      <w:tblPr>
        <w:tblW w:w="5221" w:type="dxa"/>
        <w:jc w:val="center"/>
        <w:tblLook w:val="04A0" w:firstRow="1" w:lastRow="0" w:firstColumn="1" w:lastColumn="0" w:noHBand="0" w:noVBand="1"/>
      </w:tblPr>
      <w:tblGrid>
        <w:gridCol w:w="4019"/>
        <w:gridCol w:w="1202"/>
      </w:tblGrid>
      <w:tr w:rsidR="00924BD1" w:rsidRPr="00BA4451" w:rsidTr="001A2FE8">
        <w:trPr>
          <w:jc w:val="center"/>
        </w:trPr>
        <w:tc>
          <w:tcPr>
            <w:tcW w:w="4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4BD1" w:rsidRPr="00BA4451" w:rsidRDefault="00924BD1" w:rsidP="009D2B60">
            <w:pPr>
              <w:rPr>
                <w:sz w:val="16"/>
              </w:rPr>
            </w:pPr>
            <w:r w:rsidRPr="00BA4451">
              <w:rPr>
                <w:sz w:val="16"/>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924BD1" w:rsidRPr="00BA4451" w:rsidRDefault="00A15968" w:rsidP="00BA4451">
            <w:pPr>
              <w:jc w:val="center"/>
              <w:rPr>
                <w:sz w:val="16"/>
              </w:rPr>
            </w:pPr>
            <w:r w:rsidRPr="00BA4451">
              <w:rPr>
                <w:sz w:val="16"/>
              </w:rPr>
              <w:t>2015</w:t>
            </w:r>
          </w:p>
        </w:tc>
      </w:tr>
      <w:tr w:rsidR="00924BD1" w:rsidRPr="00BA4451" w:rsidTr="001A2FE8">
        <w:trPr>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924BD1" w:rsidRPr="00BA4451" w:rsidRDefault="00502D76" w:rsidP="009D2B60">
            <w:pPr>
              <w:rPr>
                <w:sz w:val="16"/>
              </w:rPr>
            </w:pPr>
            <w:r w:rsidRPr="00BA4451">
              <w:rPr>
                <w:sz w:val="16"/>
              </w:rPr>
              <w:t>Collections</w:t>
            </w:r>
            <w:r w:rsidR="00924BD1" w:rsidRPr="00BA4451">
              <w:rPr>
                <w:sz w:val="16"/>
              </w:rPr>
              <w:t>, net of uncollectible allowance</w:t>
            </w:r>
          </w:p>
        </w:tc>
        <w:tc>
          <w:tcPr>
            <w:tcW w:w="1202" w:type="dxa"/>
            <w:tcBorders>
              <w:top w:val="nil"/>
              <w:left w:val="nil"/>
              <w:bottom w:val="single" w:sz="4" w:space="0" w:color="auto"/>
              <w:right w:val="single" w:sz="4" w:space="0" w:color="auto"/>
            </w:tcBorders>
            <w:shd w:val="clear" w:color="auto" w:fill="auto"/>
            <w:noWrap/>
            <w:vAlign w:val="bottom"/>
            <w:hideMark/>
          </w:tcPr>
          <w:p w:rsidR="00A15968" w:rsidRPr="00BA4451" w:rsidRDefault="004445CA" w:rsidP="009D2B60">
            <w:pPr>
              <w:rPr>
                <w:sz w:val="16"/>
              </w:rPr>
            </w:pPr>
            <w:r w:rsidRPr="00BA4451">
              <w:rPr>
                <w:sz w:val="16"/>
              </w:rPr>
              <w:t>$</w:t>
            </w:r>
            <w:r w:rsidR="00A15968" w:rsidRPr="00BA4451">
              <w:rPr>
                <w:sz w:val="16"/>
              </w:rPr>
              <w:t>1,536,13</w:t>
            </w:r>
            <w:r w:rsidR="00F26C7C" w:rsidRPr="00BA4451">
              <w:rPr>
                <w:sz w:val="16"/>
              </w:rPr>
              <w:t>1</w:t>
            </w:r>
          </w:p>
        </w:tc>
      </w:tr>
      <w:tr w:rsidR="00924BD1" w:rsidRPr="00BA4451" w:rsidTr="001A2FE8">
        <w:trPr>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924BD1" w:rsidRPr="00BA4451" w:rsidRDefault="00924BD1" w:rsidP="009D2B60">
            <w:pPr>
              <w:rPr>
                <w:sz w:val="16"/>
              </w:rPr>
            </w:pPr>
            <w:r w:rsidRPr="00BA4451">
              <w:rPr>
                <w:sz w:val="16"/>
              </w:rPr>
              <w:t>Less: 30% for marketing and administration</w:t>
            </w:r>
          </w:p>
        </w:tc>
        <w:tc>
          <w:tcPr>
            <w:tcW w:w="1202" w:type="dxa"/>
            <w:tcBorders>
              <w:top w:val="nil"/>
              <w:left w:val="nil"/>
              <w:bottom w:val="single" w:sz="4" w:space="0" w:color="auto"/>
              <w:right w:val="single" w:sz="4" w:space="0" w:color="auto"/>
            </w:tcBorders>
            <w:shd w:val="clear" w:color="auto" w:fill="auto"/>
            <w:noWrap/>
            <w:vAlign w:val="bottom"/>
            <w:hideMark/>
          </w:tcPr>
          <w:p w:rsidR="00924BD1" w:rsidRPr="00BA4451" w:rsidRDefault="00924BD1" w:rsidP="001A2FE8">
            <w:pPr>
              <w:rPr>
                <w:sz w:val="16"/>
              </w:rPr>
            </w:pPr>
            <w:r w:rsidRPr="00BA4451">
              <w:rPr>
                <w:sz w:val="16"/>
              </w:rPr>
              <w:t>$</w:t>
            </w:r>
            <w:r w:rsidR="00F26C7C" w:rsidRPr="00BA4451">
              <w:rPr>
                <w:sz w:val="16"/>
              </w:rPr>
              <w:t>460,839</w:t>
            </w:r>
          </w:p>
        </w:tc>
      </w:tr>
      <w:tr w:rsidR="00924BD1" w:rsidRPr="00BA4451" w:rsidTr="001A2FE8">
        <w:trPr>
          <w:jc w:val="center"/>
        </w:trPr>
        <w:tc>
          <w:tcPr>
            <w:tcW w:w="4019" w:type="dxa"/>
            <w:tcBorders>
              <w:top w:val="nil"/>
              <w:left w:val="single" w:sz="4" w:space="0" w:color="auto"/>
              <w:bottom w:val="single" w:sz="4" w:space="0" w:color="auto"/>
              <w:right w:val="single" w:sz="4" w:space="0" w:color="auto"/>
            </w:tcBorders>
            <w:shd w:val="clear" w:color="auto" w:fill="auto"/>
            <w:noWrap/>
            <w:vAlign w:val="bottom"/>
            <w:hideMark/>
          </w:tcPr>
          <w:p w:rsidR="00924BD1" w:rsidRPr="00BA4451" w:rsidRDefault="00924BD1" w:rsidP="009D2B60">
            <w:pPr>
              <w:rPr>
                <w:sz w:val="16"/>
              </w:rPr>
            </w:pPr>
            <w:r w:rsidRPr="00BA4451">
              <w:rPr>
                <w:sz w:val="16"/>
              </w:rPr>
              <w:t>Total due to The Climate Trust for offset purchases</w:t>
            </w:r>
          </w:p>
        </w:tc>
        <w:tc>
          <w:tcPr>
            <w:tcW w:w="1202" w:type="dxa"/>
            <w:tcBorders>
              <w:top w:val="nil"/>
              <w:left w:val="nil"/>
              <w:bottom w:val="single" w:sz="4" w:space="0" w:color="auto"/>
              <w:right w:val="single" w:sz="4" w:space="0" w:color="auto"/>
            </w:tcBorders>
            <w:shd w:val="clear" w:color="auto" w:fill="auto"/>
            <w:noWrap/>
            <w:vAlign w:val="bottom"/>
            <w:hideMark/>
          </w:tcPr>
          <w:p w:rsidR="00924BD1" w:rsidRPr="00BA4451" w:rsidRDefault="0062103B" w:rsidP="009D2B60">
            <w:pPr>
              <w:rPr>
                <w:sz w:val="16"/>
              </w:rPr>
            </w:pPr>
            <w:r w:rsidRPr="00BA4451">
              <w:rPr>
                <w:sz w:val="16"/>
              </w:rPr>
              <w:t>$</w:t>
            </w:r>
            <w:r w:rsidR="00F26C7C" w:rsidRPr="00BA4451">
              <w:rPr>
                <w:sz w:val="16"/>
              </w:rPr>
              <w:t>1,075,292</w:t>
            </w:r>
            <w:r w:rsidR="00924BD1" w:rsidRPr="00BA4451">
              <w:rPr>
                <w:sz w:val="16"/>
              </w:rPr>
              <w:t xml:space="preserve"> </w:t>
            </w:r>
          </w:p>
        </w:tc>
      </w:tr>
    </w:tbl>
    <w:p w:rsidR="00A176C8" w:rsidRPr="007C2030" w:rsidRDefault="00A176C8" w:rsidP="005D194A">
      <w:pPr>
        <w:rPr>
          <w:rFonts w:asciiTheme="minorHAnsi" w:hAnsiTheme="minorHAnsi"/>
          <w:sz w:val="18"/>
          <w:szCs w:val="18"/>
        </w:rPr>
      </w:pPr>
    </w:p>
    <w:p w:rsidR="001C180F" w:rsidRPr="001A2FE8" w:rsidRDefault="00FF70CA" w:rsidP="001A2FE8">
      <w:r w:rsidRPr="001A2FE8">
        <w:t>Due to the lag between bills issued and funds collected, $</w:t>
      </w:r>
      <w:r w:rsidR="00F26C7C" w:rsidRPr="001A2FE8">
        <w:t>249,992</w:t>
      </w:r>
      <w:r w:rsidRPr="001A2FE8">
        <w:t xml:space="preserve">, which </w:t>
      </w:r>
      <w:r w:rsidR="009E7304" w:rsidRPr="001A2FE8">
        <w:t>are funds from the November and December</w:t>
      </w:r>
      <w:r w:rsidRPr="001A2FE8">
        <w:t xml:space="preserve"> </w:t>
      </w:r>
      <w:r w:rsidR="00A15968" w:rsidRPr="001A2FE8">
        <w:t>2015</w:t>
      </w:r>
      <w:r w:rsidR="009E7304" w:rsidRPr="001A2FE8">
        <w:t xml:space="preserve"> billings</w:t>
      </w:r>
      <w:r w:rsidRPr="001A2FE8">
        <w:t>, will be t</w:t>
      </w:r>
      <w:r w:rsidR="00C15A5D" w:rsidRPr="001A2FE8">
        <w:t>ransferred to The Climate Trust</w:t>
      </w:r>
      <w:r w:rsidRPr="001A2FE8">
        <w:t xml:space="preserve"> </w:t>
      </w:r>
      <w:r w:rsidR="001462EB" w:rsidRPr="001A2FE8">
        <w:t>within the first two months of 201</w:t>
      </w:r>
      <w:r w:rsidR="00F26C7C" w:rsidRPr="001A2FE8">
        <w:t>6</w:t>
      </w:r>
      <w:r w:rsidR="001462EB" w:rsidRPr="001A2FE8">
        <w:t>.</w:t>
      </w:r>
      <w:r w:rsidR="005D194A" w:rsidRPr="001A2FE8">
        <w:t xml:space="preserve"> </w:t>
      </w:r>
      <w:r w:rsidR="001C180F" w:rsidRPr="001A2FE8">
        <w:t>NW Natural spent approximately $</w:t>
      </w:r>
      <w:r w:rsidR="00F26C7C" w:rsidRPr="001A2FE8">
        <w:t>574,222</w:t>
      </w:r>
      <w:r w:rsidR="001C180F" w:rsidRPr="001A2FE8">
        <w:t xml:space="preserve"> for the year on marketing and administrative costs, which was derived from the $</w:t>
      </w:r>
      <w:r w:rsidR="00F26C7C" w:rsidRPr="001A2FE8">
        <w:t>460,839</w:t>
      </w:r>
      <w:r w:rsidR="001C180F" w:rsidRPr="001A2FE8">
        <w:t xml:space="preserve"> of </w:t>
      </w:r>
      <w:r w:rsidR="00A15968" w:rsidRPr="001A2FE8">
        <w:t>2015</w:t>
      </w:r>
      <w:r w:rsidR="001C180F" w:rsidRPr="001A2FE8">
        <w:t xml:space="preserve"> collections (see Table 2), approximately $</w:t>
      </w:r>
      <w:r w:rsidR="00F26C7C" w:rsidRPr="001A2FE8">
        <w:t>35,465</w:t>
      </w:r>
      <w:r w:rsidR="001C180F" w:rsidRPr="001A2FE8">
        <w:t xml:space="preserve"> of carryover from 201</w:t>
      </w:r>
      <w:r w:rsidR="00F26C7C" w:rsidRPr="001A2FE8">
        <w:t>4</w:t>
      </w:r>
      <w:r w:rsidR="001C180F" w:rsidRPr="001A2FE8">
        <w:t>, and $</w:t>
      </w:r>
      <w:r w:rsidR="00F26C7C" w:rsidRPr="001A2FE8">
        <w:t>50,000</w:t>
      </w:r>
      <w:r w:rsidR="001C180F" w:rsidRPr="001A2FE8">
        <w:t xml:space="preserve"> from funds re-allocated from The Climate Trust</w:t>
      </w:r>
      <w:r w:rsidR="009E7304" w:rsidRPr="001A2FE8">
        <w:t xml:space="preserve"> to marketing</w:t>
      </w:r>
      <w:r w:rsidR="007C2030" w:rsidRPr="0045584B">
        <w:rPr>
          <w:vertAlign w:val="superscript"/>
        </w:rPr>
        <w:footnoteReference w:id="1"/>
      </w:r>
      <w:r w:rsidR="001C180F" w:rsidRPr="001A2FE8">
        <w:t>.</w:t>
      </w:r>
    </w:p>
    <w:p w:rsidR="00BB4492" w:rsidRPr="00081CEC" w:rsidRDefault="00BB4492" w:rsidP="00BA4451"/>
    <w:p w:rsidR="001A2FE8" w:rsidRDefault="001A2FE8" w:rsidP="006B00E0">
      <w:pPr>
        <w:pStyle w:val="Heading1"/>
        <w:spacing w:before="0"/>
        <w:rPr>
          <w:rFonts w:asciiTheme="minorHAnsi" w:hAnsiTheme="minorHAnsi"/>
        </w:rPr>
      </w:pPr>
    </w:p>
    <w:p w:rsidR="00EC6A1A" w:rsidRPr="00081CEC" w:rsidRDefault="00EC6A1A" w:rsidP="006B00E0">
      <w:pPr>
        <w:pStyle w:val="Heading1"/>
        <w:spacing w:before="0"/>
        <w:rPr>
          <w:rFonts w:asciiTheme="minorHAnsi" w:hAnsiTheme="minorHAnsi"/>
        </w:rPr>
      </w:pPr>
      <w:r w:rsidRPr="00081CEC">
        <w:rPr>
          <w:rFonts w:asciiTheme="minorHAnsi" w:hAnsiTheme="minorHAnsi"/>
        </w:rPr>
        <w:t xml:space="preserve">Report on The Climate Trust </w:t>
      </w:r>
    </w:p>
    <w:p w:rsidR="00C53063" w:rsidRDefault="00C53063" w:rsidP="00E43BFD">
      <w:pPr>
        <w:rPr>
          <w:rFonts w:asciiTheme="minorHAnsi" w:hAnsiTheme="minorHAnsi"/>
          <w:color w:val="2E74B5" w:themeColor="accent1" w:themeShade="BF"/>
          <w:u w:val="single"/>
        </w:rPr>
      </w:pPr>
    </w:p>
    <w:p w:rsidR="00E43BFD" w:rsidRPr="00081CEC" w:rsidRDefault="00E43BFD" w:rsidP="00D3135C">
      <w:pPr>
        <w:pStyle w:val="Subtitle"/>
      </w:pPr>
      <w:r w:rsidRPr="00081CEC">
        <w:t xml:space="preserve">Carbon Reduction </w:t>
      </w:r>
    </w:p>
    <w:p w:rsidR="00E43BFD" w:rsidRPr="00081CEC" w:rsidRDefault="00E43BFD" w:rsidP="00BA4451">
      <w:r w:rsidRPr="00081CEC">
        <w:t xml:space="preserve">The commitment of total carbon reductions for the reporting period is approximately </w:t>
      </w:r>
      <w:r w:rsidR="00F26C7C">
        <w:t>85,699</w:t>
      </w:r>
      <w:r w:rsidR="004F3D34" w:rsidRPr="00081CEC">
        <w:t xml:space="preserve"> </w:t>
      </w:r>
      <w:r w:rsidRPr="00081CEC">
        <w:t xml:space="preserve">tons.  </w:t>
      </w:r>
    </w:p>
    <w:p w:rsidR="00E43BFD" w:rsidRPr="00081CEC" w:rsidRDefault="00E43BFD" w:rsidP="00BA4451">
      <w:r w:rsidRPr="00081CEC">
        <w:t>The Climate Trust received $</w:t>
      </w:r>
      <w:r w:rsidR="00F26C7C">
        <w:t>1,037,926</w:t>
      </w:r>
      <w:r w:rsidRPr="00FB3BA3">
        <w:rPr>
          <w:rStyle w:val="FootnoteReference"/>
        </w:rPr>
        <w:footnoteReference w:id="2"/>
      </w:r>
      <w:r w:rsidRPr="00081CEC">
        <w:t xml:space="preserve"> for offset purchases for program participants during the reporting period. </w:t>
      </w:r>
    </w:p>
    <w:p w:rsidR="00EC6A1A" w:rsidRPr="00081CEC" w:rsidRDefault="00EC6A1A" w:rsidP="00347653">
      <w:pPr>
        <w:rPr>
          <w:rFonts w:asciiTheme="minorHAnsi" w:hAnsiTheme="minorHAnsi"/>
          <w:b/>
        </w:rPr>
      </w:pPr>
    </w:p>
    <w:p w:rsidR="00EC6A1A" w:rsidRPr="00081CEC" w:rsidRDefault="00EC6A1A" w:rsidP="00D3135C">
      <w:pPr>
        <w:pStyle w:val="Subtitle"/>
      </w:pPr>
      <w:r w:rsidRPr="00081CEC">
        <w:t xml:space="preserve">Offset Funds </w:t>
      </w:r>
    </w:p>
    <w:p w:rsidR="00EC6A1A" w:rsidRPr="00081CEC" w:rsidRDefault="008F6ED3" w:rsidP="00BA4451">
      <w:r w:rsidRPr="00081CEC">
        <w:t xml:space="preserve">Program revenues from inception to </w:t>
      </w:r>
      <w:r w:rsidR="00EC6A1A" w:rsidRPr="00081CEC">
        <w:t xml:space="preserve">December 31, </w:t>
      </w:r>
      <w:r w:rsidR="00A15968">
        <w:t>2015</w:t>
      </w:r>
      <w:r w:rsidR="0025575D" w:rsidRPr="00081CEC">
        <w:t>,</w:t>
      </w:r>
      <w:r w:rsidR="00EC6A1A" w:rsidRPr="00081CEC">
        <w:t xml:space="preserve"> received by The Climate Trust totaled $</w:t>
      </w:r>
      <w:r w:rsidR="00F26C7C">
        <w:t>5,019,719</w:t>
      </w:r>
      <w:r w:rsidR="00EC6A1A" w:rsidRPr="00081CEC">
        <w:t xml:space="preserve"> for the purchasing and managing of offset project contracts. </w:t>
      </w:r>
    </w:p>
    <w:p w:rsidR="00EC6A1A" w:rsidRPr="00081CEC" w:rsidRDefault="00EC6A1A" w:rsidP="00EC6A1A">
      <w:pPr>
        <w:rPr>
          <w:rFonts w:asciiTheme="minorHAnsi" w:eastAsiaTheme="majorEastAsia" w:hAnsiTheme="minorHAnsi" w:cstheme="majorBidi"/>
          <w:iCs/>
          <w:color w:val="2E74B5" w:themeColor="accent1" w:themeShade="BF"/>
          <w:spacing w:val="15"/>
          <w:u w:val="single"/>
        </w:rPr>
      </w:pPr>
    </w:p>
    <w:p w:rsidR="00EC6A1A" w:rsidRPr="00081CEC" w:rsidRDefault="00EC6A1A" w:rsidP="00D3135C">
      <w:pPr>
        <w:pStyle w:val="Subtitle"/>
      </w:pPr>
      <w:r w:rsidRPr="00081CEC">
        <w:t>Funding Obligation Commitment</w:t>
      </w:r>
    </w:p>
    <w:p w:rsidR="004F3D34" w:rsidRDefault="00E43BFD" w:rsidP="00BA4451">
      <w:r w:rsidRPr="00081CEC">
        <w:t xml:space="preserve">As of December 31, </w:t>
      </w:r>
      <w:r w:rsidR="00A15968">
        <w:t>2015</w:t>
      </w:r>
      <w:r w:rsidRPr="00081CEC">
        <w:t xml:space="preserve">, The Climate Trust has obligated program funds for </w:t>
      </w:r>
      <w:r w:rsidR="00F26C7C">
        <w:t>400,220</w:t>
      </w:r>
      <w:r w:rsidRPr="009763A2">
        <w:t xml:space="preserve"> </w:t>
      </w:r>
      <w:r w:rsidR="005C11B1">
        <w:t xml:space="preserve">short </w:t>
      </w:r>
      <w:r w:rsidRPr="00081CEC">
        <w:t>tons of offsets, fully meetin</w:t>
      </w:r>
      <w:r w:rsidR="006B00E0" w:rsidRPr="00081CEC">
        <w:t xml:space="preserve">g the requirement </w:t>
      </w:r>
      <w:r w:rsidR="00630785" w:rsidRPr="00081CEC">
        <w:t>through 201</w:t>
      </w:r>
      <w:r w:rsidR="00F26C7C">
        <w:t>4</w:t>
      </w:r>
      <w:r w:rsidR="001618AB">
        <w:t xml:space="preserve">. </w:t>
      </w:r>
      <w:r w:rsidR="00E4204F">
        <w:t>The status of obligating funds for therms of demand is reflected as short tons in table 3.</w:t>
      </w:r>
    </w:p>
    <w:p w:rsidR="00D3135C" w:rsidRPr="00081CEC" w:rsidRDefault="00D3135C" w:rsidP="0025575D">
      <w:pPr>
        <w:rPr>
          <w:rFonts w:asciiTheme="minorHAnsi" w:hAnsiTheme="minorHAnsi"/>
        </w:rPr>
      </w:pPr>
    </w:p>
    <w:p w:rsidR="00E968DC" w:rsidRPr="00D3135C" w:rsidRDefault="008548E4" w:rsidP="00800F67">
      <w:pPr>
        <w:jc w:val="center"/>
        <w:rPr>
          <w:rStyle w:val="SubtleReference"/>
        </w:rPr>
      </w:pPr>
      <w:r>
        <w:rPr>
          <w:rFonts w:asciiTheme="minorHAnsi" w:hAnsiTheme="minorHAnsi"/>
          <w:noProof/>
        </w:rPr>
        <w:drawing>
          <wp:anchor distT="0" distB="0" distL="114300" distR="114300" simplePos="0" relativeHeight="251658240" behindDoc="0" locked="0" layoutInCell="1" allowOverlap="1" wp14:anchorId="6CBF7EB9" wp14:editId="096D82B6">
            <wp:simplePos x="0" y="0"/>
            <wp:positionH relativeFrom="column">
              <wp:posOffset>3744595</wp:posOffset>
            </wp:positionH>
            <wp:positionV relativeFrom="paragraph">
              <wp:posOffset>1270</wp:posOffset>
            </wp:positionV>
            <wp:extent cx="3044825" cy="4030980"/>
            <wp:effectExtent l="0" t="0" r="3175" b="7620"/>
            <wp:wrapSquare wrapText="bothSides"/>
            <wp:docPr id="3" name="Picture 3" descr="C:\Users\b4h\Desktop\2015_ARCom_Ma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4h\Desktop\2015_ARCom_Map-v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714" t="16559" r="28825" b="17335"/>
                    <a:stretch/>
                  </pic:blipFill>
                  <pic:spPr bwMode="auto">
                    <a:xfrm>
                      <a:off x="0" y="0"/>
                      <a:ext cx="3044825" cy="4030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3D34" w:rsidRPr="00D3135C">
        <w:rPr>
          <w:rStyle w:val="SubtleReference"/>
        </w:rPr>
        <w:t>Table 3 - Commitment Status as of 12/31/1</w:t>
      </w:r>
      <w:r w:rsidR="00E4204F" w:rsidRPr="00D3135C">
        <w:rPr>
          <w:rStyle w:val="SubtleReference"/>
        </w:rPr>
        <w:t>5</w:t>
      </w:r>
    </w:p>
    <w:tbl>
      <w:tblPr>
        <w:tblW w:w="4898" w:type="dxa"/>
        <w:jc w:val="center"/>
        <w:tblLook w:val="04A0" w:firstRow="1" w:lastRow="0" w:firstColumn="1" w:lastColumn="0" w:noHBand="0" w:noVBand="1"/>
      </w:tblPr>
      <w:tblGrid>
        <w:gridCol w:w="661"/>
        <w:gridCol w:w="1040"/>
        <w:gridCol w:w="1080"/>
        <w:gridCol w:w="1317"/>
        <w:gridCol w:w="800"/>
      </w:tblGrid>
      <w:tr w:rsidR="00E4204F" w:rsidRPr="00BA4451" w:rsidTr="00BA4451">
        <w:trPr>
          <w:divId w:val="1875583169"/>
          <w:jc w:val="center"/>
        </w:trPr>
        <w:tc>
          <w:tcPr>
            <w:tcW w:w="661" w:type="dxa"/>
            <w:tcBorders>
              <w:top w:val="single" w:sz="4" w:space="0" w:color="auto"/>
              <w:left w:val="single" w:sz="4" w:space="0" w:color="auto"/>
              <w:bottom w:val="single" w:sz="4" w:space="0" w:color="auto"/>
            </w:tcBorders>
            <w:shd w:val="clear" w:color="auto" w:fill="auto"/>
            <w:vAlign w:val="bottom"/>
          </w:tcPr>
          <w:p w:rsidR="00E4204F" w:rsidRPr="00BA4451" w:rsidRDefault="00E4204F" w:rsidP="00BA4451">
            <w:pPr>
              <w:rPr>
                <w:sz w:val="16"/>
                <w:szCs w:val="16"/>
              </w:rPr>
            </w:pPr>
            <w:r w:rsidRPr="00BA4451">
              <w:rPr>
                <w:sz w:val="16"/>
                <w:szCs w:val="16"/>
              </w:rPr>
              <w:t>Year</w:t>
            </w:r>
          </w:p>
        </w:tc>
        <w:tc>
          <w:tcPr>
            <w:tcW w:w="1040" w:type="dxa"/>
            <w:tcBorders>
              <w:top w:val="single" w:sz="4" w:space="0" w:color="auto"/>
              <w:bottom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Demand Short Tons</w:t>
            </w:r>
          </w:p>
        </w:tc>
        <w:tc>
          <w:tcPr>
            <w:tcW w:w="1080" w:type="dxa"/>
            <w:tcBorders>
              <w:top w:val="single" w:sz="4" w:space="0" w:color="auto"/>
              <w:bottom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Short Tons Obligated</w:t>
            </w:r>
          </w:p>
        </w:tc>
        <w:tc>
          <w:tcPr>
            <w:tcW w:w="1317" w:type="dxa"/>
            <w:tcBorders>
              <w:top w:val="single" w:sz="4" w:space="0" w:color="auto"/>
              <w:bottom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Obligation Deadline</w:t>
            </w:r>
            <w:r w:rsidR="00775F66" w:rsidRPr="00FB3BA3">
              <w:rPr>
                <w:rStyle w:val="FootnoteReference"/>
                <w:color w:val="000000"/>
                <w:sz w:val="16"/>
                <w:szCs w:val="16"/>
              </w:rPr>
              <w:footnoteReference w:id="3"/>
            </w:r>
          </w:p>
        </w:tc>
        <w:tc>
          <w:tcPr>
            <w:tcW w:w="800" w:type="dxa"/>
            <w:tcBorders>
              <w:top w:val="single" w:sz="4" w:space="0" w:color="auto"/>
              <w:bottom w:val="single" w:sz="4" w:space="0" w:color="auto"/>
              <w:right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Status (% met)</w:t>
            </w:r>
          </w:p>
        </w:tc>
      </w:tr>
      <w:tr w:rsidR="00E4204F" w:rsidRPr="00BA4451" w:rsidTr="00BA4451">
        <w:trPr>
          <w:divId w:val="1875583169"/>
          <w:jc w:val="center"/>
        </w:trPr>
        <w:tc>
          <w:tcPr>
            <w:tcW w:w="661" w:type="dxa"/>
            <w:tcBorders>
              <w:top w:val="single" w:sz="4" w:space="0" w:color="auto"/>
              <w:left w:val="single" w:sz="4" w:space="0" w:color="auto"/>
              <w:bottom w:val="single" w:sz="4" w:space="0" w:color="A6A6A6" w:themeColor="background1" w:themeShade="A6"/>
            </w:tcBorders>
            <w:shd w:val="clear" w:color="auto" w:fill="auto"/>
            <w:vAlign w:val="bottom"/>
          </w:tcPr>
          <w:p w:rsidR="00E4204F" w:rsidRPr="00BA4451" w:rsidRDefault="00E4204F" w:rsidP="00BA4451">
            <w:pPr>
              <w:rPr>
                <w:sz w:val="16"/>
                <w:szCs w:val="16"/>
              </w:rPr>
            </w:pPr>
            <w:r w:rsidRPr="00BA4451">
              <w:rPr>
                <w:sz w:val="16"/>
                <w:szCs w:val="16"/>
              </w:rPr>
              <w:t>2007</w:t>
            </w:r>
          </w:p>
        </w:tc>
        <w:tc>
          <w:tcPr>
            <w:tcW w:w="1040" w:type="dxa"/>
            <w:tcBorders>
              <w:top w:val="single" w:sz="4" w:space="0" w:color="auto"/>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1,454 </w:t>
            </w:r>
          </w:p>
        </w:tc>
        <w:tc>
          <w:tcPr>
            <w:tcW w:w="1080" w:type="dxa"/>
            <w:tcBorders>
              <w:top w:val="single" w:sz="4" w:space="0" w:color="auto"/>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1,454 </w:t>
            </w:r>
          </w:p>
        </w:tc>
        <w:tc>
          <w:tcPr>
            <w:tcW w:w="1317" w:type="dxa"/>
            <w:tcBorders>
              <w:top w:val="single" w:sz="4" w:space="0" w:color="auto"/>
              <w:bottom w:val="single" w:sz="4" w:space="0" w:color="A6A6A6" w:themeColor="background1" w:themeShade="A6"/>
            </w:tcBorders>
            <w:shd w:val="clear" w:color="auto" w:fill="auto"/>
            <w:vAlign w:val="center"/>
          </w:tcPr>
          <w:p w:rsidR="00E4204F" w:rsidRPr="00BA4451" w:rsidRDefault="00E4204F" w:rsidP="00BA4451">
            <w:pPr>
              <w:jc w:val="center"/>
              <w:rPr>
                <w:sz w:val="16"/>
                <w:szCs w:val="16"/>
              </w:rPr>
            </w:pPr>
            <w:r w:rsidRPr="00BA4451">
              <w:rPr>
                <w:sz w:val="16"/>
                <w:szCs w:val="16"/>
              </w:rPr>
              <w:t>1/1/2010</w:t>
            </w:r>
          </w:p>
        </w:tc>
        <w:tc>
          <w:tcPr>
            <w:tcW w:w="800" w:type="dxa"/>
            <w:tcBorders>
              <w:top w:val="single" w:sz="4" w:space="0" w:color="auto"/>
              <w:bottom w:val="single" w:sz="4" w:space="0" w:color="A6A6A6" w:themeColor="background1" w:themeShade="A6"/>
              <w:right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100%</w:t>
            </w:r>
          </w:p>
        </w:tc>
      </w:tr>
      <w:tr w:rsidR="00E4204F" w:rsidRPr="00BA4451" w:rsidTr="00BA4451">
        <w:trPr>
          <w:divId w:val="1875583169"/>
          <w:jc w:val="center"/>
        </w:trPr>
        <w:tc>
          <w:tcPr>
            <w:tcW w:w="661" w:type="dxa"/>
            <w:tcBorders>
              <w:top w:val="single" w:sz="4" w:space="0" w:color="A6A6A6" w:themeColor="background1" w:themeShade="A6"/>
              <w:left w:val="single" w:sz="4" w:space="0" w:color="auto"/>
              <w:bottom w:val="single" w:sz="4" w:space="0" w:color="A6A6A6" w:themeColor="background1" w:themeShade="A6"/>
            </w:tcBorders>
            <w:shd w:val="clear" w:color="auto" w:fill="auto"/>
            <w:vAlign w:val="bottom"/>
          </w:tcPr>
          <w:p w:rsidR="00E4204F" w:rsidRPr="00BA4451" w:rsidRDefault="00E4204F" w:rsidP="00BA4451">
            <w:pPr>
              <w:rPr>
                <w:sz w:val="16"/>
                <w:szCs w:val="16"/>
              </w:rPr>
            </w:pPr>
            <w:r w:rsidRPr="00BA4451">
              <w:rPr>
                <w:sz w:val="16"/>
                <w:szCs w:val="16"/>
              </w:rPr>
              <w:t>2008</w:t>
            </w:r>
          </w:p>
        </w:tc>
        <w:tc>
          <w:tcPr>
            <w:tcW w:w="104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15,360 </w:t>
            </w:r>
          </w:p>
        </w:tc>
        <w:tc>
          <w:tcPr>
            <w:tcW w:w="108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15,360 </w:t>
            </w:r>
          </w:p>
        </w:tc>
        <w:tc>
          <w:tcPr>
            <w:tcW w:w="1317"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center"/>
              <w:rPr>
                <w:sz w:val="16"/>
                <w:szCs w:val="16"/>
              </w:rPr>
            </w:pPr>
            <w:r w:rsidRPr="00BA4451">
              <w:rPr>
                <w:sz w:val="16"/>
                <w:szCs w:val="16"/>
              </w:rPr>
              <w:t>1/1/2010</w:t>
            </w:r>
          </w:p>
        </w:tc>
        <w:tc>
          <w:tcPr>
            <w:tcW w:w="800" w:type="dxa"/>
            <w:tcBorders>
              <w:top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100%</w:t>
            </w:r>
          </w:p>
        </w:tc>
      </w:tr>
      <w:tr w:rsidR="00E4204F" w:rsidRPr="00BA4451" w:rsidTr="00BA4451">
        <w:trPr>
          <w:divId w:val="1875583169"/>
          <w:jc w:val="center"/>
        </w:trPr>
        <w:tc>
          <w:tcPr>
            <w:tcW w:w="661" w:type="dxa"/>
            <w:tcBorders>
              <w:top w:val="single" w:sz="4" w:space="0" w:color="A6A6A6" w:themeColor="background1" w:themeShade="A6"/>
              <w:left w:val="single" w:sz="4" w:space="0" w:color="auto"/>
              <w:bottom w:val="single" w:sz="4" w:space="0" w:color="A6A6A6" w:themeColor="background1" w:themeShade="A6"/>
            </w:tcBorders>
            <w:shd w:val="clear" w:color="auto" w:fill="auto"/>
            <w:vAlign w:val="bottom"/>
          </w:tcPr>
          <w:p w:rsidR="00E4204F" w:rsidRPr="00BA4451" w:rsidRDefault="00E4204F" w:rsidP="00BA4451">
            <w:pPr>
              <w:rPr>
                <w:sz w:val="16"/>
                <w:szCs w:val="16"/>
              </w:rPr>
            </w:pPr>
            <w:r w:rsidRPr="00BA4451">
              <w:rPr>
                <w:sz w:val="16"/>
                <w:szCs w:val="16"/>
              </w:rPr>
              <w:t>2009</w:t>
            </w:r>
          </w:p>
        </w:tc>
        <w:tc>
          <w:tcPr>
            <w:tcW w:w="104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28,019 </w:t>
            </w:r>
          </w:p>
        </w:tc>
        <w:tc>
          <w:tcPr>
            <w:tcW w:w="108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28,019 </w:t>
            </w:r>
          </w:p>
        </w:tc>
        <w:tc>
          <w:tcPr>
            <w:tcW w:w="1317"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center"/>
              <w:rPr>
                <w:sz w:val="16"/>
                <w:szCs w:val="16"/>
              </w:rPr>
            </w:pPr>
            <w:r w:rsidRPr="00BA4451">
              <w:rPr>
                <w:sz w:val="16"/>
                <w:szCs w:val="16"/>
              </w:rPr>
              <w:t>1/1/2011</w:t>
            </w:r>
          </w:p>
        </w:tc>
        <w:tc>
          <w:tcPr>
            <w:tcW w:w="800" w:type="dxa"/>
            <w:tcBorders>
              <w:top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100%</w:t>
            </w:r>
          </w:p>
        </w:tc>
      </w:tr>
      <w:tr w:rsidR="00E4204F" w:rsidRPr="00BA4451" w:rsidTr="00BA4451">
        <w:trPr>
          <w:divId w:val="1875583169"/>
          <w:jc w:val="center"/>
        </w:trPr>
        <w:tc>
          <w:tcPr>
            <w:tcW w:w="661" w:type="dxa"/>
            <w:tcBorders>
              <w:top w:val="single" w:sz="4" w:space="0" w:color="A6A6A6" w:themeColor="background1" w:themeShade="A6"/>
              <w:left w:val="single" w:sz="4" w:space="0" w:color="auto"/>
              <w:bottom w:val="single" w:sz="4" w:space="0" w:color="A6A6A6" w:themeColor="background1" w:themeShade="A6"/>
            </w:tcBorders>
            <w:shd w:val="clear" w:color="auto" w:fill="auto"/>
            <w:vAlign w:val="bottom"/>
          </w:tcPr>
          <w:p w:rsidR="00E4204F" w:rsidRPr="00BA4451" w:rsidRDefault="00E4204F" w:rsidP="00BA4451">
            <w:pPr>
              <w:rPr>
                <w:sz w:val="16"/>
                <w:szCs w:val="16"/>
              </w:rPr>
            </w:pPr>
            <w:r w:rsidRPr="00BA4451">
              <w:rPr>
                <w:sz w:val="16"/>
                <w:szCs w:val="16"/>
              </w:rPr>
              <w:t>2010</w:t>
            </w:r>
          </w:p>
        </w:tc>
        <w:tc>
          <w:tcPr>
            <w:tcW w:w="104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37,020 </w:t>
            </w:r>
          </w:p>
        </w:tc>
        <w:tc>
          <w:tcPr>
            <w:tcW w:w="108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37,020 </w:t>
            </w:r>
          </w:p>
        </w:tc>
        <w:tc>
          <w:tcPr>
            <w:tcW w:w="1317"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center"/>
              <w:rPr>
                <w:sz w:val="16"/>
                <w:szCs w:val="16"/>
              </w:rPr>
            </w:pPr>
            <w:r w:rsidRPr="00BA4451">
              <w:rPr>
                <w:sz w:val="16"/>
                <w:szCs w:val="16"/>
              </w:rPr>
              <w:t>1/1/2012</w:t>
            </w:r>
          </w:p>
        </w:tc>
        <w:tc>
          <w:tcPr>
            <w:tcW w:w="800" w:type="dxa"/>
            <w:tcBorders>
              <w:top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100%</w:t>
            </w:r>
          </w:p>
        </w:tc>
      </w:tr>
      <w:tr w:rsidR="00E4204F" w:rsidRPr="00BA4451" w:rsidTr="00BA4451">
        <w:trPr>
          <w:divId w:val="1875583169"/>
          <w:jc w:val="center"/>
        </w:trPr>
        <w:tc>
          <w:tcPr>
            <w:tcW w:w="661" w:type="dxa"/>
            <w:tcBorders>
              <w:top w:val="single" w:sz="4" w:space="0" w:color="A6A6A6" w:themeColor="background1" w:themeShade="A6"/>
              <w:left w:val="single" w:sz="4" w:space="0" w:color="auto"/>
              <w:bottom w:val="single" w:sz="4" w:space="0" w:color="A6A6A6" w:themeColor="background1" w:themeShade="A6"/>
            </w:tcBorders>
            <w:shd w:val="clear" w:color="auto" w:fill="auto"/>
            <w:vAlign w:val="bottom"/>
          </w:tcPr>
          <w:p w:rsidR="00E4204F" w:rsidRPr="00BA4451" w:rsidRDefault="00E4204F" w:rsidP="00BA4451">
            <w:pPr>
              <w:rPr>
                <w:sz w:val="16"/>
                <w:szCs w:val="16"/>
              </w:rPr>
            </w:pPr>
            <w:r w:rsidRPr="00BA4451">
              <w:rPr>
                <w:sz w:val="16"/>
                <w:szCs w:val="16"/>
              </w:rPr>
              <w:t>2011</w:t>
            </w:r>
          </w:p>
        </w:tc>
        <w:tc>
          <w:tcPr>
            <w:tcW w:w="104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48,195 </w:t>
            </w:r>
          </w:p>
        </w:tc>
        <w:tc>
          <w:tcPr>
            <w:tcW w:w="108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48,195 </w:t>
            </w:r>
          </w:p>
        </w:tc>
        <w:tc>
          <w:tcPr>
            <w:tcW w:w="1317"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center"/>
              <w:rPr>
                <w:sz w:val="16"/>
                <w:szCs w:val="16"/>
              </w:rPr>
            </w:pPr>
            <w:r w:rsidRPr="00BA4451">
              <w:rPr>
                <w:sz w:val="16"/>
                <w:szCs w:val="16"/>
              </w:rPr>
              <w:t>1/1/2013</w:t>
            </w:r>
          </w:p>
        </w:tc>
        <w:tc>
          <w:tcPr>
            <w:tcW w:w="800" w:type="dxa"/>
            <w:tcBorders>
              <w:top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100%</w:t>
            </w:r>
          </w:p>
        </w:tc>
      </w:tr>
      <w:tr w:rsidR="00E4204F" w:rsidRPr="00BA4451" w:rsidTr="00BA4451">
        <w:trPr>
          <w:divId w:val="1875583169"/>
          <w:jc w:val="center"/>
        </w:trPr>
        <w:tc>
          <w:tcPr>
            <w:tcW w:w="661" w:type="dxa"/>
            <w:tcBorders>
              <w:top w:val="single" w:sz="4" w:space="0" w:color="A6A6A6" w:themeColor="background1" w:themeShade="A6"/>
              <w:left w:val="single" w:sz="4" w:space="0" w:color="auto"/>
              <w:bottom w:val="single" w:sz="4" w:space="0" w:color="A6A6A6" w:themeColor="background1" w:themeShade="A6"/>
            </w:tcBorders>
            <w:shd w:val="clear" w:color="auto" w:fill="auto"/>
            <w:vAlign w:val="bottom"/>
          </w:tcPr>
          <w:p w:rsidR="00E4204F" w:rsidRPr="00BA4451" w:rsidRDefault="00E4204F" w:rsidP="00BA4451">
            <w:pPr>
              <w:rPr>
                <w:sz w:val="16"/>
                <w:szCs w:val="16"/>
              </w:rPr>
            </w:pPr>
            <w:r w:rsidRPr="00BA4451">
              <w:rPr>
                <w:sz w:val="16"/>
                <w:szCs w:val="16"/>
              </w:rPr>
              <w:t>2012</w:t>
            </w:r>
          </w:p>
        </w:tc>
        <w:tc>
          <w:tcPr>
            <w:tcW w:w="104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54,989 </w:t>
            </w:r>
          </w:p>
        </w:tc>
        <w:tc>
          <w:tcPr>
            <w:tcW w:w="108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54,989 </w:t>
            </w:r>
          </w:p>
        </w:tc>
        <w:tc>
          <w:tcPr>
            <w:tcW w:w="1317"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center"/>
              <w:rPr>
                <w:sz w:val="16"/>
                <w:szCs w:val="16"/>
              </w:rPr>
            </w:pPr>
            <w:r w:rsidRPr="00BA4451">
              <w:rPr>
                <w:sz w:val="16"/>
                <w:szCs w:val="16"/>
              </w:rPr>
              <w:t>1/1/2014</w:t>
            </w:r>
          </w:p>
        </w:tc>
        <w:tc>
          <w:tcPr>
            <w:tcW w:w="800" w:type="dxa"/>
            <w:tcBorders>
              <w:top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100%</w:t>
            </w:r>
          </w:p>
        </w:tc>
      </w:tr>
      <w:tr w:rsidR="00E4204F" w:rsidRPr="00BA4451" w:rsidTr="00BA4451">
        <w:trPr>
          <w:divId w:val="1875583169"/>
          <w:jc w:val="center"/>
        </w:trPr>
        <w:tc>
          <w:tcPr>
            <w:tcW w:w="661" w:type="dxa"/>
            <w:tcBorders>
              <w:top w:val="single" w:sz="4" w:space="0" w:color="A6A6A6" w:themeColor="background1" w:themeShade="A6"/>
              <w:left w:val="single" w:sz="4" w:space="0" w:color="auto"/>
              <w:bottom w:val="single" w:sz="4" w:space="0" w:color="A6A6A6" w:themeColor="background1" w:themeShade="A6"/>
            </w:tcBorders>
            <w:shd w:val="clear" w:color="auto" w:fill="auto"/>
            <w:vAlign w:val="bottom"/>
          </w:tcPr>
          <w:p w:rsidR="00E4204F" w:rsidRPr="00BA4451" w:rsidRDefault="00E4204F" w:rsidP="00BA4451">
            <w:pPr>
              <w:rPr>
                <w:sz w:val="16"/>
                <w:szCs w:val="16"/>
              </w:rPr>
            </w:pPr>
            <w:r w:rsidRPr="00BA4451">
              <w:rPr>
                <w:sz w:val="16"/>
                <w:szCs w:val="16"/>
              </w:rPr>
              <w:t>2013</w:t>
            </w:r>
          </w:p>
        </w:tc>
        <w:tc>
          <w:tcPr>
            <w:tcW w:w="104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69,979 </w:t>
            </w:r>
          </w:p>
        </w:tc>
        <w:tc>
          <w:tcPr>
            <w:tcW w:w="108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69,979 </w:t>
            </w:r>
          </w:p>
        </w:tc>
        <w:tc>
          <w:tcPr>
            <w:tcW w:w="1317"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center"/>
              <w:rPr>
                <w:sz w:val="16"/>
                <w:szCs w:val="16"/>
              </w:rPr>
            </w:pPr>
            <w:r w:rsidRPr="00BA4451">
              <w:rPr>
                <w:sz w:val="16"/>
                <w:szCs w:val="16"/>
              </w:rPr>
              <w:t>1/1/2015</w:t>
            </w:r>
          </w:p>
        </w:tc>
        <w:tc>
          <w:tcPr>
            <w:tcW w:w="800" w:type="dxa"/>
            <w:tcBorders>
              <w:top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100%</w:t>
            </w:r>
          </w:p>
        </w:tc>
      </w:tr>
      <w:tr w:rsidR="00E4204F" w:rsidRPr="00BA4451" w:rsidTr="00690A04">
        <w:trPr>
          <w:divId w:val="1875583169"/>
          <w:jc w:val="center"/>
        </w:trPr>
        <w:tc>
          <w:tcPr>
            <w:tcW w:w="661" w:type="dxa"/>
            <w:tcBorders>
              <w:top w:val="single" w:sz="4" w:space="0" w:color="A6A6A6" w:themeColor="background1" w:themeShade="A6"/>
              <w:left w:val="single" w:sz="4" w:space="0" w:color="auto"/>
              <w:bottom w:val="single" w:sz="4" w:space="0" w:color="A6A6A6" w:themeColor="background1" w:themeShade="A6"/>
            </w:tcBorders>
            <w:shd w:val="clear" w:color="auto" w:fill="auto"/>
            <w:vAlign w:val="bottom"/>
          </w:tcPr>
          <w:p w:rsidR="00E4204F" w:rsidRPr="00BA4451" w:rsidRDefault="00E4204F" w:rsidP="00BA4451">
            <w:pPr>
              <w:rPr>
                <w:sz w:val="16"/>
                <w:szCs w:val="16"/>
              </w:rPr>
            </w:pPr>
            <w:r w:rsidRPr="00BA4451">
              <w:rPr>
                <w:sz w:val="16"/>
                <w:szCs w:val="16"/>
              </w:rPr>
              <w:t>2014</w:t>
            </w:r>
          </w:p>
        </w:tc>
        <w:tc>
          <w:tcPr>
            <w:tcW w:w="104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80,773 </w:t>
            </w:r>
          </w:p>
        </w:tc>
        <w:tc>
          <w:tcPr>
            <w:tcW w:w="1080"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right"/>
              <w:rPr>
                <w:sz w:val="16"/>
                <w:szCs w:val="16"/>
              </w:rPr>
            </w:pPr>
            <w:r w:rsidRPr="00BA4451">
              <w:rPr>
                <w:sz w:val="16"/>
                <w:szCs w:val="16"/>
              </w:rPr>
              <w:t xml:space="preserve">80,773 </w:t>
            </w:r>
          </w:p>
        </w:tc>
        <w:tc>
          <w:tcPr>
            <w:tcW w:w="1317" w:type="dxa"/>
            <w:tcBorders>
              <w:top w:val="single" w:sz="4" w:space="0" w:color="A6A6A6" w:themeColor="background1" w:themeShade="A6"/>
              <w:bottom w:val="single" w:sz="4" w:space="0" w:color="A6A6A6" w:themeColor="background1" w:themeShade="A6"/>
            </w:tcBorders>
            <w:shd w:val="clear" w:color="auto" w:fill="auto"/>
            <w:vAlign w:val="center"/>
          </w:tcPr>
          <w:p w:rsidR="00E4204F" w:rsidRPr="00BA4451" w:rsidRDefault="00E4204F" w:rsidP="00BA4451">
            <w:pPr>
              <w:jc w:val="center"/>
              <w:rPr>
                <w:sz w:val="16"/>
                <w:szCs w:val="16"/>
              </w:rPr>
            </w:pPr>
            <w:r w:rsidRPr="00BA4451">
              <w:rPr>
                <w:sz w:val="16"/>
                <w:szCs w:val="16"/>
              </w:rPr>
              <w:t>1/1/2016</w:t>
            </w:r>
          </w:p>
        </w:tc>
        <w:tc>
          <w:tcPr>
            <w:tcW w:w="800" w:type="dxa"/>
            <w:tcBorders>
              <w:top w:val="single" w:sz="4" w:space="0" w:color="A6A6A6" w:themeColor="background1" w:themeShade="A6"/>
              <w:bottom w:val="single" w:sz="4" w:space="0" w:color="A6A6A6" w:themeColor="background1" w:themeShade="A6"/>
              <w:right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100%</w:t>
            </w:r>
          </w:p>
        </w:tc>
      </w:tr>
      <w:tr w:rsidR="00E4204F" w:rsidRPr="00BA4451" w:rsidTr="00690A04">
        <w:trPr>
          <w:divId w:val="1875583169"/>
          <w:jc w:val="center"/>
        </w:trPr>
        <w:tc>
          <w:tcPr>
            <w:tcW w:w="661" w:type="dxa"/>
            <w:tcBorders>
              <w:top w:val="single" w:sz="4" w:space="0" w:color="A6A6A6" w:themeColor="background1" w:themeShade="A6"/>
              <w:left w:val="single" w:sz="4" w:space="0" w:color="auto"/>
              <w:bottom w:val="double" w:sz="4" w:space="0" w:color="auto"/>
            </w:tcBorders>
            <w:shd w:val="clear" w:color="auto" w:fill="auto"/>
            <w:vAlign w:val="bottom"/>
          </w:tcPr>
          <w:p w:rsidR="00E4204F" w:rsidRPr="00BA4451" w:rsidRDefault="00E4204F" w:rsidP="00BA4451">
            <w:pPr>
              <w:rPr>
                <w:sz w:val="16"/>
                <w:szCs w:val="16"/>
              </w:rPr>
            </w:pPr>
            <w:r w:rsidRPr="00BA4451">
              <w:rPr>
                <w:sz w:val="16"/>
                <w:szCs w:val="16"/>
              </w:rPr>
              <w:t>2015</w:t>
            </w:r>
          </w:p>
        </w:tc>
        <w:tc>
          <w:tcPr>
            <w:tcW w:w="1040" w:type="dxa"/>
            <w:tcBorders>
              <w:top w:val="single" w:sz="4" w:space="0" w:color="A6A6A6" w:themeColor="background1" w:themeShade="A6"/>
              <w:bottom w:val="double" w:sz="4" w:space="0" w:color="auto"/>
            </w:tcBorders>
            <w:shd w:val="clear" w:color="auto" w:fill="auto"/>
            <w:vAlign w:val="center"/>
          </w:tcPr>
          <w:p w:rsidR="00E4204F" w:rsidRPr="00BA4451" w:rsidRDefault="00E4204F" w:rsidP="00BA4451">
            <w:pPr>
              <w:jc w:val="right"/>
              <w:rPr>
                <w:sz w:val="16"/>
                <w:szCs w:val="16"/>
              </w:rPr>
            </w:pPr>
            <w:r w:rsidRPr="00BA4451">
              <w:rPr>
                <w:sz w:val="16"/>
                <w:szCs w:val="16"/>
              </w:rPr>
              <w:t xml:space="preserve">85,699 </w:t>
            </w:r>
          </w:p>
        </w:tc>
        <w:tc>
          <w:tcPr>
            <w:tcW w:w="1080" w:type="dxa"/>
            <w:tcBorders>
              <w:top w:val="single" w:sz="4" w:space="0" w:color="A6A6A6" w:themeColor="background1" w:themeShade="A6"/>
              <w:bottom w:val="double" w:sz="4" w:space="0" w:color="auto"/>
            </w:tcBorders>
            <w:shd w:val="clear" w:color="auto" w:fill="auto"/>
            <w:vAlign w:val="center"/>
          </w:tcPr>
          <w:p w:rsidR="00E4204F" w:rsidRPr="00BA4451" w:rsidRDefault="00E4204F" w:rsidP="00E82ADE">
            <w:pPr>
              <w:jc w:val="right"/>
              <w:rPr>
                <w:sz w:val="16"/>
                <w:szCs w:val="16"/>
              </w:rPr>
            </w:pPr>
            <w:r w:rsidRPr="00BA4451">
              <w:rPr>
                <w:sz w:val="16"/>
                <w:szCs w:val="16"/>
              </w:rPr>
              <w:t>64,43</w:t>
            </w:r>
            <w:r w:rsidR="00E82ADE">
              <w:rPr>
                <w:sz w:val="16"/>
                <w:szCs w:val="16"/>
              </w:rPr>
              <w:t>4</w:t>
            </w:r>
            <w:r w:rsidRPr="00BA4451">
              <w:rPr>
                <w:sz w:val="16"/>
                <w:szCs w:val="16"/>
              </w:rPr>
              <w:t xml:space="preserve"> </w:t>
            </w:r>
          </w:p>
        </w:tc>
        <w:tc>
          <w:tcPr>
            <w:tcW w:w="1317" w:type="dxa"/>
            <w:tcBorders>
              <w:top w:val="single" w:sz="4" w:space="0" w:color="A6A6A6" w:themeColor="background1" w:themeShade="A6"/>
              <w:bottom w:val="doub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1/1/2017</w:t>
            </w:r>
          </w:p>
        </w:tc>
        <w:tc>
          <w:tcPr>
            <w:tcW w:w="800" w:type="dxa"/>
            <w:tcBorders>
              <w:top w:val="single" w:sz="4" w:space="0" w:color="A6A6A6" w:themeColor="background1" w:themeShade="A6"/>
              <w:bottom w:val="double" w:sz="4" w:space="0" w:color="auto"/>
              <w:right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75%</w:t>
            </w:r>
          </w:p>
        </w:tc>
      </w:tr>
      <w:tr w:rsidR="00E4204F" w:rsidRPr="00BA4451" w:rsidTr="00690A04">
        <w:trPr>
          <w:divId w:val="1875583169"/>
          <w:jc w:val="center"/>
        </w:trPr>
        <w:tc>
          <w:tcPr>
            <w:tcW w:w="661" w:type="dxa"/>
            <w:tcBorders>
              <w:top w:val="double" w:sz="4" w:space="0" w:color="auto"/>
              <w:left w:val="single" w:sz="4" w:space="0" w:color="auto"/>
              <w:bottom w:val="single" w:sz="4" w:space="0" w:color="auto"/>
            </w:tcBorders>
            <w:shd w:val="clear" w:color="auto" w:fill="auto"/>
            <w:vAlign w:val="bottom"/>
          </w:tcPr>
          <w:p w:rsidR="00E4204F" w:rsidRPr="00BA4451" w:rsidRDefault="00E4204F" w:rsidP="00BA4451">
            <w:pPr>
              <w:rPr>
                <w:sz w:val="16"/>
                <w:szCs w:val="16"/>
              </w:rPr>
            </w:pPr>
          </w:p>
        </w:tc>
        <w:tc>
          <w:tcPr>
            <w:tcW w:w="1040" w:type="dxa"/>
            <w:tcBorders>
              <w:top w:val="double" w:sz="4" w:space="0" w:color="auto"/>
              <w:bottom w:val="single" w:sz="4" w:space="0" w:color="auto"/>
            </w:tcBorders>
            <w:shd w:val="clear" w:color="auto" w:fill="auto"/>
            <w:vAlign w:val="center"/>
          </w:tcPr>
          <w:p w:rsidR="00E4204F" w:rsidRPr="00BA4451" w:rsidRDefault="00E4204F" w:rsidP="00BA4451">
            <w:pPr>
              <w:jc w:val="right"/>
              <w:rPr>
                <w:sz w:val="16"/>
                <w:szCs w:val="16"/>
              </w:rPr>
            </w:pPr>
            <w:r w:rsidRPr="00BA4451">
              <w:rPr>
                <w:sz w:val="16"/>
                <w:szCs w:val="16"/>
              </w:rPr>
              <w:t xml:space="preserve">421,488 </w:t>
            </w:r>
          </w:p>
        </w:tc>
        <w:tc>
          <w:tcPr>
            <w:tcW w:w="1080" w:type="dxa"/>
            <w:tcBorders>
              <w:top w:val="double" w:sz="4" w:space="0" w:color="auto"/>
              <w:bottom w:val="single" w:sz="4" w:space="0" w:color="auto"/>
            </w:tcBorders>
            <w:shd w:val="clear" w:color="auto" w:fill="auto"/>
            <w:vAlign w:val="center"/>
          </w:tcPr>
          <w:p w:rsidR="00E4204F" w:rsidRPr="00BA4451" w:rsidRDefault="00E4204F" w:rsidP="00E82ADE">
            <w:pPr>
              <w:jc w:val="right"/>
              <w:rPr>
                <w:sz w:val="16"/>
                <w:szCs w:val="16"/>
              </w:rPr>
            </w:pPr>
            <w:r w:rsidRPr="00BA4451">
              <w:rPr>
                <w:sz w:val="16"/>
                <w:szCs w:val="16"/>
              </w:rPr>
              <w:t>400,22</w:t>
            </w:r>
            <w:r w:rsidR="00E82ADE">
              <w:rPr>
                <w:sz w:val="16"/>
                <w:szCs w:val="16"/>
              </w:rPr>
              <w:t>3</w:t>
            </w:r>
            <w:r w:rsidRPr="00BA4451">
              <w:rPr>
                <w:sz w:val="16"/>
                <w:szCs w:val="16"/>
              </w:rPr>
              <w:t xml:space="preserve"> </w:t>
            </w:r>
          </w:p>
        </w:tc>
        <w:tc>
          <w:tcPr>
            <w:tcW w:w="1317" w:type="dxa"/>
            <w:tcBorders>
              <w:top w:val="double" w:sz="4" w:space="0" w:color="auto"/>
              <w:bottom w:val="single" w:sz="4" w:space="0" w:color="auto"/>
            </w:tcBorders>
            <w:shd w:val="clear" w:color="auto" w:fill="auto"/>
            <w:vAlign w:val="center"/>
          </w:tcPr>
          <w:p w:rsidR="00E4204F" w:rsidRPr="00BA4451" w:rsidRDefault="00E4204F" w:rsidP="00BA4451">
            <w:pPr>
              <w:jc w:val="center"/>
              <w:rPr>
                <w:sz w:val="16"/>
                <w:szCs w:val="16"/>
              </w:rPr>
            </w:pPr>
          </w:p>
        </w:tc>
        <w:tc>
          <w:tcPr>
            <w:tcW w:w="800" w:type="dxa"/>
            <w:tcBorders>
              <w:top w:val="double" w:sz="4" w:space="0" w:color="auto"/>
              <w:bottom w:val="single" w:sz="4" w:space="0" w:color="auto"/>
              <w:right w:val="single" w:sz="4" w:space="0" w:color="auto"/>
            </w:tcBorders>
            <w:shd w:val="clear" w:color="auto" w:fill="auto"/>
            <w:vAlign w:val="center"/>
          </w:tcPr>
          <w:p w:rsidR="00E4204F" w:rsidRPr="00BA4451" w:rsidRDefault="00E4204F" w:rsidP="00BA4451">
            <w:pPr>
              <w:jc w:val="center"/>
              <w:rPr>
                <w:sz w:val="16"/>
                <w:szCs w:val="16"/>
              </w:rPr>
            </w:pPr>
            <w:r w:rsidRPr="00BA4451">
              <w:rPr>
                <w:sz w:val="16"/>
                <w:szCs w:val="16"/>
              </w:rPr>
              <w:t>95%</w:t>
            </w:r>
          </w:p>
        </w:tc>
      </w:tr>
    </w:tbl>
    <w:p w:rsidR="0025575D" w:rsidRPr="00081CEC" w:rsidRDefault="0025575D" w:rsidP="0025575D">
      <w:pPr>
        <w:pStyle w:val="Heading1"/>
        <w:spacing w:before="0"/>
        <w:rPr>
          <w:rFonts w:asciiTheme="minorHAnsi" w:hAnsiTheme="minorHAnsi"/>
          <w:sz w:val="20"/>
        </w:rPr>
      </w:pPr>
      <w:r w:rsidRPr="00081CEC">
        <w:rPr>
          <w:rFonts w:asciiTheme="minorHAnsi" w:hAnsiTheme="minorHAnsi"/>
          <w:sz w:val="20"/>
        </w:rPr>
        <w:t xml:space="preserve">  </w:t>
      </w:r>
    </w:p>
    <w:p w:rsidR="0067214B" w:rsidRPr="00081CEC" w:rsidRDefault="0067214B" w:rsidP="0025575D">
      <w:pPr>
        <w:pStyle w:val="Heading1"/>
        <w:spacing w:before="0"/>
        <w:rPr>
          <w:rFonts w:asciiTheme="minorHAnsi" w:hAnsiTheme="minorHAnsi"/>
        </w:rPr>
      </w:pPr>
      <w:r w:rsidRPr="00081CEC">
        <w:rPr>
          <w:rFonts w:asciiTheme="minorHAnsi" w:hAnsiTheme="minorHAnsi"/>
        </w:rPr>
        <w:t>Carbon offset projects</w:t>
      </w:r>
    </w:p>
    <w:p w:rsidR="00880D88" w:rsidRDefault="0023431A" w:rsidP="00BA4451">
      <w:r w:rsidRPr="00081CEC">
        <w:t xml:space="preserve">The graphic </w:t>
      </w:r>
      <w:r w:rsidR="00535752">
        <w:t>to the right</w:t>
      </w:r>
      <w:r w:rsidR="00630785" w:rsidRPr="00081CEC">
        <w:t xml:space="preserve"> </w:t>
      </w:r>
      <w:r w:rsidRPr="00081CEC">
        <w:t xml:space="preserve">shows projects </w:t>
      </w:r>
      <w:r w:rsidR="00880D88" w:rsidRPr="00C036A3">
        <w:t>Smart Energy</w:t>
      </w:r>
      <w:r w:rsidR="00880D88" w:rsidRPr="00681396">
        <w:rPr>
          <w:vertAlign w:val="superscript"/>
        </w:rPr>
        <w:t>™</w:t>
      </w:r>
      <w:r w:rsidR="00880D88" w:rsidRPr="00C036A3">
        <w:t xml:space="preserve"> </w:t>
      </w:r>
      <w:r w:rsidR="00C53063">
        <w:t xml:space="preserve">obligated funds or </w:t>
      </w:r>
      <w:r w:rsidR="00880D88" w:rsidRPr="00C036A3">
        <w:t>acquired offsets from</w:t>
      </w:r>
      <w:r w:rsidR="00880D88">
        <w:t xml:space="preserve"> </w:t>
      </w:r>
      <w:r w:rsidR="00C53063">
        <w:t xml:space="preserve">in </w:t>
      </w:r>
      <w:r w:rsidR="00A15968">
        <w:t>2015</w:t>
      </w:r>
      <w:r w:rsidRPr="00081CEC">
        <w:t>.</w:t>
      </w:r>
    </w:p>
    <w:p w:rsidR="008548E4" w:rsidRDefault="008548E4" w:rsidP="00182A35">
      <w:pPr>
        <w:rPr>
          <w:rFonts w:asciiTheme="minorHAnsi" w:hAnsiTheme="minorHAnsi"/>
          <w:noProof/>
        </w:rPr>
      </w:pPr>
    </w:p>
    <w:p w:rsidR="00182A35" w:rsidRPr="00447F36" w:rsidRDefault="00182A35" w:rsidP="00182A35">
      <w:pPr>
        <w:rPr>
          <w:rFonts w:asciiTheme="minorHAnsi" w:hAnsiTheme="minorHAnsi"/>
        </w:rPr>
      </w:pPr>
      <w:bookmarkStart w:id="0" w:name="_GoBack"/>
      <w:bookmarkEnd w:id="0"/>
    </w:p>
    <w:sectPr w:rsidR="00182A35" w:rsidRPr="00447F36" w:rsidSect="00BA3EC9">
      <w:headerReference w:type="default" r:id="rId10"/>
      <w:footerReference w:type="default" r:id="rId11"/>
      <w:type w:val="continuous"/>
      <w:pgSz w:w="12240" w:h="15840" w:code="1"/>
      <w:pgMar w:top="720" w:right="360" w:bottom="576" w:left="576"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F7F" w:rsidRDefault="004C2F7F">
      <w:r>
        <w:separator/>
      </w:r>
    </w:p>
  </w:endnote>
  <w:endnote w:type="continuationSeparator" w:id="0">
    <w:p w:rsidR="004C2F7F" w:rsidRDefault="004C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HelveticaNeueLT Std Thin">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HelveticaNeueLT Std Thin C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DB" w:rsidRPr="00BA4451" w:rsidRDefault="00C661DB" w:rsidP="00185EB9">
    <w:pPr>
      <w:pStyle w:val="Footer"/>
      <w:jc w:val="right"/>
      <w:rPr>
        <w:rFonts w:ascii="HelveticaNeueLT Std Thin Cn" w:hAnsi="HelveticaNeueLT Std Thin Cn"/>
        <w:sz w:val="16"/>
        <w:szCs w:val="20"/>
      </w:rPr>
    </w:pPr>
    <w:r w:rsidRPr="0025575D">
      <w:rPr>
        <w:rFonts w:asciiTheme="minorHAnsi" w:hAnsiTheme="minorHAnsi"/>
        <w:sz w:val="18"/>
        <w:szCs w:val="20"/>
      </w:rPr>
      <w:tab/>
    </w:r>
    <w:r w:rsidRPr="00BA4451">
      <w:rPr>
        <w:rFonts w:ascii="HelveticaNeueLT Std Thin Cn" w:hAnsi="HelveticaNeueLT Std Thin Cn"/>
        <w:sz w:val="16"/>
        <w:szCs w:val="20"/>
      </w:rPr>
      <w:t xml:space="preserve">Page </w:t>
    </w:r>
    <w:r w:rsidRPr="00BA4451">
      <w:rPr>
        <w:rFonts w:ascii="HelveticaNeueLT Std Thin Cn" w:hAnsi="HelveticaNeueLT Std Thin Cn"/>
        <w:sz w:val="16"/>
        <w:szCs w:val="20"/>
      </w:rPr>
      <w:fldChar w:fldCharType="begin"/>
    </w:r>
    <w:r w:rsidRPr="00BA4451">
      <w:rPr>
        <w:rFonts w:ascii="HelveticaNeueLT Std Thin Cn" w:hAnsi="HelveticaNeueLT Std Thin Cn"/>
        <w:sz w:val="16"/>
        <w:szCs w:val="20"/>
      </w:rPr>
      <w:instrText xml:space="preserve"> PAGE </w:instrText>
    </w:r>
    <w:r w:rsidRPr="00BA4451">
      <w:rPr>
        <w:rFonts w:ascii="HelveticaNeueLT Std Thin Cn" w:hAnsi="HelveticaNeueLT Std Thin Cn"/>
        <w:sz w:val="16"/>
        <w:szCs w:val="20"/>
      </w:rPr>
      <w:fldChar w:fldCharType="separate"/>
    </w:r>
    <w:r w:rsidR="00E82ADE">
      <w:rPr>
        <w:rFonts w:ascii="HelveticaNeueLT Std Thin Cn" w:hAnsi="HelveticaNeueLT Std Thin Cn"/>
        <w:noProof/>
        <w:sz w:val="16"/>
        <w:szCs w:val="20"/>
      </w:rPr>
      <w:t>2</w:t>
    </w:r>
    <w:r w:rsidRPr="00BA4451">
      <w:rPr>
        <w:rFonts w:ascii="HelveticaNeueLT Std Thin Cn" w:hAnsi="HelveticaNeueLT Std Thin Cn"/>
        <w:sz w:val="16"/>
        <w:szCs w:val="20"/>
      </w:rPr>
      <w:fldChar w:fldCharType="end"/>
    </w:r>
    <w:r w:rsidRPr="00BA4451">
      <w:rPr>
        <w:rFonts w:ascii="HelveticaNeueLT Std Thin Cn" w:hAnsi="HelveticaNeueLT Std Thin Cn"/>
        <w:sz w:val="16"/>
        <w:szCs w:val="20"/>
      </w:rPr>
      <w:t xml:space="preserve"> of </w:t>
    </w:r>
    <w:r w:rsidRPr="00BA4451">
      <w:rPr>
        <w:rFonts w:ascii="HelveticaNeueLT Std Thin Cn" w:hAnsi="HelveticaNeueLT Std Thin Cn"/>
        <w:sz w:val="16"/>
        <w:szCs w:val="20"/>
      </w:rPr>
      <w:fldChar w:fldCharType="begin"/>
    </w:r>
    <w:r w:rsidRPr="00BA4451">
      <w:rPr>
        <w:rFonts w:ascii="HelveticaNeueLT Std Thin Cn" w:hAnsi="HelveticaNeueLT Std Thin Cn"/>
        <w:sz w:val="16"/>
        <w:szCs w:val="20"/>
      </w:rPr>
      <w:instrText xml:space="preserve"> NUMPAGES </w:instrText>
    </w:r>
    <w:r w:rsidRPr="00BA4451">
      <w:rPr>
        <w:rFonts w:ascii="HelveticaNeueLT Std Thin Cn" w:hAnsi="HelveticaNeueLT Std Thin Cn"/>
        <w:sz w:val="16"/>
        <w:szCs w:val="20"/>
      </w:rPr>
      <w:fldChar w:fldCharType="separate"/>
    </w:r>
    <w:r w:rsidR="00E82ADE">
      <w:rPr>
        <w:rFonts w:ascii="HelveticaNeueLT Std Thin Cn" w:hAnsi="HelveticaNeueLT Std Thin Cn"/>
        <w:noProof/>
        <w:sz w:val="16"/>
        <w:szCs w:val="20"/>
      </w:rPr>
      <w:t>2</w:t>
    </w:r>
    <w:r w:rsidRPr="00BA4451">
      <w:rPr>
        <w:rFonts w:ascii="HelveticaNeueLT Std Thin Cn" w:hAnsi="HelveticaNeueLT Std Thin Cn"/>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F7F" w:rsidRDefault="004C2F7F">
      <w:r>
        <w:separator/>
      </w:r>
    </w:p>
  </w:footnote>
  <w:footnote w:type="continuationSeparator" w:id="0">
    <w:p w:rsidR="004C2F7F" w:rsidRDefault="004C2F7F">
      <w:r>
        <w:continuationSeparator/>
      </w:r>
    </w:p>
  </w:footnote>
  <w:footnote w:id="1">
    <w:p w:rsidR="007C2030" w:rsidRPr="00690A04" w:rsidRDefault="007C2030" w:rsidP="00BA380C">
      <w:pPr>
        <w:pStyle w:val="FootnoteText"/>
        <w:ind w:left="180" w:hanging="180"/>
        <w:rPr>
          <w:rFonts w:ascii="HelveticaNeueLT Std Thin Cn" w:hAnsi="HelveticaNeueLT Std Thin Cn"/>
          <w:sz w:val="14"/>
          <w:szCs w:val="16"/>
        </w:rPr>
      </w:pPr>
      <w:r w:rsidRPr="00BA380C">
        <w:rPr>
          <w:rStyle w:val="FootnoteReference"/>
          <w:rFonts w:ascii="HelveticaNeueLT Std Thin Cn" w:hAnsi="HelveticaNeueLT Std Thin Cn"/>
          <w:sz w:val="16"/>
          <w:szCs w:val="16"/>
        </w:rPr>
        <w:footnoteRef/>
      </w:r>
      <w:r w:rsidRPr="00BA380C">
        <w:rPr>
          <w:rFonts w:ascii="HelveticaNeueLT Std Thin Cn" w:hAnsi="HelveticaNeueLT Std Thin Cn"/>
          <w:sz w:val="16"/>
          <w:szCs w:val="16"/>
        </w:rPr>
        <w:t xml:space="preserve"> </w:t>
      </w:r>
      <w:r w:rsidRPr="00690A04">
        <w:rPr>
          <w:rFonts w:ascii="HelveticaNeueLT Std Thin Cn" w:hAnsi="HelveticaNeueLT Std Thin Cn"/>
          <w:sz w:val="14"/>
          <w:szCs w:val="16"/>
        </w:rPr>
        <w:t xml:space="preserve">If offsets are purchased at a cost that is less than The Climate Trust's price cap, the difference is placed into the risk mitigation fund which is used for three purposes: 1) Purchase additional offsets to meet future Smart Energy demand when preferred projects are available, but current customer demand is less than the opportunity and program funds cannot cover the obligation; 2) Cover potential cost differential between contracted price and replacement price, should a project underperform; and  3) Fund additional program </w:t>
      </w:r>
      <w:r w:rsidR="00107CCA">
        <w:rPr>
          <w:rFonts w:ascii="HelveticaNeueLT Std Thin Cn" w:hAnsi="HelveticaNeueLT Std Thin Cn"/>
          <w:sz w:val="14"/>
          <w:szCs w:val="16"/>
        </w:rPr>
        <w:t>activity</w:t>
      </w:r>
      <w:r w:rsidRPr="00690A04">
        <w:rPr>
          <w:rFonts w:ascii="HelveticaNeueLT Std Thin Cn" w:hAnsi="HelveticaNeueLT Std Thin Cn"/>
          <w:sz w:val="14"/>
          <w:szCs w:val="16"/>
        </w:rPr>
        <w:t>.  The Company consults with The Climate Trust before it determines the appropriate use of risk mitigation funds.</w:t>
      </w:r>
    </w:p>
  </w:footnote>
  <w:footnote w:id="2">
    <w:p w:rsidR="00E43BFD" w:rsidRPr="00690A04" w:rsidRDefault="00E43BFD" w:rsidP="00AA6A3A">
      <w:pPr>
        <w:pStyle w:val="FootnoteText"/>
        <w:ind w:left="180" w:hanging="180"/>
        <w:rPr>
          <w:rFonts w:ascii="HelveticaNeueLT Std Thin Cn" w:hAnsi="HelveticaNeueLT Std Thin Cn"/>
          <w:sz w:val="14"/>
          <w:szCs w:val="16"/>
        </w:rPr>
      </w:pPr>
      <w:r w:rsidRPr="00BA380C">
        <w:rPr>
          <w:rStyle w:val="FootnoteReference"/>
          <w:rFonts w:ascii="HelveticaNeueLT Std Thin Cn" w:hAnsi="HelveticaNeueLT Std Thin Cn"/>
          <w:sz w:val="16"/>
          <w:szCs w:val="16"/>
        </w:rPr>
        <w:footnoteRef/>
      </w:r>
      <w:r w:rsidR="00AA6A3A" w:rsidRPr="00BA380C">
        <w:rPr>
          <w:rFonts w:ascii="HelveticaNeueLT Std Thin Cn" w:hAnsi="HelveticaNeueLT Std Thin Cn"/>
          <w:sz w:val="16"/>
          <w:szCs w:val="16"/>
        </w:rPr>
        <w:t xml:space="preserve"> </w:t>
      </w:r>
      <w:r w:rsidR="001C180F" w:rsidRPr="00690A04">
        <w:rPr>
          <w:rFonts w:ascii="HelveticaNeueLT Std Thin Cn" w:hAnsi="HelveticaNeueLT Std Thin Cn"/>
          <w:sz w:val="14"/>
          <w:szCs w:val="16"/>
        </w:rPr>
        <w:t xml:space="preserve">This </w:t>
      </w:r>
      <w:r w:rsidR="009E7304" w:rsidRPr="00690A04">
        <w:rPr>
          <w:rFonts w:ascii="HelveticaNeueLT Std Thin Cn" w:hAnsi="HelveticaNeueLT Std Thin Cn"/>
          <w:sz w:val="14"/>
          <w:szCs w:val="16"/>
        </w:rPr>
        <w:t xml:space="preserve">amount is different </w:t>
      </w:r>
      <w:r w:rsidR="001C180F" w:rsidRPr="00690A04">
        <w:rPr>
          <w:rFonts w:ascii="HelveticaNeueLT Std Thin Cn" w:hAnsi="HelveticaNeueLT Std Thin Cn"/>
          <w:sz w:val="14"/>
          <w:szCs w:val="16"/>
        </w:rPr>
        <w:t>from the $</w:t>
      </w:r>
      <w:r w:rsidR="00775F66" w:rsidRPr="00690A04">
        <w:rPr>
          <w:rFonts w:ascii="HelveticaNeueLT Std Thin Cn" w:hAnsi="HelveticaNeueLT Std Thin Cn"/>
          <w:color w:val="000000"/>
          <w:sz w:val="14"/>
          <w:szCs w:val="16"/>
        </w:rPr>
        <w:t>1,075,292</w:t>
      </w:r>
      <w:r w:rsidR="00081CEC" w:rsidRPr="00690A04">
        <w:rPr>
          <w:rFonts w:ascii="HelveticaNeueLT Std Thin Cn" w:hAnsi="HelveticaNeueLT Std Thin Cn"/>
          <w:color w:val="000000"/>
          <w:sz w:val="14"/>
          <w:szCs w:val="16"/>
        </w:rPr>
        <w:t xml:space="preserve"> </w:t>
      </w:r>
      <w:r w:rsidR="001C180F" w:rsidRPr="00690A04">
        <w:rPr>
          <w:rFonts w:ascii="HelveticaNeueLT Std Thin Cn" w:hAnsi="HelveticaNeueLT Std Thin Cn"/>
          <w:sz w:val="14"/>
          <w:szCs w:val="16"/>
        </w:rPr>
        <w:t xml:space="preserve">stated in Table 2 for </w:t>
      </w:r>
      <w:r w:rsidR="00A15968" w:rsidRPr="00690A04">
        <w:rPr>
          <w:rFonts w:ascii="HelveticaNeueLT Std Thin Cn" w:hAnsi="HelveticaNeueLT Std Thin Cn"/>
          <w:sz w:val="14"/>
          <w:szCs w:val="16"/>
        </w:rPr>
        <w:t>2015</w:t>
      </w:r>
      <w:r w:rsidR="006B00E0" w:rsidRPr="00690A04">
        <w:rPr>
          <w:rFonts w:ascii="HelveticaNeueLT Std Thin Cn" w:hAnsi="HelveticaNeueLT Std Thin Cn"/>
          <w:sz w:val="14"/>
          <w:szCs w:val="16"/>
        </w:rPr>
        <w:t xml:space="preserve"> </w:t>
      </w:r>
      <w:r w:rsidRPr="00690A04">
        <w:rPr>
          <w:rFonts w:ascii="HelveticaNeueLT Std Thin Cn" w:hAnsi="HelveticaNeueLT Std Thin Cn"/>
          <w:sz w:val="14"/>
          <w:szCs w:val="16"/>
        </w:rPr>
        <w:t xml:space="preserve">net collections </w:t>
      </w:r>
      <w:r w:rsidR="009E7304" w:rsidRPr="00690A04">
        <w:rPr>
          <w:rFonts w:ascii="HelveticaNeueLT Std Thin Cn" w:hAnsi="HelveticaNeueLT Std Thin Cn"/>
          <w:sz w:val="14"/>
          <w:szCs w:val="16"/>
        </w:rPr>
        <w:t>because</w:t>
      </w:r>
      <w:r w:rsidRPr="00690A04">
        <w:rPr>
          <w:rFonts w:ascii="HelveticaNeueLT Std Thin Cn" w:hAnsi="HelveticaNeueLT Std Thin Cn"/>
          <w:sz w:val="14"/>
          <w:szCs w:val="16"/>
        </w:rPr>
        <w:t xml:space="preserve"> of the two-month lag for transfers.  It includes November and December </w:t>
      </w:r>
      <w:r w:rsidR="00775F66" w:rsidRPr="00690A04">
        <w:rPr>
          <w:rFonts w:ascii="HelveticaNeueLT Std Thin Cn" w:hAnsi="HelveticaNeueLT Std Thin Cn"/>
          <w:sz w:val="14"/>
          <w:szCs w:val="16"/>
        </w:rPr>
        <w:t xml:space="preserve">2014 </w:t>
      </w:r>
      <w:r w:rsidRPr="00690A04">
        <w:rPr>
          <w:rFonts w:ascii="HelveticaNeueLT Std Thin Cn" w:hAnsi="HelveticaNeueLT Std Thin Cn"/>
          <w:sz w:val="14"/>
          <w:szCs w:val="16"/>
        </w:rPr>
        <w:t xml:space="preserve">net collections transferred in </w:t>
      </w:r>
      <w:r w:rsidR="00A15968" w:rsidRPr="00690A04">
        <w:rPr>
          <w:rFonts w:ascii="HelveticaNeueLT Std Thin Cn" w:hAnsi="HelveticaNeueLT Std Thin Cn"/>
          <w:sz w:val="14"/>
          <w:szCs w:val="16"/>
        </w:rPr>
        <w:t>2015</w:t>
      </w:r>
      <w:r w:rsidRPr="00690A04">
        <w:rPr>
          <w:rFonts w:ascii="HelveticaNeueLT Std Thin Cn" w:hAnsi="HelveticaNeueLT Std Thin Cn"/>
          <w:sz w:val="14"/>
          <w:szCs w:val="16"/>
        </w:rPr>
        <w:t xml:space="preserve"> and excludes November and December </w:t>
      </w:r>
      <w:r w:rsidR="00A15968" w:rsidRPr="00690A04">
        <w:rPr>
          <w:rFonts w:ascii="HelveticaNeueLT Std Thin Cn" w:hAnsi="HelveticaNeueLT Std Thin Cn"/>
          <w:sz w:val="14"/>
          <w:szCs w:val="16"/>
        </w:rPr>
        <w:t>2015</w:t>
      </w:r>
      <w:r w:rsidRPr="00690A04">
        <w:rPr>
          <w:rFonts w:ascii="HelveticaNeueLT Std Thin Cn" w:hAnsi="HelveticaNeueLT Std Thin Cn"/>
          <w:sz w:val="14"/>
          <w:szCs w:val="16"/>
        </w:rPr>
        <w:t xml:space="preserve"> net collections due to be transferred in 201</w:t>
      </w:r>
      <w:r w:rsidR="00775F66" w:rsidRPr="00690A04">
        <w:rPr>
          <w:rFonts w:ascii="HelveticaNeueLT Std Thin Cn" w:hAnsi="HelveticaNeueLT Std Thin Cn"/>
          <w:sz w:val="14"/>
          <w:szCs w:val="16"/>
        </w:rPr>
        <w:t>6</w:t>
      </w:r>
      <w:r w:rsidRPr="00690A04">
        <w:rPr>
          <w:rFonts w:ascii="HelveticaNeueLT Std Thin Cn" w:hAnsi="HelveticaNeueLT Std Thin Cn"/>
          <w:sz w:val="14"/>
          <w:szCs w:val="16"/>
        </w:rPr>
        <w:t>.</w:t>
      </w:r>
    </w:p>
  </w:footnote>
  <w:footnote w:id="3">
    <w:p w:rsidR="00775F66" w:rsidRPr="00BA4451" w:rsidRDefault="00775F66">
      <w:pPr>
        <w:pStyle w:val="FootnoteText"/>
        <w:rPr>
          <w:rFonts w:ascii="HelveticaNeueLT Std Thin Cn" w:hAnsi="HelveticaNeueLT Std Thin Cn"/>
        </w:rPr>
      </w:pPr>
      <w:r w:rsidRPr="00BA380C">
        <w:rPr>
          <w:rStyle w:val="FootnoteReference"/>
          <w:rFonts w:ascii="HelveticaNeueLT Std Thin Cn" w:hAnsi="HelveticaNeueLT Std Thin Cn"/>
          <w:sz w:val="16"/>
        </w:rPr>
        <w:footnoteRef/>
      </w:r>
      <w:r w:rsidRPr="00BA380C">
        <w:rPr>
          <w:rFonts w:ascii="HelveticaNeueLT Std Thin Cn" w:hAnsi="HelveticaNeueLT Std Thin Cn"/>
          <w:sz w:val="22"/>
        </w:rPr>
        <w:t xml:space="preserve"> </w:t>
      </w:r>
      <w:r w:rsidRPr="00690A04">
        <w:rPr>
          <w:rFonts w:ascii="HelveticaNeueLT Std Thin Cn" w:hAnsi="HelveticaNeueLT Std Thin Cn"/>
          <w:sz w:val="14"/>
          <w:szCs w:val="16"/>
        </w:rPr>
        <w:t>Per Schedule 400 in Oregon and Schedule U in Washington, NW Natural must obligate funds for offsets within 24 months of issuing a bill.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DB" w:rsidRPr="00BA4451" w:rsidRDefault="00C661DB" w:rsidP="00B43CB7">
    <w:pPr>
      <w:pStyle w:val="Header"/>
      <w:jc w:val="center"/>
      <w:rPr>
        <w:rFonts w:ascii="HelveticaNeueLT Std Lt" w:hAnsi="HelveticaNeueLT Std Lt"/>
        <w:sz w:val="24"/>
      </w:rPr>
    </w:pPr>
    <w:r w:rsidRPr="00BA4451">
      <w:rPr>
        <w:rFonts w:ascii="HelveticaNeueLT Std Lt" w:hAnsi="HelveticaNeueLT Std Lt"/>
        <w:noProof/>
        <w:sz w:val="24"/>
      </w:rPr>
      <mc:AlternateContent>
        <mc:Choice Requires="wps">
          <w:drawing>
            <wp:anchor distT="4294967294" distB="4294967294" distL="114300" distR="114300" simplePos="0" relativeHeight="251657216" behindDoc="0" locked="0" layoutInCell="1" allowOverlap="1" wp14:anchorId="27FC4D88" wp14:editId="15371767">
              <wp:simplePos x="0" y="0"/>
              <wp:positionH relativeFrom="column">
                <wp:posOffset>709295</wp:posOffset>
              </wp:positionH>
              <wp:positionV relativeFrom="paragraph">
                <wp:posOffset>167191</wp:posOffset>
              </wp:positionV>
              <wp:extent cx="51435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85pt,13.15pt" to="460.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" strokeweight=".3pt"/>
          </w:pict>
        </mc:Fallback>
      </mc:AlternateContent>
    </w:r>
    <w:r w:rsidRPr="00BA4451">
      <w:rPr>
        <w:rFonts w:ascii="HelveticaNeueLT Std Lt" w:hAnsi="HelveticaNeueLT Std Lt"/>
        <w:sz w:val="24"/>
      </w:rPr>
      <w:t>NW Natural Annual Report Smart Energy</w:t>
    </w:r>
    <w:r w:rsidRPr="00851533">
      <w:rPr>
        <w:rFonts w:ascii="HelveticaNeueLT Std Lt" w:hAnsi="HelveticaNeueLT Std Lt"/>
        <w:sz w:val="24"/>
        <w:szCs w:val="20"/>
        <w:vertAlign w:val="superscript"/>
      </w:rPr>
      <w:t>™</w:t>
    </w:r>
    <w:r w:rsidRPr="00BA4451">
      <w:rPr>
        <w:rFonts w:ascii="HelveticaNeueLT Std Lt" w:hAnsi="HelveticaNeueLT Std Lt"/>
        <w:sz w:val="24"/>
      </w:rPr>
      <w:t xml:space="preserve"> </w:t>
    </w:r>
    <w:r w:rsidR="00A15968" w:rsidRPr="00BA4451">
      <w:rPr>
        <w:rFonts w:ascii="HelveticaNeueLT Std Lt" w:hAnsi="HelveticaNeueLT Std Lt"/>
        <w:sz w:val="24"/>
      </w:rPr>
      <w:t>2015</w:t>
    </w:r>
    <w:r w:rsidRPr="00BA4451">
      <w:rPr>
        <w:rFonts w:ascii="HelveticaNeueLT Std Lt" w:hAnsi="HelveticaNeueLT Std Lt"/>
        <w:sz w:val="24"/>
      </w:rPr>
      <w:t xml:space="preserve"> Calendar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6CEFB4"/>
    <w:lvl w:ilvl="0">
      <w:numFmt w:val="bullet"/>
      <w:lvlText w:val="*"/>
      <w:lvlJc w:val="left"/>
    </w:lvl>
  </w:abstractNum>
  <w:abstractNum w:abstractNumId="1">
    <w:nsid w:val="011A63D4"/>
    <w:multiLevelType w:val="hybridMultilevel"/>
    <w:tmpl w:val="25F8072E"/>
    <w:lvl w:ilvl="0" w:tplc="1CAC482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C4C764B"/>
    <w:multiLevelType w:val="hybridMultilevel"/>
    <w:tmpl w:val="E9C60BD2"/>
    <w:lvl w:ilvl="0" w:tplc="97424BA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C2EB3"/>
    <w:multiLevelType w:val="hybridMultilevel"/>
    <w:tmpl w:val="64A457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6E5E04"/>
    <w:multiLevelType w:val="hybridMultilevel"/>
    <w:tmpl w:val="6CFEDAD4"/>
    <w:lvl w:ilvl="0" w:tplc="3B3A8B10">
      <w:numFmt w:val="bullet"/>
      <w:lvlText w:val=""/>
      <w:lvlJc w:val="left"/>
      <w:pPr>
        <w:ind w:left="1800" w:hanging="360"/>
      </w:pPr>
      <w:rPr>
        <w:rFonts w:ascii="Symbol" w:eastAsia="Times New Roman" w:hAnsi="Symbol" w:cs="Gill Sans 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9626E6C"/>
    <w:multiLevelType w:val="hybridMultilevel"/>
    <w:tmpl w:val="D36C682C"/>
    <w:lvl w:ilvl="0" w:tplc="EC0AD22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D7F525E"/>
    <w:multiLevelType w:val="multilevel"/>
    <w:tmpl w:val="690EB00C"/>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nsid w:val="2ACA4544"/>
    <w:multiLevelType w:val="multilevel"/>
    <w:tmpl w:val="4F40B9D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D5F40FA"/>
    <w:multiLevelType w:val="hybridMultilevel"/>
    <w:tmpl w:val="6A467710"/>
    <w:lvl w:ilvl="0" w:tplc="16369B84">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D42581"/>
    <w:multiLevelType w:val="hybridMultilevel"/>
    <w:tmpl w:val="EDAEB810"/>
    <w:lvl w:ilvl="0" w:tplc="97424BAE">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9664F3"/>
    <w:multiLevelType w:val="multilevel"/>
    <w:tmpl w:val="4F40B9D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52631C1"/>
    <w:multiLevelType w:val="hybridMultilevel"/>
    <w:tmpl w:val="DDAA59FC"/>
    <w:lvl w:ilvl="0" w:tplc="08865DBC">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7D345E4"/>
    <w:multiLevelType w:val="hybridMultilevel"/>
    <w:tmpl w:val="1B4A6C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994B7A"/>
    <w:multiLevelType w:val="multilevel"/>
    <w:tmpl w:val="4F40B9D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B945B0D"/>
    <w:multiLevelType w:val="hybridMultilevel"/>
    <w:tmpl w:val="A2F658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8F18E6"/>
    <w:multiLevelType w:val="hybridMultilevel"/>
    <w:tmpl w:val="EA7E97A8"/>
    <w:lvl w:ilvl="0" w:tplc="97424BAE">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E16A4B"/>
    <w:multiLevelType w:val="hybridMultilevel"/>
    <w:tmpl w:val="3A7CFC76"/>
    <w:lvl w:ilvl="0" w:tplc="08865DBC">
      <w:start w:val="1"/>
      <w:numFmt w:val="bullet"/>
      <w:lvlText w:val=""/>
      <w:lvlJc w:val="left"/>
      <w:pPr>
        <w:tabs>
          <w:tab w:val="num" w:pos="2520"/>
        </w:tabs>
        <w:ind w:left="2520" w:hanging="360"/>
      </w:pPr>
      <w:rPr>
        <w:rFonts w:ascii="Wingdings" w:hAnsi="Wingdings"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81E78BD"/>
    <w:multiLevelType w:val="hybridMultilevel"/>
    <w:tmpl w:val="90E2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C34935"/>
    <w:multiLevelType w:val="hybridMultilevel"/>
    <w:tmpl w:val="7A126ED8"/>
    <w:lvl w:ilvl="0" w:tplc="EC0AD2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E32126C"/>
    <w:multiLevelType w:val="hybridMultilevel"/>
    <w:tmpl w:val="B658DCD6"/>
    <w:lvl w:ilvl="0" w:tplc="97424BA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FD1FD9"/>
    <w:multiLevelType w:val="hybridMultilevel"/>
    <w:tmpl w:val="F1AA87B6"/>
    <w:lvl w:ilvl="0" w:tplc="97424BA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D6653B3"/>
    <w:multiLevelType w:val="hybridMultilevel"/>
    <w:tmpl w:val="FE967944"/>
    <w:lvl w:ilvl="0" w:tplc="A274B75A">
      <w:start w:val="1"/>
      <w:numFmt w:val="lowerLetter"/>
      <w:lvlText w:val="(%1)"/>
      <w:lvlJc w:val="left"/>
      <w:pPr>
        <w:ind w:left="1620" w:hanging="360"/>
      </w:pPr>
      <w:rPr>
        <w:rFonts w:hint="default"/>
        <w:sz w:val="18"/>
        <w:szCs w:val="18"/>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655242B7"/>
    <w:multiLevelType w:val="multilevel"/>
    <w:tmpl w:val="4F40B9D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752533B"/>
    <w:multiLevelType w:val="hybridMultilevel"/>
    <w:tmpl w:val="296ECFCC"/>
    <w:lvl w:ilvl="0" w:tplc="97424BAE">
      <w:start w:val="1"/>
      <w:numFmt w:val="bullet"/>
      <w:lvlText w:val=""/>
      <w:lvlJc w:val="left"/>
      <w:pPr>
        <w:tabs>
          <w:tab w:val="num" w:pos="720"/>
        </w:tabs>
        <w:ind w:left="720" w:hanging="360"/>
      </w:pPr>
      <w:rPr>
        <w:rFonts w:ascii="Wingdings" w:hAnsi="Wingdings" w:hint="default"/>
        <w:sz w:val="20"/>
      </w:rPr>
    </w:lvl>
    <w:lvl w:ilvl="1" w:tplc="08865DBC">
      <w:start w:val="1"/>
      <w:numFmt w:val="bullet"/>
      <w:lvlText w:val=""/>
      <w:lvlJc w:val="left"/>
      <w:pPr>
        <w:tabs>
          <w:tab w:val="num" w:pos="1800"/>
        </w:tabs>
        <w:ind w:left="1800"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957533F"/>
    <w:multiLevelType w:val="multilevel"/>
    <w:tmpl w:val="C1042CF0"/>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5"/>
  </w:num>
  <w:num w:numId="7">
    <w:abstractNumId w:val="23"/>
  </w:num>
  <w:num w:numId="8">
    <w:abstractNumId w:val="19"/>
  </w:num>
  <w:num w:numId="9">
    <w:abstractNumId w:val="12"/>
  </w:num>
  <w:num w:numId="10">
    <w:abstractNumId w:val="10"/>
  </w:num>
  <w:num w:numId="11">
    <w:abstractNumId w:val="1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4"/>
  </w:num>
  <w:num w:numId="14">
    <w:abstractNumId w:val="20"/>
  </w:num>
  <w:num w:numId="15">
    <w:abstractNumId w:val="22"/>
  </w:num>
  <w:num w:numId="16">
    <w:abstractNumId w:val="6"/>
  </w:num>
  <w:num w:numId="17">
    <w:abstractNumId w:val="7"/>
  </w:num>
  <w:num w:numId="18">
    <w:abstractNumId w:val="24"/>
  </w:num>
  <w:num w:numId="19">
    <w:abstractNumId w:val="17"/>
  </w:num>
  <w:num w:numId="20">
    <w:abstractNumId w:val="3"/>
  </w:num>
  <w:num w:numId="21">
    <w:abstractNumId w:val="11"/>
  </w:num>
  <w:num w:numId="22">
    <w:abstractNumId w:val="16"/>
  </w:num>
  <w:num w:numId="23">
    <w:abstractNumId w:val="2"/>
  </w:num>
  <w:num w:numId="24">
    <w:abstractNumId w:val="8"/>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fillcolor="white">
      <v:fill color="white"/>
      <v:stroke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5B"/>
    <w:rsid w:val="000000EA"/>
    <w:rsid w:val="0000385A"/>
    <w:rsid w:val="000040AF"/>
    <w:rsid w:val="00005D4B"/>
    <w:rsid w:val="00005E38"/>
    <w:rsid w:val="00010E60"/>
    <w:rsid w:val="0001122F"/>
    <w:rsid w:val="00011C86"/>
    <w:rsid w:val="00012EB6"/>
    <w:rsid w:val="00013DD2"/>
    <w:rsid w:val="00014CF8"/>
    <w:rsid w:val="00035279"/>
    <w:rsid w:val="0004437A"/>
    <w:rsid w:val="00044AB7"/>
    <w:rsid w:val="000465A1"/>
    <w:rsid w:val="00047957"/>
    <w:rsid w:val="00050215"/>
    <w:rsid w:val="0005063F"/>
    <w:rsid w:val="00051D7D"/>
    <w:rsid w:val="00052D55"/>
    <w:rsid w:val="0005436C"/>
    <w:rsid w:val="0006085F"/>
    <w:rsid w:val="000613A5"/>
    <w:rsid w:val="0006616C"/>
    <w:rsid w:val="000670E1"/>
    <w:rsid w:val="00070CD1"/>
    <w:rsid w:val="00073669"/>
    <w:rsid w:val="00073FAB"/>
    <w:rsid w:val="00080951"/>
    <w:rsid w:val="00080FBA"/>
    <w:rsid w:val="00081CEC"/>
    <w:rsid w:val="00081F41"/>
    <w:rsid w:val="00086104"/>
    <w:rsid w:val="000866AF"/>
    <w:rsid w:val="000913D3"/>
    <w:rsid w:val="000918BE"/>
    <w:rsid w:val="000922D6"/>
    <w:rsid w:val="00096593"/>
    <w:rsid w:val="000967D9"/>
    <w:rsid w:val="000A1324"/>
    <w:rsid w:val="000A2F08"/>
    <w:rsid w:val="000A5E62"/>
    <w:rsid w:val="000A7B41"/>
    <w:rsid w:val="000B189E"/>
    <w:rsid w:val="000B2E3E"/>
    <w:rsid w:val="000B32ED"/>
    <w:rsid w:val="000B516E"/>
    <w:rsid w:val="000B5E13"/>
    <w:rsid w:val="000C022E"/>
    <w:rsid w:val="000C0C7C"/>
    <w:rsid w:val="000C0FAE"/>
    <w:rsid w:val="000C1471"/>
    <w:rsid w:val="000C20A5"/>
    <w:rsid w:val="000C4FF3"/>
    <w:rsid w:val="000C5D7D"/>
    <w:rsid w:val="000C6D10"/>
    <w:rsid w:val="000D2BB7"/>
    <w:rsid w:val="000D4A86"/>
    <w:rsid w:val="000D4B1F"/>
    <w:rsid w:val="000D4DAC"/>
    <w:rsid w:val="000D7AA7"/>
    <w:rsid w:val="000E630F"/>
    <w:rsid w:val="000E66B3"/>
    <w:rsid w:val="000F0888"/>
    <w:rsid w:val="000F2B25"/>
    <w:rsid w:val="000F3458"/>
    <w:rsid w:val="000F49B7"/>
    <w:rsid w:val="001002D0"/>
    <w:rsid w:val="00103ECB"/>
    <w:rsid w:val="00104AE0"/>
    <w:rsid w:val="00107714"/>
    <w:rsid w:val="00107CCA"/>
    <w:rsid w:val="00111264"/>
    <w:rsid w:val="00111458"/>
    <w:rsid w:val="00111662"/>
    <w:rsid w:val="00120CC0"/>
    <w:rsid w:val="00125CBB"/>
    <w:rsid w:val="001301F2"/>
    <w:rsid w:val="001314DB"/>
    <w:rsid w:val="001318F4"/>
    <w:rsid w:val="001328D0"/>
    <w:rsid w:val="00133E0A"/>
    <w:rsid w:val="001347F7"/>
    <w:rsid w:val="00135267"/>
    <w:rsid w:val="00135B6B"/>
    <w:rsid w:val="00141CCB"/>
    <w:rsid w:val="00145B37"/>
    <w:rsid w:val="001462EB"/>
    <w:rsid w:val="001529EF"/>
    <w:rsid w:val="00152FEC"/>
    <w:rsid w:val="00154134"/>
    <w:rsid w:val="00154D3C"/>
    <w:rsid w:val="00156EAA"/>
    <w:rsid w:val="001618AB"/>
    <w:rsid w:val="00162571"/>
    <w:rsid w:val="00162820"/>
    <w:rsid w:val="00171D25"/>
    <w:rsid w:val="00175BA1"/>
    <w:rsid w:val="00182A35"/>
    <w:rsid w:val="00185623"/>
    <w:rsid w:val="00185EB9"/>
    <w:rsid w:val="0019219A"/>
    <w:rsid w:val="00197603"/>
    <w:rsid w:val="001A2FE8"/>
    <w:rsid w:val="001A4D33"/>
    <w:rsid w:val="001A622B"/>
    <w:rsid w:val="001A6921"/>
    <w:rsid w:val="001A7BA9"/>
    <w:rsid w:val="001B1367"/>
    <w:rsid w:val="001B208F"/>
    <w:rsid w:val="001B373F"/>
    <w:rsid w:val="001B4AF9"/>
    <w:rsid w:val="001B7244"/>
    <w:rsid w:val="001B7BFB"/>
    <w:rsid w:val="001C0F24"/>
    <w:rsid w:val="001C180F"/>
    <w:rsid w:val="001C1D04"/>
    <w:rsid w:val="001C4934"/>
    <w:rsid w:val="001C5A69"/>
    <w:rsid w:val="001C6B21"/>
    <w:rsid w:val="001C77F1"/>
    <w:rsid w:val="001D0546"/>
    <w:rsid w:val="001D1EDD"/>
    <w:rsid w:val="001D3CF1"/>
    <w:rsid w:val="001D4358"/>
    <w:rsid w:val="001D566D"/>
    <w:rsid w:val="001D5859"/>
    <w:rsid w:val="001D5EED"/>
    <w:rsid w:val="001E4C05"/>
    <w:rsid w:val="001E70F7"/>
    <w:rsid w:val="001F0E90"/>
    <w:rsid w:val="001F4C09"/>
    <w:rsid w:val="001F4CC5"/>
    <w:rsid w:val="00203007"/>
    <w:rsid w:val="002065F7"/>
    <w:rsid w:val="0021083D"/>
    <w:rsid w:val="00212A0A"/>
    <w:rsid w:val="00214B31"/>
    <w:rsid w:val="0021529B"/>
    <w:rsid w:val="00215448"/>
    <w:rsid w:val="00220C3D"/>
    <w:rsid w:val="00220ECE"/>
    <w:rsid w:val="002253AF"/>
    <w:rsid w:val="00226669"/>
    <w:rsid w:val="00227EB3"/>
    <w:rsid w:val="00231C11"/>
    <w:rsid w:val="00232781"/>
    <w:rsid w:val="0023431A"/>
    <w:rsid w:val="00234D1D"/>
    <w:rsid w:val="00235648"/>
    <w:rsid w:val="002436B4"/>
    <w:rsid w:val="0024608E"/>
    <w:rsid w:val="00250774"/>
    <w:rsid w:val="00250EC4"/>
    <w:rsid w:val="002521EE"/>
    <w:rsid w:val="00253402"/>
    <w:rsid w:val="00254007"/>
    <w:rsid w:val="0025575D"/>
    <w:rsid w:val="0025620E"/>
    <w:rsid w:val="002607F7"/>
    <w:rsid w:val="0026201D"/>
    <w:rsid w:val="00262534"/>
    <w:rsid w:val="002645E3"/>
    <w:rsid w:val="00265310"/>
    <w:rsid w:val="0027114B"/>
    <w:rsid w:val="00272F60"/>
    <w:rsid w:val="0028350F"/>
    <w:rsid w:val="0028367F"/>
    <w:rsid w:val="0028492C"/>
    <w:rsid w:val="002871C8"/>
    <w:rsid w:val="00290255"/>
    <w:rsid w:val="00294597"/>
    <w:rsid w:val="00295B29"/>
    <w:rsid w:val="002964F8"/>
    <w:rsid w:val="002968ED"/>
    <w:rsid w:val="00297C9D"/>
    <w:rsid w:val="002A0AB9"/>
    <w:rsid w:val="002A1957"/>
    <w:rsid w:val="002A24B1"/>
    <w:rsid w:val="002A5EBB"/>
    <w:rsid w:val="002B1562"/>
    <w:rsid w:val="002B3366"/>
    <w:rsid w:val="002B38B1"/>
    <w:rsid w:val="002B4DA1"/>
    <w:rsid w:val="002B5A86"/>
    <w:rsid w:val="002C0258"/>
    <w:rsid w:val="002C203B"/>
    <w:rsid w:val="002D0BA0"/>
    <w:rsid w:val="002D2C43"/>
    <w:rsid w:val="002D3696"/>
    <w:rsid w:val="002D7EB7"/>
    <w:rsid w:val="002E6ABB"/>
    <w:rsid w:val="002F19E0"/>
    <w:rsid w:val="002F2812"/>
    <w:rsid w:val="002F63DC"/>
    <w:rsid w:val="00301FCF"/>
    <w:rsid w:val="003042BC"/>
    <w:rsid w:val="003074CB"/>
    <w:rsid w:val="0032008A"/>
    <w:rsid w:val="00321279"/>
    <w:rsid w:val="00324B85"/>
    <w:rsid w:val="00331996"/>
    <w:rsid w:val="00336BED"/>
    <w:rsid w:val="0034251D"/>
    <w:rsid w:val="0034515A"/>
    <w:rsid w:val="00347653"/>
    <w:rsid w:val="00352650"/>
    <w:rsid w:val="00361209"/>
    <w:rsid w:val="00363FAE"/>
    <w:rsid w:val="003643C8"/>
    <w:rsid w:val="003659C9"/>
    <w:rsid w:val="003745FF"/>
    <w:rsid w:val="00376140"/>
    <w:rsid w:val="00376343"/>
    <w:rsid w:val="003763DA"/>
    <w:rsid w:val="00383EB0"/>
    <w:rsid w:val="0039010A"/>
    <w:rsid w:val="00391415"/>
    <w:rsid w:val="00393203"/>
    <w:rsid w:val="00393B3D"/>
    <w:rsid w:val="00393FE6"/>
    <w:rsid w:val="00394B32"/>
    <w:rsid w:val="00396E12"/>
    <w:rsid w:val="003A2224"/>
    <w:rsid w:val="003A325A"/>
    <w:rsid w:val="003A3BF5"/>
    <w:rsid w:val="003A3E05"/>
    <w:rsid w:val="003A3F69"/>
    <w:rsid w:val="003A465D"/>
    <w:rsid w:val="003A56A3"/>
    <w:rsid w:val="003A6670"/>
    <w:rsid w:val="003A73C3"/>
    <w:rsid w:val="003A7836"/>
    <w:rsid w:val="003A7897"/>
    <w:rsid w:val="003B32D3"/>
    <w:rsid w:val="003C17AB"/>
    <w:rsid w:val="003C1EDB"/>
    <w:rsid w:val="003C2515"/>
    <w:rsid w:val="003C32A7"/>
    <w:rsid w:val="003C4202"/>
    <w:rsid w:val="003C67B8"/>
    <w:rsid w:val="003C74F8"/>
    <w:rsid w:val="003D0549"/>
    <w:rsid w:val="003D071E"/>
    <w:rsid w:val="003D2E65"/>
    <w:rsid w:val="003D3BF1"/>
    <w:rsid w:val="003D62FB"/>
    <w:rsid w:val="003F1132"/>
    <w:rsid w:val="003F168E"/>
    <w:rsid w:val="003F3FD0"/>
    <w:rsid w:val="003F4F60"/>
    <w:rsid w:val="003F749E"/>
    <w:rsid w:val="00402F1A"/>
    <w:rsid w:val="00414CCF"/>
    <w:rsid w:val="00426DB0"/>
    <w:rsid w:val="00430EED"/>
    <w:rsid w:val="004318D4"/>
    <w:rsid w:val="00432140"/>
    <w:rsid w:val="00433872"/>
    <w:rsid w:val="00436016"/>
    <w:rsid w:val="00437698"/>
    <w:rsid w:val="004400C8"/>
    <w:rsid w:val="00440319"/>
    <w:rsid w:val="00440FEF"/>
    <w:rsid w:val="004445CA"/>
    <w:rsid w:val="0044742F"/>
    <w:rsid w:val="00447F36"/>
    <w:rsid w:val="004551DC"/>
    <w:rsid w:val="0045584B"/>
    <w:rsid w:val="00462009"/>
    <w:rsid w:val="00463AAC"/>
    <w:rsid w:val="0046460A"/>
    <w:rsid w:val="00467883"/>
    <w:rsid w:val="0047790C"/>
    <w:rsid w:val="00483004"/>
    <w:rsid w:val="00484532"/>
    <w:rsid w:val="0048703A"/>
    <w:rsid w:val="004878C8"/>
    <w:rsid w:val="00490C4B"/>
    <w:rsid w:val="00492F3C"/>
    <w:rsid w:val="00497FEB"/>
    <w:rsid w:val="004A00CC"/>
    <w:rsid w:val="004A0626"/>
    <w:rsid w:val="004A1832"/>
    <w:rsid w:val="004A34DA"/>
    <w:rsid w:val="004A44BD"/>
    <w:rsid w:val="004A5919"/>
    <w:rsid w:val="004B08CB"/>
    <w:rsid w:val="004B2F62"/>
    <w:rsid w:val="004B3799"/>
    <w:rsid w:val="004B6A69"/>
    <w:rsid w:val="004B7806"/>
    <w:rsid w:val="004C195B"/>
    <w:rsid w:val="004C1F8C"/>
    <w:rsid w:val="004C2F7F"/>
    <w:rsid w:val="004C6E5B"/>
    <w:rsid w:val="004C754D"/>
    <w:rsid w:val="004D078F"/>
    <w:rsid w:val="004D07B3"/>
    <w:rsid w:val="004D27B6"/>
    <w:rsid w:val="004D5ADD"/>
    <w:rsid w:val="004E6E7C"/>
    <w:rsid w:val="004F390D"/>
    <w:rsid w:val="004F3D34"/>
    <w:rsid w:val="004F50AF"/>
    <w:rsid w:val="004F5B42"/>
    <w:rsid w:val="004F76BA"/>
    <w:rsid w:val="005006DD"/>
    <w:rsid w:val="005029CB"/>
    <w:rsid w:val="00502A91"/>
    <w:rsid w:val="00502D76"/>
    <w:rsid w:val="005034CD"/>
    <w:rsid w:val="00503612"/>
    <w:rsid w:val="0050394A"/>
    <w:rsid w:val="00504433"/>
    <w:rsid w:val="005051BD"/>
    <w:rsid w:val="00507863"/>
    <w:rsid w:val="00507B99"/>
    <w:rsid w:val="0051147F"/>
    <w:rsid w:val="005144D1"/>
    <w:rsid w:val="00523331"/>
    <w:rsid w:val="0052622F"/>
    <w:rsid w:val="00531F04"/>
    <w:rsid w:val="0053476F"/>
    <w:rsid w:val="00535752"/>
    <w:rsid w:val="00537C38"/>
    <w:rsid w:val="005421ED"/>
    <w:rsid w:val="00544D25"/>
    <w:rsid w:val="00545659"/>
    <w:rsid w:val="00545B25"/>
    <w:rsid w:val="00547248"/>
    <w:rsid w:val="005525A1"/>
    <w:rsid w:val="00552F88"/>
    <w:rsid w:val="00557892"/>
    <w:rsid w:val="00560488"/>
    <w:rsid w:val="005624B0"/>
    <w:rsid w:val="00563829"/>
    <w:rsid w:val="005709D6"/>
    <w:rsid w:val="0057160D"/>
    <w:rsid w:val="00571C59"/>
    <w:rsid w:val="005722B5"/>
    <w:rsid w:val="005747DD"/>
    <w:rsid w:val="00582194"/>
    <w:rsid w:val="005A1108"/>
    <w:rsid w:val="005A2CFE"/>
    <w:rsid w:val="005A4024"/>
    <w:rsid w:val="005A441F"/>
    <w:rsid w:val="005A77EC"/>
    <w:rsid w:val="005A7B76"/>
    <w:rsid w:val="005B1F49"/>
    <w:rsid w:val="005C11B1"/>
    <w:rsid w:val="005C2195"/>
    <w:rsid w:val="005C2590"/>
    <w:rsid w:val="005C58EA"/>
    <w:rsid w:val="005D194A"/>
    <w:rsid w:val="005D4F34"/>
    <w:rsid w:val="005D708C"/>
    <w:rsid w:val="005E0079"/>
    <w:rsid w:val="005E08FE"/>
    <w:rsid w:val="005E1E6D"/>
    <w:rsid w:val="005E442F"/>
    <w:rsid w:val="005E5252"/>
    <w:rsid w:val="005F2253"/>
    <w:rsid w:val="005F7A5B"/>
    <w:rsid w:val="006011A0"/>
    <w:rsid w:val="0060257F"/>
    <w:rsid w:val="0060270B"/>
    <w:rsid w:val="00603C9A"/>
    <w:rsid w:val="00607997"/>
    <w:rsid w:val="006103ED"/>
    <w:rsid w:val="0062103B"/>
    <w:rsid w:val="00623320"/>
    <w:rsid w:val="00623705"/>
    <w:rsid w:val="0062780F"/>
    <w:rsid w:val="00627AFB"/>
    <w:rsid w:val="00630392"/>
    <w:rsid w:val="00630785"/>
    <w:rsid w:val="00630F39"/>
    <w:rsid w:val="0063164D"/>
    <w:rsid w:val="0063466D"/>
    <w:rsid w:val="00635B13"/>
    <w:rsid w:val="0064769D"/>
    <w:rsid w:val="006546C2"/>
    <w:rsid w:val="00656EA7"/>
    <w:rsid w:val="00663A7B"/>
    <w:rsid w:val="00663A9A"/>
    <w:rsid w:val="006657F9"/>
    <w:rsid w:val="0067214B"/>
    <w:rsid w:val="00673964"/>
    <w:rsid w:val="00673A24"/>
    <w:rsid w:val="00676657"/>
    <w:rsid w:val="00681396"/>
    <w:rsid w:val="00690A04"/>
    <w:rsid w:val="00693ED1"/>
    <w:rsid w:val="006A0D40"/>
    <w:rsid w:val="006A294D"/>
    <w:rsid w:val="006A7383"/>
    <w:rsid w:val="006B00E0"/>
    <w:rsid w:val="006B1704"/>
    <w:rsid w:val="006B2EBD"/>
    <w:rsid w:val="006B6E1D"/>
    <w:rsid w:val="006C2B82"/>
    <w:rsid w:val="006C31ED"/>
    <w:rsid w:val="006C34FD"/>
    <w:rsid w:val="006C6011"/>
    <w:rsid w:val="006C677D"/>
    <w:rsid w:val="006C725D"/>
    <w:rsid w:val="006D185E"/>
    <w:rsid w:val="006D6370"/>
    <w:rsid w:val="006E089A"/>
    <w:rsid w:val="006E1521"/>
    <w:rsid w:val="006E203C"/>
    <w:rsid w:val="006E35BF"/>
    <w:rsid w:val="006E7EA7"/>
    <w:rsid w:val="006F3317"/>
    <w:rsid w:val="006F47E5"/>
    <w:rsid w:val="00702956"/>
    <w:rsid w:val="00710510"/>
    <w:rsid w:val="00710CC0"/>
    <w:rsid w:val="00713BDE"/>
    <w:rsid w:val="00714E1C"/>
    <w:rsid w:val="007166C8"/>
    <w:rsid w:val="00720B2C"/>
    <w:rsid w:val="00720F94"/>
    <w:rsid w:val="00721CBD"/>
    <w:rsid w:val="00721E12"/>
    <w:rsid w:val="007246FE"/>
    <w:rsid w:val="00730DF1"/>
    <w:rsid w:val="00732D25"/>
    <w:rsid w:val="00733C3D"/>
    <w:rsid w:val="00743EC8"/>
    <w:rsid w:val="007443E9"/>
    <w:rsid w:val="00744506"/>
    <w:rsid w:val="00750F42"/>
    <w:rsid w:val="00752FCC"/>
    <w:rsid w:val="007531D5"/>
    <w:rsid w:val="00754325"/>
    <w:rsid w:val="007555BF"/>
    <w:rsid w:val="00756549"/>
    <w:rsid w:val="00757E01"/>
    <w:rsid w:val="00762827"/>
    <w:rsid w:val="00763E7D"/>
    <w:rsid w:val="00765DCF"/>
    <w:rsid w:val="00766FBF"/>
    <w:rsid w:val="007700D6"/>
    <w:rsid w:val="007708A0"/>
    <w:rsid w:val="00770F94"/>
    <w:rsid w:val="0077304F"/>
    <w:rsid w:val="007733A0"/>
    <w:rsid w:val="007758A0"/>
    <w:rsid w:val="00775959"/>
    <w:rsid w:val="00775F66"/>
    <w:rsid w:val="00776048"/>
    <w:rsid w:val="0077679B"/>
    <w:rsid w:val="00777438"/>
    <w:rsid w:val="00781052"/>
    <w:rsid w:val="00783E84"/>
    <w:rsid w:val="00785E97"/>
    <w:rsid w:val="00791ECF"/>
    <w:rsid w:val="00797EC3"/>
    <w:rsid w:val="007A059B"/>
    <w:rsid w:val="007A10BD"/>
    <w:rsid w:val="007A1E04"/>
    <w:rsid w:val="007B1CA4"/>
    <w:rsid w:val="007B2102"/>
    <w:rsid w:val="007B5F5A"/>
    <w:rsid w:val="007C1D13"/>
    <w:rsid w:val="007C2030"/>
    <w:rsid w:val="007C2D48"/>
    <w:rsid w:val="007C3689"/>
    <w:rsid w:val="007C3B42"/>
    <w:rsid w:val="007C3C37"/>
    <w:rsid w:val="007C4251"/>
    <w:rsid w:val="007C54B7"/>
    <w:rsid w:val="007D6026"/>
    <w:rsid w:val="007D7B96"/>
    <w:rsid w:val="007E1156"/>
    <w:rsid w:val="007E44AE"/>
    <w:rsid w:val="007E4A56"/>
    <w:rsid w:val="007E4EF3"/>
    <w:rsid w:val="007E4F61"/>
    <w:rsid w:val="007F08E1"/>
    <w:rsid w:val="007F0F86"/>
    <w:rsid w:val="007F0FF6"/>
    <w:rsid w:val="00800204"/>
    <w:rsid w:val="00800F67"/>
    <w:rsid w:val="008032E5"/>
    <w:rsid w:val="00807699"/>
    <w:rsid w:val="00810184"/>
    <w:rsid w:val="008119EF"/>
    <w:rsid w:val="008132BB"/>
    <w:rsid w:val="00817C79"/>
    <w:rsid w:val="00821595"/>
    <w:rsid w:val="00821F63"/>
    <w:rsid w:val="00824FC5"/>
    <w:rsid w:val="00825D41"/>
    <w:rsid w:val="008261F5"/>
    <w:rsid w:val="00827458"/>
    <w:rsid w:val="0083490E"/>
    <w:rsid w:val="00846586"/>
    <w:rsid w:val="008466D5"/>
    <w:rsid w:val="0085032B"/>
    <w:rsid w:val="00851533"/>
    <w:rsid w:val="008548E4"/>
    <w:rsid w:val="0085536A"/>
    <w:rsid w:val="0085547D"/>
    <w:rsid w:val="00857905"/>
    <w:rsid w:val="00874891"/>
    <w:rsid w:val="00877303"/>
    <w:rsid w:val="00880CBE"/>
    <w:rsid w:val="00880D88"/>
    <w:rsid w:val="00881687"/>
    <w:rsid w:val="00883D38"/>
    <w:rsid w:val="008855D8"/>
    <w:rsid w:val="00890ABA"/>
    <w:rsid w:val="00893D75"/>
    <w:rsid w:val="00894847"/>
    <w:rsid w:val="00895AB7"/>
    <w:rsid w:val="008978F3"/>
    <w:rsid w:val="008A3C18"/>
    <w:rsid w:val="008A5D01"/>
    <w:rsid w:val="008B08AB"/>
    <w:rsid w:val="008B2013"/>
    <w:rsid w:val="008B29A5"/>
    <w:rsid w:val="008B3B85"/>
    <w:rsid w:val="008B6861"/>
    <w:rsid w:val="008C5984"/>
    <w:rsid w:val="008C5A5B"/>
    <w:rsid w:val="008C7522"/>
    <w:rsid w:val="008E09AD"/>
    <w:rsid w:val="008E396E"/>
    <w:rsid w:val="008E4165"/>
    <w:rsid w:val="008E5D44"/>
    <w:rsid w:val="008E612D"/>
    <w:rsid w:val="008E7FB7"/>
    <w:rsid w:val="008F0A02"/>
    <w:rsid w:val="008F2C3F"/>
    <w:rsid w:val="008F3B55"/>
    <w:rsid w:val="008F6ED3"/>
    <w:rsid w:val="008F71FE"/>
    <w:rsid w:val="00902B68"/>
    <w:rsid w:val="00911222"/>
    <w:rsid w:val="00924BD1"/>
    <w:rsid w:val="009256BE"/>
    <w:rsid w:val="00925840"/>
    <w:rsid w:val="00931149"/>
    <w:rsid w:val="0093440C"/>
    <w:rsid w:val="00940B2C"/>
    <w:rsid w:val="00940BDC"/>
    <w:rsid w:val="0094264F"/>
    <w:rsid w:val="00943473"/>
    <w:rsid w:val="00943A7A"/>
    <w:rsid w:val="00943D3E"/>
    <w:rsid w:val="0094690D"/>
    <w:rsid w:val="00950F62"/>
    <w:rsid w:val="00952287"/>
    <w:rsid w:val="00953349"/>
    <w:rsid w:val="00954045"/>
    <w:rsid w:val="009541F2"/>
    <w:rsid w:val="0096248E"/>
    <w:rsid w:val="00962715"/>
    <w:rsid w:val="00970495"/>
    <w:rsid w:val="0097161A"/>
    <w:rsid w:val="009717EB"/>
    <w:rsid w:val="00975372"/>
    <w:rsid w:val="009763A2"/>
    <w:rsid w:val="00977630"/>
    <w:rsid w:val="00983CA6"/>
    <w:rsid w:val="009908E4"/>
    <w:rsid w:val="00991D03"/>
    <w:rsid w:val="00996D08"/>
    <w:rsid w:val="00997F5B"/>
    <w:rsid w:val="009A04ED"/>
    <w:rsid w:val="009A1D50"/>
    <w:rsid w:val="009A7015"/>
    <w:rsid w:val="009B1224"/>
    <w:rsid w:val="009B195B"/>
    <w:rsid w:val="009B42B7"/>
    <w:rsid w:val="009C09C8"/>
    <w:rsid w:val="009C60D7"/>
    <w:rsid w:val="009D0182"/>
    <w:rsid w:val="009D0FE5"/>
    <w:rsid w:val="009D1258"/>
    <w:rsid w:val="009D280E"/>
    <w:rsid w:val="009D2B60"/>
    <w:rsid w:val="009D36A2"/>
    <w:rsid w:val="009D3AA4"/>
    <w:rsid w:val="009D4D7D"/>
    <w:rsid w:val="009D63B8"/>
    <w:rsid w:val="009D64BB"/>
    <w:rsid w:val="009D6AA8"/>
    <w:rsid w:val="009D6E39"/>
    <w:rsid w:val="009E12DC"/>
    <w:rsid w:val="009E23A7"/>
    <w:rsid w:val="009E2F90"/>
    <w:rsid w:val="009E33A1"/>
    <w:rsid w:val="009E39F5"/>
    <w:rsid w:val="009E5CAB"/>
    <w:rsid w:val="009E68CD"/>
    <w:rsid w:val="009E7304"/>
    <w:rsid w:val="009F223B"/>
    <w:rsid w:val="009F6461"/>
    <w:rsid w:val="00A018AB"/>
    <w:rsid w:val="00A01D9D"/>
    <w:rsid w:val="00A072B6"/>
    <w:rsid w:val="00A127D4"/>
    <w:rsid w:val="00A14EA3"/>
    <w:rsid w:val="00A15968"/>
    <w:rsid w:val="00A165C4"/>
    <w:rsid w:val="00A176C8"/>
    <w:rsid w:val="00A208A9"/>
    <w:rsid w:val="00A23360"/>
    <w:rsid w:val="00A261A8"/>
    <w:rsid w:val="00A317D6"/>
    <w:rsid w:val="00A3383E"/>
    <w:rsid w:val="00A347F2"/>
    <w:rsid w:val="00A3532D"/>
    <w:rsid w:val="00A35E80"/>
    <w:rsid w:val="00A42F08"/>
    <w:rsid w:val="00A4378E"/>
    <w:rsid w:val="00A50E89"/>
    <w:rsid w:val="00A60CDA"/>
    <w:rsid w:val="00A614BD"/>
    <w:rsid w:val="00A62EBD"/>
    <w:rsid w:val="00A631BC"/>
    <w:rsid w:val="00A7044B"/>
    <w:rsid w:val="00A7105B"/>
    <w:rsid w:val="00A725B8"/>
    <w:rsid w:val="00A72FA1"/>
    <w:rsid w:val="00A740C5"/>
    <w:rsid w:val="00A75778"/>
    <w:rsid w:val="00A81744"/>
    <w:rsid w:val="00A82E3F"/>
    <w:rsid w:val="00A838B2"/>
    <w:rsid w:val="00A85FC1"/>
    <w:rsid w:val="00A86A89"/>
    <w:rsid w:val="00A92C32"/>
    <w:rsid w:val="00AA1566"/>
    <w:rsid w:val="00AA165A"/>
    <w:rsid w:val="00AA6A3A"/>
    <w:rsid w:val="00AA759F"/>
    <w:rsid w:val="00AA7F7F"/>
    <w:rsid w:val="00AB0A9F"/>
    <w:rsid w:val="00AB1AA6"/>
    <w:rsid w:val="00AB30D9"/>
    <w:rsid w:val="00AB6C8E"/>
    <w:rsid w:val="00AC519A"/>
    <w:rsid w:val="00AC62E3"/>
    <w:rsid w:val="00AC70B6"/>
    <w:rsid w:val="00AE3B2E"/>
    <w:rsid w:val="00AE64C3"/>
    <w:rsid w:val="00AE7240"/>
    <w:rsid w:val="00AF1107"/>
    <w:rsid w:val="00AF366E"/>
    <w:rsid w:val="00AF4C8D"/>
    <w:rsid w:val="00AF5381"/>
    <w:rsid w:val="00AF5546"/>
    <w:rsid w:val="00B01319"/>
    <w:rsid w:val="00B04FF2"/>
    <w:rsid w:val="00B0564C"/>
    <w:rsid w:val="00B057F4"/>
    <w:rsid w:val="00B105A7"/>
    <w:rsid w:val="00B10D52"/>
    <w:rsid w:val="00B16BC2"/>
    <w:rsid w:val="00B17DA6"/>
    <w:rsid w:val="00B220BE"/>
    <w:rsid w:val="00B25978"/>
    <w:rsid w:val="00B26260"/>
    <w:rsid w:val="00B30815"/>
    <w:rsid w:val="00B314E8"/>
    <w:rsid w:val="00B33488"/>
    <w:rsid w:val="00B336BF"/>
    <w:rsid w:val="00B421E1"/>
    <w:rsid w:val="00B4343E"/>
    <w:rsid w:val="00B43A29"/>
    <w:rsid w:val="00B43CB7"/>
    <w:rsid w:val="00B46ACA"/>
    <w:rsid w:val="00B4747E"/>
    <w:rsid w:val="00B5291C"/>
    <w:rsid w:val="00B52AC0"/>
    <w:rsid w:val="00B532FA"/>
    <w:rsid w:val="00B53E84"/>
    <w:rsid w:val="00B56F8C"/>
    <w:rsid w:val="00B60BEA"/>
    <w:rsid w:val="00B625B1"/>
    <w:rsid w:val="00B6540E"/>
    <w:rsid w:val="00B657FA"/>
    <w:rsid w:val="00B714B4"/>
    <w:rsid w:val="00B84652"/>
    <w:rsid w:val="00B919C0"/>
    <w:rsid w:val="00B92FCD"/>
    <w:rsid w:val="00B933AF"/>
    <w:rsid w:val="00B95F94"/>
    <w:rsid w:val="00BA380C"/>
    <w:rsid w:val="00BA3EC9"/>
    <w:rsid w:val="00BA4451"/>
    <w:rsid w:val="00BB303E"/>
    <w:rsid w:val="00BB32C8"/>
    <w:rsid w:val="00BB4492"/>
    <w:rsid w:val="00BB5224"/>
    <w:rsid w:val="00BB6693"/>
    <w:rsid w:val="00BB67D4"/>
    <w:rsid w:val="00BB6E68"/>
    <w:rsid w:val="00BC0BEB"/>
    <w:rsid w:val="00BC10A2"/>
    <w:rsid w:val="00BC1DA7"/>
    <w:rsid w:val="00BC3033"/>
    <w:rsid w:val="00BC33F3"/>
    <w:rsid w:val="00BC3DD0"/>
    <w:rsid w:val="00BC4F21"/>
    <w:rsid w:val="00BC5BDC"/>
    <w:rsid w:val="00BD28EB"/>
    <w:rsid w:val="00BD2953"/>
    <w:rsid w:val="00BD2FE3"/>
    <w:rsid w:val="00BD59D7"/>
    <w:rsid w:val="00BD5EEF"/>
    <w:rsid w:val="00BD7A3D"/>
    <w:rsid w:val="00BE08C0"/>
    <w:rsid w:val="00BE2ABB"/>
    <w:rsid w:val="00BE7569"/>
    <w:rsid w:val="00BF43AB"/>
    <w:rsid w:val="00BF6C1E"/>
    <w:rsid w:val="00BF73CD"/>
    <w:rsid w:val="00C00EDC"/>
    <w:rsid w:val="00C01FE9"/>
    <w:rsid w:val="00C02428"/>
    <w:rsid w:val="00C036A3"/>
    <w:rsid w:val="00C03797"/>
    <w:rsid w:val="00C06427"/>
    <w:rsid w:val="00C11046"/>
    <w:rsid w:val="00C141BE"/>
    <w:rsid w:val="00C142E2"/>
    <w:rsid w:val="00C15A5D"/>
    <w:rsid w:val="00C1653C"/>
    <w:rsid w:val="00C2015C"/>
    <w:rsid w:val="00C2567B"/>
    <w:rsid w:val="00C26DD0"/>
    <w:rsid w:val="00C31481"/>
    <w:rsid w:val="00C34777"/>
    <w:rsid w:val="00C354C9"/>
    <w:rsid w:val="00C37457"/>
    <w:rsid w:val="00C41153"/>
    <w:rsid w:val="00C411B7"/>
    <w:rsid w:val="00C414D6"/>
    <w:rsid w:val="00C42218"/>
    <w:rsid w:val="00C50979"/>
    <w:rsid w:val="00C5182B"/>
    <w:rsid w:val="00C527B7"/>
    <w:rsid w:val="00C52F28"/>
    <w:rsid w:val="00C53063"/>
    <w:rsid w:val="00C57767"/>
    <w:rsid w:val="00C60AF5"/>
    <w:rsid w:val="00C616E2"/>
    <w:rsid w:val="00C6450A"/>
    <w:rsid w:val="00C661DB"/>
    <w:rsid w:val="00C66B98"/>
    <w:rsid w:val="00C67081"/>
    <w:rsid w:val="00C70968"/>
    <w:rsid w:val="00C71EC9"/>
    <w:rsid w:val="00C75263"/>
    <w:rsid w:val="00C76ADF"/>
    <w:rsid w:val="00C82A78"/>
    <w:rsid w:val="00C82EB7"/>
    <w:rsid w:val="00C8580D"/>
    <w:rsid w:val="00C85943"/>
    <w:rsid w:val="00C85D26"/>
    <w:rsid w:val="00C86E5E"/>
    <w:rsid w:val="00C87B1E"/>
    <w:rsid w:val="00C9490B"/>
    <w:rsid w:val="00C95B7D"/>
    <w:rsid w:val="00C96609"/>
    <w:rsid w:val="00CA0238"/>
    <w:rsid w:val="00CA1199"/>
    <w:rsid w:val="00CA177E"/>
    <w:rsid w:val="00CA4162"/>
    <w:rsid w:val="00CA7B1C"/>
    <w:rsid w:val="00CB0E9D"/>
    <w:rsid w:val="00CB3A07"/>
    <w:rsid w:val="00CB7CB4"/>
    <w:rsid w:val="00CC073D"/>
    <w:rsid w:val="00CC1A7C"/>
    <w:rsid w:val="00CC561C"/>
    <w:rsid w:val="00CD0343"/>
    <w:rsid w:val="00CD102B"/>
    <w:rsid w:val="00CD4CD4"/>
    <w:rsid w:val="00CD59AD"/>
    <w:rsid w:val="00CE0B80"/>
    <w:rsid w:val="00CE3312"/>
    <w:rsid w:val="00CE520D"/>
    <w:rsid w:val="00CE5B12"/>
    <w:rsid w:val="00CF1154"/>
    <w:rsid w:val="00CF1413"/>
    <w:rsid w:val="00CF49FB"/>
    <w:rsid w:val="00CF5739"/>
    <w:rsid w:val="00D00B2A"/>
    <w:rsid w:val="00D00BD2"/>
    <w:rsid w:val="00D021DA"/>
    <w:rsid w:val="00D05105"/>
    <w:rsid w:val="00D060FD"/>
    <w:rsid w:val="00D11713"/>
    <w:rsid w:val="00D123FC"/>
    <w:rsid w:val="00D140E5"/>
    <w:rsid w:val="00D17019"/>
    <w:rsid w:val="00D208C9"/>
    <w:rsid w:val="00D228D3"/>
    <w:rsid w:val="00D22BE6"/>
    <w:rsid w:val="00D2305E"/>
    <w:rsid w:val="00D24ED2"/>
    <w:rsid w:val="00D3135C"/>
    <w:rsid w:val="00D3196F"/>
    <w:rsid w:val="00D3211E"/>
    <w:rsid w:val="00D3229C"/>
    <w:rsid w:val="00D32419"/>
    <w:rsid w:val="00D333A3"/>
    <w:rsid w:val="00D43EE3"/>
    <w:rsid w:val="00D5020C"/>
    <w:rsid w:val="00D54DBF"/>
    <w:rsid w:val="00D557C9"/>
    <w:rsid w:val="00D5648A"/>
    <w:rsid w:val="00D564B1"/>
    <w:rsid w:val="00D56DFA"/>
    <w:rsid w:val="00D57623"/>
    <w:rsid w:val="00D740AE"/>
    <w:rsid w:val="00D750BC"/>
    <w:rsid w:val="00D77533"/>
    <w:rsid w:val="00D81B35"/>
    <w:rsid w:val="00D81C84"/>
    <w:rsid w:val="00D81E90"/>
    <w:rsid w:val="00D87407"/>
    <w:rsid w:val="00D91A3A"/>
    <w:rsid w:val="00D96809"/>
    <w:rsid w:val="00DA4150"/>
    <w:rsid w:val="00DB4B24"/>
    <w:rsid w:val="00DC1977"/>
    <w:rsid w:val="00DC4268"/>
    <w:rsid w:val="00DC729A"/>
    <w:rsid w:val="00DD331D"/>
    <w:rsid w:val="00DD3D55"/>
    <w:rsid w:val="00DD7032"/>
    <w:rsid w:val="00DE1053"/>
    <w:rsid w:val="00DE3B58"/>
    <w:rsid w:val="00DE4341"/>
    <w:rsid w:val="00DE4512"/>
    <w:rsid w:val="00DE483A"/>
    <w:rsid w:val="00DE6B60"/>
    <w:rsid w:val="00DE740A"/>
    <w:rsid w:val="00DF202D"/>
    <w:rsid w:val="00DF3AAC"/>
    <w:rsid w:val="00DF45D5"/>
    <w:rsid w:val="00DF5C1F"/>
    <w:rsid w:val="00DF7792"/>
    <w:rsid w:val="00E01E9C"/>
    <w:rsid w:val="00E02DB9"/>
    <w:rsid w:val="00E0423B"/>
    <w:rsid w:val="00E051C7"/>
    <w:rsid w:val="00E05366"/>
    <w:rsid w:val="00E07322"/>
    <w:rsid w:val="00E10A1A"/>
    <w:rsid w:val="00E13888"/>
    <w:rsid w:val="00E14956"/>
    <w:rsid w:val="00E15CCF"/>
    <w:rsid w:val="00E16906"/>
    <w:rsid w:val="00E211D1"/>
    <w:rsid w:val="00E21B97"/>
    <w:rsid w:val="00E31A1D"/>
    <w:rsid w:val="00E32B50"/>
    <w:rsid w:val="00E37E3D"/>
    <w:rsid w:val="00E40A88"/>
    <w:rsid w:val="00E4204F"/>
    <w:rsid w:val="00E4252C"/>
    <w:rsid w:val="00E4294E"/>
    <w:rsid w:val="00E43BFD"/>
    <w:rsid w:val="00E44AC1"/>
    <w:rsid w:val="00E462B8"/>
    <w:rsid w:val="00E46E26"/>
    <w:rsid w:val="00E472F8"/>
    <w:rsid w:val="00E5159E"/>
    <w:rsid w:val="00E5224A"/>
    <w:rsid w:val="00E53BBC"/>
    <w:rsid w:val="00E553F6"/>
    <w:rsid w:val="00E557CA"/>
    <w:rsid w:val="00E56303"/>
    <w:rsid w:val="00E65243"/>
    <w:rsid w:val="00E663A4"/>
    <w:rsid w:val="00E67F0C"/>
    <w:rsid w:val="00E71D9D"/>
    <w:rsid w:val="00E72AF8"/>
    <w:rsid w:val="00E7380C"/>
    <w:rsid w:val="00E81B42"/>
    <w:rsid w:val="00E823A1"/>
    <w:rsid w:val="00E82ADE"/>
    <w:rsid w:val="00E858AD"/>
    <w:rsid w:val="00E927F2"/>
    <w:rsid w:val="00E92B63"/>
    <w:rsid w:val="00E948A6"/>
    <w:rsid w:val="00E968DC"/>
    <w:rsid w:val="00E97CBD"/>
    <w:rsid w:val="00EA0A57"/>
    <w:rsid w:val="00EA0D17"/>
    <w:rsid w:val="00EA278E"/>
    <w:rsid w:val="00EA2AA8"/>
    <w:rsid w:val="00EA7451"/>
    <w:rsid w:val="00EB051A"/>
    <w:rsid w:val="00EB0AAC"/>
    <w:rsid w:val="00EB0EC3"/>
    <w:rsid w:val="00EB0FF6"/>
    <w:rsid w:val="00EC0C55"/>
    <w:rsid w:val="00EC11E5"/>
    <w:rsid w:val="00EC1F72"/>
    <w:rsid w:val="00EC3E4C"/>
    <w:rsid w:val="00EC4457"/>
    <w:rsid w:val="00EC5D69"/>
    <w:rsid w:val="00EC6A1A"/>
    <w:rsid w:val="00EE1D99"/>
    <w:rsid w:val="00EE1E2C"/>
    <w:rsid w:val="00EE2448"/>
    <w:rsid w:val="00EE5B20"/>
    <w:rsid w:val="00EF029E"/>
    <w:rsid w:val="00EF5CBE"/>
    <w:rsid w:val="00EF6485"/>
    <w:rsid w:val="00EF6F1E"/>
    <w:rsid w:val="00F02092"/>
    <w:rsid w:val="00F05847"/>
    <w:rsid w:val="00F06BEF"/>
    <w:rsid w:val="00F111C5"/>
    <w:rsid w:val="00F121C4"/>
    <w:rsid w:val="00F1469B"/>
    <w:rsid w:val="00F170BC"/>
    <w:rsid w:val="00F248A0"/>
    <w:rsid w:val="00F24F67"/>
    <w:rsid w:val="00F26C7C"/>
    <w:rsid w:val="00F319E1"/>
    <w:rsid w:val="00F37A8B"/>
    <w:rsid w:val="00F41E1A"/>
    <w:rsid w:val="00F42321"/>
    <w:rsid w:val="00F46152"/>
    <w:rsid w:val="00F4627D"/>
    <w:rsid w:val="00F46367"/>
    <w:rsid w:val="00F47068"/>
    <w:rsid w:val="00F52154"/>
    <w:rsid w:val="00F55BB0"/>
    <w:rsid w:val="00F60A4E"/>
    <w:rsid w:val="00F613E3"/>
    <w:rsid w:val="00F6543D"/>
    <w:rsid w:val="00F719EF"/>
    <w:rsid w:val="00F72383"/>
    <w:rsid w:val="00F76ACF"/>
    <w:rsid w:val="00F7758E"/>
    <w:rsid w:val="00F82C4F"/>
    <w:rsid w:val="00F85C27"/>
    <w:rsid w:val="00F90D07"/>
    <w:rsid w:val="00F90F8F"/>
    <w:rsid w:val="00F9701C"/>
    <w:rsid w:val="00FA12C2"/>
    <w:rsid w:val="00FA2AA0"/>
    <w:rsid w:val="00FA324C"/>
    <w:rsid w:val="00FA4565"/>
    <w:rsid w:val="00FA4C73"/>
    <w:rsid w:val="00FA52FB"/>
    <w:rsid w:val="00FA532C"/>
    <w:rsid w:val="00FA58B4"/>
    <w:rsid w:val="00FA7575"/>
    <w:rsid w:val="00FB20F6"/>
    <w:rsid w:val="00FB346A"/>
    <w:rsid w:val="00FB3BA3"/>
    <w:rsid w:val="00FB4104"/>
    <w:rsid w:val="00FB5B31"/>
    <w:rsid w:val="00FC5E35"/>
    <w:rsid w:val="00FC68F3"/>
    <w:rsid w:val="00FD1416"/>
    <w:rsid w:val="00FD27D7"/>
    <w:rsid w:val="00FE00F9"/>
    <w:rsid w:val="00FE07E2"/>
    <w:rsid w:val="00FE12AD"/>
    <w:rsid w:val="00FE1662"/>
    <w:rsid w:val="00FE2665"/>
    <w:rsid w:val="00FE3AF2"/>
    <w:rsid w:val="00FE4B56"/>
    <w:rsid w:val="00FE741B"/>
    <w:rsid w:val="00FF044C"/>
    <w:rsid w:val="00FF20CF"/>
    <w:rsid w:val="00FF3BC7"/>
    <w:rsid w:val="00FF4E4B"/>
    <w:rsid w:val="00FF62F1"/>
    <w:rsid w:val="00FF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stroke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A04"/>
    <w:rPr>
      <w:rFonts w:ascii="HelveticaNeueLT Std Thin" w:hAnsi="HelveticaNeueLT Std Thin"/>
      <w:sz w:val="21"/>
      <w:szCs w:val="24"/>
    </w:rPr>
  </w:style>
  <w:style w:type="paragraph" w:styleId="Heading1">
    <w:name w:val="heading 1"/>
    <w:aliases w:val="SubHead_1"/>
    <w:basedOn w:val="Normal"/>
    <w:next w:val="Normal"/>
    <w:link w:val="Heading1Char"/>
    <w:autoRedefine/>
    <w:qFormat/>
    <w:rsid w:val="00D3135C"/>
    <w:pPr>
      <w:keepNext/>
      <w:keepLines/>
      <w:spacing w:before="120"/>
      <w:outlineLvl w:val="0"/>
    </w:pPr>
    <w:rPr>
      <w:rFonts w:ascii="HelveticaNeueLT Std Med Cn" w:eastAsiaTheme="majorEastAsia" w:hAnsi="HelveticaNeueLT Std Med Cn" w:cstheme="majorBidi"/>
      <w:b/>
      <w:bCs/>
      <w:smallCaps/>
      <w:color w:val="44546A" w:themeColor="text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5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1996"/>
    <w:pPr>
      <w:tabs>
        <w:tab w:val="center" w:pos="4320"/>
        <w:tab w:val="right" w:pos="8640"/>
      </w:tabs>
    </w:pPr>
  </w:style>
  <w:style w:type="paragraph" w:styleId="Footer">
    <w:name w:val="footer"/>
    <w:basedOn w:val="Normal"/>
    <w:rsid w:val="00331996"/>
    <w:pPr>
      <w:tabs>
        <w:tab w:val="center" w:pos="4320"/>
        <w:tab w:val="right" w:pos="8640"/>
      </w:tabs>
    </w:pPr>
  </w:style>
  <w:style w:type="paragraph" w:customStyle="1" w:styleId="Default">
    <w:name w:val="Default"/>
    <w:rsid w:val="008B3B85"/>
    <w:pPr>
      <w:autoSpaceDE w:val="0"/>
      <w:autoSpaceDN w:val="0"/>
      <w:adjustRightInd w:val="0"/>
    </w:pPr>
    <w:rPr>
      <w:color w:val="000000"/>
      <w:sz w:val="24"/>
      <w:szCs w:val="24"/>
    </w:rPr>
  </w:style>
  <w:style w:type="character" w:customStyle="1" w:styleId="BH">
    <w:name w:val="BH"/>
    <w:semiHidden/>
    <w:rsid w:val="00F24F67"/>
    <w:rPr>
      <w:rFonts w:ascii="Arial" w:hAnsi="Arial" w:cs="Arial"/>
      <w:color w:val="auto"/>
      <w:sz w:val="20"/>
      <w:szCs w:val="20"/>
    </w:rPr>
  </w:style>
  <w:style w:type="paragraph" w:styleId="BalloonText">
    <w:name w:val="Balloon Text"/>
    <w:basedOn w:val="Normal"/>
    <w:semiHidden/>
    <w:rsid w:val="00CB3A07"/>
    <w:rPr>
      <w:rFonts w:ascii="Tahoma" w:hAnsi="Tahoma" w:cs="Tahoma"/>
      <w:sz w:val="16"/>
      <w:szCs w:val="16"/>
    </w:rPr>
  </w:style>
  <w:style w:type="character" w:styleId="CommentReference">
    <w:name w:val="annotation reference"/>
    <w:semiHidden/>
    <w:rsid w:val="00CB3A07"/>
    <w:rPr>
      <w:sz w:val="16"/>
      <w:szCs w:val="16"/>
    </w:rPr>
  </w:style>
  <w:style w:type="paragraph" w:styleId="CommentText">
    <w:name w:val="annotation text"/>
    <w:basedOn w:val="Normal"/>
    <w:semiHidden/>
    <w:rsid w:val="00CB3A07"/>
    <w:rPr>
      <w:szCs w:val="20"/>
    </w:rPr>
  </w:style>
  <w:style w:type="paragraph" w:styleId="CommentSubject">
    <w:name w:val="annotation subject"/>
    <w:basedOn w:val="CommentText"/>
    <w:next w:val="CommentText"/>
    <w:semiHidden/>
    <w:rsid w:val="00CB3A07"/>
    <w:rPr>
      <w:b/>
      <w:bCs/>
    </w:rPr>
  </w:style>
  <w:style w:type="character" w:customStyle="1" w:styleId="wrappable">
    <w:name w:val="wrappable"/>
    <w:basedOn w:val="DefaultParagraphFont"/>
    <w:rsid w:val="001D3CF1"/>
  </w:style>
  <w:style w:type="character" w:styleId="PageNumber">
    <w:name w:val="page number"/>
    <w:basedOn w:val="DefaultParagraphFont"/>
    <w:rsid w:val="00FF3BC7"/>
  </w:style>
  <w:style w:type="paragraph" w:styleId="NormalWeb">
    <w:name w:val="Normal (Web)"/>
    <w:basedOn w:val="Normal"/>
    <w:rsid w:val="00FF3BC7"/>
    <w:pPr>
      <w:spacing w:before="100" w:beforeAutospacing="1" w:after="100" w:afterAutospacing="1"/>
    </w:pPr>
  </w:style>
  <w:style w:type="paragraph" w:styleId="ListParagraph">
    <w:name w:val="List Paragraph"/>
    <w:basedOn w:val="Normal"/>
    <w:uiPriority w:val="34"/>
    <w:qFormat/>
    <w:rsid w:val="00AF5381"/>
    <w:pPr>
      <w:spacing w:after="200" w:line="276" w:lineRule="auto"/>
      <w:ind w:left="720"/>
      <w:contextualSpacing/>
    </w:pPr>
    <w:rPr>
      <w:rFonts w:ascii="Calibri" w:hAnsi="Calibri"/>
      <w:szCs w:val="22"/>
    </w:rPr>
  </w:style>
  <w:style w:type="character" w:styleId="FollowedHyperlink">
    <w:name w:val="FollowedHyperlink"/>
    <w:rsid w:val="00F85C27"/>
    <w:rPr>
      <w:color w:val="800080"/>
      <w:u w:val="single"/>
    </w:rPr>
  </w:style>
  <w:style w:type="character" w:customStyle="1" w:styleId="Heading1Char">
    <w:name w:val="Heading 1 Char"/>
    <w:aliases w:val="SubHead_1 Char"/>
    <w:basedOn w:val="DefaultParagraphFont"/>
    <w:link w:val="Heading1"/>
    <w:rsid w:val="00D3135C"/>
    <w:rPr>
      <w:rFonts w:ascii="HelveticaNeueLT Std Med Cn" w:eastAsiaTheme="majorEastAsia" w:hAnsi="HelveticaNeueLT Std Med Cn" w:cstheme="majorBidi"/>
      <w:b/>
      <w:bCs/>
      <w:smallCaps/>
      <w:color w:val="44546A" w:themeColor="text2"/>
      <w:sz w:val="24"/>
      <w:szCs w:val="28"/>
    </w:rPr>
  </w:style>
  <w:style w:type="paragraph" w:styleId="Subtitle">
    <w:name w:val="Subtitle"/>
    <w:basedOn w:val="Normal"/>
    <w:next w:val="Normal"/>
    <w:link w:val="SubtitleChar"/>
    <w:qFormat/>
    <w:rsid w:val="00BB4492"/>
    <w:pPr>
      <w:numPr>
        <w:ilvl w:val="1"/>
      </w:numPr>
    </w:pPr>
    <w:rPr>
      <w:rFonts w:ascii="HelveticaNeueLT Std Lt" w:eastAsiaTheme="majorEastAsia" w:hAnsi="HelveticaNeueLT Std Lt" w:cstheme="majorBidi"/>
      <w:iCs/>
      <w:color w:val="323E4F" w:themeColor="text2" w:themeShade="BF"/>
      <w:spacing w:val="15"/>
      <w:u w:val="single"/>
    </w:rPr>
  </w:style>
  <w:style w:type="character" w:customStyle="1" w:styleId="SubtitleChar">
    <w:name w:val="Subtitle Char"/>
    <w:basedOn w:val="DefaultParagraphFont"/>
    <w:link w:val="Subtitle"/>
    <w:rsid w:val="00BB4492"/>
    <w:rPr>
      <w:rFonts w:ascii="HelveticaNeueLT Std Lt" w:eastAsiaTheme="majorEastAsia" w:hAnsi="HelveticaNeueLT Std Lt" w:cstheme="majorBidi"/>
      <w:iCs/>
      <w:color w:val="323E4F" w:themeColor="text2" w:themeShade="BF"/>
      <w:spacing w:val="15"/>
      <w:sz w:val="22"/>
      <w:szCs w:val="24"/>
      <w:u w:val="single"/>
    </w:rPr>
  </w:style>
  <w:style w:type="character" w:styleId="PlaceholderText">
    <w:name w:val="Placeholder Text"/>
    <w:basedOn w:val="DefaultParagraphFont"/>
    <w:uiPriority w:val="99"/>
    <w:semiHidden/>
    <w:rsid w:val="0032008A"/>
    <w:rPr>
      <w:color w:val="808080"/>
    </w:rPr>
  </w:style>
  <w:style w:type="paragraph" w:styleId="Revision">
    <w:name w:val="Revision"/>
    <w:hidden/>
    <w:uiPriority w:val="99"/>
    <w:semiHidden/>
    <w:rsid w:val="005D194A"/>
    <w:rPr>
      <w:rFonts w:ascii="Myriad Pro" w:hAnsi="Myriad Pro"/>
      <w:sz w:val="22"/>
      <w:szCs w:val="24"/>
    </w:rPr>
  </w:style>
  <w:style w:type="paragraph" w:styleId="FootnoteText">
    <w:name w:val="footnote text"/>
    <w:basedOn w:val="Normal"/>
    <w:link w:val="FootnoteTextChar"/>
    <w:rsid w:val="000040AF"/>
    <w:rPr>
      <w:szCs w:val="20"/>
    </w:rPr>
  </w:style>
  <w:style w:type="character" w:customStyle="1" w:styleId="FootnoteTextChar">
    <w:name w:val="Footnote Text Char"/>
    <w:basedOn w:val="DefaultParagraphFont"/>
    <w:link w:val="FootnoteText"/>
    <w:rsid w:val="000040AF"/>
    <w:rPr>
      <w:rFonts w:ascii="Myriad Pro" w:hAnsi="Myriad Pro"/>
    </w:rPr>
  </w:style>
  <w:style w:type="character" w:styleId="FootnoteReference">
    <w:name w:val="footnote reference"/>
    <w:basedOn w:val="DefaultParagraphFont"/>
    <w:rsid w:val="000040AF"/>
    <w:rPr>
      <w:vertAlign w:val="superscript"/>
    </w:rPr>
  </w:style>
  <w:style w:type="paragraph" w:customStyle="1" w:styleId="Heading10">
    <w:name w:val="Heading_1"/>
    <w:basedOn w:val="Heading1"/>
    <w:link w:val="Heading1Char0"/>
    <w:qFormat/>
    <w:rsid w:val="00825D41"/>
    <w:pPr>
      <w:spacing w:before="240"/>
    </w:pPr>
    <w:rPr>
      <w:sz w:val="32"/>
    </w:rPr>
  </w:style>
  <w:style w:type="character" w:customStyle="1" w:styleId="Heading1Char0">
    <w:name w:val="Heading_1 Char"/>
    <w:basedOn w:val="Heading1Char"/>
    <w:link w:val="Heading10"/>
    <w:rsid w:val="00825D41"/>
    <w:rPr>
      <w:rFonts w:ascii="Myriad Pro" w:eastAsiaTheme="majorEastAsia" w:hAnsi="Myriad Pro" w:cstheme="majorBidi"/>
      <w:b/>
      <w:bCs/>
      <w:smallCaps/>
      <w:color w:val="2E74B5" w:themeColor="accent1" w:themeShade="BF"/>
      <w:sz w:val="32"/>
      <w:szCs w:val="28"/>
    </w:rPr>
  </w:style>
  <w:style w:type="character" w:styleId="SubtleReference">
    <w:name w:val="Subtle Reference"/>
    <w:basedOn w:val="DefaultParagraphFont"/>
    <w:uiPriority w:val="31"/>
    <w:qFormat/>
    <w:rsid w:val="00BB4492"/>
    <w:rPr>
      <w:rFonts w:ascii="HelveticaNeueLT Std Med Cn" w:hAnsi="HelveticaNeueLT Std Med Cn"/>
      <w:smallCaps/>
      <w:color w:val="323E4F" w:themeColor="text2" w:themeShade="BF"/>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A04"/>
    <w:rPr>
      <w:rFonts w:ascii="HelveticaNeueLT Std Thin" w:hAnsi="HelveticaNeueLT Std Thin"/>
      <w:sz w:val="21"/>
      <w:szCs w:val="24"/>
    </w:rPr>
  </w:style>
  <w:style w:type="paragraph" w:styleId="Heading1">
    <w:name w:val="heading 1"/>
    <w:aliases w:val="SubHead_1"/>
    <w:basedOn w:val="Normal"/>
    <w:next w:val="Normal"/>
    <w:link w:val="Heading1Char"/>
    <w:autoRedefine/>
    <w:qFormat/>
    <w:rsid w:val="00D3135C"/>
    <w:pPr>
      <w:keepNext/>
      <w:keepLines/>
      <w:spacing w:before="120"/>
      <w:outlineLvl w:val="0"/>
    </w:pPr>
    <w:rPr>
      <w:rFonts w:ascii="HelveticaNeueLT Std Med Cn" w:eastAsiaTheme="majorEastAsia" w:hAnsi="HelveticaNeueLT Std Med Cn" w:cstheme="majorBidi"/>
      <w:b/>
      <w:bCs/>
      <w:smallCaps/>
      <w:color w:val="44546A" w:themeColor="text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5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1996"/>
    <w:pPr>
      <w:tabs>
        <w:tab w:val="center" w:pos="4320"/>
        <w:tab w:val="right" w:pos="8640"/>
      </w:tabs>
    </w:pPr>
  </w:style>
  <w:style w:type="paragraph" w:styleId="Footer">
    <w:name w:val="footer"/>
    <w:basedOn w:val="Normal"/>
    <w:rsid w:val="00331996"/>
    <w:pPr>
      <w:tabs>
        <w:tab w:val="center" w:pos="4320"/>
        <w:tab w:val="right" w:pos="8640"/>
      </w:tabs>
    </w:pPr>
  </w:style>
  <w:style w:type="paragraph" w:customStyle="1" w:styleId="Default">
    <w:name w:val="Default"/>
    <w:rsid w:val="008B3B85"/>
    <w:pPr>
      <w:autoSpaceDE w:val="0"/>
      <w:autoSpaceDN w:val="0"/>
      <w:adjustRightInd w:val="0"/>
    </w:pPr>
    <w:rPr>
      <w:color w:val="000000"/>
      <w:sz w:val="24"/>
      <w:szCs w:val="24"/>
    </w:rPr>
  </w:style>
  <w:style w:type="character" w:customStyle="1" w:styleId="BH">
    <w:name w:val="BH"/>
    <w:semiHidden/>
    <w:rsid w:val="00F24F67"/>
    <w:rPr>
      <w:rFonts w:ascii="Arial" w:hAnsi="Arial" w:cs="Arial"/>
      <w:color w:val="auto"/>
      <w:sz w:val="20"/>
      <w:szCs w:val="20"/>
    </w:rPr>
  </w:style>
  <w:style w:type="paragraph" w:styleId="BalloonText">
    <w:name w:val="Balloon Text"/>
    <w:basedOn w:val="Normal"/>
    <w:semiHidden/>
    <w:rsid w:val="00CB3A07"/>
    <w:rPr>
      <w:rFonts w:ascii="Tahoma" w:hAnsi="Tahoma" w:cs="Tahoma"/>
      <w:sz w:val="16"/>
      <w:szCs w:val="16"/>
    </w:rPr>
  </w:style>
  <w:style w:type="character" w:styleId="CommentReference">
    <w:name w:val="annotation reference"/>
    <w:semiHidden/>
    <w:rsid w:val="00CB3A07"/>
    <w:rPr>
      <w:sz w:val="16"/>
      <w:szCs w:val="16"/>
    </w:rPr>
  </w:style>
  <w:style w:type="paragraph" w:styleId="CommentText">
    <w:name w:val="annotation text"/>
    <w:basedOn w:val="Normal"/>
    <w:semiHidden/>
    <w:rsid w:val="00CB3A07"/>
    <w:rPr>
      <w:szCs w:val="20"/>
    </w:rPr>
  </w:style>
  <w:style w:type="paragraph" w:styleId="CommentSubject">
    <w:name w:val="annotation subject"/>
    <w:basedOn w:val="CommentText"/>
    <w:next w:val="CommentText"/>
    <w:semiHidden/>
    <w:rsid w:val="00CB3A07"/>
    <w:rPr>
      <w:b/>
      <w:bCs/>
    </w:rPr>
  </w:style>
  <w:style w:type="character" w:customStyle="1" w:styleId="wrappable">
    <w:name w:val="wrappable"/>
    <w:basedOn w:val="DefaultParagraphFont"/>
    <w:rsid w:val="001D3CF1"/>
  </w:style>
  <w:style w:type="character" w:styleId="PageNumber">
    <w:name w:val="page number"/>
    <w:basedOn w:val="DefaultParagraphFont"/>
    <w:rsid w:val="00FF3BC7"/>
  </w:style>
  <w:style w:type="paragraph" w:styleId="NormalWeb">
    <w:name w:val="Normal (Web)"/>
    <w:basedOn w:val="Normal"/>
    <w:rsid w:val="00FF3BC7"/>
    <w:pPr>
      <w:spacing w:before="100" w:beforeAutospacing="1" w:after="100" w:afterAutospacing="1"/>
    </w:pPr>
  </w:style>
  <w:style w:type="paragraph" w:styleId="ListParagraph">
    <w:name w:val="List Paragraph"/>
    <w:basedOn w:val="Normal"/>
    <w:uiPriority w:val="34"/>
    <w:qFormat/>
    <w:rsid w:val="00AF5381"/>
    <w:pPr>
      <w:spacing w:after="200" w:line="276" w:lineRule="auto"/>
      <w:ind w:left="720"/>
      <w:contextualSpacing/>
    </w:pPr>
    <w:rPr>
      <w:rFonts w:ascii="Calibri" w:hAnsi="Calibri"/>
      <w:szCs w:val="22"/>
    </w:rPr>
  </w:style>
  <w:style w:type="character" w:styleId="FollowedHyperlink">
    <w:name w:val="FollowedHyperlink"/>
    <w:rsid w:val="00F85C27"/>
    <w:rPr>
      <w:color w:val="800080"/>
      <w:u w:val="single"/>
    </w:rPr>
  </w:style>
  <w:style w:type="character" w:customStyle="1" w:styleId="Heading1Char">
    <w:name w:val="Heading 1 Char"/>
    <w:aliases w:val="SubHead_1 Char"/>
    <w:basedOn w:val="DefaultParagraphFont"/>
    <w:link w:val="Heading1"/>
    <w:rsid w:val="00D3135C"/>
    <w:rPr>
      <w:rFonts w:ascii="HelveticaNeueLT Std Med Cn" w:eastAsiaTheme="majorEastAsia" w:hAnsi="HelveticaNeueLT Std Med Cn" w:cstheme="majorBidi"/>
      <w:b/>
      <w:bCs/>
      <w:smallCaps/>
      <w:color w:val="44546A" w:themeColor="text2"/>
      <w:sz w:val="24"/>
      <w:szCs w:val="28"/>
    </w:rPr>
  </w:style>
  <w:style w:type="paragraph" w:styleId="Subtitle">
    <w:name w:val="Subtitle"/>
    <w:basedOn w:val="Normal"/>
    <w:next w:val="Normal"/>
    <w:link w:val="SubtitleChar"/>
    <w:qFormat/>
    <w:rsid w:val="00BB4492"/>
    <w:pPr>
      <w:numPr>
        <w:ilvl w:val="1"/>
      </w:numPr>
    </w:pPr>
    <w:rPr>
      <w:rFonts w:ascii="HelveticaNeueLT Std Lt" w:eastAsiaTheme="majorEastAsia" w:hAnsi="HelveticaNeueLT Std Lt" w:cstheme="majorBidi"/>
      <w:iCs/>
      <w:color w:val="323E4F" w:themeColor="text2" w:themeShade="BF"/>
      <w:spacing w:val="15"/>
      <w:u w:val="single"/>
    </w:rPr>
  </w:style>
  <w:style w:type="character" w:customStyle="1" w:styleId="SubtitleChar">
    <w:name w:val="Subtitle Char"/>
    <w:basedOn w:val="DefaultParagraphFont"/>
    <w:link w:val="Subtitle"/>
    <w:rsid w:val="00BB4492"/>
    <w:rPr>
      <w:rFonts w:ascii="HelveticaNeueLT Std Lt" w:eastAsiaTheme="majorEastAsia" w:hAnsi="HelveticaNeueLT Std Lt" w:cstheme="majorBidi"/>
      <w:iCs/>
      <w:color w:val="323E4F" w:themeColor="text2" w:themeShade="BF"/>
      <w:spacing w:val="15"/>
      <w:sz w:val="22"/>
      <w:szCs w:val="24"/>
      <w:u w:val="single"/>
    </w:rPr>
  </w:style>
  <w:style w:type="character" w:styleId="PlaceholderText">
    <w:name w:val="Placeholder Text"/>
    <w:basedOn w:val="DefaultParagraphFont"/>
    <w:uiPriority w:val="99"/>
    <w:semiHidden/>
    <w:rsid w:val="0032008A"/>
    <w:rPr>
      <w:color w:val="808080"/>
    </w:rPr>
  </w:style>
  <w:style w:type="paragraph" w:styleId="Revision">
    <w:name w:val="Revision"/>
    <w:hidden/>
    <w:uiPriority w:val="99"/>
    <w:semiHidden/>
    <w:rsid w:val="005D194A"/>
    <w:rPr>
      <w:rFonts w:ascii="Myriad Pro" w:hAnsi="Myriad Pro"/>
      <w:sz w:val="22"/>
      <w:szCs w:val="24"/>
    </w:rPr>
  </w:style>
  <w:style w:type="paragraph" w:styleId="FootnoteText">
    <w:name w:val="footnote text"/>
    <w:basedOn w:val="Normal"/>
    <w:link w:val="FootnoteTextChar"/>
    <w:rsid w:val="000040AF"/>
    <w:rPr>
      <w:szCs w:val="20"/>
    </w:rPr>
  </w:style>
  <w:style w:type="character" w:customStyle="1" w:styleId="FootnoteTextChar">
    <w:name w:val="Footnote Text Char"/>
    <w:basedOn w:val="DefaultParagraphFont"/>
    <w:link w:val="FootnoteText"/>
    <w:rsid w:val="000040AF"/>
    <w:rPr>
      <w:rFonts w:ascii="Myriad Pro" w:hAnsi="Myriad Pro"/>
    </w:rPr>
  </w:style>
  <w:style w:type="character" w:styleId="FootnoteReference">
    <w:name w:val="footnote reference"/>
    <w:basedOn w:val="DefaultParagraphFont"/>
    <w:rsid w:val="000040AF"/>
    <w:rPr>
      <w:vertAlign w:val="superscript"/>
    </w:rPr>
  </w:style>
  <w:style w:type="paragraph" w:customStyle="1" w:styleId="Heading10">
    <w:name w:val="Heading_1"/>
    <w:basedOn w:val="Heading1"/>
    <w:link w:val="Heading1Char0"/>
    <w:qFormat/>
    <w:rsid w:val="00825D41"/>
    <w:pPr>
      <w:spacing w:before="240"/>
    </w:pPr>
    <w:rPr>
      <w:sz w:val="32"/>
    </w:rPr>
  </w:style>
  <w:style w:type="character" w:customStyle="1" w:styleId="Heading1Char0">
    <w:name w:val="Heading_1 Char"/>
    <w:basedOn w:val="Heading1Char"/>
    <w:link w:val="Heading10"/>
    <w:rsid w:val="00825D41"/>
    <w:rPr>
      <w:rFonts w:ascii="Myriad Pro" w:eastAsiaTheme="majorEastAsia" w:hAnsi="Myriad Pro" w:cstheme="majorBidi"/>
      <w:b/>
      <w:bCs/>
      <w:smallCaps/>
      <w:color w:val="2E74B5" w:themeColor="accent1" w:themeShade="BF"/>
      <w:sz w:val="32"/>
      <w:szCs w:val="28"/>
    </w:rPr>
  </w:style>
  <w:style w:type="character" w:styleId="SubtleReference">
    <w:name w:val="Subtle Reference"/>
    <w:basedOn w:val="DefaultParagraphFont"/>
    <w:uiPriority w:val="31"/>
    <w:qFormat/>
    <w:rsid w:val="00BB4492"/>
    <w:rPr>
      <w:rFonts w:ascii="HelveticaNeueLT Std Med Cn" w:hAnsi="HelveticaNeueLT Std Med Cn"/>
      <w:smallCaps/>
      <w:color w:val="323E4F" w:themeColor="text2" w:themeShade="B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2138">
      <w:bodyDiv w:val="1"/>
      <w:marLeft w:val="0"/>
      <w:marRight w:val="0"/>
      <w:marTop w:val="0"/>
      <w:marBottom w:val="0"/>
      <w:divBdr>
        <w:top w:val="none" w:sz="0" w:space="0" w:color="auto"/>
        <w:left w:val="none" w:sz="0" w:space="0" w:color="auto"/>
        <w:bottom w:val="none" w:sz="0" w:space="0" w:color="auto"/>
        <w:right w:val="none" w:sz="0" w:space="0" w:color="auto"/>
      </w:divBdr>
    </w:div>
    <w:div w:id="64109146">
      <w:bodyDiv w:val="1"/>
      <w:marLeft w:val="0"/>
      <w:marRight w:val="0"/>
      <w:marTop w:val="0"/>
      <w:marBottom w:val="0"/>
      <w:divBdr>
        <w:top w:val="none" w:sz="0" w:space="0" w:color="auto"/>
        <w:left w:val="none" w:sz="0" w:space="0" w:color="auto"/>
        <w:bottom w:val="none" w:sz="0" w:space="0" w:color="auto"/>
        <w:right w:val="none" w:sz="0" w:space="0" w:color="auto"/>
      </w:divBdr>
    </w:div>
    <w:div w:id="110442070">
      <w:bodyDiv w:val="1"/>
      <w:marLeft w:val="0"/>
      <w:marRight w:val="0"/>
      <w:marTop w:val="0"/>
      <w:marBottom w:val="0"/>
      <w:divBdr>
        <w:top w:val="none" w:sz="0" w:space="0" w:color="auto"/>
        <w:left w:val="none" w:sz="0" w:space="0" w:color="auto"/>
        <w:bottom w:val="none" w:sz="0" w:space="0" w:color="auto"/>
        <w:right w:val="none" w:sz="0" w:space="0" w:color="auto"/>
      </w:divBdr>
    </w:div>
    <w:div w:id="119761711">
      <w:bodyDiv w:val="1"/>
      <w:marLeft w:val="0"/>
      <w:marRight w:val="0"/>
      <w:marTop w:val="0"/>
      <w:marBottom w:val="0"/>
      <w:divBdr>
        <w:top w:val="none" w:sz="0" w:space="0" w:color="auto"/>
        <w:left w:val="none" w:sz="0" w:space="0" w:color="auto"/>
        <w:bottom w:val="none" w:sz="0" w:space="0" w:color="auto"/>
        <w:right w:val="none" w:sz="0" w:space="0" w:color="auto"/>
      </w:divBdr>
    </w:div>
    <w:div w:id="183178113">
      <w:bodyDiv w:val="1"/>
      <w:marLeft w:val="0"/>
      <w:marRight w:val="0"/>
      <w:marTop w:val="0"/>
      <w:marBottom w:val="0"/>
      <w:divBdr>
        <w:top w:val="none" w:sz="0" w:space="0" w:color="auto"/>
        <w:left w:val="none" w:sz="0" w:space="0" w:color="auto"/>
        <w:bottom w:val="none" w:sz="0" w:space="0" w:color="auto"/>
        <w:right w:val="none" w:sz="0" w:space="0" w:color="auto"/>
      </w:divBdr>
    </w:div>
    <w:div w:id="243148417">
      <w:bodyDiv w:val="1"/>
      <w:marLeft w:val="0"/>
      <w:marRight w:val="0"/>
      <w:marTop w:val="0"/>
      <w:marBottom w:val="0"/>
      <w:divBdr>
        <w:top w:val="none" w:sz="0" w:space="0" w:color="auto"/>
        <w:left w:val="none" w:sz="0" w:space="0" w:color="auto"/>
        <w:bottom w:val="none" w:sz="0" w:space="0" w:color="auto"/>
        <w:right w:val="none" w:sz="0" w:space="0" w:color="auto"/>
      </w:divBdr>
    </w:div>
    <w:div w:id="247274655">
      <w:bodyDiv w:val="1"/>
      <w:marLeft w:val="0"/>
      <w:marRight w:val="0"/>
      <w:marTop w:val="0"/>
      <w:marBottom w:val="0"/>
      <w:divBdr>
        <w:top w:val="none" w:sz="0" w:space="0" w:color="auto"/>
        <w:left w:val="none" w:sz="0" w:space="0" w:color="auto"/>
        <w:bottom w:val="none" w:sz="0" w:space="0" w:color="auto"/>
        <w:right w:val="none" w:sz="0" w:space="0" w:color="auto"/>
      </w:divBdr>
    </w:div>
    <w:div w:id="279922732">
      <w:bodyDiv w:val="1"/>
      <w:marLeft w:val="0"/>
      <w:marRight w:val="0"/>
      <w:marTop w:val="0"/>
      <w:marBottom w:val="0"/>
      <w:divBdr>
        <w:top w:val="none" w:sz="0" w:space="0" w:color="auto"/>
        <w:left w:val="none" w:sz="0" w:space="0" w:color="auto"/>
        <w:bottom w:val="none" w:sz="0" w:space="0" w:color="auto"/>
        <w:right w:val="none" w:sz="0" w:space="0" w:color="auto"/>
      </w:divBdr>
    </w:div>
    <w:div w:id="325859926">
      <w:bodyDiv w:val="1"/>
      <w:marLeft w:val="0"/>
      <w:marRight w:val="0"/>
      <w:marTop w:val="0"/>
      <w:marBottom w:val="0"/>
      <w:divBdr>
        <w:top w:val="none" w:sz="0" w:space="0" w:color="auto"/>
        <w:left w:val="none" w:sz="0" w:space="0" w:color="auto"/>
        <w:bottom w:val="none" w:sz="0" w:space="0" w:color="auto"/>
        <w:right w:val="none" w:sz="0" w:space="0" w:color="auto"/>
      </w:divBdr>
    </w:div>
    <w:div w:id="356126259">
      <w:bodyDiv w:val="1"/>
      <w:marLeft w:val="0"/>
      <w:marRight w:val="0"/>
      <w:marTop w:val="0"/>
      <w:marBottom w:val="0"/>
      <w:divBdr>
        <w:top w:val="none" w:sz="0" w:space="0" w:color="auto"/>
        <w:left w:val="none" w:sz="0" w:space="0" w:color="auto"/>
        <w:bottom w:val="none" w:sz="0" w:space="0" w:color="auto"/>
        <w:right w:val="none" w:sz="0" w:space="0" w:color="auto"/>
      </w:divBdr>
    </w:div>
    <w:div w:id="419764146">
      <w:bodyDiv w:val="1"/>
      <w:marLeft w:val="0"/>
      <w:marRight w:val="0"/>
      <w:marTop w:val="0"/>
      <w:marBottom w:val="0"/>
      <w:divBdr>
        <w:top w:val="none" w:sz="0" w:space="0" w:color="auto"/>
        <w:left w:val="none" w:sz="0" w:space="0" w:color="auto"/>
        <w:bottom w:val="none" w:sz="0" w:space="0" w:color="auto"/>
        <w:right w:val="none" w:sz="0" w:space="0" w:color="auto"/>
      </w:divBdr>
    </w:div>
    <w:div w:id="422922623">
      <w:bodyDiv w:val="1"/>
      <w:marLeft w:val="0"/>
      <w:marRight w:val="0"/>
      <w:marTop w:val="0"/>
      <w:marBottom w:val="0"/>
      <w:divBdr>
        <w:top w:val="none" w:sz="0" w:space="0" w:color="auto"/>
        <w:left w:val="none" w:sz="0" w:space="0" w:color="auto"/>
        <w:bottom w:val="none" w:sz="0" w:space="0" w:color="auto"/>
        <w:right w:val="none" w:sz="0" w:space="0" w:color="auto"/>
      </w:divBdr>
    </w:div>
    <w:div w:id="430900654">
      <w:bodyDiv w:val="1"/>
      <w:marLeft w:val="0"/>
      <w:marRight w:val="0"/>
      <w:marTop w:val="0"/>
      <w:marBottom w:val="0"/>
      <w:divBdr>
        <w:top w:val="none" w:sz="0" w:space="0" w:color="auto"/>
        <w:left w:val="none" w:sz="0" w:space="0" w:color="auto"/>
        <w:bottom w:val="none" w:sz="0" w:space="0" w:color="auto"/>
        <w:right w:val="none" w:sz="0" w:space="0" w:color="auto"/>
      </w:divBdr>
    </w:div>
    <w:div w:id="492338604">
      <w:bodyDiv w:val="1"/>
      <w:marLeft w:val="0"/>
      <w:marRight w:val="0"/>
      <w:marTop w:val="0"/>
      <w:marBottom w:val="0"/>
      <w:divBdr>
        <w:top w:val="none" w:sz="0" w:space="0" w:color="auto"/>
        <w:left w:val="none" w:sz="0" w:space="0" w:color="auto"/>
        <w:bottom w:val="none" w:sz="0" w:space="0" w:color="auto"/>
        <w:right w:val="none" w:sz="0" w:space="0" w:color="auto"/>
      </w:divBdr>
    </w:div>
    <w:div w:id="502203134">
      <w:bodyDiv w:val="1"/>
      <w:marLeft w:val="0"/>
      <w:marRight w:val="0"/>
      <w:marTop w:val="0"/>
      <w:marBottom w:val="0"/>
      <w:divBdr>
        <w:top w:val="none" w:sz="0" w:space="0" w:color="auto"/>
        <w:left w:val="none" w:sz="0" w:space="0" w:color="auto"/>
        <w:bottom w:val="none" w:sz="0" w:space="0" w:color="auto"/>
        <w:right w:val="none" w:sz="0" w:space="0" w:color="auto"/>
      </w:divBdr>
    </w:div>
    <w:div w:id="524096371">
      <w:bodyDiv w:val="1"/>
      <w:marLeft w:val="0"/>
      <w:marRight w:val="0"/>
      <w:marTop w:val="0"/>
      <w:marBottom w:val="0"/>
      <w:divBdr>
        <w:top w:val="none" w:sz="0" w:space="0" w:color="auto"/>
        <w:left w:val="none" w:sz="0" w:space="0" w:color="auto"/>
        <w:bottom w:val="none" w:sz="0" w:space="0" w:color="auto"/>
        <w:right w:val="none" w:sz="0" w:space="0" w:color="auto"/>
      </w:divBdr>
    </w:div>
    <w:div w:id="526724028">
      <w:bodyDiv w:val="1"/>
      <w:marLeft w:val="0"/>
      <w:marRight w:val="0"/>
      <w:marTop w:val="0"/>
      <w:marBottom w:val="0"/>
      <w:divBdr>
        <w:top w:val="none" w:sz="0" w:space="0" w:color="auto"/>
        <w:left w:val="none" w:sz="0" w:space="0" w:color="auto"/>
        <w:bottom w:val="none" w:sz="0" w:space="0" w:color="auto"/>
        <w:right w:val="none" w:sz="0" w:space="0" w:color="auto"/>
      </w:divBdr>
    </w:div>
    <w:div w:id="534273726">
      <w:bodyDiv w:val="1"/>
      <w:marLeft w:val="0"/>
      <w:marRight w:val="0"/>
      <w:marTop w:val="0"/>
      <w:marBottom w:val="0"/>
      <w:divBdr>
        <w:top w:val="none" w:sz="0" w:space="0" w:color="auto"/>
        <w:left w:val="none" w:sz="0" w:space="0" w:color="auto"/>
        <w:bottom w:val="none" w:sz="0" w:space="0" w:color="auto"/>
        <w:right w:val="none" w:sz="0" w:space="0" w:color="auto"/>
      </w:divBdr>
    </w:div>
    <w:div w:id="550266799">
      <w:bodyDiv w:val="1"/>
      <w:marLeft w:val="0"/>
      <w:marRight w:val="0"/>
      <w:marTop w:val="0"/>
      <w:marBottom w:val="0"/>
      <w:divBdr>
        <w:top w:val="none" w:sz="0" w:space="0" w:color="auto"/>
        <w:left w:val="none" w:sz="0" w:space="0" w:color="auto"/>
        <w:bottom w:val="none" w:sz="0" w:space="0" w:color="auto"/>
        <w:right w:val="none" w:sz="0" w:space="0" w:color="auto"/>
      </w:divBdr>
    </w:div>
    <w:div w:id="558639286">
      <w:bodyDiv w:val="1"/>
      <w:marLeft w:val="0"/>
      <w:marRight w:val="0"/>
      <w:marTop w:val="0"/>
      <w:marBottom w:val="0"/>
      <w:divBdr>
        <w:top w:val="none" w:sz="0" w:space="0" w:color="auto"/>
        <w:left w:val="none" w:sz="0" w:space="0" w:color="auto"/>
        <w:bottom w:val="none" w:sz="0" w:space="0" w:color="auto"/>
        <w:right w:val="none" w:sz="0" w:space="0" w:color="auto"/>
      </w:divBdr>
    </w:div>
    <w:div w:id="581916290">
      <w:bodyDiv w:val="1"/>
      <w:marLeft w:val="0"/>
      <w:marRight w:val="0"/>
      <w:marTop w:val="0"/>
      <w:marBottom w:val="0"/>
      <w:divBdr>
        <w:top w:val="none" w:sz="0" w:space="0" w:color="auto"/>
        <w:left w:val="none" w:sz="0" w:space="0" w:color="auto"/>
        <w:bottom w:val="none" w:sz="0" w:space="0" w:color="auto"/>
        <w:right w:val="none" w:sz="0" w:space="0" w:color="auto"/>
      </w:divBdr>
    </w:div>
    <w:div w:id="604968739">
      <w:bodyDiv w:val="1"/>
      <w:marLeft w:val="0"/>
      <w:marRight w:val="0"/>
      <w:marTop w:val="0"/>
      <w:marBottom w:val="0"/>
      <w:divBdr>
        <w:top w:val="none" w:sz="0" w:space="0" w:color="auto"/>
        <w:left w:val="none" w:sz="0" w:space="0" w:color="auto"/>
        <w:bottom w:val="none" w:sz="0" w:space="0" w:color="auto"/>
        <w:right w:val="none" w:sz="0" w:space="0" w:color="auto"/>
      </w:divBdr>
    </w:div>
    <w:div w:id="622199609">
      <w:bodyDiv w:val="1"/>
      <w:marLeft w:val="0"/>
      <w:marRight w:val="0"/>
      <w:marTop w:val="0"/>
      <w:marBottom w:val="0"/>
      <w:divBdr>
        <w:top w:val="none" w:sz="0" w:space="0" w:color="auto"/>
        <w:left w:val="none" w:sz="0" w:space="0" w:color="auto"/>
        <w:bottom w:val="none" w:sz="0" w:space="0" w:color="auto"/>
        <w:right w:val="none" w:sz="0" w:space="0" w:color="auto"/>
      </w:divBdr>
    </w:div>
    <w:div w:id="700864378">
      <w:bodyDiv w:val="1"/>
      <w:marLeft w:val="0"/>
      <w:marRight w:val="0"/>
      <w:marTop w:val="0"/>
      <w:marBottom w:val="0"/>
      <w:divBdr>
        <w:top w:val="none" w:sz="0" w:space="0" w:color="auto"/>
        <w:left w:val="none" w:sz="0" w:space="0" w:color="auto"/>
        <w:bottom w:val="none" w:sz="0" w:space="0" w:color="auto"/>
        <w:right w:val="none" w:sz="0" w:space="0" w:color="auto"/>
      </w:divBdr>
    </w:div>
    <w:div w:id="723334921">
      <w:bodyDiv w:val="1"/>
      <w:marLeft w:val="0"/>
      <w:marRight w:val="0"/>
      <w:marTop w:val="0"/>
      <w:marBottom w:val="0"/>
      <w:divBdr>
        <w:top w:val="none" w:sz="0" w:space="0" w:color="auto"/>
        <w:left w:val="none" w:sz="0" w:space="0" w:color="auto"/>
        <w:bottom w:val="none" w:sz="0" w:space="0" w:color="auto"/>
        <w:right w:val="none" w:sz="0" w:space="0" w:color="auto"/>
      </w:divBdr>
    </w:div>
    <w:div w:id="724138505">
      <w:bodyDiv w:val="1"/>
      <w:marLeft w:val="0"/>
      <w:marRight w:val="0"/>
      <w:marTop w:val="0"/>
      <w:marBottom w:val="0"/>
      <w:divBdr>
        <w:top w:val="none" w:sz="0" w:space="0" w:color="auto"/>
        <w:left w:val="none" w:sz="0" w:space="0" w:color="auto"/>
        <w:bottom w:val="none" w:sz="0" w:space="0" w:color="auto"/>
        <w:right w:val="none" w:sz="0" w:space="0" w:color="auto"/>
      </w:divBdr>
    </w:div>
    <w:div w:id="793522333">
      <w:bodyDiv w:val="1"/>
      <w:marLeft w:val="0"/>
      <w:marRight w:val="0"/>
      <w:marTop w:val="0"/>
      <w:marBottom w:val="0"/>
      <w:divBdr>
        <w:top w:val="none" w:sz="0" w:space="0" w:color="auto"/>
        <w:left w:val="none" w:sz="0" w:space="0" w:color="auto"/>
        <w:bottom w:val="none" w:sz="0" w:space="0" w:color="auto"/>
        <w:right w:val="none" w:sz="0" w:space="0" w:color="auto"/>
      </w:divBdr>
    </w:div>
    <w:div w:id="812911149">
      <w:bodyDiv w:val="1"/>
      <w:marLeft w:val="0"/>
      <w:marRight w:val="0"/>
      <w:marTop w:val="0"/>
      <w:marBottom w:val="0"/>
      <w:divBdr>
        <w:top w:val="none" w:sz="0" w:space="0" w:color="auto"/>
        <w:left w:val="none" w:sz="0" w:space="0" w:color="auto"/>
        <w:bottom w:val="none" w:sz="0" w:space="0" w:color="auto"/>
        <w:right w:val="none" w:sz="0" w:space="0" w:color="auto"/>
      </w:divBdr>
    </w:div>
    <w:div w:id="821964787">
      <w:bodyDiv w:val="1"/>
      <w:marLeft w:val="0"/>
      <w:marRight w:val="0"/>
      <w:marTop w:val="0"/>
      <w:marBottom w:val="0"/>
      <w:divBdr>
        <w:top w:val="none" w:sz="0" w:space="0" w:color="auto"/>
        <w:left w:val="none" w:sz="0" w:space="0" w:color="auto"/>
        <w:bottom w:val="none" w:sz="0" w:space="0" w:color="auto"/>
        <w:right w:val="none" w:sz="0" w:space="0" w:color="auto"/>
      </w:divBdr>
    </w:div>
    <w:div w:id="834109045">
      <w:bodyDiv w:val="1"/>
      <w:marLeft w:val="0"/>
      <w:marRight w:val="0"/>
      <w:marTop w:val="0"/>
      <w:marBottom w:val="0"/>
      <w:divBdr>
        <w:top w:val="none" w:sz="0" w:space="0" w:color="auto"/>
        <w:left w:val="none" w:sz="0" w:space="0" w:color="auto"/>
        <w:bottom w:val="none" w:sz="0" w:space="0" w:color="auto"/>
        <w:right w:val="none" w:sz="0" w:space="0" w:color="auto"/>
      </w:divBdr>
    </w:div>
    <w:div w:id="834148213">
      <w:bodyDiv w:val="1"/>
      <w:marLeft w:val="0"/>
      <w:marRight w:val="0"/>
      <w:marTop w:val="0"/>
      <w:marBottom w:val="0"/>
      <w:divBdr>
        <w:top w:val="none" w:sz="0" w:space="0" w:color="auto"/>
        <w:left w:val="none" w:sz="0" w:space="0" w:color="auto"/>
        <w:bottom w:val="none" w:sz="0" w:space="0" w:color="auto"/>
        <w:right w:val="none" w:sz="0" w:space="0" w:color="auto"/>
      </w:divBdr>
    </w:div>
    <w:div w:id="849104819">
      <w:bodyDiv w:val="1"/>
      <w:marLeft w:val="0"/>
      <w:marRight w:val="0"/>
      <w:marTop w:val="0"/>
      <w:marBottom w:val="0"/>
      <w:divBdr>
        <w:top w:val="none" w:sz="0" w:space="0" w:color="auto"/>
        <w:left w:val="none" w:sz="0" w:space="0" w:color="auto"/>
        <w:bottom w:val="none" w:sz="0" w:space="0" w:color="auto"/>
        <w:right w:val="none" w:sz="0" w:space="0" w:color="auto"/>
      </w:divBdr>
    </w:div>
    <w:div w:id="885684224">
      <w:bodyDiv w:val="1"/>
      <w:marLeft w:val="0"/>
      <w:marRight w:val="0"/>
      <w:marTop w:val="0"/>
      <w:marBottom w:val="0"/>
      <w:divBdr>
        <w:top w:val="none" w:sz="0" w:space="0" w:color="auto"/>
        <w:left w:val="none" w:sz="0" w:space="0" w:color="auto"/>
        <w:bottom w:val="none" w:sz="0" w:space="0" w:color="auto"/>
        <w:right w:val="none" w:sz="0" w:space="0" w:color="auto"/>
      </w:divBdr>
    </w:div>
    <w:div w:id="906067602">
      <w:bodyDiv w:val="1"/>
      <w:marLeft w:val="0"/>
      <w:marRight w:val="0"/>
      <w:marTop w:val="0"/>
      <w:marBottom w:val="0"/>
      <w:divBdr>
        <w:top w:val="none" w:sz="0" w:space="0" w:color="auto"/>
        <w:left w:val="none" w:sz="0" w:space="0" w:color="auto"/>
        <w:bottom w:val="none" w:sz="0" w:space="0" w:color="auto"/>
        <w:right w:val="none" w:sz="0" w:space="0" w:color="auto"/>
      </w:divBdr>
    </w:div>
    <w:div w:id="914364904">
      <w:bodyDiv w:val="1"/>
      <w:marLeft w:val="0"/>
      <w:marRight w:val="0"/>
      <w:marTop w:val="0"/>
      <w:marBottom w:val="0"/>
      <w:divBdr>
        <w:top w:val="none" w:sz="0" w:space="0" w:color="auto"/>
        <w:left w:val="none" w:sz="0" w:space="0" w:color="auto"/>
        <w:bottom w:val="none" w:sz="0" w:space="0" w:color="auto"/>
        <w:right w:val="none" w:sz="0" w:space="0" w:color="auto"/>
      </w:divBdr>
    </w:div>
    <w:div w:id="917207429">
      <w:bodyDiv w:val="1"/>
      <w:marLeft w:val="0"/>
      <w:marRight w:val="0"/>
      <w:marTop w:val="0"/>
      <w:marBottom w:val="0"/>
      <w:divBdr>
        <w:top w:val="none" w:sz="0" w:space="0" w:color="auto"/>
        <w:left w:val="none" w:sz="0" w:space="0" w:color="auto"/>
        <w:bottom w:val="none" w:sz="0" w:space="0" w:color="auto"/>
        <w:right w:val="none" w:sz="0" w:space="0" w:color="auto"/>
      </w:divBdr>
    </w:div>
    <w:div w:id="991248883">
      <w:bodyDiv w:val="1"/>
      <w:marLeft w:val="0"/>
      <w:marRight w:val="0"/>
      <w:marTop w:val="0"/>
      <w:marBottom w:val="0"/>
      <w:divBdr>
        <w:top w:val="none" w:sz="0" w:space="0" w:color="auto"/>
        <w:left w:val="none" w:sz="0" w:space="0" w:color="auto"/>
        <w:bottom w:val="none" w:sz="0" w:space="0" w:color="auto"/>
        <w:right w:val="none" w:sz="0" w:space="0" w:color="auto"/>
      </w:divBdr>
    </w:div>
    <w:div w:id="1035275196">
      <w:bodyDiv w:val="1"/>
      <w:marLeft w:val="0"/>
      <w:marRight w:val="0"/>
      <w:marTop w:val="0"/>
      <w:marBottom w:val="0"/>
      <w:divBdr>
        <w:top w:val="none" w:sz="0" w:space="0" w:color="auto"/>
        <w:left w:val="none" w:sz="0" w:space="0" w:color="auto"/>
        <w:bottom w:val="none" w:sz="0" w:space="0" w:color="auto"/>
        <w:right w:val="none" w:sz="0" w:space="0" w:color="auto"/>
      </w:divBdr>
    </w:div>
    <w:div w:id="1079402347">
      <w:bodyDiv w:val="1"/>
      <w:marLeft w:val="0"/>
      <w:marRight w:val="0"/>
      <w:marTop w:val="0"/>
      <w:marBottom w:val="0"/>
      <w:divBdr>
        <w:top w:val="none" w:sz="0" w:space="0" w:color="auto"/>
        <w:left w:val="none" w:sz="0" w:space="0" w:color="auto"/>
        <w:bottom w:val="none" w:sz="0" w:space="0" w:color="auto"/>
        <w:right w:val="none" w:sz="0" w:space="0" w:color="auto"/>
      </w:divBdr>
    </w:div>
    <w:div w:id="1085880352">
      <w:bodyDiv w:val="1"/>
      <w:marLeft w:val="0"/>
      <w:marRight w:val="0"/>
      <w:marTop w:val="0"/>
      <w:marBottom w:val="0"/>
      <w:divBdr>
        <w:top w:val="none" w:sz="0" w:space="0" w:color="auto"/>
        <w:left w:val="none" w:sz="0" w:space="0" w:color="auto"/>
        <w:bottom w:val="none" w:sz="0" w:space="0" w:color="auto"/>
        <w:right w:val="none" w:sz="0" w:space="0" w:color="auto"/>
      </w:divBdr>
    </w:div>
    <w:div w:id="1124884635">
      <w:bodyDiv w:val="1"/>
      <w:marLeft w:val="0"/>
      <w:marRight w:val="0"/>
      <w:marTop w:val="0"/>
      <w:marBottom w:val="0"/>
      <w:divBdr>
        <w:top w:val="none" w:sz="0" w:space="0" w:color="auto"/>
        <w:left w:val="none" w:sz="0" w:space="0" w:color="auto"/>
        <w:bottom w:val="none" w:sz="0" w:space="0" w:color="auto"/>
        <w:right w:val="none" w:sz="0" w:space="0" w:color="auto"/>
      </w:divBdr>
    </w:div>
    <w:div w:id="1128350765">
      <w:bodyDiv w:val="1"/>
      <w:marLeft w:val="0"/>
      <w:marRight w:val="0"/>
      <w:marTop w:val="0"/>
      <w:marBottom w:val="0"/>
      <w:divBdr>
        <w:top w:val="none" w:sz="0" w:space="0" w:color="auto"/>
        <w:left w:val="none" w:sz="0" w:space="0" w:color="auto"/>
        <w:bottom w:val="none" w:sz="0" w:space="0" w:color="auto"/>
        <w:right w:val="none" w:sz="0" w:space="0" w:color="auto"/>
      </w:divBdr>
    </w:div>
    <w:div w:id="1155335118">
      <w:bodyDiv w:val="1"/>
      <w:marLeft w:val="0"/>
      <w:marRight w:val="0"/>
      <w:marTop w:val="0"/>
      <w:marBottom w:val="0"/>
      <w:divBdr>
        <w:top w:val="none" w:sz="0" w:space="0" w:color="auto"/>
        <w:left w:val="none" w:sz="0" w:space="0" w:color="auto"/>
        <w:bottom w:val="none" w:sz="0" w:space="0" w:color="auto"/>
        <w:right w:val="none" w:sz="0" w:space="0" w:color="auto"/>
      </w:divBdr>
    </w:div>
    <w:div w:id="1211847749">
      <w:bodyDiv w:val="1"/>
      <w:marLeft w:val="0"/>
      <w:marRight w:val="0"/>
      <w:marTop w:val="0"/>
      <w:marBottom w:val="0"/>
      <w:divBdr>
        <w:top w:val="none" w:sz="0" w:space="0" w:color="auto"/>
        <w:left w:val="none" w:sz="0" w:space="0" w:color="auto"/>
        <w:bottom w:val="none" w:sz="0" w:space="0" w:color="auto"/>
        <w:right w:val="none" w:sz="0" w:space="0" w:color="auto"/>
      </w:divBdr>
    </w:div>
    <w:div w:id="1237520820">
      <w:bodyDiv w:val="1"/>
      <w:marLeft w:val="0"/>
      <w:marRight w:val="0"/>
      <w:marTop w:val="0"/>
      <w:marBottom w:val="0"/>
      <w:divBdr>
        <w:top w:val="none" w:sz="0" w:space="0" w:color="auto"/>
        <w:left w:val="none" w:sz="0" w:space="0" w:color="auto"/>
        <w:bottom w:val="none" w:sz="0" w:space="0" w:color="auto"/>
        <w:right w:val="none" w:sz="0" w:space="0" w:color="auto"/>
      </w:divBdr>
    </w:div>
    <w:div w:id="1239703918">
      <w:bodyDiv w:val="1"/>
      <w:marLeft w:val="0"/>
      <w:marRight w:val="0"/>
      <w:marTop w:val="0"/>
      <w:marBottom w:val="0"/>
      <w:divBdr>
        <w:top w:val="none" w:sz="0" w:space="0" w:color="auto"/>
        <w:left w:val="none" w:sz="0" w:space="0" w:color="auto"/>
        <w:bottom w:val="none" w:sz="0" w:space="0" w:color="auto"/>
        <w:right w:val="none" w:sz="0" w:space="0" w:color="auto"/>
      </w:divBdr>
    </w:div>
    <w:div w:id="1264649458">
      <w:bodyDiv w:val="1"/>
      <w:marLeft w:val="0"/>
      <w:marRight w:val="0"/>
      <w:marTop w:val="0"/>
      <w:marBottom w:val="0"/>
      <w:divBdr>
        <w:top w:val="none" w:sz="0" w:space="0" w:color="auto"/>
        <w:left w:val="none" w:sz="0" w:space="0" w:color="auto"/>
        <w:bottom w:val="none" w:sz="0" w:space="0" w:color="auto"/>
        <w:right w:val="none" w:sz="0" w:space="0" w:color="auto"/>
      </w:divBdr>
    </w:div>
    <w:div w:id="1279871744">
      <w:bodyDiv w:val="1"/>
      <w:marLeft w:val="0"/>
      <w:marRight w:val="0"/>
      <w:marTop w:val="0"/>
      <w:marBottom w:val="0"/>
      <w:divBdr>
        <w:top w:val="none" w:sz="0" w:space="0" w:color="auto"/>
        <w:left w:val="none" w:sz="0" w:space="0" w:color="auto"/>
        <w:bottom w:val="none" w:sz="0" w:space="0" w:color="auto"/>
        <w:right w:val="none" w:sz="0" w:space="0" w:color="auto"/>
      </w:divBdr>
    </w:div>
    <w:div w:id="1279874474">
      <w:bodyDiv w:val="1"/>
      <w:marLeft w:val="0"/>
      <w:marRight w:val="0"/>
      <w:marTop w:val="0"/>
      <w:marBottom w:val="0"/>
      <w:divBdr>
        <w:top w:val="none" w:sz="0" w:space="0" w:color="auto"/>
        <w:left w:val="none" w:sz="0" w:space="0" w:color="auto"/>
        <w:bottom w:val="none" w:sz="0" w:space="0" w:color="auto"/>
        <w:right w:val="none" w:sz="0" w:space="0" w:color="auto"/>
      </w:divBdr>
    </w:div>
    <w:div w:id="1300694183">
      <w:bodyDiv w:val="1"/>
      <w:marLeft w:val="0"/>
      <w:marRight w:val="0"/>
      <w:marTop w:val="0"/>
      <w:marBottom w:val="0"/>
      <w:divBdr>
        <w:top w:val="none" w:sz="0" w:space="0" w:color="auto"/>
        <w:left w:val="none" w:sz="0" w:space="0" w:color="auto"/>
        <w:bottom w:val="none" w:sz="0" w:space="0" w:color="auto"/>
        <w:right w:val="none" w:sz="0" w:space="0" w:color="auto"/>
      </w:divBdr>
    </w:div>
    <w:div w:id="1331372787">
      <w:bodyDiv w:val="1"/>
      <w:marLeft w:val="0"/>
      <w:marRight w:val="0"/>
      <w:marTop w:val="0"/>
      <w:marBottom w:val="0"/>
      <w:divBdr>
        <w:top w:val="none" w:sz="0" w:space="0" w:color="auto"/>
        <w:left w:val="none" w:sz="0" w:space="0" w:color="auto"/>
        <w:bottom w:val="none" w:sz="0" w:space="0" w:color="auto"/>
        <w:right w:val="none" w:sz="0" w:space="0" w:color="auto"/>
      </w:divBdr>
    </w:div>
    <w:div w:id="1359896276">
      <w:bodyDiv w:val="1"/>
      <w:marLeft w:val="0"/>
      <w:marRight w:val="0"/>
      <w:marTop w:val="0"/>
      <w:marBottom w:val="0"/>
      <w:divBdr>
        <w:top w:val="none" w:sz="0" w:space="0" w:color="auto"/>
        <w:left w:val="none" w:sz="0" w:space="0" w:color="auto"/>
        <w:bottom w:val="none" w:sz="0" w:space="0" w:color="auto"/>
        <w:right w:val="none" w:sz="0" w:space="0" w:color="auto"/>
      </w:divBdr>
    </w:div>
    <w:div w:id="1365252474">
      <w:bodyDiv w:val="1"/>
      <w:marLeft w:val="0"/>
      <w:marRight w:val="0"/>
      <w:marTop w:val="0"/>
      <w:marBottom w:val="0"/>
      <w:divBdr>
        <w:top w:val="none" w:sz="0" w:space="0" w:color="auto"/>
        <w:left w:val="none" w:sz="0" w:space="0" w:color="auto"/>
        <w:bottom w:val="none" w:sz="0" w:space="0" w:color="auto"/>
        <w:right w:val="none" w:sz="0" w:space="0" w:color="auto"/>
      </w:divBdr>
    </w:div>
    <w:div w:id="1389767788">
      <w:bodyDiv w:val="1"/>
      <w:marLeft w:val="0"/>
      <w:marRight w:val="0"/>
      <w:marTop w:val="0"/>
      <w:marBottom w:val="0"/>
      <w:divBdr>
        <w:top w:val="none" w:sz="0" w:space="0" w:color="auto"/>
        <w:left w:val="none" w:sz="0" w:space="0" w:color="auto"/>
        <w:bottom w:val="none" w:sz="0" w:space="0" w:color="auto"/>
        <w:right w:val="none" w:sz="0" w:space="0" w:color="auto"/>
      </w:divBdr>
    </w:div>
    <w:div w:id="1410424653">
      <w:bodyDiv w:val="1"/>
      <w:marLeft w:val="0"/>
      <w:marRight w:val="0"/>
      <w:marTop w:val="0"/>
      <w:marBottom w:val="0"/>
      <w:divBdr>
        <w:top w:val="none" w:sz="0" w:space="0" w:color="auto"/>
        <w:left w:val="none" w:sz="0" w:space="0" w:color="auto"/>
        <w:bottom w:val="none" w:sz="0" w:space="0" w:color="auto"/>
        <w:right w:val="none" w:sz="0" w:space="0" w:color="auto"/>
      </w:divBdr>
    </w:div>
    <w:div w:id="1415973298">
      <w:bodyDiv w:val="1"/>
      <w:marLeft w:val="0"/>
      <w:marRight w:val="0"/>
      <w:marTop w:val="0"/>
      <w:marBottom w:val="0"/>
      <w:divBdr>
        <w:top w:val="none" w:sz="0" w:space="0" w:color="auto"/>
        <w:left w:val="none" w:sz="0" w:space="0" w:color="auto"/>
        <w:bottom w:val="none" w:sz="0" w:space="0" w:color="auto"/>
        <w:right w:val="none" w:sz="0" w:space="0" w:color="auto"/>
      </w:divBdr>
    </w:div>
    <w:div w:id="1460491238">
      <w:bodyDiv w:val="1"/>
      <w:marLeft w:val="0"/>
      <w:marRight w:val="0"/>
      <w:marTop w:val="0"/>
      <w:marBottom w:val="0"/>
      <w:divBdr>
        <w:top w:val="none" w:sz="0" w:space="0" w:color="auto"/>
        <w:left w:val="none" w:sz="0" w:space="0" w:color="auto"/>
        <w:bottom w:val="none" w:sz="0" w:space="0" w:color="auto"/>
        <w:right w:val="none" w:sz="0" w:space="0" w:color="auto"/>
      </w:divBdr>
    </w:div>
    <w:div w:id="1473594873">
      <w:bodyDiv w:val="1"/>
      <w:marLeft w:val="0"/>
      <w:marRight w:val="0"/>
      <w:marTop w:val="0"/>
      <w:marBottom w:val="0"/>
      <w:divBdr>
        <w:top w:val="none" w:sz="0" w:space="0" w:color="auto"/>
        <w:left w:val="none" w:sz="0" w:space="0" w:color="auto"/>
        <w:bottom w:val="none" w:sz="0" w:space="0" w:color="auto"/>
        <w:right w:val="none" w:sz="0" w:space="0" w:color="auto"/>
      </w:divBdr>
    </w:div>
    <w:div w:id="1541239322">
      <w:bodyDiv w:val="1"/>
      <w:marLeft w:val="0"/>
      <w:marRight w:val="0"/>
      <w:marTop w:val="0"/>
      <w:marBottom w:val="0"/>
      <w:divBdr>
        <w:top w:val="none" w:sz="0" w:space="0" w:color="auto"/>
        <w:left w:val="none" w:sz="0" w:space="0" w:color="auto"/>
        <w:bottom w:val="none" w:sz="0" w:space="0" w:color="auto"/>
        <w:right w:val="none" w:sz="0" w:space="0" w:color="auto"/>
      </w:divBdr>
    </w:div>
    <w:div w:id="1570654769">
      <w:bodyDiv w:val="1"/>
      <w:marLeft w:val="0"/>
      <w:marRight w:val="0"/>
      <w:marTop w:val="0"/>
      <w:marBottom w:val="0"/>
      <w:divBdr>
        <w:top w:val="none" w:sz="0" w:space="0" w:color="auto"/>
        <w:left w:val="none" w:sz="0" w:space="0" w:color="auto"/>
        <w:bottom w:val="none" w:sz="0" w:space="0" w:color="auto"/>
        <w:right w:val="none" w:sz="0" w:space="0" w:color="auto"/>
      </w:divBdr>
    </w:div>
    <w:div w:id="1578860077">
      <w:bodyDiv w:val="1"/>
      <w:marLeft w:val="0"/>
      <w:marRight w:val="0"/>
      <w:marTop w:val="0"/>
      <w:marBottom w:val="0"/>
      <w:divBdr>
        <w:top w:val="none" w:sz="0" w:space="0" w:color="auto"/>
        <w:left w:val="none" w:sz="0" w:space="0" w:color="auto"/>
        <w:bottom w:val="none" w:sz="0" w:space="0" w:color="auto"/>
        <w:right w:val="none" w:sz="0" w:space="0" w:color="auto"/>
      </w:divBdr>
    </w:div>
    <w:div w:id="1606424942">
      <w:bodyDiv w:val="1"/>
      <w:marLeft w:val="0"/>
      <w:marRight w:val="0"/>
      <w:marTop w:val="0"/>
      <w:marBottom w:val="0"/>
      <w:divBdr>
        <w:top w:val="none" w:sz="0" w:space="0" w:color="auto"/>
        <w:left w:val="none" w:sz="0" w:space="0" w:color="auto"/>
        <w:bottom w:val="none" w:sz="0" w:space="0" w:color="auto"/>
        <w:right w:val="none" w:sz="0" w:space="0" w:color="auto"/>
      </w:divBdr>
    </w:div>
    <w:div w:id="1637251456">
      <w:bodyDiv w:val="1"/>
      <w:marLeft w:val="0"/>
      <w:marRight w:val="0"/>
      <w:marTop w:val="0"/>
      <w:marBottom w:val="0"/>
      <w:divBdr>
        <w:top w:val="none" w:sz="0" w:space="0" w:color="auto"/>
        <w:left w:val="none" w:sz="0" w:space="0" w:color="auto"/>
        <w:bottom w:val="none" w:sz="0" w:space="0" w:color="auto"/>
        <w:right w:val="none" w:sz="0" w:space="0" w:color="auto"/>
      </w:divBdr>
    </w:div>
    <w:div w:id="1664233081">
      <w:bodyDiv w:val="1"/>
      <w:marLeft w:val="0"/>
      <w:marRight w:val="0"/>
      <w:marTop w:val="0"/>
      <w:marBottom w:val="0"/>
      <w:divBdr>
        <w:top w:val="none" w:sz="0" w:space="0" w:color="auto"/>
        <w:left w:val="none" w:sz="0" w:space="0" w:color="auto"/>
        <w:bottom w:val="none" w:sz="0" w:space="0" w:color="auto"/>
        <w:right w:val="none" w:sz="0" w:space="0" w:color="auto"/>
      </w:divBdr>
    </w:div>
    <w:div w:id="1667325283">
      <w:bodyDiv w:val="1"/>
      <w:marLeft w:val="0"/>
      <w:marRight w:val="0"/>
      <w:marTop w:val="0"/>
      <w:marBottom w:val="0"/>
      <w:divBdr>
        <w:top w:val="none" w:sz="0" w:space="0" w:color="auto"/>
        <w:left w:val="none" w:sz="0" w:space="0" w:color="auto"/>
        <w:bottom w:val="none" w:sz="0" w:space="0" w:color="auto"/>
        <w:right w:val="none" w:sz="0" w:space="0" w:color="auto"/>
      </w:divBdr>
    </w:div>
    <w:div w:id="1739478858">
      <w:bodyDiv w:val="1"/>
      <w:marLeft w:val="0"/>
      <w:marRight w:val="0"/>
      <w:marTop w:val="0"/>
      <w:marBottom w:val="0"/>
      <w:divBdr>
        <w:top w:val="none" w:sz="0" w:space="0" w:color="auto"/>
        <w:left w:val="none" w:sz="0" w:space="0" w:color="auto"/>
        <w:bottom w:val="none" w:sz="0" w:space="0" w:color="auto"/>
        <w:right w:val="none" w:sz="0" w:space="0" w:color="auto"/>
      </w:divBdr>
    </w:div>
    <w:div w:id="1770928723">
      <w:bodyDiv w:val="1"/>
      <w:marLeft w:val="0"/>
      <w:marRight w:val="0"/>
      <w:marTop w:val="0"/>
      <w:marBottom w:val="0"/>
      <w:divBdr>
        <w:top w:val="none" w:sz="0" w:space="0" w:color="auto"/>
        <w:left w:val="none" w:sz="0" w:space="0" w:color="auto"/>
        <w:bottom w:val="none" w:sz="0" w:space="0" w:color="auto"/>
        <w:right w:val="none" w:sz="0" w:space="0" w:color="auto"/>
      </w:divBdr>
    </w:div>
    <w:div w:id="1872761510">
      <w:bodyDiv w:val="1"/>
      <w:marLeft w:val="0"/>
      <w:marRight w:val="0"/>
      <w:marTop w:val="0"/>
      <w:marBottom w:val="0"/>
      <w:divBdr>
        <w:top w:val="none" w:sz="0" w:space="0" w:color="auto"/>
        <w:left w:val="none" w:sz="0" w:space="0" w:color="auto"/>
        <w:bottom w:val="none" w:sz="0" w:space="0" w:color="auto"/>
        <w:right w:val="none" w:sz="0" w:space="0" w:color="auto"/>
      </w:divBdr>
    </w:div>
    <w:div w:id="1875583169">
      <w:bodyDiv w:val="1"/>
      <w:marLeft w:val="0"/>
      <w:marRight w:val="0"/>
      <w:marTop w:val="0"/>
      <w:marBottom w:val="0"/>
      <w:divBdr>
        <w:top w:val="none" w:sz="0" w:space="0" w:color="auto"/>
        <w:left w:val="none" w:sz="0" w:space="0" w:color="auto"/>
        <w:bottom w:val="none" w:sz="0" w:space="0" w:color="auto"/>
        <w:right w:val="none" w:sz="0" w:space="0" w:color="auto"/>
      </w:divBdr>
    </w:div>
    <w:div w:id="1879855046">
      <w:bodyDiv w:val="1"/>
      <w:marLeft w:val="0"/>
      <w:marRight w:val="0"/>
      <w:marTop w:val="0"/>
      <w:marBottom w:val="0"/>
      <w:divBdr>
        <w:top w:val="none" w:sz="0" w:space="0" w:color="auto"/>
        <w:left w:val="none" w:sz="0" w:space="0" w:color="auto"/>
        <w:bottom w:val="none" w:sz="0" w:space="0" w:color="auto"/>
        <w:right w:val="none" w:sz="0" w:space="0" w:color="auto"/>
      </w:divBdr>
    </w:div>
    <w:div w:id="1913730224">
      <w:bodyDiv w:val="1"/>
      <w:marLeft w:val="0"/>
      <w:marRight w:val="0"/>
      <w:marTop w:val="0"/>
      <w:marBottom w:val="0"/>
      <w:divBdr>
        <w:top w:val="none" w:sz="0" w:space="0" w:color="auto"/>
        <w:left w:val="none" w:sz="0" w:space="0" w:color="auto"/>
        <w:bottom w:val="none" w:sz="0" w:space="0" w:color="auto"/>
        <w:right w:val="none" w:sz="0" w:space="0" w:color="auto"/>
      </w:divBdr>
    </w:div>
    <w:div w:id="1934782652">
      <w:bodyDiv w:val="1"/>
      <w:marLeft w:val="0"/>
      <w:marRight w:val="0"/>
      <w:marTop w:val="0"/>
      <w:marBottom w:val="0"/>
      <w:divBdr>
        <w:top w:val="none" w:sz="0" w:space="0" w:color="auto"/>
        <w:left w:val="none" w:sz="0" w:space="0" w:color="auto"/>
        <w:bottom w:val="none" w:sz="0" w:space="0" w:color="auto"/>
        <w:right w:val="none" w:sz="0" w:space="0" w:color="auto"/>
      </w:divBdr>
    </w:div>
    <w:div w:id="1984233475">
      <w:bodyDiv w:val="1"/>
      <w:marLeft w:val="0"/>
      <w:marRight w:val="0"/>
      <w:marTop w:val="0"/>
      <w:marBottom w:val="0"/>
      <w:divBdr>
        <w:top w:val="none" w:sz="0" w:space="0" w:color="auto"/>
        <w:left w:val="none" w:sz="0" w:space="0" w:color="auto"/>
        <w:bottom w:val="none" w:sz="0" w:space="0" w:color="auto"/>
        <w:right w:val="none" w:sz="0" w:space="0" w:color="auto"/>
      </w:divBdr>
    </w:div>
    <w:div w:id="1985155281">
      <w:bodyDiv w:val="1"/>
      <w:marLeft w:val="0"/>
      <w:marRight w:val="0"/>
      <w:marTop w:val="0"/>
      <w:marBottom w:val="0"/>
      <w:divBdr>
        <w:top w:val="none" w:sz="0" w:space="0" w:color="auto"/>
        <w:left w:val="none" w:sz="0" w:space="0" w:color="auto"/>
        <w:bottom w:val="none" w:sz="0" w:space="0" w:color="auto"/>
        <w:right w:val="none" w:sz="0" w:space="0" w:color="auto"/>
      </w:divBdr>
    </w:div>
    <w:div w:id="2022392880">
      <w:bodyDiv w:val="1"/>
      <w:marLeft w:val="0"/>
      <w:marRight w:val="0"/>
      <w:marTop w:val="0"/>
      <w:marBottom w:val="0"/>
      <w:divBdr>
        <w:top w:val="none" w:sz="0" w:space="0" w:color="auto"/>
        <w:left w:val="none" w:sz="0" w:space="0" w:color="auto"/>
        <w:bottom w:val="none" w:sz="0" w:space="0" w:color="auto"/>
        <w:right w:val="none" w:sz="0" w:space="0" w:color="auto"/>
      </w:divBdr>
    </w:div>
    <w:div w:id="2055497726">
      <w:bodyDiv w:val="1"/>
      <w:marLeft w:val="0"/>
      <w:marRight w:val="0"/>
      <w:marTop w:val="0"/>
      <w:marBottom w:val="0"/>
      <w:divBdr>
        <w:top w:val="none" w:sz="0" w:space="0" w:color="auto"/>
        <w:left w:val="none" w:sz="0" w:space="0" w:color="auto"/>
        <w:bottom w:val="none" w:sz="0" w:space="0" w:color="auto"/>
        <w:right w:val="none" w:sz="0" w:space="0" w:color="auto"/>
      </w:divBdr>
    </w:div>
    <w:div w:id="2059626285">
      <w:bodyDiv w:val="1"/>
      <w:marLeft w:val="0"/>
      <w:marRight w:val="0"/>
      <w:marTop w:val="0"/>
      <w:marBottom w:val="0"/>
      <w:divBdr>
        <w:top w:val="none" w:sz="0" w:space="0" w:color="auto"/>
        <w:left w:val="none" w:sz="0" w:space="0" w:color="auto"/>
        <w:bottom w:val="none" w:sz="0" w:space="0" w:color="auto"/>
        <w:right w:val="none" w:sz="0" w:space="0" w:color="auto"/>
      </w:divBdr>
    </w:div>
    <w:div w:id="2072845201">
      <w:bodyDiv w:val="1"/>
      <w:marLeft w:val="0"/>
      <w:marRight w:val="0"/>
      <w:marTop w:val="0"/>
      <w:marBottom w:val="0"/>
      <w:divBdr>
        <w:top w:val="none" w:sz="0" w:space="0" w:color="auto"/>
        <w:left w:val="none" w:sz="0" w:space="0" w:color="auto"/>
        <w:bottom w:val="none" w:sz="0" w:space="0" w:color="auto"/>
        <w:right w:val="none" w:sz="0" w:space="0" w:color="auto"/>
      </w:divBdr>
    </w:div>
    <w:div w:id="2079396065">
      <w:bodyDiv w:val="1"/>
      <w:marLeft w:val="0"/>
      <w:marRight w:val="0"/>
      <w:marTop w:val="0"/>
      <w:marBottom w:val="0"/>
      <w:divBdr>
        <w:top w:val="none" w:sz="0" w:space="0" w:color="auto"/>
        <w:left w:val="none" w:sz="0" w:space="0" w:color="auto"/>
        <w:bottom w:val="none" w:sz="0" w:space="0" w:color="auto"/>
        <w:right w:val="none" w:sz="0" w:space="0" w:color="auto"/>
      </w:divBdr>
    </w:div>
    <w:div w:id="2079479366">
      <w:bodyDiv w:val="1"/>
      <w:marLeft w:val="0"/>
      <w:marRight w:val="0"/>
      <w:marTop w:val="0"/>
      <w:marBottom w:val="0"/>
      <w:divBdr>
        <w:top w:val="none" w:sz="0" w:space="0" w:color="auto"/>
        <w:left w:val="none" w:sz="0" w:space="0" w:color="auto"/>
        <w:bottom w:val="none" w:sz="0" w:space="0" w:color="auto"/>
        <w:right w:val="none" w:sz="0" w:space="0" w:color="auto"/>
      </w:divBdr>
    </w:div>
    <w:div w:id="2084796754">
      <w:bodyDiv w:val="1"/>
      <w:marLeft w:val="0"/>
      <w:marRight w:val="0"/>
      <w:marTop w:val="0"/>
      <w:marBottom w:val="0"/>
      <w:divBdr>
        <w:top w:val="none" w:sz="0" w:space="0" w:color="auto"/>
        <w:left w:val="none" w:sz="0" w:space="0" w:color="auto"/>
        <w:bottom w:val="none" w:sz="0" w:space="0" w:color="auto"/>
        <w:right w:val="none" w:sz="0" w:space="0" w:color="auto"/>
      </w:divBdr>
    </w:div>
    <w:div w:id="2114978138">
      <w:bodyDiv w:val="1"/>
      <w:marLeft w:val="0"/>
      <w:marRight w:val="0"/>
      <w:marTop w:val="0"/>
      <w:marBottom w:val="0"/>
      <w:divBdr>
        <w:top w:val="none" w:sz="0" w:space="0" w:color="auto"/>
        <w:left w:val="none" w:sz="0" w:space="0" w:color="auto"/>
        <w:bottom w:val="none" w:sz="0" w:space="0" w:color="auto"/>
        <w:right w:val="none" w:sz="0" w:space="0" w:color="auto"/>
      </w:divBdr>
    </w:div>
    <w:div w:id="21459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ThmClr_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134BA8C98C9743B181C0CAAB5CBE43" ma:contentTypeVersion="131" ma:contentTypeDescription="" ma:contentTypeScope="" ma:versionID="3896f3e662a1c4b636a9e870f1cc91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2010-04-26T07:00:00+00:00</OpenedDate>
    <Date1 xmlns="dc463f71-b30c-4ab2-9473-d307f9d35888">2016-02-25T08:00:00+00:00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100677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FD695AA-220A-4BCC-91C7-9ED8613701E7}"/>
</file>

<file path=customXml/itemProps2.xml><?xml version="1.0" encoding="utf-8"?>
<ds:datastoreItem xmlns:ds="http://schemas.openxmlformats.org/officeDocument/2006/customXml" ds:itemID="{5FEDC5E9-8C3E-4F0B-9FD4-8B4FF08003FF}"/>
</file>

<file path=customXml/itemProps3.xml><?xml version="1.0" encoding="utf-8"?>
<ds:datastoreItem xmlns:ds="http://schemas.openxmlformats.org/officeDocument/2006/customXml" ds:itemID="{7E77CE2D-A2DD-4179-847D-043A911A36A4}"/>
</file>

<file path=customXml/itemProps4.xml><?xml version="1.0" encoding="utf-8"?>
<ds:datastoreItem xmlns:ds="http://schemas.openxmlformats.org/officeDocument/2006/customXml" ds:itemID="{AA36D721-40E2-4BF5-88F0-70E646A365F4}"/>
</file>

<file path=customXml/itemProps5.xml><?xml version="1.0" encoding="utf-8"?>
<ds:datastoreItem xmlns:ds="http://schemas.openxmlformats.org/officeDocument/2006/customXml" ds:itemID="{44E8E497-6B24-4E56-9D7B-C39B310ADE08}"/>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3955</Characters>
  <Application>Microsoft Office Word</Application>
  <DocSecurity>0</DocSecurity>
  <Lines>988</Lines>
  <Paragraphs>514</Paragraphs>
  <ScaleCrop>false</ScaleCrop>
  <HeadingPairs>
    <vt:vector size="2" baseType="variant">
      <vt:variant>
        <vt:lpstr>Title</vt:lpstr>
      </vt:variant>
      <vt:variant>
        <vt:i4>1</vt:i4>
      </vt:variant>
    </vt:vector>
  </HeadingPairs>
  <TitlesOfParts>
    <vt:vector size="1" baseType="lpstr">
      <vt:lpstr>PUC 2008 Annual Report</vt:lpstr>
    </vt:vector>
  </TitlesOfParts>
  <Company>NW Natural</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PUC 2008 Annual Report</dc:title>
  <dc:creator>BH</dc:creator>
  <cp:lastModifiedBy>Harney, Brian</cp:lastModifiedBy>
  <cp:revision>3</cp:revision>
  <cp:lastPrinted>2016-02-24T17:51:00Z</cp:lastPrinted>
  <dcterms:created xsi:type="dcterms:W3CDTF">2016-02-24T17:56:00Z</dcterms:created>
  <dcterms:modified xsi:type="dcterms:W3CDTF">2016-02-24T19:17:00Z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WorkflowChangePath">
    <vt:lpwstr>c8ce7b43-2b6f-42ff-8679-3a46b3ffba76,4;</vt:lpwstr>
  </property>
  <property fmtid="{D5CDD505-2E9C-101B-9397-08002B2CF9AE}" pid="4" name="ContentTypeId">
    <vt:lpwstr>0x0101006E56B4D1795A2E4DB2F0B01679ED314A00A5134BA8C98C9743B181C0CAAB5CBE43</vt:lpwstr>
  </property>
  <property fmtid="{D5CDD505-2E9C-101B-9397-08002B2CF9AE}" pid="5" name="_dlc_DocIdItemGuid">
    <vt:lpwstr>a99b2d59-d600-4f76-8f50-77cacc9bdc84</vt:lpwstr>
  </property>
  <property fmtid="{D5CDD505-2E9C-101B-9397-08002B2CF9AE}" pid="6" name="_docset_NoMedatataSyncRequired">
    <vt:lpwstr>False</vt:lpwstr>
  </property>
</Properties>
</file>