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6A7" w:rsidRPr="0042096A" w:rsidRDefault="008956A7" w:rsidP="008956A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rPr>
      </w:pPr>
      <w:r w:rsidRPr="0042096A">
        <w:rPr>
          <w:sz w:val="24"/>
        </w:rPr>
        <w:t>Agenda Date:</w:t>
      </w:r>
      <w:r w:rsidRPr="0042096A">
        <w:rPr>
          <w:sz w:val="24"/>
        </w:rPr>
        <w:tab/>
      </w:r>
      <w:r w:rsidRPr="0042096A">
        <w:rPr>
          <w:sz w:val="24"/>
        </w:rPr>
        <w:tab/>
      </w:r>
      <w:r w:rsidR="004A7C55">
        <w:rPr>
          <w:sz w:val="24"/>
        </w:rPr>
        <w:t xml:space="preserve">November </w:t>
      </w:r>
      <w:r w:rsidR="00242958">
        <w:rPr>
          <w:sz w:val="24"/>
        </w:rPr>
        <w:t>2</w:t>
      </w:r>
      <w:r w:rsidR="004A7C55">
        <w:rPr>
          <w:sz w:val="24"/>
        </w:rPr>
        <w:t>5</w:t>
      </w:r>
      <w:r w:rsidR="0029443A">
        <w:rPr>
          <w:sz w:val="24"/>
        </w:rPr>
        <w:t>, 200</w:t>
      </w:r>
      <w:r w:rsidR="003568A1">
        <w:rPr>
          <w:sz w:val="24"/>
        </w:rPr>
        <w:t>9</w:t>
      </w:r>
      <w:r>
        <w:rPr>
          <w:sz w:val="24"/>
        </w:rPr>
        <w:tab/>
      </w:r>
    </w:p>
    <w:p w:rsidR="008956A7" w:rsidRPr="0042096A"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u w:val="single"/>
        </w:rPr>
      </w:pPr>
      <w:r>
        <w:rPr>
          <w:sz w:val="24"/>
        </w:rPr>
        <w:t>Item Number:</w:t>
      </w:r>
      <w:r w:rsidR="00DE705D">
        <w:rPr>
          <w:sz w:val="24"/>
        </w:rPr>
        <w:tab/>
      </w:r>
      <w:r>
        <w:rPr>
          <w:sz w:val="24"/>
        </w:rPr>
        <w:tab/>
      </w:r>
      <w:r w:rsidR="00242972">
        <w:rPr>
          <w:sz w:val="24"/>
        </w:rPr>
        <w:t>B</w:t>
      </w:r>
      <w:r w:rsidR="00946B50">
        <w:rPr>
          <w:sz w:val="24"/>
        </w:rPr>
        <w:t>2</w:t>
      </w:r>
    </w:p>
    <w:p w:rsidR="008956A7" w:rsidRPr="0042096A"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right"/>
        <w:rPr>
          <w:sz w:val="24"/>
        </w:rPr>
      </w:pPr>
    </w:p>
    <w:p w:rsidR="008956A7" w:rsidRPr="0042096A"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rPr>
      </w:pPr>
      <w:r w:rsidRPr="0042096A">
        <w:rPr>
          <w:b/>
          <w:bCs/>
          <w:sz w:val="24"/>
        </w:rPr>
        <w:t xml:space="preserve">Docket: </w:t>
      </w:r>
      <w:r w:rsidRPr="0042096A">
        <w:rPr>
          <w:b/>
          <w:bCs/>
          <w:sz w:val="24"/>
        </w:rPr>
        <w:tab/>
      </w:r>
      <w:r w:rsidRPr="0042096A">
        <w:rPr>
          <w:b/>
          <w:bCs/>
          <w:sz w:val="24"/>
        </w:rPr>
        <w:tab/>
      </w:r>
      <w:r w:rsidR="00697E4B">
        <w:rPr>
          <w:b/>
          <w:bCs/>
          <w:sz w:val="24"/>
        </w:rPr>
        <w:t>TG</w:t>
      </w:r>
      <w:r w:rsidRPr="0042096A">
        <w:rPr>
          <w:b/>
          <w:bCs/>
          <w:sz w:val="24"/>
        </w:rPr>
        <w:t>-</w:t>
      </w:r>
      <w:r w:rsidR="00697E4B">
        <w:rPr>
          <w:b/>
          <w:bCs/>
          <w:sz w:val="24"/>
        </w:rPr>
        <w:t>0</w:t>
      </w:r>
      <w:r w:rsidR="00242958">
        <w:rPr>
          <w:b/>
          <w:bCs/>
          <w:sz w:val="24"/>
        </w:rPr>
        <w:t>91</w:t>
      </w:r>
      <w:r w:rsidR="004A7C55">
        <w:rPr>
          <w:b/>
          <w:bCs/>
          <w:sz w:val="24"/>
        </w:rPr>
        <w:t>673</w:t>
      </w:r>
    </w:p>
    <w:p w:rsidR="00A470C8" w:rsidRDefault="008956A7" w:rsidP="00B23B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rPr>
      </w:pPr>
      <w:r w:rsidRPr="0042096A">
        <w:rPr>
          <w:sz w:val="24"/>
        </w:rPr>
        <w:t>Company Name:</w:t>
      </w:r>
      <w:r w:rsidRPr="0042096A">
        <w:rPr>
          <w:sz w:val="24"/>
        </w:rPr>
        <w:tab/>
      </w:r>
      <w:r w:rsidR="004A7C55">
        <w:rPr>
          <w:sz w:val="24"/>
        </w:rPr>
        <w:t>Couse’s Sanitation and Recycle</w:t>
      </w:r>
      <w:r w:rsidR="00E63073">
        <w:rPr>
          <w:sz w:val="24"/>
        </w:rPr>
        <w:t>,</w:t>
      </w:r>
      <w:r w:rsidR="004A7C55">
        <w:rPr>
          <w:sz w:val="24"/>
        </w:rPr>
        <w:t xml:space="preserve"> Inc., </w:t>
      </w:r>
      <w:r w:rsidR="00A3544F">
        <w:rPr>
          <w:sz w:val="24"/>
        </w:rPr>
        <w:t>G-</w:t>
      </w:r>
      <w:r w:rsidR="004A7C55">
        <w:rPr>
          <w:sz w:val="24"/>
        </w:rPr>
        <w:t>169</w:t>
      </w:r>
    </w:p>
    <w:p w:rsidR="005A4EF0" w:rsidRDefault="005A4EF0"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242958"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42096A">
        <w:rPr>
          <w:sz w:val="24"/>
          <w:u w:val="single"/>
        </w:rPr>
        <w:t>Staff:</w:t>
      </w:r>
      <w:r>
        <w:rPr>
          <w:sz w:val="24"/>
        </w:rPr>
        <w:tab/>
      </w:r>
      <w:r>
        <w:rPr>
          <w:sz w:val="24"/>
        </w:rPr>
        <w:tab/>
      </w:r>
      <w:r>
        <w:rPr>
          <w:sz w:val="24"/>
        </w:rPr>
        <w:tab/>
      </w:r>
      <w:r w:rsidR="00242958">
        <w:rPr>
          <w:sz w:val="24"/>
        </w:rPr>
        <w:t>Nicki Johnson, Regulatory Analyst</w:t>
      </w:r>
    </w:p>
    <w:p w:rsidR="008956A7" w:rsidRPr="0042096A" w:rsidRDefault="00242958"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ab/>
      </w:r>
      <w:r>
        <w:rPr>
          <w:sz w:val="24"/>
        </w:rPr>
        <w:tab/>
      </w:r>
      <w:r>
        <w:rPr>
          <w:sz w:val="24"/>
        </w:rPr>
        <w:tab/>
      </w:r>
      <w:r w:rsidR="001C64ED">
        <w:rPr>
          <w:sz w:val="24"/>
        </w:rPr>
        <w:t>Nancy Paulson</w:t>
      </w:r>
      <w:r w:rsidR="008956A7">
        <w:rPr>
          <w:sz w:val="24"/>
        </w:rPr>
        <w:t xml:space="preserve">, </w:t>
      </w:r>
      <w:r w:rsidR="00F061F8">
        <w:rPr>
          <w:sz w:val="24"/>
        </w:rPr>
        <w:t xml:space="preserve">Consumer </w:t>
      </w:r>
      <w:r w:rsidR="006B3E31">
        <w:rPr>
          <w:sz w:val="24"/>
        </w:rPr>
        <w:t>Protection Staff</w:t>
      </w:r>
    </w:p>
    <w:p w:rsidR="0045500C" w:rsidRDefault="004550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F720D5" w:rsidRPr="00F720D5" w:rsidRDefault="00F720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sidRPr="00F720D5">
        <w:rPr>
          <w:b/>
          <w:sz w:val="24"/>
          <w:u w:val="single"/>
        </w:rPr>
        <w:t>Recommendation</w:t>
      </w:r>
    </w:p>
    <w:p w:rsidR="00697E4B" w:rsidRDefault="00697E4B" w:rsidP="00697E4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A277CA" w:rsidRDefault="00697E4B" w:rsidP="00697E4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Take no action</w:t>
      </w:r>
      <w:r w:rsidR="00242958">
        <w:rPr>
          <w:sz w:val="24"/>
        </w:rPr>
        <w:t xml:space="preserve">, allowing </w:t>
      </w:r>
      <w:r w:rsidR="00242958" w:rsidRPr="00242958">
        <w:rPr>
          <w:sz w:val="24"/>
        </w:rPr>
        <w:t xml:space="preserve">the </w:t>
      </w:r>
      <w:r w:rsidR="00D36D87">
        <w:rPr>
          <w:sz w:val="24"/>
        </w:rPr>
        <w:t xml:space="preserve">revised </w:t>
      </w:r>
      <w:r w:rsidR="00242958" w:rsidRPr="00242958">
        <w:rPr>
          <w:sz w:val="24"/>
        </w:rPr>
        <w:t xml:space="preserve">rates </w:t>
      </w:r>
      <w:r w:rsidR="004D4280">
        <w:rPr>
          <w:sz w:val="24"/>
        </w:rPr>
        <w:t xml:space="preserve">filed by Couse’s Sanitation and Recycle, Inc., </w:t>
      </w:r>
      <w:r w:rsidR="00242958" w:rsidRPr="00242958">
        <w:rPr>
          <w:sz w:val="24"/>
        </w:rPr>
        <w:t xml:space="preserve">to become effective </w:t>
      </w:r>
      <w:r w:rsidR="004A7C55">
        <w:rPr>
          <w:sz w:val="24"/>
        </w:rPr>
        <w:t>December 7</w:t>
      </w:r>
      <w:r w:rsidR="00242958" w:rsidRPr="00242958">
        <w:rPr>
          <w:sz w:val="24"/>
        </w:rPr>
        <w:t>, 200</w:t>
      </w:r>
      <w:r w:rsidR="00E63073">
        <w:rPr>
          <w:sz w:val="24"/>
        </w:rPr>
        <w:t>9</w:t>
      </w:r>
      <w:r w:rsidR="00242958" w:rsidRPr="00242958">
        <w:rPr>
          <w:sz w:val="24"/>
        </w:rPr>
        <w:t>, by operation of law.</w:t>
      </w:r>
    </w:p>
    <w:p w:rsidR="00A277CA" w:rsidRPr="0042096A" w:rsidRDefault="00A277CA" w:rsidP="0080722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45500C" w:rsidRPr="0042096A" w:rsidRDefault="004550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42096A">
        <w:rPr>
          <w:b/>
          <w:bCs/>
          <w:sz w:val="24"/>
          <w:u w:val="single"/>
        </w:rPr>
        <w:t>Discussion</w:t>
      </w:r>
    </w:p>
    <w:p w:rsidR="0045500C" w:rsidRDefault="004550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622736" w:rsidRDefault="002827B9" w:rsidP="00C20C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34AE0">
        <w:rPr>
          <w:sz w:val="24"/>
        </w:rPr>
        <w:t xml:space="preserve">On </w:t>
      </w:r>
      <w:r w:rsidR="004A7C55">
        <w:rPr>
          <w:sz w:val="24"/>
        </w:rPr>
        <w:t>October 2</w:t>
      </w:r>
      <w:r w:rsidRPr="00B34AE0">
        <w:rPr>
          <w:sz w:val="24"/>
        </w:rPr>
        <w:t>1</w:t>
      </w:r>
      <w:r>
        <w:rPr>
          <w:sz w:val="24"/>
        </w:rPr>
        <w:t xml:space="preserve">, </w:t>
      </w:r>
      <w:r w:rsidR="001F1C87">
        <w:rPr>
          <w:sz w:val="24"/>
        </w:rPr>
        <w:t xml:space="preserve">2009, </w:t>
      </w:r>
      <w:r w:rsidR="004A7C55">
        <w:rPr>
          <w:sz w:val="24"/>
        </w:rPr>
        <w:t>Couse’s Sanitation and Recycle, Inc.,</w:t>
      </w:r>
      <w:r w:rsidR="00E63073">
        <w:rPr>
          <w:sz w:val="24"/>
        </w:rPr>
        <w:t xml:space="preserve"> </w:t>
      </w:r>
      <w:r w:rsidR="00021C05">
        <w:rPr>
          <w:sz w:val="24"/>
        </w:rPr>
        <w:t>(</w:t>
      </w:r>
      <w:r w:rsidR="004A7C55">
        <w:rPr>
          <w:sz w:val="24"/>
        </w:rPr>
        <w:t xml:space="preserve">Couse’s </w:t>
      </w:r>
      <w:r w:rsidR="005A4EF0">
        <w:rPr>
          <w:sz w:val="24"/>
        </w:rPr>
        <w:t xml:space="preserve">or </w:t>
      </w:r>
      <w:r w:rsidRPr="00B34AE0">
        <w:rPr>
          <w:sz w:val="24"/>
        </w:rPr>
        <w:t>compan</w:t>
      </w:r>
      <w:r w:rsidR="005A4EF0">
        <w:rPr>
          <w:sz w:val="24"/>
        </w:rPr>
        <w:t>y</w:t>
      </w:r>
      <w:r w:rsidRPr="00B34AE0">
        <w:rPr>
          <w:sz w:val="24"/>
        </w:rPr>
        <w:t>)</w:t>
      </w:r>
      <w:r w:rsidR="00021C05">
        <w:rPr>
          <w:sz w:val="24"/>
        </w:rPr>
        <w:t>,</w:t>
      </w:r>
      <w:r w:rsidRPr="00B34AE0">
        <w:rPr>
          <w:sz w:val="24"/>
        </w:rPr>
        <w:t xml:space="preserve"> filed with the Utilities and Transportation Commission (</w:t>
      </w:r>
      <w:r>
        <w:rPr>
          <w:sz w:val="24"/>
        </w:rPr>
        <w:t>c</w:t>
      </w:r>
      <w:r w:rsidRPr="00B34AE0">
        <w:rPr>
          <w:sz w:val="24"/>
        </w:rPr>
        <w:t xml:space="preserve">ommission) </w:t>
      </w:r>
      <w:r>
        <w:rPr>
          <w:sz w:val="24"/>
        </w:rPr>
        <w:t xml:space="preserve">tariff revisions that would </w:t>
      </w:r>
      <w:r w:rsidRPr="00B34AE0">
        <w:rPr>
          <w:sz w:val="24"/>
        </w:rPr>
        <w:t>generate $</w:t>
      </w:r>
      <w:r w:rsidR="00E63073">
        <w:rPr>
          <w:sz w:val="24"/>
        </w:rPr>
        <w:t>2</w:t>
      </w:r>
      <w:r w:rsidR="004A7C55">
        <w:rPr>
          <w:sz w:val="24"/>
        </w:rPr>
        <w:t>9</w:t>
      </w:r>
      <w:r w:rsidR="005A2763">
        <w:rPr>
          <w:sz w:val="24"/>
        </w:rPr>
        <w:t>,</w:t>
      </w:r>
      <w:r w:rsidR="004A7C55">
        <w:rPr>
          <w:sz w:val="24"/>
        </w:rPr>
        <w:t>300</w:t>
      </w:r>
      <w:r w:rsidR="00620B46">
        <w:rPr>
          <w:sz w:val="24"/>
        </w:rPr>
        <w:t xml:space="preserve"> </w:t>
      </w:r>
      <w:r>
        <w:rPr>
          <w:sz w:val="24"/>
        </w:rPr>
        <w:t>(</w:t>
      </w:r>
      <w:r w:rsidR="004A7C55">
        <w:rPr>
          <w:sz w:val="24"/>
        </w:rPr>
        <w:t>10</w:t>
      </w:r>
      <w:r>
        <w:rPr>
          <w:sz w:val="24"/>
        </w:rPr>
        <w:t>.</w:t>
      </w:r>
      <w:r w:rsidR="004A7C55">
        <w:rPr>
          <w:sz w:val="24"/>
        </w:rPr>
        <w:t>6</w:t>
      </w:r>
      <w:r w:rsidR="00910747">
        <w:rPr>
          <w:sz w:val="24"/>
        </w:rPr>
        <w:t xml:space="preserve"> </w:t>
      </w:r>
      <w:r w:rsidRPr="00B34AE0">
        <w:rPr>
          <w:sz w:val="24"/>
        </w:rPr>
        <w:t xml:space="preserve">percent) in additional </w:t>
      </w:r>
      <w:r w:rsidR="00CF3ACE">
        <w:rPr>
          <w:sz w:val="24"/>
        </w:rPr>
        <w:t xml:space="preserve">annual </w:t>
      </w:r>
      <w:r w:rsidRPr="00B34AE0">
        <w:rPr>
          <w:sz w:val="24"/>
        </w:rPr>
        <w:t>revenue</w:t>
      </w:r>
      <w:r w:rsidR="00DA290C">
        <w:rPr>
          <w:sz w:val="24"/>
        </w:rPr>
        <w:t>.</w:t>
      </w:r>
    </w:p>
    <w:p w:rsidR="005A4EF0" w:rsidRDefault="005A4EF0" w:rsidP="00C20C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5A4EF0" w:rsidRDefault="005A4EF0" w:rsidP="00C20C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A4EF0">
        <w:rPr>
          <w:sz w:val="24"/>
        </w:rPr>
        <w:t xml:space="preserve">The tariff revisions propose to increase rates for </w:t>
      </w:r>
      <w:r w:rsidR="00674A5E">
        <w:rPr>
          <w:sz w:val="24"/>
        </w:rPr>
        <w:t xml:space="preserve">regulated </w:t>
      </w:r>
      <w:r w:rsidR="004A7C55">
        <w:rPr>
          <w:sz w:val="24"/>
        </w:rPr>
        <w:t>garbage service to the company’s</w:t>
      </w:r>
      <w:r w:rsidR="00C52F3B">
        <w:rPr>
          <w:sz w:val="24"/>
        </w:rPr>
        <w:t xml:space="preserve"> </w:t>
      </w:r>
      <w:r w:rsidR="00F965A4">
        <w:rPr>
          <w:sz w:val="24"/>
        </w:rPr>
        <w:t>45</w:t>
      </w:r>
      <w:r w:rsidR="001C64ED">
        <w:rPr>
          <w:sz w:val="24"/>
        </w:rPr>
        <w:t xml:space="preserve">0 </w:t>
      </w:r>
      <w:r w:rsidRPr="005A4EF0">
        <w:rPr>
          <w:sz w:val="24"/>
        </w:rPr>
        <w:t xml:space="preserve">residential and commercial customers in </w:t>
      </w:r>
      <w:r w:rsidR="004A7C55">
        <w:rPr>
          <w:sz w:val="24"/>
        </w:rPr>
        <w:t xml:space="preserve">Ferry </w:t>
      </w:r>
      <w:r w:rsidRPr="005A4EF0">
        <w:rPr>
          <w:sz w:val="24"/>
        </w:rPr>
        <w:t>County</w:t>
      </w:r>
      <w:r w:rsidR="00E76C81">
        <w:rPr>
          <w:sz w:val="24"/>
        </w:rPr>
        <w:t xml:space="preserve">. </w:t>
      </w:r>
      <w:r w:rsidRPr="005A4EF0">
        <w:rPr>
          <w:sz w:val="24"/>
        </w:rPr>
        <w:t xml:space="preserve">The proposed rate revisions are prompted by increases in </w:t>
      </w:r>
      <w:r w:rsidR="00DA290C">
        <w:rPr>
          <w:sz w:val="24"/>
        </w:rPr>
        <w:t>labor</w:t>
      </w:r>
      <w:r w:rsidRPr="005A4EF0">
        <w:rPr>
          <w:sz w:val="24"/>
        </w:rPr>
        <w:t xml:space="preserve"> and</w:t>
      </w:r>
      <w:r w:rsidR="004A7C55">
        <w:rPr>
          <w:sz w:val="24"/>
        </w:rPr>
        <w:t xml:space="preserve"> disposal fees</w:t>
      </w:r>
      <w:r w:rsidRPr="005A4EF0">
        <w:rPr>
          <w:sz w:val="24"/>
        </w:rPr>
        <w:t xml:space="preserve">. </w:t>
      </w:r>
      <w:r w:rsidR="004C1C3C">
        <w:rPr>
          <w:sz w:val="24"/>
        </w:rPr>
        <w:t xml:space="preserve">Ferry County is increasing disposal fees at the Torboy Transfer Station from $120 </w:t>
      </w:r>
      <w:r w:rsidR="00674A5E">
        <w:rPr>
          <w:sz w:val="24"/>
        </w:rPr>
        <w:t xml:space="preserve">per ton </w:t>
      </w:r>
      <w:r w:rsidR="004C1C3C">
        <w:rPr>
          <w:sz w:val="24"/>
        </w:rPr>
        <w:t xml:space="preserve">to $134 per ton effective December 7, 2009. </w:t>
      </w:r>
      <w:r w:rsidR="004A7C55">
        <w:rPr>
          <w:sz w:val="24"/>
        </w:rPr>
        <w:t>Couse’s</w:t>
      </w:r>
      <w:r w:rsidR="00B64E66">
        <w:rPr>
          <w:sz w:val="24"/>
        </w:rPr>
        <w:t xml:space="preserve"> </w:t>
      </w:r>
      <w:r w:rsidR="00DA290C">
        <w:rPr>
          <w:sz w:val="24"/>
        </w:rPr>
        <w:t xml:space="preserve">last general rate increase became </w:t>
      </w:r>
      <w:r w:rsidRPr="005A4EF0">
        <w:rPr>
          <w:sz w:val="24"/>
        </w:rPr>
        <w:t>effective</w:t>
      </w:r>
      <w:r w:rsidR="00DA290C">
        <w:rPr>
          <w:sz w:val="24"/>
        </w:rPr>
        <w:t xml:space="preserve"> on</w:t>
      </w:r>
      <w:r w:rsidR="005251D2">
        <w:rPr>
          <w:sz w:val="24"/>
        </w:rPr>
        <w:t xml:space="preserve"> </w:t>
      </w:r>
      <w:r w:rsidR="004A7C55">
        <w:rPr>
          <w:sz w:val="24"/>
        </w:rPr>
        <w:t xml:space="preserve">April </w:t>
      </w:r>
      <w:r w:rsidRPr="005A4EF0">
        <w:rPr>
          <w:sz w:val="24"/>
        </w:rPr>
        <w:t>1, 200</w:t>
      </w:r>
      <w:r w:rsidR="004A7C55">
        <w:rPr>
          <w:sz w:val="24"/>
        </w:rPr>
        <w:t>5</w:t>
      </w:r>
      <w:r w:rsidRPr="005A4EF0">
        <w:rPr>
          <w:sz w:val="24"/>
        </w:rPr>
        <w:t>.</w:t>
      </w:r>
    </w:p>
    <w:p w:rsidR="005251D2" w:rsidRDefault="005251D2" w:rsidP="00FE0AD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5251D2" w:rsidRDefault="005251D2" w:rsidP="00FE0AD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5251D2">
        <w:rPr>
          <w:sz w:val="24"/>
        </w:rPr>
        <w:t>After revi</w:t>
      </w:r>
      <w:r w:rsidRPr="00725DC0">
        <w:rPr>
          <w:sz w:val="24"/>
        </w:rPr>
        <w:t>e</w:t>
      </w:r>
      <w:r w:rsidRPr="005251D2">
        <w:rPr>
          <w:sz w:val="24"/>
        </w:rPr>
        <w:t>w and discussions, staff and the company agreed to a revised revenue requirement of $</w:t>
      </w:r>
      <w:r w:rsidR="004339D8">
        <w:rPr>
          <w:sz w:val="24"/>
        </w:rPr>
        <w:t>25,700</w:t>
      </w:r>
      <w:r w:rsidRPr="005251D2">
        <w:rPr>
          <w:sz w:val="24"/>
        </w:rPr>
        <w:t xml:space="preserve"> (</w:t>
      </w:r>
      <w:r w:rsidR="004339D8">
        <w:rPr>
          <w:sz w:val="24"/>
        </w:rPr>
        <w:t>9.3</w:t>
      </w:r>
      <w:r w:rsidRPr="005251D2">
        <w:rPr>
          <w:sz w:val="24"/>
        </w:rPr>
        <w:t xml:space="preserve"> percent) in additional annual revenue</w:t>
      </w:r>
      <w:r w:rsidR="00725DC0">
        <w:rPr>
          <w:sz w:val="24"/>
        </w:rPr>
        <w:t>.</w:t>
      </w:r>
      <w:r w:rsidRPr="005251D2">
        <w:rPr>
          <w:sz w:val="24"/>
        </w:rPr>
        <w:t xml:space="preserve"> On </w:t>
      </w:r>
      <w:r w:rsidR="001C64ED">
        <w:rPr>
          <w:sz w:val="24"/>
        </w:rPr>
        <w:t xml:space="preserve">November </w:t>
      </w:r>
      <w:r w:rsidR="006F55A4">
        <w:rPr>
          <w:sz w:val="24"/>
        </w:rPr>
        <w:t>17</w:t>
      </w:r>
      <w:r w:rsidRPr="00725DC0">
        <w:rPr>
          <w:sz w:val="24"/>
        </w:rPr>
        <w:t>, 2009</w:t>
      </w:r>
      <w:r w:rsidRPr="005251D2">
        <w:rPr>
          <w:sz w:val="24"/>
        </w:rPr>
        <w:t>, the company filed revised rates at staff recommended levels.</w:t>
      </w:r>
    </w:p>
    <w:p w:rsidR="005A4EF0" w:rsidRPr="00F720D5" w:rsidRDefault="005A4EF0" w:rsidP="00FE0AD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2C151B" w:rsidRPr="004076BE" w:rsidRDefault="00E37428" w:rsidP="002C151B">
      <w:pPr>
        <w:pStyle w:val="NoSpacing"/>
        <w:rPr>
          <w:b/>
          <w:color w:val="000000"/>
          <w:szCs w:val="24"/>
          <w:u w:val="single"/>
        </w:rPr>
      </w:pPr>
      <w:r w:rsidRPr="00E37428">
        <w:rPr>
          <w:b/>
          <w:color w:val="000000"/>
          <w:szCs w:val="24"/>
          <w:u w:val="single"/>
        </w:rPr>
        <w:t>Customer Comments</w:t>
      </w:r>
    </w:p>
    <w:p w:rsidR="002C151B" w:rsidRPr="004076BE" w:rsidRDefault="002C151B" w:rsidP="002C151B">
      <w:pPr>
        <w:pStyle w:val="NoSpacing"/>
        <w:rPr>
          <w:b/>
          <w:color w:val="000000"/>
          <w:szCs w:val="24"/>
        </w:rPr>
      </w:pPr>
    </w:p>
    <w:p w:rsidR="00F965A4" w:rsidRPr="00F965A4" w:rsidRDefault="00F965A4" w:rsidP="00F965A4">
      <w:pPr>
        <w:rPr>
          <w:sz w:val="24"/>
        </w:rPr>
      </w:pPr>
      <w:r w:rsidRPr="00F965A4">
        <w:rPr>
          <w:sz w:val="24"/>
        </w:rPr>
        <w:t>On October 26, 2009, the company notified its customers of the proposed rate increase by mail.</w:t>
      </w:r>
    </w:p>
    <w:p w:rsidR="00F965A4" w:rsidRPr="00F965A4" w:rsidRDefault="00F965A4" w:rsidP="00F965A4">
      <w:pPr>
        <w:pStyle w:val="PlainText"/>
      </w:pPr>
      <w:r w:rsidRPr="00F965A4">
        <w:t xml:space="preserve">One customer comment opposing the proposed increase has been received to date. </w:t>
      </w:r>
    </w:p>
    <w:p w:rsidR="00F965A4" w:rsidRPr="00F965A4" w:rsidRDefault="00F965A4" w:rsidP="00F965A4">
      <w:pPr>
        <w:rPr>
          <w:sz w:val="24"/>
        </w:rPr>
      </w:pPr>
      <w:r w:rsidRPr="00F965A4">
        <w:rPr>
          <w:color w:val="000000"/>
          <w:sz w:val="24"/>
        </w:rPr>
        <w:t>Consumer Protection staff advised the customer</w:t>
      </w:r>
      <w:r w:rsidRPr="00F965A4">
        <w:rPr>
          <w:sz w:val="24"/>
        </w:rPr>
        <w:t xml:space="preserve"> that all company documents pertinent to this rate case may be found at </w:t>
      </w:r>
      <w:hyperlink r:id="rId11" w:history="1">
        <w:r w:rsidRPr="00F965A4">
          <w:rPr>
            <w:rStyle w:val="Hyperlink"/>
            <w:sz w:val="24"/>
          </w:rPr>
          <w:t>www.utc.wa.gov</w:t>
        </w:r>
      </w:hyperlink>
      <w:r w:rsidRPr="00F965A4">
        <w:rPr>
          <w:sz w:val="24"/>
        </w:rPr>
        <w:t>, and to contact Nancy Paulson at 1-888-333-9882 with questions or concerns.</w:t>
      </w:r>
    </w:p>
    <w:p w:rsidR="00F965A4" w:rsidRDefault="00F965A4" w:rsidP="00F965A4">
      <w:pPr>
        <w:pStyle w:val="NoSpacing"/>
        <w:rPr>
          <w:b/>
          <w:szCs w:val="24"/>
        </w:rPr>
      </w:pPr>
    </w:p>
    <w:p w:rsidR="00F965A4" w:rsidRDefault="00F965A4" w:rsidP="00F965A4">
      <w:pPr>
        <w:pStyle w:val="NoSpacing"/>
        <w:rPr>
          <w:b/>
          <w:szCs w:val="24"/>
        </w:rPr>
      </w:pPr>
      <w:r w:rsidRPr="007B7C90">
        <w:rPr>
          <w:b/>
          <w:color w:val="000000"/>
          <w:szCs w:val="24"/>
        </w:rPr>
        <w:t>General</w:t>
      </w:r>
      <w:r>
        <w:rPr>
          <w:b/>
          <w:color w:val="000000"/>
          <w:szCs w:val="24"/>
        </w:rPr>
        <w:t xml:space="preserve"> Comments</w:t>
      </w:r>
    </w:p>
    <w:p w:rsidR="00F965A4" w:rsidRPr="00F965A4" w:rsidRDefault="00F965A4" w:rsidP="00FE00FF">
      <w:pPr>
        <w:pStyle w:val="NoSpacing"/>
        <w:ind w:left="720"/>
        <w:rPr>
          <w:b/>
          <w:szCs w:val="24"/>
        </w:rPr>
      </w:pPr>
      <w:r w:rsidRPr="007C1048">
        <w:rPr>
          <w:szCs w:val="24"/>
        </w:rPr>
        <w:t>Th</w:t>
      </w:r>
      <w:r>
        <w:rPr>
          <w:szCs w:val="24"/>
        </w:rPr>
        <w:t>e</w:t>
      </w:r>
      <w:r w:rsidRPr="007C1048">
        <w:rPr>
          <w:szCs w:val="24"/>
        </w:rPr>
        <w:t xml:space="preserve"> customer oppose</w:t>
      </w:r>
      <w:r>
        <w:rPr>
          <w:szCs w:val="24"/>
        </w:rPr>
        <w:t>s</w:t>
      </w:r>
      <w:r w:rsidRPr="007C1048">
        <w:rPr>
          <w:szCs w:val="24"/>
        </w:rPr>
        <w:t xml:space="preserve"> </w:t>
      </w:r>
      <w:r>
        <w:rPr>
          <w:szCs w:val="24"/>
        </w:rPr>
        <w:t>the</w:t>
      </w:r>
      <w:r w:rsidRPr="007C1048">
        <w:rPr>
          <w:szCs w:val="24"/>
        </w:rPr>
        <w:t xml:space="preserve"> proposed </w:t>
      </w:r>
      <w:r>
        <w:rPr>
          <w:szCs w:val="24"/>
        </w:rPr>
        <w:t xml:space="preserve">rate </w:t>
      </w:r>
      <w:r w:rsidRPr="007C1048">
        <w:rPr>
          <w:szCs w:val="24"/>
        </w:rPr>
        <w:t xml:space="preserve">increase </w:t>
      </w:r>
      <w:r>
        <w:rPr>
          <w:szCs w:val="24"/>
        </w:rPr>
        <w:t>due to the poor economy.</w:t>
      </w:r>
      <w:r w:rsidRPr="007C1048">
        <w:rPr>
          <w:szCs w:val="24"/>
        </w:rPr>
        <w:t xml:space="preserve"> </w:t>
      </w:r>
      <w:r>
        <w:rPr>
          <w:szCs w:val="24"/>
        </w:rPr>
        <w:t>The customer also commented that the company was granted previous increases for fuel costs but now that fuel costs are down, rates have not decreased.</w:t>
      </w:r>
      <w:r w:rsidRPr="007C1048">
        <w:rPr>
          <w:szCs w:val="24"/>
        </w:rPr>
        <w:t xml:space="preserve"> </w:t>
      </w:r>
    </w:p>
    <w:p w:rsidR="005962CF" w:rsidRDefault="005962CF" w:rsidP="00F965A4">
      <w:pPr>
        <w:pStyle w:val="NoSpacing"/>
        <w:ind w:left="720"/>
        <w:rPr>
          <w:b/>
          <w:szCs w:val="24"/>
        </w:rPr>
      </w:pPr>
    </w:p>
    <w:p w:rsidR="00F965A4" w:rsidRDefault="00F965A4" w:rsidP="00F965A4">
      <w:pPr>
        <w:pStyle w:val="NoSpacing"/>
        <w:ind w:left="720"/>
        <w:rPr>
          <w:b/>
          <w:szCs w:val="24"/>
        </w:rPr>
      </w:pPr>
      <w:r w:rsidRPr="007C1048">
        <w:rPr>
          <w:b/>
          <w:szCs w:val="24"/>
        </w:rPr>
        <w:t>Staff Response</w:t>
      </w:r>
    </w:p>
    <w:p w:rsidR="005962CF" w:rsidRPr="00F965A4" w:rsidRDefault="00F965A4" w:rsidP="00F965A4">
      <w:pPr>
        <w:rPr>
          <w:sz w:val="24"/>
        </w:rPr>
      </w:pPr>
      <w:r>
        <w:rPr>
          <w:rFonts w:eastAsia="Calibri"/>
          <w:color w:val="000000"/>
        </w:rPr>
        <w:tab/>
      </w:r>
      <w:r w:rsidRPr="00F965A4">
        <w:rPr>
          <w:rFonts w:eastAsia="Calibri"/>
          <w:color w:val="000000"/>
          <w:sz w:val="24"/>
        </w:rPr>
        <w:t xml:space="preserve">Staff advised </w:t>
      </w:r>
      <w:r w:rsidR="004616D7">
        <w:rPr>
          <w:rFonts w:eastAsia="Calibri"/>
          <w:color w:val="000000"/>
          <w:sz w:val="24"/>
        </w:rPr>
        <w:t xml:space="preserve">the </w:t>
      </w:r>
      <w:r w:rsidRPr="00F965A4">
        <w:rPr>
          <w:rFonts w:eastAsia="Calibri"/>
          <w:color w:val="000000"/>
          <w:sz w:val="24"/>
        </w:rPr>
        <w:t>customer</w:t>
      </w:r>
      <w:r w:rsidRPr="00F965A4">
        <w:rPr>
          <w:rFonts w:eastAsia="Calibri"/>
          <w:sz w:val="24"/>
        </w:rPr>
        <w:t xml:space="preserve"> that state law requires rates to be fair</w:t>
      </w:r>
      <w:r>
        <w:rPr>
          <w:rFonts w:eastAsia="Calibri"/>
          <w:sz w:val="24"/>
        </w:rPr>
        <w:t>,</w:t>
      </w:r>
      <w:r w:rsidRPr="00F965A4">
        <w:rPr>
          <w:rFonts w:eastAsia="Calibri"/>
          <w:sz w:val="24"/>
        </w:rPr>
        <w:t xml:space="preserve"> reasonable and </w:t>
      </w:r>
      <w:r>
        <w:rPr>
          <w:rFonts w:eastAsia="Calibri"/>
          <w:sz w:val="24"/>
        </w:rPr>
        <w:tab/>
      </w:r>
      <w:r w:rsidRPr="00F965A4">
        <w:rPr>
          <w:rFonts w:eastAsia="Calibri"/>
          <w:sz w:val="24"/>
        </w:rPr>
        <w:t xml:space="preserve">sufficient to allow the </w:t>
      </w:r>
      <w:r w:rsidRPr="00F965A4">
        <w:rPr>
          <w:rFonts w:eastAsia="Calibri"/>
          <w:sz w:val="24"/>
        </w:rPr>
        <w:tab/>
        <w:t xml:space="preserve">company a chance to recover operating expenses and earn a return </w:t>
      </w:r>
      <w:r>
        <w:rPr>
          <w:rFonts w:eastAsia="Calibri"/>
          <w:sz w:val="24"/>
        </w:rPr>
        <w:tab/>
      </w:r>
      <w:r w:rsidRPr="00F965A4">
        <w:rPr>
          <w:rFonts w:eastAsia="Calibri"/>
          <w:sz w:val="24"/>
        </w:rPr>
        <w:t xml:space="preserve">on investment. </w:t>
      </w:r>
      <w:r w:rsidRPr="00F965A4">
        <w:rPr>
          <w:sz w:val="24"/>
        </w:rPr>
        <w:t xml:space="preserve">Even though fuel costs have come down from last year’s level, the </w:t>
      </w:r>
      <w:r>
        <w:rPr>
          <w:sz w:val="24"/>
        </w:rPr>
        <w:tab/>
      </w:r>
      <w:r w:rsidRPr="00F965A4">
        <w:rPr>
          <w:sz w:val="24"/>
        </w:rPr>
        <w:t>commission uses a twelve month average to determine the fuel costs allowed in rates.</w:t>
      </w:r>
    </w:p>
    <w:p w:rsidR="008956A7" w:rsidRPr="008A2603" w:rsidRDefault="008956A7" w:rsidP="005A1496">
      <w:pPr>
        <w:rPr>
          <w:b/>
          <w:sz w:val="24"/>
          <w:u w:val="single"/>
        </w:rPr>
      </w:pPr>
      <w:r w:rsidRPr="008A2603">
        <w:rPr>
          <w:b/>
          <w:sz w:val="24"/>
          <w:u w:val="single"/>
        </w:rPr>
        <w:lastRenderedPageBreak/>
        <w:t>Rate Comparison</w:t>
      </w:r>
    </w:p>
    <w:p w:rsidR="00AF1A52" w:rsidRPr="008A674C" w:rsidRDefault="00AF1A52" w:rsidP="008956A7">
      <w:pPr>
        <w:rPr>
          <w:sz w:val="24"/>
        </w:rPr>
      </w:pPr>
    </w:p>
    <w:tbl>
      <w:tblPr>
        <w:tblW w:w="4944"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44"/>
        <w:gridCol w:w="1665"/>
        <w:gridCol w:w="1782"/>
        <w:gridCol w:w="1778"/>
      </w:tblGrid>
      <w:tr w:rsidR="001C276C" w:rsidRPr="00591778" w:rsidTr="00B054CC">
        <w:trPr>
          <w:trHeight w:val="292"/>
          <w:jc w:val="center"/>
        </w:trPr>
        <w:tc>
          <w:tcPr>
            <w:tcW w:w="2241" w:type="pct"/>
          </w:tcPr>
          <w:p w:rsidR="001C276C" w:rsidRPr="00591778" w:rsidRDefault="001C276C" w:rsidP="006540D9">
            <w:pPr>
              <w:pStyle w:val="Heading1"/>
              <w:rPr>
                <w:b/>
              </w:rPr>
            </w:pPr>
            <w:r>
              <w:rPr>
                <w:b/>
              </w:rPr>
              <w:t>Residential Monthly Rates</w:t>
            </w:r>
          </w:p>
        </w:tc>
        <w:tc>
          <w:tcPr>
            <w:tcW w:w="879" w:type="pct"/>
            <w:vAlign w:val="center"/>
          </w:tcPr>
          <w:p w:rsidR="001C276C" w:rsidRPr="00591778" w:rsidRDefault="001C276C" w:rsidP="00620B46">
            <w:pPr>
              <w:jc w:val="center"/>
              <w:rPr>
                <w:b/>
                <w:sz w:val="24"/>
              </w:rPr>
            </w:pPr>
            <w:r w:rsidRPr="00591778">
              <w:rPr>
                <w:b/>
                <w:sz w:val="24"/>
              </w:rPr>
              <w:t>Current Rate</w:t>
            </w:r>
          </w:p>
        </w:tc>
        <w:tc>
          <w:tcPr>
            <w:tcW w:w="941" w:type="pct"/>
          </w:tcPr>
          <w:p w:rsidR="001C276C" w:rsidRPr="00591778" w:rsidRDefault="001C276C" w:rsidP="00620B46">
            <w:pPr>
              <w:jc w:val="center"/>
              <w:rPr>
                <w:b/>
                <w:sz w:val="24"/>
              </w:rPr>
            </w:pPr>
            <w:r w:rsidRPr="00591778">
              <w:rPr>
                <w:b/>
                <w:sz w:val="24"/>
              </w:rPr>
              <w:t>Proposed Rate</w:t>
            </w:r>
          </w:p>
        </w:tc>
        <w:tc>
          <w:tcPr>
            <w:tcW w:w="939" w:type="pct"/>
          </w:tcPr>
          <w:p w:rsidR="001C276C" w:rsidRPr="00591778" w:rsidRDefault="001C276C" w:rsidP="00620B46">
            <w:pPr>
              <w:jc w:val="center"/>
              <w:rPr>
                <w:b/>
                <w:sz w:val="24"/>
              </w:rPr>
            </w:pPr>
            <w:r>
              <w:rPr>
                <w:b/>
                <w:sz w:val="24"/>
              </w:rPr>
              <w:t>Revised Rate</w:t>
            </w:r>
          </w:p>
        </w:tc>
      </w:tr>
      <w:tr w:rsidR="001C276C" w:rsidRPr="008A674C" w:rsidTr="00B054CC">
        <w:trPr>
          <w:trHeight w:val="307"/>
          <w:jc w:val="center"/>
        </w:trPr>
        <w:tc>
          <w:tcPr>
            <w:tcW w:w="2241" w:type="pct"/>
          </w:tcPr>
          <w:p w:rsidR="001C276C" w:rsidRPr="00E25CDB" w:rsidRDefault="0031060D" w:rsidP="00725DC0">
            <w:pPr>
              <w:pStyle w:val="Heading1"/>
              <w:jc w:val="left"/>
            </w:pPr>
            <w:r>
              <w:t>One 32- Gallon Can Monthly Pick-up</w:t>
            </w:r>
          </w:p>
        </w:tc>
        <w:tc>
          <w:tcPr>
            <w:tcW w:w="879" w:type="pct"/>
          </w:tcPr>
          <w:p w:rsidR="001C276C" w:rsidRPr="00E25CDB" w:rsidRDefault="004339D8" w:rsidP="0031060D">
            <w:pPr>
              <w:jc w:val="center"/>
              <w:rPr>
                <w:sz w:val="24"/>
              </w:rPr>
            </w:pPr>
            <w:r>
              <w:rPr>
                <w:sz w:val="24"/>
              </w:rPr>
              <w:t xml:space="preserve"> </w:t>
            </w:r>
            <w:r w:rsidR="001C276C" w:rsidRPr="00E25CDB">
              <w:rPr>
                <w:sz w:val="24"/>
              </w:rPr>
              <w:t>$</w:t>
            </w:r>
            <w:r w:rsidR="0031060D">
              <w:rPr>
                <w:sz w:val="24"/>
              </w:rPr>
              <w:t>7.52</w:t>
            </w:r>
          </w:p>
        </w:tc>
        <w:tc>
          <w:tcPr>
            <w:tcW w:w="941" w:type="pct"/>
          </w:tcPr>
          <w:p w:rsidR="001C276C" w:rsidRPr="00E25CDB" w:rsidRDefault="004339D8" w:rsidP="00B35B12">
            <w:pPr>
              <w:jc w:val="center"/>
              <w:rPr>
                <w:sz w:val="24"/>
              </w:rPr>
            </w:pPr>
            <w:r>
              <w:rPr>
                <w:sz w:val="24"/>
              </w:rPr>
              <w:t xml:space="preserve"> </w:t>
            </w:r>
            <w:r w:rsidR="001C276C">
              <w:rPr>
                <w:sz w:val="24"/>
              </w:rPr>
              <w:t>$</w:t>
            </w:r>
            <w:r w:rsidR="00B35B12">
              <w:rPr>
                <w:sz w:val="24"/>
              </w:rPr>
              <w:t>8.43</w:t>
            </w:r>
          </w:p>
        </w:tc>
        <w:tc>
          <w:tcPr>
            <w:tcW w:w="939" w:type="pct"/>
          </w:tcPr>
          <w:p w:rsidR="001C276C" w:rsidRPr="00E25CDB" w:rsidRDefault="004339D8" w:rsidP="0031060D">
            <w:pPr>
              <w:jc w:val="center"/>
              <w:rPr>
                <w:sz w:val="24"/>
              </w:rPr>
            </w:pPr>
            <w:r>
              <w:rPr>
                <w:sz w:val="24"/>
              </w:rPr>
              <w:t xml:space="preserve"> </w:t>
            </w:r>
            <w:r w:rsidR="001C276C">
              <w:rPr>
                <w:sz w:val="24"/>
              </w:rPr>
              <w:t>$</w:t>
            </w:r>
            <w:r>
              <w:rPr>
                <w:sz w:val="24"/>
              </w:rPr>
              <w:t>8.16</w:t>
            </w:r>
          </w:p>
        </w:tc>
      </w:tr>
      <w:tr w:rsidR="001C276C" w:rsidRPr="008A674C" w:rsidTr="00B054CC">
        <w:trPr>
          <w:trHeight w:val="307"/>
          <w:jc w:val="center"/>
        </w:trPr>
        <w:tc>
          <w:tcPr>
            <w:tcW w:w="2241" w:type="pct"/>
          </w:tcPr>
          <w:p w:rsidR="001C276C" w:rsidRPr="00E25CDB" w:rsidRDefault="001C276C" w:rsidP="00725DC0">
            <w:pPr>
              <w:pStyle w:val="Heading1"/>
              <w:jc w:val="left"/>
            </w:pPr>
            <w:r>
              <w:t xml:space="preserve">One 32-Gallon Can </w:t>
            </w:r>
            <w:r w:rsidR="00725DC0">
              <w:t>Weekly Pick-up</w:t>
            </w:r>
          </w:p>
        </w:tc>
        <w:tc>
          <w:tcPr>
            <w:tcW w:w="879" w:type="pct"/>
          </w:tcPr>
          <w:p w:rsidR="001C276C" w:rsidRPr="00E25CDB" w:rsidRDefault="001C276C" w:rsidP="0031060D">
            <w:pPr>
              <w:jc w:val="center"/>
              <w:rPr>
                <w:sz w:val="24"/>
              </w:rPr>
            </w:pPr>
            <w:r w:rsidRPr="00E25CDB">
              <w:rPr>
                <w:sz w:val="24"/>
              </w:rPr>
              <w:t>$</w:t>
            </w:r>
            <w:r w:rsidR="0031060D">
              <w:rPr>
                <w:sz w:val="24"/>
              </w:rPr>
              <w:t>16.23</w:t>
            </w:r>
          </w:p>
        </w:tc>
        <w:tc>
          <w:tcPr>
            <w:tcW w:w="941" w:type="pct"/>
          </w:tcPr>
          <w:p w:rsidR="001C276C" w:rsidRPr="00E25CDB" w:rsidRDefault="001C276C" w:rsidP="00B35B12">
            <w:pPr>
              <w:jc w:val="center"/>
              <w:rPr>
                <w:sz w:val="24"/>
              </w:rPr>
            </w:pPr>
            <w:r>
              <w:rPr>
                <w:sz w:val="24"/>
              </w:rPr>
              <w:t>$</w:t>
            </w:r>
            <w:r w:rsidR="0031060D">
              <w:rPr>
                <w:sz w:val="24"/>
              </w:rPr>
              <w:t>18.</w:t>
            </w:r>
            <w:r w:rsidR="00B35B12">
              <w:rPr>
                <w:sz w:val="24"/>
              </w:rPr>
              <w:t>18</w:t>
            </w:r>
          </w:p>
        </w:tc>
        <w:tc>
          <w:tcPr>
            <w:tcW w:w="939" w:type="pct"/>
          </w:tcPr>
          <w:p w:rsidR="001C276C" w:rsidRPr="00E25CDB" w:rsidRDefault="001C276C" w:rsidP="0031060D">
            <w:pPr>
              <w:jc w:val="center"/>
              <w:rPr>
                <w:sz w:val="24"/>
              </w:rPr>
            </w:pPr>
            <w:r>
              <w:rPr>
                <w:sz w:val="24"/>
              </w:rPr>
              <w:t>$</w:t>
            </w:r>
            <w:r w:rsidR="004339D8">
              <w:rPr>
                <w:sz w:val="24"/>
              </w:rPr>
              <w:t>17.61</w:t>
            </w:r>
          </w:p>
        </w:tc>
      </w:tr>
      <w:tr w:rsidR="001C276C" w:rsidRPr="008A674C" w:rsidTr="00B054CC">
        <w:trPr>
          <w:trHeight w:val="292"/>
          <w:jc w:val="center"/>
        </w:trPr>
        <w:tc>
          <w:tcPr>
            <w:tcW w:w="2241" w:type="pct"/>
          </w:tcPr>
          <w:p w:rsidR="001C276C" w:rsidRDefault="0031060D" w:rsidP="00725DC0">
            <w:pPr>
              <w:rPr>
                <w:sz w:val="24"/>
              </w:rPr>
            </w:pPr>
            <w:r>
              <w:rPr>
                <w:sz w:val="24"/>
              </w:rPr>
              <w:t>Two 32</w:t>
            </w:r>
            <w:r w:rsidR="00EC64DF">
              <w:rPr>
                <w:sz w:val="24"/>
              </w:rPr>
              <w:t xml:space="preserve">-Gallon Cart </w:t>
            </w:r>
            <w:r w:rsidR="00725DC0" w:rsidRPr="00725DC0">
              <w:rPr>
                <w:sz w:val="24"/>
              </w:rPr>
              <w:t>Weekly Pick-up</w:t>
            </w:r>
          </w:p>
        </w:tc>
        <w:tc>
          <w:tcPr>
            <w:tcW w:w="879" w:type="pct"/>
          </w:tcPr>
          <w:p w:rsidR="001C276C" w:rsidRDefault="001C276C" w:rsidP="0031060D">
            <w:pPr>
              <w:jc w:val="center"/>
              <w:rPr>
                <w:sz w:val="24"/>
              </w:rPr>
            </w:pPr>
            <w:r>
              <w:rPr>
                <w:sz w:val="24"/>
              </w:rPr>
              <w:t>$</w:t>
            </w:r>
            <w:r w:rsidR="0031060D">
              <w:rPr>
                <w:sz w:val="24"/>
              </w:rPr>
              <w:t>21.15</w:t>
            </w:r>
          </w:p>
        </w:tc>
        <w:tc>
          <w:tcPr>
            <w:tcW w:w="941" w:type="pct"/>
          </w:tcPr>
          <w:p w:rsidR="001C276C" w:rsidRDefault="001C276C" w:rsidP="0031060D">
            <w:pPr>
              <w:jc w:val="center"/>
              <w:rPr>
                <w:sz w:val="24"/>
              </w:rPr>
            </w:pPr>
            <w:r>
              <w:rPr>
                <w:sz w:val="24"/>
              </w:rPr>
              <w:t>$</w:t>
            </w:r>
            <w:r w:rsidR="0031060D">
              <w:rPr>
                <w:sz w:val="24"/>
              </w:rPr>
              <w:t>23.</w:t>
            </w:r>
            <w:r w:rsidR="00B35B12">
              <w:rPr>
                <w:sz w:val="24"/>
              </w:rPr>
              <w:t>6</w:t>
            </w:r>
            <w:r w:rsidR="0031060D">
              <w:rPr>
                <w:sz w:val="24"/>
              </w:rPr>
              <w:t>9</w:t>
            </w:r>
          </w:p>
        </w:tc>
        <w:tc>
          <w:tcPr>
            <w:tcW w:w="939" w:type="pct"/>
          </w:tcPr>
          <w:p w:rsidR="004339D8" w:rsidRDefault="00010157" w:rsidP="0031060D">
            <w:pPr>
              <w:jc w:val="center"/>
              <w:rPr>
                <w:sz w:val="24"/>
              </w:rPr>
            </w:pPr>
            <w:r>
              <w:rPr>
                <w:sz w:val="24"/>
              </w:rPr>
              <w:t>$</w:t>
            </w:r>
            <w:r w:rsidR="004339D8">
              <w:rPr>
                <w:sz w:val="24"/>
              </w:rPr>
              <w:t>22.95</w:t>
            </w:r>
          </w:p>
        </w:tc>
      </w:tr>
    </w:tbl>
    <w:p w:rsidR="00267644" w:rsidRDefault="00267644" w:rsidP="002D3175">
      <w:pPr>
        <w:pStyle w:val="Heading1"/>
        <w:jc w:val="left"/>
        <w:sectPr w:rsidR="00267644" w:rsidSect="00320DFD">
          <w:headerReference w:type="default" r:id="rId12"/>
          <w:endnotePr>
            <w:numFmt w:val="decimal"/>
            <w:numRestart w:val="eachSect"/>
          </w:endnotePr>
          <w:pgSz w:w="12240" w:h="15840" w:code="1"/>
          <w:pgMar w:top="1440" w:right="1440" w:bottom="1440" w:left="1440" w:header="1008" w:footer="720" w:gutter="0"/>
          <w:cols w:space="720"/>
          <w:noEndnote/>
          <w:titlePg/>
        </w:sectPr>
      </w:pPr>
    </w:p>
    <w:p w:rsidR="00EC64DF" w:rsidRDefault="00EC64DF" w:rsidP="000D7B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tbl>
      <w:tblPr>
        <w:tblW w:w="4944"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44"/>
        <w:gridCol w:w="1665"/>
        <w:gridCol w:w="1782"/>
        <w:gridCol w:w="1778"/>
      </w:tblGrid>
      <w:tr w:rsidR="00EC64DF" w:rsidRPr="00EC64DF" w:rsidTr="00B054CC">
        <w:trPr>
          <w:trHeight w:val="307"/>
          <w:jc w:val="center"/>
        </w:trPr>
        <w:tc>
          <w:tcPr>
            <w:tcW w:w="2241" w:type="pct"/>
          </w:tcPr>
          <w:p w:rsidR="00EC64DF" w:rsidRPr="00EC64DF" w:rsidRDefault="00A45473" w:rsidP="003146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Pr>
                <w:b/>
                <w:sz w:val="24"/>
              </w:rPr>
              <w:t xml:space="preserve">Commercial </w:t>
            </w:r>
            <w:r w:rsidR="00EC64DF" w:rsidRPr="00EC64DF">
              <w:rPr>
                <w:b/>
                <w:sz w:val="24"/>
              </w:rPr>
              <w:t>Rates</w:t>
            </w:r>
          </w:p>
        </w:tc>
        <w:tc>
          <w:tcPr>
            <w:tcW w:w="879" w:type="pct"/>
            <w:vAlign w:val="center"/>
          </w:tcPr>
          <w:p w:rsidR="00EC64DF" w:rsidRPr="00EC64DF" w:rsidRDefault="00EC64DF" w:rsidP="00EC64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sidRPr="00EC64DF">
              <w:rPr>
                <w:b/>
                <w:sz w:val="24"/>
              </w:rPr>
              <w:t>Current Rate</w:t>
            </w:r>
          </w:p>
        </w:tc>
        <w:tc>
          <w:tcPr>
            <w:tcW w:w="941" w:type="pct"/>
          </w:tcPr>
          <w:p w:rsidR="00EC64DF" w:rsidRPr="00EC64DF" w:rsidRDefault="00EC64DF" w:rsidP="00EC64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sidRPr="00EC64DF">
              <w:rPr>
                <w:b/>
                <w:sz w:val="24"/>
              </w:rPr>
              <w:t>Proposed Rate</w:t>
            </w:r>
          </w:p>
        </w:tc>
        <w:tc>
          <w:tcPr>
            <w:tcW w:w="939" w:type="pct"/>
          </w:tcPr>
          <w:p w:rsidR="00EC64DF" w:rsidRPr="00EC64DF" w:rsidRDefault="00EC64DF" w:rsidP="00EC64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sidRPr="00EC64DF">
              <w:rPr>
                <w:b/>
                <w:sz w:val="24"/>
              </w:rPr>
              <w:t>Revised Rate</w:t>
            </w:r>
          </w:p>
        </w:tc>
      </w:tr>
      <w:tr w:rsidR="00EC64DF" w:rsidRPr="00EC64DF" w:rsidTr="00B054CC">
        <w:trPr>
          <w:trHeight w:val="307"/>
          <w:jc w:val="center"/>
        </w:trPr>
        <w:tc>
          <w:tcPr>
            <w:tcW w:w="2241" w:type="pct"/>
          </w:tcPr>
          <w:p w:rsidR="00EC64DF" w:rsidRPr="00EC64DF" w:rsidRDefault="0031060D" w:rsidP="00EC64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2 </w:t>
            </w:r>
            <w:r w:rsidR="00EC64DF">
              <w:rPr>
                <w:sz w:val="24"/>
              </w:rPr>
              <w:t>Yard</w:t>
            </w:r>
            <w:r w:rsidR="00EC64DF" w:rsidRPr="00EC64DF">
              <w:rPr>
                <w:sz w:val="24"/>
              </w:rPr>
              <w:t xml:space="preserve"> Container</w:t>
            </w:r>
            <w:r>
              <w:rPr>
                <w:sz w:val="24"/>
              </w:rPr>
              <w:t xml:space="preserve"> per Pick-up</w:t>
            </w:r>
          </w:p>
        </w:tc>
        <w:tc>
          <w:tcPr>
            <w:tcW w:w="879" w:type="pct"/>
          </w:tcPr>
          <w:p w:rsidR="00EC64DF" w:rsidRPr="00EC64DF" w:rsidRDefault="00EC64DF" w:rsidP="003106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EC64DF">
              <w:rPr>
                <w:sz w:val="24"/>
              </w:rPr>
              <w:t>$</w:t>
            </w:r>
            <w:r w:rsidR="0031060D">
              <w:rPr>
                <w:sz w:val="24"/>
              </w:rPr>
              <w:t>28.63</w:t>
            </w:r>
          </w:p>
        </w:tc>
        <w:tc>
          <w:tcPr>
            <w:tcW w:w="941" w:type="pct"/>
          </w:tcPr>
          <w:p w:rsidR="00EC64DF" w:rsidRPr="00EC64DF" w:rsidRDefault="00EC64DF" w:rsidP="00CA6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EC64DF">
              <w:rPr>
                <w:sz w:val="24"/>
              </w:rPr>
              <w:t>$</w:t>
            </w:r>
            <w:r w:rsidR="0031060D">
              <w:rPr>
                <w:sz w:val="24"/>
              </w:rPr>
              <w:t>32.</w:t>
            </w:r>
            <w:r w:rsidR="00CA6690">
              <w:rPr>
                <w:sz w:val="24"/>
              </w:rPr>
              <w:t>07</w:t>
            </w:r>
          </w:p>
        </w:tc>
        <w:tc>
          <w:tcPr>
            <w:tcW w:w="939" w:type="pct"/>
          </w:tcPr>
          <w:p w:rsidR="00EC64DF" w:rsidRPr="00EC64DF" w:rsidRDefault="00EC64DF" w:rsidP="003106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EC64DF">
              <w:rPr>
                <w:sz w:val="24"/>
              </w:rPr>
              <w:t>$</w:t>
            </w:r>
            <w:r w:rsidR="004339D8">
              <w:rPr>
                <w:sz w:val="24"/>
              </w:rPr>
              <w:t>32.07</w:t>
            </w:r>
          </w:p>
        </w:tc>
      </w:tr>
      <w:tr w:rsidR="00EC64DF" w:rsidRPr="00EC64DF" w:rsidTr="00B054CC">
        <w:trPr>
          <w:trHeight w:val="292"/>
          <w:jc w:val="center"/>
        </w:trPr>
        <w:tc>
          <w:tcPr>
            <w:tcW w:w="2241" w:type="pct"/>
          </w:tcPr>
          <w:p w:rsidR="00EC64DF" w:rsidRPr="00EC64DF" w:rsidRDefault="0031060D" w:rsidP="00725D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2</w:t>
            </w:r>
            <w:r w:rsidR="00725DC0">
              <w:rPr>
                <w:sz w:val="24"/>
              </w:rPr>
              <w:t xml:space="preserve">0 Yard </w:t>
            </w:r>
            <w:r w:rsidR="00EC64DF" w:rsidRPr="00EC64DF">
              <w:rPr>
                <w:sz w:val="24"/>
              </w:rPr>
              <w:t xml:space="preserve">Drop Box </w:t>
            </w:r>
            <w:r>
              <w:rPr>
                <w:sz w:val="24"/>
              </w:rPr>
              <w:t>Hourly Rate</w:t>
            </w:r>
          </w:p>
        </w:tc>
        <w:tc>
          <w:tcPr>
            <w:tcW w:w="879" w:type="pct"/>
          </w:tcPr>
          <w:p w:rsidR="00EC64DF" w:rsidRPr="00EC64DF" w:rsidRDefault="00EC64DF" w:rsidP="003106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EC64DF">
              <w:rPr>
                <w:sz w:val="24"/>
              </w:rPr>
              <w:t>$</w:t>
            </w:r>
            <w:r w:rsidR="0031060D">
              <w:rPr>
                <w:sz w:val="24"/>
              </w:rPr>
              <w:t>80.50</w:t>
            </w:r>
          </w:p>
        </w:tc>
        <w:tc>
          <w:tcPr>
            <w:tcW w:w="941" w:type="pct"/>
          </w:tcPr>
          <w:p w:rsidR="00EC64DF" w:rsidRPr="00EC64DF" w:rsidRDefault="00EC64DF" w:rsidP="003106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EC64DF">
              <w:rPr>
                <w:sz w:val="24"/>
              </w:rPr>
              <w:t>$</w:t>
            </w:r>
            <w:r w:rsidR="0031060D">
              <w:rPr>
                <w:sz w:val="24"/>
              </w:rPr>
              <w:t>90.16</w:t>
            </w:r>
          </w:p>
        </w:tc>
        <w:tc>
          <w:tcPr>
            <w:tcW w:w="939" w:type="pct"/>
          </w:tcPr>
          <w:p w:rsidR="00EC64DF" w:rsidRPr="00EC64DF" w:rsidRDefault="00EC64DF" w:rsidP="003106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EC64DF">
              <w:rPr>
                <w:sz w:val="24"/>
              </w:rPr>
              <w:t>$</w:t>
            </w:r>
            <w:r w:rsidR="004339D8">
              <w:rPr>
                <w:sz w:val="24"/>
              </w:rPr>
              <w:t>90.16</w:t>
            </w:r>
          </w:p>
        </w:tc>
      </w:tr>
      <w:tr w:rsidR="0031060D" w:rsidRPr="00EC64DF" w:rsidTr="00B054CC">
        <w:trPr>
          <w:trHeight w:val="292"/>
          <w:jc w:val="center"/>
        </w:trPr>
        <w:tc>
          <w:tcPr>
            <w:tcW w:w="2241" w:type="pct"/>
          </w:tcPr>
          <w:p w:rsidR="0031060D" w:rsidRDefault="0031060D" w:rsidP="00725D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20 Yard </w:t>
            </w:r>
            <w:r w:rsidRPr="00EC64DF">
              <w:rPr>
                <w:sz w:val="24"/>
              </w:rPr>
              <w:t>Drop Box</w:t>
            </w:r>
            <w:r>
              <w:rPr>
                <w:sz w:val="24"/>
              </w:rPr>
              <w:t xml:space="preserve"> Rent</w:t>
            </w:r>
          </w:p>
        </w:tc>
        <w:tc>
          <w:tcPr>
            <w:tcW w:w="879" w:type="pct"/>
          </w:tcPr>
          <w:p w:rsidR="0031060D" w:rsidRPr="00EC64DF" w:rsidRDefault="0031060D" w:rsidP="003106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EC64DF">
              <w:rPr>
                <w:sz w:val="24"/>
              </w:rPr>
              <w:t>$</w:t>
            </w:r>
            <w:r>
              <w:rPr>
                <w:sz w:val="24"/>
              </w:rPr>
              <w:t>62.92</w:t>
            </w:r>
          </w:p>
        </w:tc>
        <w:tc>
          <w:tcPr>
            <w:tcW w:w="941" w:type="pct"/>
          </w:tcPr>
          <w:p w:rsidR="0031060D" w:rsidRPr="00EC64DF" w:rsidRDefault="0031060D" w:rsidP="003106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EC64DF">
              <w:rPr>
                <w:sz w:val="24"/>
              </w:rPr>
              <w:t>$</w:t>
            </w:r>
            <w:r>
              <w:rPr>
                <w:sz w:val="24"/>
              </w:rPr>
              <w:t>70.44</w:t>
            </w:r>
          </w:p>
        </w:tc>
        <w:tc>
          <w:tcPr>
            <w:tcW w:w="939" w:type="pct"/>
          </w:tcPr>
          <w:p w:rsidR="0031060D" w:rsidRPr="00EC64DF" w:rsidRDefault="004339D8" w:rsidP="003106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EC64DF">
              <w:rPr>
                <w:sz w:val="24"/>
              </w:rPr>
              <w:t>$</w:t>
            </w:r>
            <w:r>
              <w:rPr>
                <w:sz w:val="24"/>
              </w:rPr>
              <w:t>70.44</w:t>
            </w:r>
          </w:p>
        </w:tc>
      </w:tr>
    </w:tbl>
    <w:p w:rsidR="00EC64DF" w:rsidRDefault="00EC64DF" w:rsidP="000D7B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B64E66" w:rsidRPr="00B64E66" w:rsidRDefault="00B64E66" w:rsidP="00B64E66">
      <w:pPr>
        <w:rPr>
          <w:b/>
          <w:sz w:val="24"/>
          <w:u w:val="single"/>
        </w:rPr>
      </w:pPr>
      <w:r w:rsidRPr="00B64E66">
        <w:rPr>
          <w:b/>
          <w:sz w:val="24"/>
          <w:u w:val="single"/>
        </w:rPr>
        <w:t>Average Customer Charge Comparison – One Can Customer</w:t>
      </w:r>
    </w:p>
    <w:p w:rsidR="00B64E66" w:rsidRPr="00B64E66" w:rsidRDefault="00B64E66" w:rsidP="00B64E66">
      <w:pPr>
        <w:jc w:val="center"/>
        <w:rPr>
          <w:b/>
          <w:sz w:val="24"/>
          <w:u w:val="single"/>
        </w:rPr>
      </w:pPr>
    </w:p>
    <w:tbl>
      <w:tblPr>
        <w:tblW w:w="4944"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44"/>
        <w:gridCol w:w="1665"/>
        <w:gridCol w:w="1782"/>
        <w:gridCol w:w="1778"/>
      </w:tblGrid>
      <w:tr w:rsidR="00FD479F" w:rsidRPr="00EC64DF" w:rsidTr="00320DFD">
        <w:trPr>
          <w:trHeight w:val="307"/>
          <w:jc w:val="center"/>
        </w:trPr>
        <w:tc>
          <w:tcPr>
            <w:tcW w:w="2241" w:type="pct"/>
          </w:tcPr>
          <w:p w:rsidR="00FD479F" w:rsidRPr="00EC64DF" w:rsidRDefault="00314674" w:rsidP="003146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Pr>
                <w:b/>
                <w:sz w:val="24"/>
              </w:rPr>
              <w:t>Monthly Rates</w:t>
            </w:r>
          </w:p>
        </w:tc>
        <w:tc>
          <w:tcPr>
            <w:tcW w:w="879" w:type="pct"/>
            <w:tcBorders>
              <w:bottom w:val="single" w:sz="4" w:space="0" w:color="auto"/>
            </w:tcBorders>
            <w:vAlign w:val="center"/>
          </w:tcPr>
          <w:p w:rsidR="00FD479F" w:rsidRPr="00EC64DF" w:rsidRDefault="00FD479F" w:rsidP="00522D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sidRPr="00EC64DF">
              <w:rPr>
                <w:b/>
                <w:sz w:val="24"/>
              </w:rPr>
              <w:t>Current Rate</w:t>
            </w:r>
          </w:p>
        </w:tc>
        <w:tc>
          <w:tcPr>
            <w:tcW w:w="941" w:type="pct"/>
            <w:tcBorders>
              <w:bottom w:val="single" w:sz="4" w:space="0" w:color="auto"/>
            </w:tcBorders>
          </w:tcPr>
          <w:p w:rsidR="00FD479F" w:rsidRPr="00EC64DF" w:rsidRDefault="00FD479F" w:rsidP="00522D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sidRPr="00EC64DF">
              <w:rPr>
                <w:b/>
                <w:sz w:val="24"/>
              </w:rPr>
              <w:t>Proposed Rate</w:t>
            </w:r>
          </w:p>
        </w:tc>
        <w:tc>
          <w:tcPr>
            <w:tcW w:w="939" w:type="pct"/>
            <w:tcBorders>
              <w:bottom w:val="single" w:sz="4" w:space="0" w:color="auto"/>
            </w:tcBorders>
          </w:tcPr>
          <w:p w:rsidR="00FD479F" w:rsidRPr="00EC64DF" w:rsidRDefault="00FD479F" w:rsidP="00522D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sidRPr="00EC64DF">
              <w:rPr>
                <w:b/>
                <w:sz w:val="24"/>
              </w:rPr>
              <w:t>Revised Rate</w:t>
            </w:r>
          </w:p>
        </w:tc>
      </w:tr>
      <w:tr w:rsidR="00FD479F" w:rsidRPr="00EC64DF" w:rsidTr="00320DFD">
        <w:trPr>
          <w:trHeight w:val="307"/>
          <w:jc w:val="center"/>
        </w:trPr>
        <w:tc>
          <w:tcPr>
            <w:tcW w:w="2241" w:type="pct"/>
          </w:tcPr>
          <w:p w:rsidR="00FD479F" w:rsidRPr="00B64E66" w:rsidRDefault="00FD479F" w:rsidP="00314674">
            <w:pPr>
              <w:rPr>
                <w:sz w:val="24"/>
              </w:rPr>
            </w:pPr>
            <w:r w:rsidRPr="00B64E66">
              <w:rPr>
                <w:sz w:val="24"/>
              </w:rPr>
              <w:t>Garbage Service</w:t>
            </w:r>
          </w:p>
        </w:tc>
        <w:tc>
          <w:tcPr>
            <w:tcW w:w="879" w:type="pct"/>
            <w:tcBorders>
              <w:bottom w:val="double" w:sz="4" w:space="0" w:color="auto"/>
            </w:tcBorders>
          </w:tcPr>
          <w:p w:rsidR="00FD479F" w:rsidRPr="00EC64DF" w:rsidRDefault="00FD479F" w:rsidP="003106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B64E66">
              <w:rPr>
                <w:sz w:val="24"/>
              </w:rPr>
              <w:t>$</w:t>
            </w:r>
            <w:r w:rsidR="0031060D">
              <w:rPr>
                <w:sz w:val="24"/>
              </w:rPr>
              <w:t>16.23</w:t>
            </w:r>
          </w:p>
        </w:tc>
        <w:tc>
          <w:tcPr>
            <w:tcW w:w="941" w:type="pct"/>
            <w:tcBorders>
              <w:bottom w:val="double" w:sz="4" w:space="0" w:color="auto"/>
            </w:tcBorders>
          </w:tcPr>
          <w:p w:rsidR="0031060D" w:rsidRPr="00EC64DF" w:rsidRDefault="00C82406" w:rsidP="003106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w:t>
            </w:r>
            <w:r w:rsidR="0031060D">
              <w:rPr>
                <w:sz w:val="24"/>
              </w:rPr>
              <w:t>18.18</w:t>
            </w:r>
          </w:p>
        </w:tc>
        <w:tc>
          <w:tcPr>
            <w:tcW w:w="939" w:type="pct"/>
            <w:tcBorders>
              <w:bottom w:val="double" w:sz="4" w:space="0" w:color="auto"/>
            </w:tcBorders>
          </w:tcPr>
          <w:p w:rsidR="00FD479F" w:rsidRPr="00EC64DF" w:rsidRDefault="00FD479F" w:rsidP="003106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w:t>
            </w:r>
            <w:r w:rsidR="004339D8">
              <w:rPr>
                <w:sz w:val="24"/>
              </w:rPr>
              <w:t>17.61</w:t>
            </w:r>
          </w:p>
        </w:tc>
      </w:tr>
      <w:tr w:rsidR="00320DFD" w:rsidRPr="00EC64DF" w:rsidTr="00320DFD">
        <w:trPr>
          <w:trHeight w:val="292"/>
          <w:jc w:val="center"/>
        </w:trPr>
        <w:tc>
          <w:tcPr>
            <w:tcW w:w="3120" w:type="pct"/>
            <w:gridSpan w:val="2"/>
          </w:tcPr>
          <w:p w:rsidR="00320DFD" w:rsidRPr="00EC64DF" w:rsidRDefault="00320DFD" w:rsidP="00320D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64E66">
              <w:rPr>
                <w:sz w:val="24"/>
              </w:rPr>
              <w:t>Increase</w:t>
            </w:r>
            <w:r>
              <w:rPr>
                <w:sz w:val="24"/>
              </w:rPr>
              <w:t xml:space="preserve"> from Current Rate</w:t>
            </w:r>
          </w:p>
        </w:tc>
        <w:tc>
          <w:tcPr>
            <w:tcW w:w="941" w:type="pct"/>
          </w:tcPr>
          <w:p w:rsidR="00320DFD" w:rsidRPr="00EC64DF" w:rsidRDefault="0031060D" w:rsidP="003106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12</w:t>
            </w:r>
            <w:r w:rsidR="00320DFD" w:rsidRPr="00B64E66">
              <w:rPr>
                <w:sz w:val="24"/>
              </w:rPr>
              <w:t>.</w:t>
            </w:r>
            <w:r>
              <w:rPr>
                <w:sz w:val="24"/>
              </w:rPr>
              <w:t>0</w:t>
            </w:r>
            <w:r w:rsidR="00320DFD" w:rsidRPr="00B64E66">
              <w:rPr>
                <w:sz w:val="24"/>
              </w:rPr>
              <w:t>%</w:t>
            </w:r>
          </w:p>
        </w:tc>
        <w:tc>
          <w:tcPr>
            <w:tcW w:w="939" w:type="pct"/>
          </w:tcPr>
          <w:p w:rsidR="00320DFD" w:rsidRPr="00EC64DF" w:rsidRDefault="004339D8" w:rsidP="00855C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8</w:t>
            </w:r>
            <w:r w:rsidR="00320DFD" w:rsidRPr="00B64E66">
              <w:rPr>
                <w:sz w:val="24"/>
              </w:rPr>
              <w:t>.</w:t>
            </w:r>
            <w:r w:rsidR="00320DFD">
              <w:rPr>
                <w:sz w:val="24"/>
              </w:rPr>
              <w:t>5</w:t>
            </w:r>
            <w:r w:rsidR="00320DFD" w:rsidRPr="00B64E66">
              <w:rPr>
                <w:sz w:val="24"/>
              </w:rPr>
              <w:t>%</w:t>
            </w:r>
          </w:p>
        </w:tc>
      </w:tr>
    </w:tbl>
    <w:p w:rsidR="00B64E66" w:rsidRDefault="00B64E66" w:rsidP="000D7B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622736" w:rsidRDefault="00242958" w:rsidP="006227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242958">
        <w:rPr>
          <w:sz w:val="24"/>
        </w:rPr>
        <w:t>Commission staff has completed its review of the company’s supporting financial documents, books and records. Staff’s review shows that the expenses are reasonable and required as part of the company’s operations. The company’s financial information supports the revised revenue requirement and the revised rates and charges are fair, just, reasonable, and sufficient.</w:t>
      </w:r>
    </w:p>
    <w:p w:rsidR="00F720D5" w:rsidRDefault="00F720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F720D5" w:rsidRPr="00F720D5" w:rsidRDefault="00F720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sidRPr="00F720D5">
        <w:rPr>
          <w:b/>
          <w:sz w:val="24"/>
          <w:u w:val="single"/>
        </w:rPr>
        <w:t>Conclusion</w:t>
      </w:r>
    </w:p>
    <w:p w:rsidR="00F720D5" w:rsidRDefault="00F720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5962CF" w:rsidRDefault="005962CF" w:rsidP="005962C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Take no action, allowing </w:t>
      </w:r>
      <w:r w:rsidRPr="00242958">
        <w:rPr>
          <w:sz w:val="24"/>
        </w:rPr>
        <w:t xml:space="preserve">the </w:t>
      </w:r>
      <w:r>
        <w:rPr>
          <w:sz w:val="24"/>
        </w:rPr>
        <w:t xml:space="preserve">revised </w:t>
      </w:r>
      <w:r w:rsidRPr="00242958">
        <w:rPr>
          <w:sz w:val="24"/>
        </w:rPr>
        <w:t xml:space="preserve">rates </w:t>
      </w:r>
      <w:r>
        <w:rPr>
          <w:sz w:val="24"/>
        </w:rPr>
        <w:t xml:space="preserve">filed by Couse’s Sanitation and Recycle, Inc., </w:t>
      </w:r>
      <w:r w:rsidRPr="00242958">
        <w:rPr>
          <w:sz w:val="24"/>
        </w:rPr>
        <w:t xml:space="preserve">to become effective </w:t>
      </w:r>
      <w:r>
        <w:rPr>
          <w:sz w:val="24"/>
        </w:rPr>
        <w:t>December 7</w:t>
      </w:r>
      <w:r w:rsidRPr="00242958">
        <w:rPr>
          <w:sz w:val="24"/>
        </w:rPr>
        <w:t>, 200</w:t>
      </w:r>
      <w:r>
        <w:rPr>
          <w:sz w:val="24"/>
        </w:rPr>
        <w:t>9</w:t>
      </w:r>
      <w:r w:rsidRPr="00242958">
        <w:rPr>
          <w:sz w:val="24"/>
        </w:rPr>
        <w:t>, by operation of law.</w:t>
      </w:r>
    </w:p>
    <w:p w:rsidR="005962CF" w:rsidRDefault="005962CF" w:rsidP="00E6307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sectPr w:rsidR="005962CF" w:rsidSect="00320DFD">
      <w:footnotePr>
        <w:numRestart w:val="eachSect"/>
      </w:footnotePr>
      <w:endnotePr>
        <w:numFmt w:val="decimal"/>
        <w:numRestart w:val="eachSect"/>
      </w:endnotePr>
      <w:type w:val="continuous"/>
      <w:pgSz w:w="12240" w:h="15840" w:code="1"/>
      <w:pgMar w:top="1440" w:right="1440" w:bottom="1440" w:left="1440" w:header="1008" w:footer="720"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75E6" w:rsidRDefault="00BC75E6">
      <w:r>
        <w:separator/>
      </w:r>
    </w:p>
  </w:endnote>
  <w:endnote w:type="continuationSeparator" w:id="0">
    <w:p w:rsidR="00BC75E6" w:rsidRDefault="00BC75E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75E6" w:rsidRDefault="00BC75E6">
      <w:r>
        <w:separator/>
      </w:r>
    </w:p>
  </w:footnote>
  <w:footnote w:type="continuationSeparator" w:id="0">
    <w:p w:rsidR="00BC75E6" w:rsidRDefault="00BC75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157" w:rsidRPr="00FE0AD1" w:rsidRDefault="00010157">
    <w:pPr>
      <w:spacing w:line="238" w:lineRule="auto"/>
    </w:pPr>
    <w:r w:rsidRPr="00FE0AD1">
      <w:t>Docket</w:t>
    </w:r>
    <w:r>
      <w:t>s</w:t>
    </w:r>
    <w:r w:rsidRPr="00FE0AD1">
      <w:t xml:space="preserve"> TG-0</w:t>
    </w:r>
    <w:r w:rsidR="00587C28">
      <w:t>91673</w:t>
    </w:r>
  </w:p>
  <w:p w:rsidR="00010157" w:rsidRPr="00FE0AD1" w:rsidRDefault="00587C28">
    <w:pPr>
      <w:spacing w:line="238" w:lineRule="auto"/>
    </w:pPr>
    <w:r>
      <w:t xml:space="preserve">November </w:t>
    </w:r>
    <w:r w:rsidR="00010157">
      <w:t>2</w:t>
    </w:r>
    <w:r>
      <w:t>5</w:t>
    </w:r>
    <w:r w:rsidR="00010157" w:rsidRPr="00FE0AD1">
      <w:t>, 200</w:t>
    </w:r>
    <w:r w:rsidR="00010157">
      <w:t>9</w:t>
    </w:r>
  </w:p>
  <w:p w:rsidR="00010157" w:rsidRPr="00FE0AD1" w:rsidRDefault="00010157">
    <w:pPr>
      <w:spacing w:line="238" w:lineRule="auto"/>
      <w:rPr>
        <w:rStyle w:val="PageNumber"/>
      </w:rPr>
    </w:pPr>
    <w:r w:rsidRPr="00FE0AD1">
      <w:t xml:space="preserve">Page </w:t>
    </w:r>
    <w:r w:rsidR="0043066D" w:rsidRPr="00FE0AD1">
      <w:rPr>
        <w:rStyle w:val="PageNumber"/>
      </w:rPr>
      <w:fldChar w:fldCharType="begin"/>
    </w:r>
    <w:r w:rsidRPr="00FE0AD1">
      <w:rPr>
        <w:rStyle w:val="PageNumber"/>
      </w:rPr>
      <w:instrText xml:space="preserve"> PAGE </w:instrText>
    </w:r>
    <w:r w:rsidR="0043066D" w:rsidRPr="00FE0AD1">
      <w:rPr>
        <w:rStyle w:val="PageNumber"/>
      </w:rPr>
      <w:fldChar w:fldCharType="separate"/>
    </w:r>
    <w:r w:rsidR="00561E84">
      <w:rPr>
        <w:rStyle w:val="PageNumber"/>
        <w:noProof/>
      </w:rPr>
      <w:t>2</w:t>
    </w:r>
    <w:r w:rsidR="0043066D" w:rsidRPr="00FE0AD1">
      <w:rPr>
        <w:rStyle w:val="PageNumber"/>
      </w:rPr>
      <w:fldChar w:fldCharType="end"/>
    </w:r>
  </w:p>
  <w:p w:rsidR="00010157" w:rsidRDefault="00010157">
    <w:pPr>
      <w:spacing w:line="238" w:lineRule="auto"/>
      <w:rPr>
        <w:rFonts w:ascii="Palatino Linotype" w:hAnsi="Palatino Linotype"/>
      </w:rPr>
    </w:pPr>
  </w:p>
  <w:p w:rsidR="00010157" w:rsidRDefault="0001015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36F61"/>
    <w:multiLevelType w:val="hybridMultilevel"/>
    <w:tmpl w:val="60227E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44113DD"/>
    <w:multiLevelType w:val="hybridMultilevel"/>
    <w:tmpl w:val="C0E2306A"/>
    <w:lvl w:ilvl="0" w:tplc="04090001">
      <w:start w:val="1"/>
      <w:numFmt w:val="bullet"/>
      <w:lvlText w:val=""/>
      <w:lvlJc w:val="left"/>
      <w:pPr>
        <w:tabs>
          <w:tab w:val="num" w:pos="360"/>
        </w:tabs>
        <w:ind w:left="360" w:hanging="360"/>
      </w:pPr>
      <w:rPr>
        <w:rFonts w:ascii="Symbol" w:hAnsi="Symbol" w:hint="default"/>
      </w:rPr>
    </w:lvl>
    <w:lvl w:ilvl="1" w:tplc="AE662DD4">
      <w:start w:val="1"/>
      <w:numFmt w:val="bullet"/>
      <w:lvlText w:val="o"/>
      <w:lvlJc w:val="left"/>
      <w:pPr>
        <w:tabs>
          <w:tab w:val="num" w:pos="1080"/>
        </w:tabs>
        <w:ind w:left="1080" w:hanging="360"/>
      </w:pPr>
      <w:rPr>
        <w:rFonts w:ascii="Courier New" w:hAnsi="Courier New" w:cs="Courier New" w:hint="default"/>
        <w:sz w:val="24"/>
        <w:szCs w:val="24"/>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5DA551D0"/>
    <w:multiLevelType w:val="hybridMultilevel"/>
    <w:tmpl w:val="C53878AA"/>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449164F"/>
    <w:multiLevelType w:val="hybridMultilevel"/>
    <w:tmpl w:val="C5387F44"/>
    <w:lvl w:ilvl="0" w:tplc="BF581FF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6954109F"/>
    <w:multiLevelType w:val="hybridMultilevel"/>
    <w:tmpl w:val="A7B2C39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nsid w:val="69B51069"/>
    <w:multiLevelType w:val="hybridMultilevel"/>
    <w:tmpl w:val="8C72757A"/>
    <w:lvl w:ilvl="0" w:tplc="04090005">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6">
    <w:nsid w:val="75F45F8B"/>
    <w:multiLevelType w:val="hybridMultilevel"/>
    <w:tmpl w:val="52329D1A"/>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7C92094"/>
    <w:multiLevelType w:val="hybridMultilevel"/>
    <w:tmpl w:val="B1EEAE70"/>
    <w:lvl w:ilvl="0" w:tplc="82543DD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2"/>
  </w:num>
  <w:num w:numId="3">
    <w:abstractNumId w:val="0"/>
  </w:num>
  <w:num w:numId="4">
    <w:abstractNumId w:val="7"/>
  </w:num>
  <w:num w:numId="5">
    <w:abstractNumId w:val="1"/>
  </w:num>
  <w:num w:numId="6">
    <w:abstractNumId w:val="4"/>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hideSpellingErrors/>
  <w:hideGrammaticalErrors/>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numRestart w:val="eachSect"/>
    <w:endnote w:id="-1"/>
    <w:endnote w:id="0"/>
  </w:endnotePr>
  <w:compat/>
  <w:rsids>
    <w:rsidRoot w:val="007155BE"/>
    <w:rsid w:val="00010157"/>
    <w:rsid w:val="00016E6E"/>
    <w:rsid w:val="00021C05"/>
    <w:rsid w:val="000231A7"/>
    <w:rsid w:val="000302C6"/>
    <w:rsid w:val="00031BB0"/>
    <w:rsid w:val="000373FB"/>
    <w:rsid w:val="000377B4"/>
    <w:rsid w:val="0004008D"/>
    <w:rsid w:val="00041309"/>
    <w:rsid w:val="00055129"/>
    <w:rsid w:val="00060000"/>
    <w:rsid w:val="00064191"/>
    <w:rsid w:val="00066BF9"/>
    <w:rsid w:val="00067A6C"/>
    <w:rsid w:val="00072E8D"/>
    <w:rsid w:val="00074C54"/>
    <w:rsid w:val="0009317F"/>
    <w:rsid w:val="000A2FD7"/>
    <w:rsid w:val="000C06C1"/>
    <w:rsid w:val="000C2444"/>
    <w:rsid w:val="000D0D9B"/>
    <w:rsid w:val="000D6EE8"/>
    <w:rsid w:val="000D7B14"/>
    <w:rsid w:val="000E5DC6"/>
    <w:rsid w:val="000F23B0"/>
    <w:rsid w:val="000F4A4C"/>
    <w:rsid w:val="000F5982"/>
    <w:rsid w:val="000F7598"/>
    <w:rsid w:val="00100BD5"/>
    <w:rsid w:val="00114DD1"/>
    <w:rsid w:val="00137FE5"/>
    <w:rsid w:val="00141D39"/>
    <w:rsid w:val="0015140F"/>
    <w:rsid w:val="00156D17"/>
    <w:rsid w:val="00161E2E"/>
    <w:rsid w:val="00164BEE"/>
    <w:rsid w:val="00175973"/>
    <w:rsid w:val="00180222"/>
    <w:rsid w:val="0019005A"/>
    <w:rsid w:val="001B09AF"/>
    <w:rsid w:val="001B4800"/>
    <w:rsid w:val="001C187C"/>
    <w:rsid w:val="001C276C"/>
    <w:rsid w:val="001C64ED"/>
    <w:rsid w:val="001D1760"/>
    <w:rsid w:val="001D28F3"/>
    <w:rsid w:val="001D3767"/>
    <w:rsid w:val="001D636B"/>
    <w:rsid w:val="001D6D6C"/>
    <w:rsid w:val="001E5965"/>
    <w:rsid w:val="001E641B"/>
    <w:rsid w:val="001F1C87"/>
    <w:rsid w:val="002008DD"/>
    <w:rsid w:val="00203489"/>
    <w:rsid w:val="00204E23"/>
    <w:rsid w:val="00230CDC"/>
    <w:rsid w:val="002348E0"/>
    <w:rsid w:val="002349CB"/>
    <w:rsid w:val="0024162C"/>
    <w:rsid w:val="00242000"/>
    <w:rsid w:val="00242958"/>
    <w:rsid w:val="00242972"/>
    <w:rsid w:val="002520CC"/>
    <w:rsid w:val="002546F5"/>
    <w:rsid w:val="0026637B"/>
    <w:rsid w:val="00267644"/>
    <w:rsid w:val="0027629F"/>
    <w:rsid w:val="0028209E"/>
    <w:rsid w:val="002827B9"/>
    <w:rsid w:val="0029365C"/>
    <w:rsid w:val="0029443A"/>
    <w:rsid w:val="0029615A"/>
    <w:rsid w:val="002A1B14"/>
    <w:rsid w:val="002A5D58"/>
    <w:rsid w:val="002B1B73"/>
    <w:rsid w:val="002B20A1"/>
    <w:rsid w:val="002B3B6D"/>
    <w:rsid w:val="002C151B"/>
    <w:rsid w:val="002C15CA"/>
    <w:rsid w:val="002C1D40"/>
    <w:rsid w:val="002D3175"/>
    <w:rsid w:val="002D4C72"/>
    <w:rsid w:val="002D4F2A"/>
    <w:rsid w:val="0031060D"/>
    <w:rsid w:val="00313257"/>
    <w:rsid w:val="00313EEB"/>
    <w:rsid w:val="00314674"/>
    <w:rsid w:val="00320DFD"/>
    <w:rsid w:val="00350743"/>
    <w:rsid w:val="00353188"/>
    <w:rsid w:val="003568A1"/>
    <w:rsid w:val="00361D71"/>
    <w:rsid w:val="00370CA1"/>
    <w:rsid w:val="00371383"/>
    <w:rsid w:val="00376C63"/>
    <w:rsid w:val="00382C0C"/>
    <w:rsid w:val="00386E17"/>
    <w:rsid w:val="00393E46"/>
    <w:rsid w:val="003A2597"/>
    <w:rsid w:val="003A789A"/>
    <w:rsid w:val="003C18AE"/>
    <w:rsid w:val="003C3D11"/>
    <w:rsid w:val="003D1063"/>
    <w:rsid w:val="003D7349"/>
    <w:rsid w:val="003E2910"/>
    <w:rsid w:val="003E2C21"/>
    <w:rsid w:val="003E4343"/>
    <w:rsid w:val="003E4D88"/>
    <w:rsid w:val="003F10C8"/>
    <w:rsid w:val="004076BE"/>
    <w:rsid w:val="0042096A"/>
    <w:rsid w:val="004247B8"/>
    <w:rsid w:val="00425275"/>
    <w:rsid w:val="0043066D"/>
    <w:rsid w:val="004339D8"/>
    <w:rsid w:val="00433B87"/>
    <w:rsid w:val="0045500C"/>
    <w:rsid w:val="00460B41"/>
    <w:rsid w:val="004616D7"/>
    <w:rsid w:val="00467164"/>
    <w:rsid w:val="004721BB"/>
    <w:rsid w:val="00475ADF"/>
    <w:rsid w:val="004827C9"/>
    <w:rsid w:val="00493276"/>
    <w:rsid w:val="004936BC"/>
    <w:rsid w:val="00497914"/>
    <w:rsid w:val="004A3E1A"/>
    <w:rsid w:val="004A6812"/>
    <w:rsid w:val="004A7C55"/>
    <w:rsid w:val="004C1C3C"/>
    <w:rsid w:val="004D28EE"/>
    <w:rsid w:val="004D4280"/>
    <w:rsid w:val="004D6B7E"/>
    <w:rsid w:val="004E7B6A"/>
    <w:rsid w:val="0050347B"/>
    <w:rsid w:val="00503B79"/>
    <w:rsid w:val="005217FE"/>
    <w:rsid w:val="00522A88"/>
    <w:rsid w:val="00522AD8"/>
    <w:rsid w:val="005251D2"/>
    <w:rsid w:val="0054218E"/>
    <w:rsid w:val="00543DD9"/>
    <w:rsid w:val="00552AFF"/>
    <w:rsid w:val="00553DDD"/>
    <w:rsid w:val="005562AB"/>
    <w:rsid w:val="005563B9"/>
    <w:rsid w:val="0055788D"/>
    <w:rsid w:val="005612F3"/>
    <w:rsid w:val="00561E84"/>
    <w:rsid w:val="00573088"/>
    <w:rsid w:val="005770E2"/>
    <w:rsid w:val="005866C1"/>
    <w:rsid w:val="00587C28"/>
    <w:rsid w:val="00591778"/>
    <w:rsid w:val="0059267A"/>
    <w:rsid w:val="005962CF"/>
    <w:rsid w:val="005A1496"/>
    <w:rsid w:val="005A2763"/>
    <w:rsid w:val="005A4EF0"/>
    <w:rsid w:val="005B4AE8"/>
    <w:rsid w:val="005C0529"/>
    <w:rsid w:val="005C27C6"/>
    <w:rsid w:val="005C5C86"/>
    <w:rsid w:val="005D2EF9"/>
    <w:rsid w:val="005E052A"/>
    <w:rsid w:val="005F2BF2"/>
    <w:rsid w:val="005F4E63"/>
    <w:rsid w:val="005F5524"/>
    <w:rsid w:val="005F7DA5"/>
    <w:rsid w:val="00602CB2"/>
    <w:rsid w:val="0060344F"/>
    <w:rsid w:val="00605346"/>
    <w:rsid w:val="006063DE"/>
    <w:rsid w:val="0061511A"/>
    <w:rsid w:val="00620B46"/>
    <w:rsid w:val="00622736"/>
    <w:rsid w:val="0062357E"/>
    <w:rsid w:val="006267F1"/>
    <w:rsid w:val="00644BC5"/>
    <w:rsid w:val="00644C3C"/>
    <w:rsid w:val="0065301B"/>
    <w:rsid w:val="006536CD"/>
    <w:rsid w:val="006540D9"/>
    <w:rsid w:val="0065659A"/>
    <w:rsid w:val="0066284C"/>
    <w:rsid w:val="00663672"/>
    <w:rsid w:val="00665BFB"/>
    <w:rsid w:val="00674A5E"/>
    <w:rsid w:val="00674E59"/>
    <w:rsid w:val="00675AA7"/>
    <w:rsid w:val="006775D8"/>
    <w:rsid w:val="00681001"/>
    <w:rsid w:val="0068313F"/>
    <w:rsid w:val="00684A58"/>
    <w:rsid w:val="00697E4B"/>
    <w:rsid w:val="006A5852"/>
    <w:rsid w:val="006A6ADD"/>
    <w:rsid w:val="006B3E31"/>
    <w:rsid w:val="006B43DB"/>
    <w:rsid w:val="006B5516"/>
    <w:rsid w:val="006C1FFD"/>
    <w:rsid w:val="006C46E4"/>
    <w:rsid w:val="006D1C3C"/>
    <w:rsid w:val="006E03AC"/>
    <w:rsid w:val="006E4D50"/>
    <w:rsid w:val="006F0D42"/>
    <w:rsid w:val="006F55A4"/>
    <w:rsid w:val="00705045"/>
    <w:rsid w:val="00712EAF"/>
    <w:rsid w:val="007155BE"/>
    <w:rsid w:val="00716994"/>
    <w:rsid w:val="00717F25"/>
    <w:rsid w:val="00725DC0"/>
    <w:rsid w:val="00736665"/>
    <w:rsid w:val="00737B9F"/>
    <w:rsid w:val="00754F16"/>
    <w:rsid w:val="00761AD1"/>
    <w:rsid w:val="00763DB7"/>
    <w:rsid w:val="00790133"/>
    <w:rsid w:val="00792A0E"/>
    <w:rsid w:val="007A2598"/>
    <w:rsid w:val="007A3E61"/>
    <w:rsid w:val="007C6071"/>
    <w:rsid w:val="007C7B37"/>
    <w:rsid w:val="007D3909"/>
    <w:rsid w:val="007D414B"/>
    <w:rsid w:val="007F0A9C"/>
    <w:rsid w:val="007F158A"/>
    <w:rsid w:val="007F4F8D"/>
    <w:rsid w:val="007F5F8D"/>
    <w:rsid w:val="00801602"/>
    <w:rsid w:val="008026CF"/>
    <w:rsid w:val="00803B0C"/>
    <w:rsid w:val="008058FE"/>
    <w:rsid w:val="00805D0D"/>
    <w:rsid w:val="00807220"/>
    <w:rsid w:val="00810EDA"/>
    <w:rsid w:val="00830968"/>
    <w:rsid w:val="00832AA3"/>
    <w:rsid w:val="00842072"/>
    <w:rsid w:val="008506EB"/>
    <w:rsid w:val="00855CC9"/>
    <w:rsid w:val="00861EB7"/>
    <w:rsid w:val="00863257"/>
    <w:rsid w:val="0086429A"/>
    <w:rsid w:val="00887599"/>
    <w:rsid w:val="00890A4C"/>
    <w:rsid w:val="008956A7"/>
    <w:rsid w:val="008A49D4"/>
    <w:rsid w:val="008A5620"/>
    <w:rsid w:val="008A674C"/>
    <w:rsid w:val="008A69D1"/>
    <w:rsid w:val="008B44FE"/>
    <w:rsid w:val="008B57DD"/>
    <w:rsid w:val="008B66BD"/>
    <w:rsid w:val="008B7A38"/>
    <w:rsid w:val="008D36A8"/>
    <w:rsid w:val="008D7832"/>
    <w:rsid w:val="00903FF9"/>
    <w:rsid w:val="00904F3F"/>
    <w:rsid w:val="00910747"/>
    <w:rsid w:val="00916157"/>
    <w:rsid w:val="00917864"/>
    <w:rsid w:val="00921DA3"/>
    <w:rsid w:val="00930600"/>
    <w:rsid w:val="00940D68"/>
    <w:rsid w:val="00946B50"/>
    <w:rsid w:val="00951684"/>
    <w:rsid w:val="00955A1B"/>
    <w:rsid w:val="00957836"/>
    <w:rsid w:val="009579C1"/>
    <w:rsid w:val="00961BA1"/>
    <w:rsid w:val="00970EDB"/>
    <w:rsid w:val="00970F01"/>
    <w:rsid w:val="009745CA"/>
    <w:rsid w:val="009A33FE"/>
    <w:rsid w:val="009B13FB"/>
    <w:rsid w:val="009C41CD"/>
    <w:rsid w:val="009D1E51"/>
    <w:rsid w:val="009D4F84"/>
    <w:rsid w:val="009E7631"/>
    <w:rsid w:val="009F0527"/>
    <w:rsid w:val="009F1CD1"/>
    <w:rsid w:val="009F549F"/>
    <w:rsid w:val="009F7928"/>
    <w:rsid w:val="00A0489E"/>
    <w:rsid w:val="00A13F6B"/>
    <w:rsid w:val="00A15637"/>
    <w:rsid w:val="00A21FD8"/>
    <w:rsid w:val="00A277CA"/>
    <w:rsid w:val="00A3544F"/>
    <w:rsid w:val="00A4375F"/>
    <w:rsid w:val="00A447A5"/>
    <w:rsid w:val="00A45473"/>
    <w:rsid w:val="00A470C8"/>
    <w:rsid w:val="00A57B8A"/>
    <w:rsid w:val="00A62535"/>
    <w:rsid w:val="00A71CC8"/>
    <w:rsid w:val="00A73758"/>
    <w:rsid w:val="00A8224D"/>
    <w:rsid w:val="00A84A6B"/>
    <w:rsid w:val="00A94E8C"/>
    <w:rsid w:val="00A94F66"/>
    <w:rsid w:val="00AB5877"/>
    <w:rsid w:val="00AC447C"/>
    <w:rsid w:val="00AC7EC8"/>
    <w:rsid w:val="00AD1A7C"/>
    <w:rsid w:val="00AD6225"/>
    <w:rsid w:val="00AE1219"/>
    <w:rsid w:val="00AE3869"/>
    <w:rsid w:val="00AE6C13"/>
    <w:rsid w:val="00AF113E"/>
    <w:rsid w:val="00AF1A52"/>
    <w:rsid w:val="00AF7AFF"/>
    <w:rsid w:val="00B054CC"/>
    <w:rsid w:val="00B065CE"/>
    <w:rsid w:val="00B07439"/>
    <w:rsid w:val="00B11E23"/>
    <w:rsid w:val="00B16054"/>
    <w:rsid w:val="00B200A5"/>
    <w:rsid w:val="00B23BE8"/>
    <w:rsid w:val="00B34AE0"/>
    <w:rsid w:val="00B35B12"/>
    <w:rsid w:val="00B35EA6"/>
    <w:rsid w:val="00B57C91"/>
    <w:rsid w:val="00B64ACF"/>
    <w:rsid w:val="00B64E66"/>
    <w:rsid w:val="00B67A7C"/>
    <w:rsid w:val="00B67B15"/>
    <w:rsid w:val="00B74DDB"/>
    <w:rsid w:val="00B774D1"/>
    <w:rsid w:val="00B81754"/>
    <w:rsid w:val="00B84712"/>
    <w:rsid w:val="00B87F9F"/>
    <w:rsid w:val="00B94DB6"/>
    <w:rsid w:val="00BA095A"/>
    <w:rsid w:val="00BB27EE"/>
    <w:rsid w:val="00BB7AF1"/>
    <w:rsid w:val="00BC5CEE"/>
    <w:rsid w:val="00BC75E6"/>
    <w:rsid w:val="00BD24A0"/>
    <w:rsid w:val="00BE172A"/>
    <w:rsid w:val="00C122A1"/>
    <w:rsid w:val="00C13D84"/>
    <w:rsid w:val="00C20C46"/>
    <w:rsid w:val="00C23C07"/>
    <w:rsid w:val="00C2474C"/>
    <w:rsid w:val="00C25C2C"/>
    <w:rsid w:val="00C26D8D"/>
    <w:rsid w:val="00C37AD1"/>
    <w:rsid w:val="00C37DE9"/>
    <w:rsid w:val="00C4158A"/>
    <w:rsid w:val="00C4202C"/>
    <w:rsid w:val="00C4692D"/>
    <w:rsid w:val="00C50796"/>
    <w:rsid w:val="00C51415"/>
    <w:rsid w:val="00C52F3B"/>
    <w:rsid w:val="00C60CB2"/>
    <w:rsid w:val="00C618F7"/>
    <w:rsid w:val="00C76F8D"/>
    <w:rsid w:val="00C82406"/>
    <w:rsid w:val="00C83F63"/>
    <w:rsid w:val="00C83FE0"/>
    <w:rsid w:val="00C85133"/>
    <w:rsid w:val="00C855C0"/>
    <w:rsid w:val="00C85E75"/>
    <w:rsid w:val="00C96F4F"/>
    <w:rsid w:val="00CA1DCA"/>
    <w:rsid w:val="00CA6690"/>
    <w:rsid w:val="00CB730A"/>
    <w:rsid w:val="00CB75C6"/>
    <w:rsid w:val="00CC1144"/>
    <w:rsid w:val="00CC4A9A"/>
    <w:rsid w:val="00CC70B2"/>
    <w:rsid w:val="00CC71A3"/>
    <w:rsid w:val="00CD423C"/>
    <w:rsid w:val="00CD6A67"/>
    <w:rsid w:val="00CD6BE3"/>
    <w:rsid w:val="00CD7B55"/>
    <w:rsid w:val="00CE78A0"/>
    <w:rsid w:val="00CF1A13"/>
    <w:rsid w:val="00CF24FB"/>
    <w:rsid w:val="00CF3ACE"/>
    <w:rsid w:val="00D27383"/>
    <w:rsid w:val="00D31736"/>
    <w:rsid w:val="00D36D87"/>
    <w:rsid w:val="00D41717"/>
    <w:rsid w:val="00D85988"/>
    <w:rsid w:val="00D928CE"/>
    <w:rsid w:val="00D942B2"/>
    <w:rsid w:val="00DA290C"/>
    <w:rsid w:val="00DB01B5"/>
    <w:rsid w:val="00DB1FE1"/>
    <w:rsid w:val="00DB58B3"/>
    <w:rsid w:val="00DB6CB8"/>
    <w:rsid w:val="00DD195B"/>
    <w:rsid w:val="00DD5104"/>
    <w:rsid w:val="00DD57FE"/>
    <w:rsid w:val="00DD6D79"/>
    <w:rsid w:val="00DD75B3"/>
    <w:rsid w:val="00DE1D10"/>
    <w:rsid w:val="00DE705D"/>
    <w:rsid w:val="00DE7B06"/>
    <w:rsid w:val="00DF102E"/>
    <w:rsid w:val="00DF714E"/>
    <w:rsid w:val="00E014D9"/>
    <w:rsid w:val="00E03F74"/>
    <w:rsid w:val="00E20755"/>
    <w:rsid w:val="00E2197D"/>
    <w:rsid w:val="00E25CDB"/>
    <w:rsid w:val="00E27D91"/>
    <w:rsid w:val="00E3062B"/>
    <w:rsid w:val="00E33599"/>
    <w:rsid w:val="00E37428"/>
    <w:rsid w:val="00E4050B"/>
    <w:rsid w:val="00E41204"/>
    <w:rsid w:val="00E452EA"/>
    <w:rsid w:val="00E538EF"/>
    <w:rsid w:val="00E540CE"/>
    <w:rsid w:val="00E540FA"/>
    <w:rsid w:val="00E63073"/>
    <w:rsid w:val="00E64636"/>
    <w:rsid w:val="00E702E9"/>
    <w:rsid w:val="00E7074E"/>
    <w:rsid w:val="00E754AB"/>
    <w:rsid w:val="00E76C81"/>
    <w:rsid w:val="00E829F9"/>
    <w:rsid w:val="00E85A0E"/>
    <w:rsid w:val="00E9031F"/>
    <w:rsid w:val="00EB2769"/>
    <w:rsid w:val="00EB3969"/>
    <w:rsid w:val="00EB6C05"/>
    <w:rsid w:val="00EB7715"/>
    <w:rsid w:val="00EC0BB8"/>
    <w:rsid w:val="00EC634E"/>
    <w:rsid w:val="00EC64DF"/>
    <w:rsid w:val="00EC6C2A"/>
    <w:rsid w:val="00EE1F43"/>
    <w:rsid w:val="00F061F8"/>
    <w:rsid w:val="00F11665"/>
    <w:rsid w:val="00F119F2"/>
    <w:rsid w:val="00F21617"/>
    <w:rsid w:val="00F235DC"/>
    <w:rsid w:val="00F27432"/>
    <w:rsid w:val="00F40862"/>
    <w:rsid w:val="00F43AD5"/>
    <w:rsid w:val="00F60DC4"/>
    <w:rsid w:val="00F720D5"/>
    <w:rsid w:val="00F73568"/>
    <w:rsid w:val="00F839AE"/>
    <w:rsid w:val="00F879A2"/>
    <w:rsid w:val="00F965A4"/>
    <w:rsid w:val="00FA72CB"/>
    <w:rsid w:val="00FA7323"/>
    <w:rsid w:val="00FA775F"/>
    <w:rsid w:val="00FC2E4A"/>
    <w:rsid w:val="00FC46BC"/>
    <w:rsid w:val="00FC77A8"/>
    <w:rsid w:val="00FD2E81"/>
    <w:rsid w:val="00FD479F"/>
    <w:rsid w:val="00FD5206"/>
    <w:rsid w:val="00FE00FF"/>
    <w:rsid w:val="00FE0AD1"/>
    <w:rsid w:val="00FE29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5637"/>
    <w:pPr>
      <w:widowControl w:val="0"/>
      <w:autoSpaceDE w:val="0"/>
      <w:autoSpaceDN w:val="0"/>
      <w:adjustRightInd w:val="0"/>
    </w:pPr>
    <w:rPr>
      <w:szCs w:val="24"/>
    </w:rPr>
  </w:style>
  <w:style w:type="paragraph" w:styleId="Heading1">
    <w:name w:val="heading 1"/>
    <w:basedOn w:val="Normal"/>
    <w:next w:val="Normal"/>
    <w:qFormat/>
    <w:rsid w:val="00A15637"/>
    <w:pPr>
      <w:keepNext/>
      <w:jc w:val="center"/>
      <w:outlineLvl w:val="0"/>
    </w:pPr>
    <w:rPr>
      <w:sz w:val="24"/>
    </w:rPr>
  </w:style>
  <w:style w:type="paragraph" w:styleId="Heading2">
    <w:name w:val="heading 2"/>
    <w:basedOn w:val="Normal"/>
    <w:next w:val="Normal"/>
    <w:qFormat/>
    <w:rsid w:val="00A1563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7">
    <w:name w:val="heading 7"/>
    <w:basedOn w:val="Normal"/>
    <w:next w:val="Normal"/>
    <w:qFormat/>
    <w:rsid w:val="00A15637"/>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15637"/>
  </w:style>
  <w:style w:type="paragraph" w:styleId="BodyText">
    <w:name w:val="Body Text"/>
    <w:basedOn w:val="Normal"/>
    <w:rsid w:val="00A15637"/>
    <w:rPr>
      <w:rFonts w:ascii="Courier" w:hAnsi="Courier"/>
      <w:sz w:val="24"/>
    </w:rPr>
  </w:style>
  <w:style w:type="paragraph" w:styleId="Header">
    <w:name w:val="header"/>
    <w:basedOn w:val="Normal"/>
    <w:rsid w:val="00A15637"/>
    <w:pPr>
      <w:tabs>
        <w:tab w:val="center" w:pos="4320"/>
        <w:tab w:val="right" w:pos="8640"/>
      </w:tabs>
    </w:pPr>
  </w:style>
  <w:style w:type="paragraph" w:styleId="Footer">
    <w:name w:val="footer"/>
    <w:basedOn w:val="Normal"/>
    <w:rsid w:val="00A15637"/>
    <w:pPr>
      <w:tabs>
        <w:tab w:val="center" w:pos="4320"/>
        <w:tab w:val="right" w:pos="8640"/>
      </w:tabs>
    </w:pPr>
  </w:style>
  <w:style w:type="character" w:styleId="PageNumber">
    <w:name w:val="page number"/>
    <w:basedOn w:val="DefaultParagraphFont"/>
    <w:rsid w:val="00A15637"/>
  </w:style>
  <w:style w:type="paragraph" w:styleId="BodyText2">
    <w:name w:val="Body Text 2"/>
    <w:basedOn w:val="Normal"/>
    <w:rsid w:val="00A156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rsid w:val="0059177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basedOn w:val="DefaultParagraphFont"/>
    <w:semiHidden/>
    <w:rsid w:val="008956A7"/>
    <w:rPr>
      <w:vertAlign w:val="superscript"/>
    </w:rPr>
  </w:style>
  <w:style w:type="paragraph" w:styleId="FootnoteText">
    <w:name w:val="footnote text"/>
    <w:basedOn w:val="Normal"/>
    <w:semiHidden/>
    <w:rsid w:val="00267644"/>
    <w:rPr>
      <w:szCs w:val="20"/>
    </w:rPr>
  </w:style>
  <w:style w:type="paragraph" w:styleId="NoSpacing">
    <w:name w:val="No Spacing"/>
    <w:uiPriority w:val="1"/>
    <w:qFormat/>
    <w:rsid w:val="00CF24FB"/>
    <w:rPr>
      <w:rFonts w:eastAsia="Calibri"/>
      <w:sz w:val="24"/>
      <w:szCs w:val="22"/>
    </w:rPr>
  </w:style>
  <w:style w:type="character" w:styleId="CommentReference">
    <w:name w:val="annotation reference"/>
    <w:basedOn w:val="DefaultParagraphFont"/>
    <w:rsid w:val="001F1C87"/>
    <w:rPr>
      <w:sz w:val="16"/>
      <w:szCs w:val="16"/>
    </w:rPr>
  </w:style>
  <w:style w:type="paragraph" w:styleId="CommentText">
    <w:name w:val="annotation text"/>
    <w:basedOn w:val="Normal"/>
    <w:link w:val="CommentTextChar"/>
    <w:rsid w:val="001F1C87"/>
    <w:rPr>
      <w:szCs w:val="20"/>
    </w:rPr>
  </w:style>
  <w:style w:type="character" w:customStyle="1" w:styleId="CommentTextChar">
    <w:name w:val="Comment Text Char"/>
    <w:basedOn w:val="DefaultParagraphFont"/>
    <w:link w:val="CommentText"/>
    <w:rsid w:val="001F1C87"/>
  </w:style>
  <w:style w:type="paragraph" w:styleId="CommentSubject">
    <w:name w:val="annotation subject"/>
    <w:basedOn w:val="CommentText"/>
    <w:next w:val="CommentText"/>
    <w:link w:val="CommentSubjectChar"/>
    <w:rsid w:val="001F1C87"/>
    <w:rPr>
      <w:b/>
      <w:bCs/>
    </w:rPr>
  </w:style>
  <w:style w:type="character" w:customStyle="1" w:styleId="CommentSubjectChar">
    <w:name w:val="Comment Subject Char"/>
    <w:basedOn w:val="CommentTextChar"/>
    <w:link w:val="CommentSubject"/>
    <w:rsid w:val="001F1C87"/>
    <w:rPr>
      <w:b/>
      <w:bCs/>
    </w:rPr>
  </w:style>
  <w:style w:type="paragraph" w:styleId="Revision">
    <w:name w:val="Revision"/>
    <w:hidden/>
    <w:uiPriority w:val="99"/>
    <w:semiHidden/>
    <w:rsid w:val="001F1C87"/>
    <w:rPr>
      <w:szCs w:val="24"/>
    </w:rPr>
  </w:style>
  <w:style w:type="character" w:styleId="Hyperlink">
    <w:name w:val="Hyperlink"/>
    <w:basedOn w:val="DefaultParagraphFont"/>
    <w:uiPriority w:val="99"/>
    <w:unhideWhenUsed/>
    <w:rsid w:val="00CD423C"/>
    <w:rPr>
      <w:color w:val="0000FF"/>
      <w:u w:val="single"/>
    </w:rPr>
  </w:style>
  <w:style w:type="paragraph" w:styleId="ListParagraph">
    <w:name w:val="List Paragraph"/>
    <w:basedOn w:val="Normal"/>
    <w:uiPriority w:val="34"/>
    <w:qFormat/>
    <w:rsid w:val="00F965A4"/>
    <w:pPr>
      <w:widowControl/>
      <w:autoSpaceDE/>
      <w:autoSpaceDN/>
      <w:adjustRightInd/>
      <w:ind w:left="720"/>
      <w:contextualSpacing/>
    </w:pPr>
    <w:rPr>
      <w:sz w:val="24"/>
    </w:rPr>
  </w:style>
  <w:style w:type="paragraph" w:styleId="PlainText">
    <w:name w:val="Plain Text"/>
    <w:basedOn w:val="Normal"/>
    <w:link w:val="PlainTextChar"/>
    <w:uiPriority w:val="99"/>
    <w:unhideWhenUsed/>
    <w:rsid w:val="00F965A4"/>
    <w:pPr>
      <w:widowControl/>
      <w:autoSpaceDE/>
      <w:autoSpaceDN/>
      <w:adjustRightInd/>
    </w:pPr>
    <w:rPr>
      <w:rFonts w:eastAsia="Calibri"/>
      <w:sz w:val="24"/>
    </w:rPr>
  </w:style>
  <w:style w:type="character" w:customStyle="1" w:styleId="PlainTextChar">
    <w:name w:val="Plain Text Char"/>
    <w:basedOn w:val="DefaultParagraphFont"/>
    <w:link w:val="PlainText"/>
    <w:uiPriority w:val="99"/>
    <w:rsid w:val="00F965A4"/>
    <w:rPr>
      <w:rFonts w:eastAsia="Calibri"/>
      <w:sz w:val="24"/>
      <w:szCs w:val="24"/>
    </w:rPr>
  </w:style>
</w:styles>
</file>

<file path=word/webSettings.xml><?xml version="1.0" encoding="utf-8"?>
<w:webSettings xmlns:r="http://schemas.openxmlformats.org/officeDocument/2006/relationships" xmlns:w="http://schemas.openxmlformats.org/wordprocessingml/2006/main">
  <w:divs>
    <w:div w:id="1175536761">
      <w:bodyDiv w:val="1"/>
      <w:marLeft w:val="0"/>
      <w:marRight w:val="0"/>
      <w:marTop w:val="0"/>
      <w:marBottom w:val="0"/>
      <w:divBdr>
        <w:top w:val="none" w:sz="0" w:space="0" w:color="auto"/>
        <w:left w:val="none" w:sz="0" w:space="0" w:color="auto"/>
        <w:bottom w:val="none" w:sz="0" w:space="0" w:color="auto"/>
        <w:right w:val="none" w:sz="0" w:space="0" w:color="auto"/>
      </w:divBdr>
    </w:div>
    <w:div w:id="200712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tc.wa.gov" TargetMode="Externa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TG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2009-10-21T07:00:00+00:00</OpenedDate>
    <Date1 xmlns="dc463f71-b30c-4ab2-9473-d307f9d35888">2009-11-25T08:00:00+00:00</Date1>
    <IsDocumentOrder xmlns="dc463f71-b30c-4ab2-9473-d307f9d35888" xsi:nil="true"/>
    <IsHighlyConfidential xmlns="dc463f71-b30c-4ab2-9473-d307f9d35888">false</IsHighlyConfidential>
    <CaseCompanyNames xmlns="dc463f71-b30c-4ab2-9473-d307f9d35888">COUSE'S SANITATION AND RECYCLE, INC.</CaseCompanyNames>
    <DocketNumber xmlns="dc463f71-b30c-4ab2-9473-d307f9d35888">091673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674E9B6718F7742869D68DA6A8E9EC2" ma:contentTypeVersion="131" ma:contentTypeDescription="" ma:contentTypeScope="" ma:versionID="13584126cc46f13c24371437ecbd9d5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E9D826-F006-40F3-8B94-57DB3F383113}"/>
</file>

<file path=customXml/itemProps2.xml><?xml version="1.0" encoding="utf-8"?>
<ds:datastoreItem xmlns:ds="http://schemas.openxmlformats.org/officeDocument/2006/customXml" ds:itemID="{C08F1D81-BDCE-4B2A-AF7F-D9033ECE1392}"/>
</file>

<file path=customXml/itemProps3.xml><?xml version="1.0" encoding="utf-8"?>
<ds:datastoreItem xmlns:ds="http://schemas.openxmlformats.org/officeDocument/2006/customXml" ds:itemID="{67899D74-8819-4C9E-BD10-D2F73F94DAE3}"/>
</file>

<file path=customXml/itemProps4.xml><?xml version="1.0" encoding="utf-8"?>
<ds:datastoreItem xmlns:ds="http://schemas.openxmlformats.org/officeDocument/2006/customXml" ds:itemID="{35BEA27D-F640-4315-A66E-D0CE42C6DC2E}"/>
</file>

<file path=customXml/itemProps5.xml><?xml version="1.0" encoding="utf-8"?>
<ds:datastoreItem xmlns:ds="http://schemas.openxmlformats.org/officeDocument/2006/customXml" ds:itemID="{F39C43A3-D0F9-4C99-88C3-CB364F490BBC}"/>
</file>

<file path=docProps/app.xml><?xml version="1.0" encoding="utf-8"?>
<Properties xmlns="http://schemas.openxmlformats.org/officeDocument/2006/extended-properties" xmlns:vt="http://schemas.openxmlformats.org/officeDocument/2006/docPropsVTypes">
  <Template>Normal</Template>
  <TotalTime>0</TotalTime>
  <Pages>2</Pages>
  <Words>526</Words>
  <Characters>3001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3520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Mickelson</dc:creator>
  <cp:keywords/>
  <dc:description/>
  <cp:lastModifiedBy>Lisa Wyse, Records Manager</cp:lastModifiedBy>
  <cp:revision>2</cp:revision>
  <cp:lastPrinted>2009-11-20T19:31:00Z</cp:lastPrinted>
  <dcterms:created xsi:type="dcterms:W3CDTF">2009-11-21T00:08:00Z</dcterms:created>
  <dcterms:modified xsi:type="dcterms:W3CDTF">2009-11-21T00:08:00Z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0x0101006E56B4D1795A2E4DB2F0B01679ED314A002674E9B6718F7742869D68DA6A8E9EC2</vt:lpwstr>
  </property>
  <property fmtid="{D5CDD505-2E9C-101B-9397-08002B2CF9AE}" pid="3" name="_docset_NoMedatataSyncRequired">
    <vt:lpwstr>False</vt:lpwstr>
  </property>
</Properties>
</file>