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Reply Brief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Joint Applicants’ </w:t>
      </w:r>
      <w:r w:rsidR="00C30396">
        <w:t>Response to Colville February 10 Letter</w:t>
      </w:r>
      <w:r>
        <w:t xml:space="preserve"> by email and U.S. 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D925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  <w:r>
              <w:rPr>
                <w:szCs w:val="24"/>
              </w:rPr>
              <w:t xml:space="preserve">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D9250C">
            <w:pPr>
              <w:rPr>
                <w:szCs w:val="24"/>
              </w:rPr>
            </w:pPr>
            <w:hyperlink r:id="rId19" w:history="1">
              <w:r w:rsidR="00F57F84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D9250C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 w:rsidR="00F57F84"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ED this _________ day of February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D925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9250C">
      <w:rPr>
        <w:rStyle w:val="PageNumber"/>
      </w:rPr>
      <w:fldChar w:fldCharType="separate"/>
    </w:r>
    <w:r w:rsidR="00C30396">
      <w:rPr>
        <w:rStyle w:val="PageNumber"/>
        <w:noProof/>
      </w:rPr>
      <w:t>2</w:t>
    </w:r>
    <w:r w:rsidR="00D9250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6E0C23"/>
    <w:rsid w:val="00757D07"/>
    <w:rsid w:val="00792533"/>
    <w:rsid w:val="00C30396"/>
    <w:rsid w:val="00D56701"/>
    <w:rsid w:val="00D9250C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D18A8-5C64-4F06-B82E-BA5C293FAABF}"/>
</file>

<file path=customXml/itemProps2.xml><?xml version="1.0" encoding="utf-8"?>
<ds:datastoreItem xmlns:ds="http://schemas.openxmlformats.org/officeDocument/2006/customXml" ds:itemID="{FAF79B27-F187-4613-AE16-7415745F65BF}"/>
</file>

<file path=customXml/itemProps3.xml><?xml version="1.0" encoding="utf-8"?>
<ds:datastoreItem xmlns:ds="http://schemas.openxmlformats.org/officeDocument/2006/customXml" ds:itemID="{45ED4933-FC64-4A1F-89E0-61A078E7650F}"/>
</file>

<file path=customXml/itemProps4.xml><?xml version="1.0" encoding="utf-8"?>
<ds:datastoreItem xmlns:ds="http://schemas.openxmlformats.org/officeDocument/2006/customXml" ds:itemID="{0029ABE3-B95C-4DC7-A4E1-A630EEB0C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3106</Characters>
  <Application>Microsoft Office Word</Application>
  <DocSecurity>0</DocSecurity>
  <Lines>25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2010-12-30T17:12:00Z</cp:lastPrinted>
  <dcterms:created xsi:type="dcterms:W3CDTF">2011-02-23T00:30:00Z</dcterms:created>
  <dcterms:modified xsi:type="dcterms:W3CDTF">2011-02-23T00:30:00Z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