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86D8" w14:textId="77777777" w:rsidR="009749FA" w:rsidRPr="00383668" w:rsidRDefault="009749FA" w:rsidP="009749FA">
      <w:pPr>
        <w:ind w:left="-180" w:right="-162"/>
        <w:jc w:val="center"/>
        <w:rPr>
          <w:rFonts w:cs="Times New Roman"/>
        </w:rPr>
      </w:pPr>
      <w:r w:rsidRPr="00383668">
        <w:rPr>
          <w:rFonts w:cs="Times New Roman"/>
        </w:rPr>
        <w:t>BEFORE THE WASHINGTON UTILITIES AND TRANSPORTATION COMMISSION</w:t>
      </w:r>
    </w:p>
    <w:p w14:paraId="170A86D9" w14:textId="77777777" w:rsidR="009749FA" w:rsidRPr="00383668" w:rsidRDefault="009749FA" w:rsidP="009749FA">
      <w:pPr>
        <w:ind w:right="18"/>
        <w:jc w:val="both"/>
        <w:rPr>
          <w:rFonts w:cs="Times New Roman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9749FA" w:rsidRPr="00383668" w14:paraId="170A86E8" w14:textId="77777777" w:rsidTr="002F0E1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70A86DA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 xml:space="preserve">WASHINGTON UTILITIES AND TRANSPORTATION COMMISSION, </w:t>
            </w:r>
          </w:p>
          <w:p w14:paraId="170A86DB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</w:p>
          <w:p w14:paraId="170A86DC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ab/>
            </w:r>
            <w:r w:rsidRPr="00383668">
              <w:rPr>
                <w:rFonts w:cs="Times New Roman"/>
              </w:rPr>
              <w:tab/>
              <w:t>Complainant,</w:t>
            </w:r>
          </w:p>
          <w:p w14:paraId="170A86DD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</w:p>
          <w:p w14:paraId="170A86DE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ab/>
              <w:t>v.</w:t>
            </w:r>
          </w:p>
          <w:p w14:paraId="170A86DF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</w:p>
          <w:p w14:paraId="170A86E0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 xml:space="preserve">PACIFICORP d/b/a PACIFIC POWER &amp; LIGHT COMPANY, </w:t>
            </w:r>
          </w:p>
          <w:p w14:paraId="170A86E1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</w:p>
          <w:p w14:paraId="170A86E2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  <w:r w:rsidRPr="00383668">
              <w:rPr>
                <w:rFonts w:cs="Times New Roman"/>
              </w:rPr>
              <w:tab/>
            </w:r>
            <w:r w:rsidRPr="00383668">
              <w:rPr>
                <w:rFonts w:cs="Times New Roman"/>
              </w:rPr>
              <w:tab/>
              <w:t>Respondent.</w:t>
            </w:r>
          </w:p>
          <w:p w14:paraId="170A86E3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0A86E4" w14:textId="77777777" w:rsidR="009749FA" w:rsidRPr="00383668" w:rsidRDefault="009749FA" w:rsidP="002F0E17">
            <w:pPr>
              <w:ind w:right="18" w:firstLine="416"/>
              <w:rPr>
                <w:rFonts w:cs="Times New Roman"/>
              </w:rPr>
            </w:pPr>
            <w:r w:rsidRPr="00383668">
              <w:rPr>
                <w:rFonts w:cs="Times New Roman"/>
              </w:rPr>
              <w:t xml:space="preserve">DOCKET UE-100749 </w:t>
            </w:r>
          </w:p>
          <w:p w14:paraId="170A86E5" w14:textId="77777777" w:rsidR="009749FA" w:rsidRPr="00383668" w:rsidRDefault="009749FA" w:rsidP="002F0E17">
            <w:pPr>
              <w:ind w:right="18" w:firstLine="416"/>
              <w:rPr>
                <w:rFonts w:cs="Times New Roman"/>
              </w:rPr>
            </w:pPr>
          </w:p>
          <w:p w14:paraId="170A86E6" w14:textId="77777777" w:rsidR="009749FA" w:rsidRPr="00383668" w:rsidRDefault="009749FA" w:rsidP="002F0E17">
            <w:pPr>
              <w:ind w:left="416"/>
              <w:rPr>
                <w:rFonts w:cs="Times New Roman"/>
              </w:rPr>
            </w:pPr>
            <w:r w:rsidRPr="00383668">
              <w:rPr>
                <w:rFonts w:cs="Times New Roman"/>
              </w:rPr>
              <w:t>COMMISSION STAFF</w:t>
            </w:r>
            <w:r w:rsidR="006817C4">
              <w:rPr>
                <w:rFonts w:cs="Times New Roman"/>
              </w:rPr>
              <w:t>’S</w:t>
            </w:r>
            <w:r w:rsidRPr="00383668">
              <w:rPr>
                <w:rFonts w:cs="Times New Roman"/>
              </w:rPr>
              <w:t xml:space="preserve"> RESPONSE </w:t>
            </w:r>
            <w:r w:rsidR="00E14684" w:rsidRPr="00383668">
              <w:rPr>
                <w:rFonts w:cs="Times New Roman"/>
              </w:rPr>
              <w:t>TO</w:t>
            </w:r>
            <w:r w:rsidRPr="00383668">
              <w:rPr>
                <w:rFonts w:cs="Times New Roman"/>
              </w:rPr>
              <w:t xml:space="preserve"> PACIFICORP’S COMPLIANCE FILING </w:t>
            </w:r>
            <w:r w:rsidR="009332F6">
              <w:rPr>
                <w:rFonts w:cs="Times New Roman"/>
              </w:rPr>
              <w:t xml:space="preserve">OF </w:t>
            </w:r>
            <w:r w:rsidR="009332F6" w:rsidRPr="00383668">
              <w:rPr>
                <w:rFonts w:cs="Times New Roman"/>
              </w:rPr>
              <w:t>OCTOBER 3, 2014</w:t>
            </w:r>
          </w:p>
          <w:p w14:paraId="170A86E7" w14:textId="77777777" w:rsidR="009749FA" w:rsidRPr="00383668" w:rsidRDefault="009749FA" w:rsidP="002F0E17">
            <w:pPr>
              <w:ind w:right="18"/>
              <w:rPr>
                <w:rFonts w:cs="Times New Roman"/>
              </w:rPr>
            </w:pPr>
          </w:p>
        </w:tc>
      </w:tr>
    </w:tbl>
    <w:p w14:paraId="170A86E9" w14:textId="77777777" w:rsidR="009749FA" w:rsidRPr="009D608C" w:rsidRDefault="009749FA" w:rsidP="009749FA">
      <w:pPr>
        <w:ind w:right="18"/>
        <w:jc w:val="both"/>
        <w:rPr>
          <w:rFonts w:cs="Times New Roman"/>
          <w:szCs w:val="24"/>
        </w:rPr>
      </w:pPr>
    </w:p>
    <w:p w14:paraId="060999B9" w14:textId="2A2FB8D5" w:rsidR="00417006" w:rsidRPr="002149CD" w:rsidRDefault="002149CD" w:rsidP="002149CD">
      <w:pPr>
        <w:pStyle w:val="ListParagraph"/>
        <w:numPr>
          <w:ilvl w:val="0"/>
          <w:numId w:val="3"/>
        </w:numPr>
        <w:spacing w:line="480" w:lineRule="auto"/>
        <w:ind w:left="0" w:firstLine="0"/>
        <w:jc w:val="center"/>
        <w:rPr>
          <w:b/>
          <w:szCs w:val="24"/>
        </w:rPr>
      </w:pPr>
      <w:r w:rsidRPr="002149CD">
        <w:rPr>
          <w:b/>
          <w:szCs w:val="24"/>
        </w:rPr>
        <w:t>INTRODUCTION</w:t>
      </w:r>
    </w:p>
    <w:p w14:paraId="4B5EB9E5" w14:textId="5A0FA280" w:rsidR="00417006" w:rsidRPr="009D608C" w:rsidRDefault="009749FA" w:rsidP="00A46B50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9D608C">
        <w:rPr>
          <w:szCs w:val="24"/>
        </w:rPr>
        <w:tab/>
      </w:r>
      <w:r w:rsidR="003D3F88" w:rsidRPr="009D608C">
        <w:rPr>
          <w:szCs w:val="24"/>
        </w:rPr>
        <w:t>Commission Staff submit</w:t>
      </w:r>
      <w:r w:rsidR="006817C4" w:rsidRPr="009D608C">
        <w:rPr>
          <w:szCs w:val="24"/>
        </w:rPr>
        <w:t>s</w:t>
      </w:r>
      <w:r w:rsidR="003D3F88" w:rsidRPr="009D608C">
        <w:rPr>
          <w:szCs w:val="24"/>
        </w:rPr>
        <w:t xml:space="preserve"> this </w:t>
      </w:r>
      <w:r w:rsidR="00CA3E35" w:rsidRPr="009D608C">
        <w:rPr>
          <w:szCs w:val="24"/>
        </w:rPr>
        <w:t xml:space="preserve">response </w:t>
      </w:r>
      <w:r w:rsidR="003D3F88" w:rsidRPr="009D608C">
        <w:rPr>
          <w:szCs w:val="24"/>
        </w:rPr>
        <w:t>in support</w:t>
      </w:r>
      <w:r w:rsidR="001A1F7A" w:rsidRPr="009D608C">
        <w:rPr>
          <w:szCs w:val="24"/>
        </w:rPr>
        <w:t xml:space="preserve"> </w:t>
      </w:r>
      <w:r w:rsidR="003D3F88" w:rsidRPr="009D608C">
        <w:rPr>
          <w:szCs w:val="24"/>
        </w:rPr>
        <w:t>of PacifiCorp’s</w:t>
      </w:r>
      <w:r w:rsidR="008B1317">
        <w:rPr>
          <w:szCs w:val="24"/>
        </w:rPr>
        <w:t xml:space="preserve"> compliance</w:t>
      </w:r>
      <w:r w:rsidR="003D3F88" w:rsidRPr="009D608C">
        <w:rPr>
          <w:szCs w:val="24"/>
        </w:rPr>
        <w:t xml:space="preserve"> </w:t>
      </w:r>
      <w:r w:rsidR="008B1317" w:rsidRPr="009D608C">
        <w:rPr>
          <w:szCs w:val="24"/>
        </w:rPr>
        <w:t xml:space="preserve">filing </w:t>
      </w:r>
      <w:r w:rsidR="008B1317">
        <w:rPr>
          <w:szCs w:val="24"/>
        </w:rPr>
        <w:t xml:space="preserve">of </w:t>
      </w:r>
      <w:r w:rsidR="003D3F88" w:rsidRPr="009D608C">
        <w:rPr>
          <w:szCs w:val="24"/>
        </w:rPr>
        <w:t>October 3</w:t>
      </w:r>
      <w:r w:rsidR="00CA3E35" w:rsidRPr="009D608C">
        <w:rPr>
          <w:szCs w:val="24"/>
        </w:rPr>
        <w:t>, 2014</w:t>
      </w:r>
      <w:r w:rsidR="00085FF0" w:rsidRPr="009D608C">
        <w:rPr>
          <w:szCs w:val="24"/>
        </w:rPr>
        <w:t>,</w:t>
      </w:r>
      <w:r w:rsidR="00CA3E35" w:rsidRPr="009D608C">
        <w:rPr>
          <w:szCs w:val="24"/>
        </w:rPr>
        <w:t xml:space="preserve"> </w:t>
      </w:r>
      <w:r w:rsidR="006674AD" w:rsidRPr="009D608C">
        <w:rPr>
          <w:szCs w:val="24"/>
        </w:rPr>
        <w:t>request</w:t>
      </w:r>
      <w:r w:rsidR="00E14684" w:rsidRPr="009D608C">
        <w:rPr>
          <w:szCs w:val="24"/>
        </w:rPr>
        <w:t>ing</w:t>
      </w:r>
      <w:r w:rsidR="006674AD" w:rsidRPr="009D608C">
        <w:rPr>
          <w:szCs w:val="24"/>
        </w:rPr>
        <w:t xml:space="preserve"> a true-</w:t>
      </w:r>
      <w:r w:rsidR="00CA3E35" w:rsidRPr="009D608C">
        <w:rPr>
          <w:szCs w:val="24"/>
        </w:rPr>
        <w:t xml:space="preserve">up of </w:t>
      </w:r>
      <w:r w:rsidR="00914A79" w:rsidRPr="009D608C">
        <w:rPr>
          <w:szCs w:val="24"/>
        </w:rPr>
        <w:t xml:space="preserve">net </w:t>
      </w:r>
      <w:r w:rsidR="009332F6" w:rsidRPr="009D608C">
        <w:rPr>
          <w:szCs w:val="24"/>
        </w:rPr>
        <w:t>renewable energy credit (“</w:t>
      </w:r>
      <w:r w:rsidR="00CA3E35" w:rsidRPr="009D608C">
        <w:rPr>
          <w:szCs w:val="24"/>
        </w:rPr>
        <w:t>REC</w:t>
      </w:r>
      <w:r w:rsidR="009332F6" w:rsidRPr="009D608C">
        <w:rPr>
          <w:szCs w:val="24"/>
        </w:rPr>
        <w:t>”)</w:t>
      </w:r>
      <w:r w:rsidR="00CA3E35" w:rsidRPr="009D608C">
        <w:rPr>
          <w:szCs w:val="24"/>
        </w:rPr>
        <w:t xml:space="preserve"> sale proceeds</w:t>
      </w:r>
      <w:r w:rsidR="00914A79" w:rsidRPr="009D608C">
        <w:rPr>
          <w:szCs w:val="24"/>
        </w:rPr>
        <w:t xml:space="preserve"> from April 3, 2011</w:t>
      </w:r>
      <w:r w:rsidR="00085FF0" w:rsidRPr="009D608C">
        <w:rPr>
          <w:szCs w:val="24"/>
        </w:rPr>
        <w:t>,</w:t>
      </w:r>
      <w:r w:rsidR="00CA3E35" w:rsidRPr="009D608C">
        <w:rPr>
          <w:szCs w:val="24"/>
        </w:rPr>
        <w:t xml:space="preserve"> through December 31, 2013</w:t>
      </w:r>
      <w:r w:rsidR="006817C4" w:rsidRPr="009D608C">
        <w:rPr>
          <w:szCs w:val="24"/>
        </w:rPr>
        <w:t>, with conditions</w:t>
      </w:r>
      <w:r w:rsidR="00CA3E35" w:rsidRPr="009D608C">
        <w:rPr>
          <w:szCs w:val="24"/>
        </w:rPr>
        <w:t>.</w:t>
      </w:r>
      <w:r w:rsidR="00E14684" w:rsidRPr="009D608C">
        <w:rPr>
          <w:szCs w:val="24"/>
        </w:rPr>
        <w:t xml:space="preserve"> </w:t>
      </w:r>
      <w:r w:rsidR="00371766" w:rsidRPr="009D608C">
        <w:rPr>
          <w:szCs w:val="24"/>
        </w:rPr>
        <w:t xml:space="preserve"> </w:t>
      </w:r>
      <w:r w:rsidR="00417006" w:rsidRPr="009D608C">
        <w:rPr>
          <w:szCs w:val="24"/>
        </w:rPr>
        <w:t xml:space="preserve">Commission Staff supports </w:t>
      </w:r>
      <w:r w:rsidR="009D608C">
        <w:rPr>
          <w:szCs w:val="24"/>
        </w:rPr>
        <w:t xml:space="preserve">a rate adjustment </w:t>
      </w:r>
      <w:r w:rsidR="008B1317">
        <w:rPr>
          <w:szCs w:val="24"/>
        </w:rPr>
        <w:t xml:space="preserve">that is </w:t>
      </w:r>
      <w:r w:rsidR="009D608C">
        <w:rPr>
          <w:szCs w:val="24"/>
        </w:rPr>
        <w:t>limited to</w:t>
      </w:r>
      <w:r w:rsidR="00417006" w:rsidRPr="009D608C">
        <w:rPr>
          <w:szCs w:val="24"/>
        </w:rPr>
        <w:t xml:space="preserve"> $5,063,704 to recover the over-credited REC sale proceeds</w:t>
      </w:r>
      <w:r w:rsidR="009D608C">
        <w:rPr>
          <w:szCs w:val="24"/>
        </w:rPr>
        <w:t xml:space="preserve">, including </w:t>
      </w:r>
      <w:r w:rsidR="00417006" w:rsidRPr="009D608C">
        <w:rPr>
          <w:szCs w:val="24"/>
        </w:rPr>
        <w:t xml:space="preserve">interest accrued </w:t>
      </w:r>
      <w:r w:rsidR="009D608C">
        <w:rPr>
          <w:szCs w:val="24"/>
        </w:rPr>
        <w:t>until</w:t>
      </w:r>
      <w:r w:rsidR="00417006" w:rsidRPr="009D608C">
        <w:rPr>
          <w:szCs w:val="24"/>
        </w:rPr>
        <w:t xml:space="preserve"> November 16, 2014.</w:t>
      </w:r>
      <w:r w:rsidR="006833B8" w:rsidRPr="009D608C">
        <w:rPr>
          <w:szCs w:val="24"/>
        </w:rPr>
        <w:t xml:space="preserve">  In addition, to mitigate the rate impact on customers, Staff proposes that the adjustment be recovered through monthly bill adjustments over a two-year period.</w:t>
      </w:r>
    </w:p>
    <w:p w14:paraId="170A86EB" w14:textId="009D141D" w:rsidR="00371766" w:rsidRPr="002149CD" w:rsidRDefault="002149CD" w:rsidP="002149CD">
      <w:pPr>
        <w:pStyle w:val="ListParagraph"/>
        <w:numPr>
          <w:ilvl w:val="0"/>
          <w:numId w:val="3"/>
        </w:numPr>
        <w:spacing w:line="480" w:lineRule="auto"/>
        <w:ind w:left="0" w:firstLine="0"/>
        <w:jc w:val="center"/>
        <w:rPr>
          <w:b/>
          <w:szCs w:val="24"/>
        </w:rPr>
      </w:pPr>
      <w:r w:rsidRPr="002149CD">
        <w:rPr>
          <w:b/>
          <w:szCs w:val="24"/>
        </w:rPr>
        <w:t>BACKGROUND</w:t>
      </w:r>
    </w:p>
    <w:p w14:paraId="170A86EC" w14:textId="091237D9" w:rsidR="00914A79" w:rsidRPr="009D608C" w:rsidRDefault="00371766" w:rsidP="009E4927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9D608C">
        <w:rPr>
          <w:szCs w:val="24"/>
        </w:rPr>
        <w:t xml:space="preserve"> </w:t>
      </w:r>
      <w:r w:rsidRPr="009D608C">
        <w:rPr>
          <w:szCs w:val="24"/>
        </w:rPr>
        <w:tab/>
      </w:r>
      <w:r w:rsidR="001A1F7A" w:rsidRPr="009D608C">
        <w:rPr>
          <w:szCs w:val="24"/>
        </w:rPr>
        <w:t>In Order 06 of PacifiCorp’s 20</w:t>
      </w:r>
      <w:r w:rsidR="0045401A" w:rsidRPr="009D608C">
        <w:rPr>
          <w:szCs w:val="24"/>
        </w:rPr>
        <w:t>10 general rate case, Docket UE-</w:t>
      </w:r>
      <w:r w:rsidR="001A1F7A" w:rsidRPr="009D608C">
        <w:rPr>
          <w:szCs w:val="24"/>
        </w:rPr>
        <w:t>100749, the Commission ordered the Company to establish a mechanism to credit customers for REC sale proceeds.</w:t>
      </w:r>
      <w:r w:rsidR="001A1F7A" w:rsidRPr="009D608C">
        <w:rPr>
          <w:rStyle w:val="FootnoteReference"/>
          <w:szCs w:val="24"/>
        </w:rPr>
        <w:footnoteReference w:id="1"/>
      </w:r>
      <w:r w:rsidR="007B25FB" w:rsidRPr="009D608C">
        <w:rPr>
          <w:szCs w:val="24"/>
        </w:rPr>
        <w:t xml:space="preserve"> </w:t>
      </w:r>
      <w:r w:rsidR="00383668" w:rsidRPr="009D608C">
        <w:rPr>
          <w:szCs w:val="24"/>
        </w:rPr>
        <w:t xml:space="preserve"> </w:t>
      </w:r>
      <w:r w:rsidR="007B25FB" w:rsidRPr="009D608C">
        <w:rPr>
          <w:szCs w:val="24"/>
        </w:rPr>
        <w:t xml:space="preserve">In Order 10, the Commission </w:t>
      </w:r>
      <w:r w:rsidR="00D64552" w:rsidRPr="009D608C">
        <w:rPr>
          <w:szCs w:val="24"/>
        </w:rPr>
        <w:t>clarified that the mechanism should be based on actual REC sale proceeds, rather than for</w:t>
      </w:r>
      <w:r w:rsidR="00993D48" w:rsidRPr="009D608C">
        <w:rPr>
          <w:szCs w:val="24"/>
        </w:rPr>
        <w:t>e</w:t>
      </w:r>
      <w:r w:rsidR="00D64552" w:rsidRPr="009D608C">
        <w:rPr>
          <w:szCs w:val="24"/>
        </w:rPr>
        <w:t xml:space="preserve">casted amounts with a true-up, and </w:t>
      </w:r>
      <w:r w:rsidR="001B1452" w:rsidRPr="009D608C">
        <w:rPr>
          <w:szCs w:val="24"/>
        </w:rPr>
        <w:t xml:space="preserve">it </w:t>
      </w:r>
      <w:r w:rsidR="006955A2" w:rsidRPr="009D608C">
        <w:rPr>
          <w:szCs w:val="24"/>
        </w:rPr>
        <w:t>required</w:t>
      </w:r>
      <w:r w:rsidR="007B25FB" w:rsidRPr="009D608C">
        <w:rPr>
          <w:szCs w:val="24"/>
        </w:rPr>
        <w:t xml:space="preserve"> the parties to develop an appropriate mechanism </w:t>
      </w:r>
      <w:r w:rsidR="00993D48" w:rsidRPr="009D608C">
        <w:rPr>
          <w:szCs w:val="24"/>
        </w:rPr>
        <w:t>consistent with its guidance</w:t>
      </w:r>
      <w:r w:rsidR="006955A2" w:rsidRPr="009D608C">
        <w:rPr>
          <w:szCs w:val="24"/>
        </w:rPr>
        <w:t>.</w:t>
      </w:r>
      <w:r w:rsidR="006955A2" w:rsidRPr="009D608C">
        <w:rPr>
          <w:rStyle w:val="FootnoteReference"/>
          <w:szCs w:val="24"/>
        </w:rPr>
        <w:footnoteReference w:id="2"/>
      </w:r>
      <w:r w:rsidR="006955A2" w:rsidRPr="009D608C">
        <w:rPr>
          <w:szCs w:val="24"/>
        </w:rPr>
        <w:t xml:space="preserve">  </w:t>
      </w:r>
    </w:p>
    <w:p w14:paraId="170A86ED" w14:textId="77777777" w:rsidR="00914A79" w:rsidRPr="009D608C" w:rsidRDefault="00914A79" w:rsidP="009E4927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9D608C">
        <w:rPr>
          <w:szCs w:val="24"/>
        </w:rPr>
        <w:lastRenderedPageBreak/>
        <w:t xml:space="preserve">    </w:t>
      </w:r>
      <w:r w:rsidRPr="009D608C">
        <w:rPr>
          <w:szCs w:val="24"/>
        </w:rPr>
        <w:tab/>
      </w:r>
      <w:r w:rsidR="006955A2" w:rsidRPr="009D608C">
        <w:rPr>
          <w:szCs w:val="24"/>
        </w:rPr>
        <w:t>On February 28, 2013, PacifiCorp,</w:t>
      </w:r>
      <w:r w:rsidR="006817C4" w:rsidRPr="009D608C">
        <w:rPr>
          <w:szCs w:val="24"/>
        </w:rPr>
        <w:t xml:space="preserve"> Commission Staff, Public Counsel</w:t>
      </w:r>
      <w:r w:rsidR="006955A2" w:rsidRPr="009D608C">
        <w:rPr>
          <w:szCs w:val="24"/>
        </w:rPr>
        <w:t xml:space="preserve">, and the Industrial </w:t>
      </w:r>
      <w:r w:rsidR="009332F6" w:rsidRPr="009D608C">
        <w:rPr>
          <w:szCs w:val="24"/>
        </w:rPr>
        <w:t>Customers</w:t>
      </w:r>
      <w:r w:rsidR="006955A2" w:rsidRPr="009D608C">
        <w:rPr>
          <w:szCs w:val="24"/>
        </w:rPr>
        <w:t xml:space="preserve"> of Northwest Utilities filed a joint letter with the Commission</w:t>
      </w:r>
      <w:r w:rsidR="00993D48" w:rsidRPr="009D608C">
        <w:rPr>
          <w:szCs w:val="24"/>
        </w:rPr>
        <w:t xml:space="preserve"> describing the parties’ agreed-upon mechanism proposal</w:t>
      </w:r>
      <w:r w:rsidR="007B0004" w:rsidRPr="009D608C">
        <w:rPr>
          <w:szCs w:val="24"/>
        </w:rPr>
        <w:t xml:space="preserve"> as well as an agreed-upon May 1 filing each year with a rate adjustment, if necessary, on June 1</w:t>
      </w:r>
      <w:r w:rsidR="00993D48" w:rsidRPr="009D608C">
        <w:rPr>
          <w:szCs w:val="24"/>
        </w:rPr>
        <w:t>.</w:t>
      </w:r>
      <w:r w:rsidR="00993D48" w:rsidRPr="009D608C">
        <w:rPr>
          <w:rStyle w:val="FootnoteReference"/>
          <w:szCs w:val="24"/>
        </w:rPr>
        <w:footnoteReference w:id="3"/>
      </w:r>
      <w:r w:rsidR="00993D48" w:rsidRPr="009D608C">
        <w:rPr>
          <w:szCs w:val="24"/>
        </w:rPr>
        <w:t xml:space="preserve">  </w:t>
      </w:r>
      <w:r w:rsidR="007B0004" w:rsidRPr="009D608C">
        <w:rPr>
          <w:szCs w:val="24"/>
        </w:rPr>
        <w:t>The Commission</w:t>
      </w:r>
      <w:r w:rsidR="006720FF" w:rsidRPr="009D608C">
        <w:rPr>
          <w:szCs w:val="24"/>
        </w:rPr>
        <w:t xml:space="preserve"> </w:t>
      </w:r>
      <w:r w:rsidR="006817C4" w:rsidRPr="009D608C">
        <w:rPr>
          <w:szCs w:val="24"/>
        </w:rPr>
        <w:t>did not</w:t>
      </w:r>
      <w:r w:rsidR="006720FF" w:rsidRPr="009D608C">
        <w:rPr>
          <w:szCs w:val="24"/>
        </w:rPr>
        <w:t xml:space="preserve"> establish</w:t>
      </w:r>
      <w:r w:rsidR="006817C4" w:rsidRPr="009D608C">
        <w:rPr>
          <w:szCs w:val="24"/>
        </w:rPr>
        <w:t xml:space="preserve"> or approve such</w:t>
      </w:r>
      <w:r w:rsidR="006720FF" w:rsidRPr="009D608C">
        <w:rPr>
          <w:szCs w:val="24"/>
        </w:rPr>
        <w:t xml:space="preserve"> a mechanism due to PacifiCorp’s judicial appeal</w:t>
      </w:r>
      <w:r w:rsidR="001B1452" w:rsidRPr="009D608C">
        <w:rPr>
          <w:szCs w:val="24"/>
        </w:rPr>
        <w:t xml:space="preserve"> </w:t>
      </w:r>
      <w:r w:rsidR="002B02DF" w:rsidRPr="009D608C">
        <w:rPr>
          <w:szCs w:val="24"/>
        </w:rPr>
        <w:t>regarding</w:t>
      </w:r>
      <w:r w:rsidR="001B1452" w:rsidRPr="009D608C">
        <w:rPr>
          <w:szCs w:val="24"/>
        </w:rPr>
        <w:t xml:space="preserve"> historical REC revenues (January 1, 2009</w:t>
      </w:r>
      <w:r w:rsidR="00085FF0" w:rsidRPr="009D608C">
        <w:rPr>
          <w:szCs w:val="24"/>
        </w:rPr>
        <w:t>,</w:t>
      </w:r>
      <w:r w:rsidR="001B1452" w:rsidRPr="009D608C">
        <w:rPr>
          <w:szCs w:val="24"/>
        </w:rPr>
        <w:t xml:space="preserve"> through April 2, 2011)</w:t>
      </w:r>
      <w:r w:rsidR="006720FF" w:rsidRPr="009D608C">
        <w:rPr>
          <w:szCs w:val="24"/>
        </w:rPr>
        <w:t xml:space="preserve">, but it extended the </w:t>
      </w:r>
      <w:r w:rsidR="006817C4" w:rsidRPr="009D608C">
        <w:rPr>
          <w:szCs w:val="24"/>
        </w:rPr>
        <w:t xml:space="preserve">Company’s </w:t>
      </w:r>
      <w:r w:rsidR="006720FF" w:rsidRPr="009D608C">
        <w:rPr>
          <w:szCs w:val="24"/>
        </w:rPr>
        <w:t>compliance filing deadline to May 1, 2014</w:t>
      </w:r>
      <w:r w:rsidR="00085FF0" w:rsidRPr="009D608C">
        <w:rPr>
          <w:szCs w:val="24"/>
        </w:rPr>
        <w:t>,</w:t>
      </w:r>
      <w:r w:rsidR="006720FF" w:rsidRPr="009D608C">
        <w:rPr>
          <w:szCs w:val="24"/>
        </w:rPr>
        <w:t xml:space="preserve"> based on the parties’ agreement.</w:t>
      </w:r>
      <w:r w:rsidR="006720FF" w:rsidRPr="009D608C">
        <w:rPr>
          <w:rStyle w:val="FootnoteReference"/>
          <w:szCs w:val="24"/>
        </w:rPr>
        <w:footnoteReference w:id="4"/>
      </w:r>
      <w:r w:rsidR="006720FF" w:rsidRPr="009D608C">
        <w:rPr>
          <w:szCs w:val="24"/>
        </w:rPr>
        <w:t xml:space="preserve"> </w:t>
      </w:r>
      <w:r w:rsidR="008E7C0C" w:rsidRPr="009D608C">
        <w:rPr>
          <w:szCs w:val="24"/>
        </w:rPr>
        <w:t xml:space="preserve"> </w:t>
      </w:r>
    </w:p>
    <w:p w14:paraId="170A86EE" w14:textId="3F54FC38" w:rsidR="009749FA" w:rsidRPr="009D608C" w:rsidRDefault="00914A79" w:rsidP="009E4927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9D608C">
        <w:rPr>
          <w:szCs w:val="24"/>
        </w:rPr>
        <w:t xml:space="preserve"> </w:t>
      </w:r>
      <w:r w:rsidRPr="009D608C">
        <w:rPr>
          <w:szCs w:val="24"/>
        </w:rPr>
        <w:tab/>
      </w:r>
      <w:r w:rsidR="008E7C0C" w:rsidRPr="009D608C">
        <w:rPr>
          <w:szCs w:val="24"/>
        </w:rPr>
        <w:t xml:space="preserve">PacifiCorp </w:t>
      </w:r>
      <w:r w:rsidR="00E21A1F">
        <w:rPr>
          <w:szCs w:val="24"/>
        </w:rPr>
        <w:t>filed</w:t>
      </w:r>
      <w:r w:rsidR="008E7C0C" w:rsidRPr="009D608C">
        <w:rPr>
          <w:szCs w:val="24"/>
        </w:rPr>
        <w:t xml:space="preserve"> its annual report of </w:t>
      </w:r>
      <w:r w:rsidR="00085FF0" w:rsidRPr="009D608C">
        <w:rPr>
          <w:szCs w:val="24"/>
        </w:rPr>
        <w:t>REC sale proceeds</w:t>
      </w:r>
      <w:r w:rsidR="008E7C0C" w:rsidRPr="009D608C">
        <w:rPr>
          <w:szCs w:val="24"/>
        </w:rPr>
        <w:t xml:space="preserve"> on May 1, 2013</w:t>
      </w:r>
      <w:r w:rsidR="00085FF0" w:rsidRPr="009D608C">
        <w:rPr>
          <w:szCs w:val="24"/>
        </w:rPr>
        <w:t>,</w:t>
      </w:r>
      <w:r w:rsidR="008E7C0C" w:rsidRPr="009D608C">
        <w:rPr>
          <w:szCs w:val="24"/>
        </w:rPr>
        <w:t xml:space="preserve"> and May 1, 2014, both of which identified </w:t>
      </w:r>
      <w:r w:rsidR="00774663" w:rsidRPr="009D608C">
        <w:rPr>
          <w:szCs w:val="24"/>
        </w:rPr>
        <w:t>over-credited amounts to customers.  PacifiCorp did not purs</w:t>
      </w:r>
      <w:r w:rsidR="006817C4" w:rsidRPr="009D608C">
        <w:rPr>
          <w:szCs w:val="24"/>
        </w:rPr>
        <w:t>u</w:t>
      </w:r>
      <w:r w:rsidR="00774663" w:rsidRPr="009D608C">
        <w:rPr>
          <w:szCs w:val="24"/>
        </w:rPr>
        <w:t>e recovery of the over-credited amount</w:t>
      </w:r>
      <w:r w:rsidR="006817C4" w:rsidRPr="009D608C">
        <w:rPr>
          <w:szCs w:val="24"/>
        </w:rPr>
        <w:t>s</w:t>
      </w:r>
      <w:r w:rsidR="00A834FC" w:rsidRPr="009D608C">
        <w:rPr>
          <w:szCs w:val="24"/>
        </w:rPr>
        <w:t xml:space="preserve"> at those times</w:t>
      </w:r>
      <w:r w:rsidR="00774663" w:rsidRPr="009D608C">
        <w:rPr>
          <w:szCs w:val="24"/>
        </w:rPr>
        <w:t xml:space="preserve"> despite the parties</w:t>
      </w:r>
      <w:r w:rsidR="0045401A" w:rsidRPr="009D608C">
        <w:rPr>
          <w:szCs w:val="24"/>
        </w:rPr>
        <w:t>’</w:t>
      </w:r>
      <w:r w:rsidR="00774663" w:rsidRPr="009D608C">
        <w:rPr>
          <w:szCs w:val="24"/>
        </w:rPr>
        <w:t xml:space="preserve"> agreed-upon mechanism because of the ongoing controversy and appeal of the Commission’s orders relating to the </w:t>
      </w:r>
      <w:r w:rsidR="00962CDB" w:rsidRPr="009D608C">
        <w:rPr>
          <w:szCs w:val="24"/>
        </w:rPr>
        <w:t>historical</w:t>
      </w:r>
      <w:r w:rsidR="00774663" w:rsidRPr="009D608C">
        <w:rPr>
          <w:szCs w:val="24"/>
        </w:rPr>
        <w:t xml:space="preserve"> REC revenues, and because no party informally requested </w:t>
      </w:r>
      <w:r w:rsidR="00F234DA" w:rsidRPr="009D608C">
        <w:rPr>
          <w:szCs w:val="24"/>
        </w:rPr>
        <w:t xml:space="preserve">nor raised concerns with the Company </w:t>
      </w:r>
      <w:r w:rsidR="006817C4" w:rsidRPr="009D608C">
        <w:rPr>
          <w:szCs w:val="24"/>
        </w:rPr>
        <w:t>regarding</w:t>
      </w:r>
      <w:r w:rsidR="00774663" w:rsidRPr="009D608C">
        <w:rPr>
          <w:szCs w:val="24"/>
        </w:rPr>
        <w:t xml:space="preserve"> a rate adjustment</w:t>
      </w:r>
      <w:r w:rsidR="00F234DA" w:rsidRPr="009D608C">
        <w:rPr>
          <w:szCs w:val="24"/>
        </w:rPr>
        <w:t>.</w:t>
      </w:r>
      <w:r w:rsidR="001B1452" w:rsidRPr="009D608C">
        <w:rPr>
          <w:rStyle w:val="FootnoteReference"/>
          <w:szCs w:val="24"/>
        </w:rPr>
        <w:footnoteReference w:id="5"/>
      </w:r>
    </w:p>
    <w:p w14:paraId="170A86EF" w14:textId="7910C105" w:rsidR="00E14684" w:rsidRPr="002149CD" w:rsidRDefault="002149CD" w:rsidP="002149CD">
      <w:pPr>
        <w:pStyle w:val="ListParagraph"/>
        <w:numPr>
          <w:ilvl w:val="0"/>
          <w:numId w:val="3"/>
        </w:numPr>
        <w:spacing w:line="480" w:lineRule="auto"/>
        <w:ind w:left="0" w:firstLine="0"/>
        <w:jc w:val="center"/>
        <w:rPr>
          <w:b/>
          <w:szCs w:val="24"/>
        </w:rPr>
      </w:pPr>
      <w:r w:rsidRPr="002149CD">
        <w:rPr>
          <w:b/>
          <w:szCs w:val="24"/>
        </w:rPr>
        <w:t>DISCUSSION</w:t>
      </w:r>
    </w:p>
    <w:p w14:paraId="3ADCDC54" w14:textId="43CCF104" w:rsidR="00D66F53" w:rsidRDefault="00F234DA" w:rsidP="00DA4086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9D608C">
        <w:rPr>
          <w:szCs w:val="24"/>
        </w:rPr>
        <w:t xml:space="preserve">            Commission Staff supports PacifiCorp’s request for </w:t>
      </w:r>
      <w:r w:rsidR="00E41215" w:rsidRPr="009D608C">
        <w:rPr>
          <w:szCs w:val="24"/>
        </w:rPr>
        <w:t>a rate adjustment to recover over-credited revenues from the sale of RECs from April 3, 2011</w:t>
      </w:r>
      <w:r w:rsidR="00085FF0" w:rsidRPr="009D608C">
        <w:rPr>
          <w:szCs w:val="24"/>
        </w:rPr>
        <w:t>, through</w:t>
      </w:r>
      <w:r w:rsidR="00E41215" w:rsidRPr="009D608C">
        <w:rPr>
          <w:szCs w:val="24"/>
        </w:rPr>
        <w:t xml:space="preserve"> December 31, 2013.  </w:t>
      </w:r>
      <w:r w:rsidR="006833B8" w:rsidRPr="009D608C">
        <w:rPr>
          <w:szCs w:val="24"/>
        </w:rPr>
        <w:t xml:space="preserve">Commission Staff </w:t>
      </w:r>
      <w:r w:rsidR="009D608C">
        <w:rPr>
          <w:szCs w:val="24"/>
        </w:rPr>
        <w:t xml:space="preserve">however </w:t>
      </w:r>
      <w:r w:rsidR="006833B8" w:rsidRPr="009D608C">
        <w:rPr>
          <w:szCs w:val="24"/>
        </w:rPr>
        <w:t>recommends that the adjustment be limited to $5,</w:t>
      </w:r>
      <w:r w:rsidR="008B1317">
        <w:rPr>
          <w:szCs w:val="24"/>
        </w:rPr>
        <w:t xml:space="preserve">063,704 to account for </w:t>
      </w:r>
      <w:r w:rsidR="006833B8" w:rsidRPr="009D608C">
        <w:rPr>
          <w:szCs w:val="24"/>
        </w:rPr>
        <w:t xml:space="preserve">the over-credited REC proceeds </w:t>
      </w:r>
      <w:r w:rsidR="008B1317">
        <w:rPr>
          <w:szCs w:val="24"/>
        </w:rPr>
        <w:t>and</w:t>
      </w:r>
      <w:r w:rsidR="006833B8" w:rsidRPr="009D608C">
        <w:rPr>
          <w:szCs w:val="24"/>
        </w:rPr>
        <w:t xml:space="preserve"> interest accrued </w:t>
      </w:r>
      <w:r w:rsidR="00940844">
        <w:rPr>
          <w:szCs w:val="24"/>
        </w:rPr>
        <w:t>until</w:t>
      </w:r>
      <w:r w:rsidR="006833B8" w:rsidRPr="009D608C">
        <w:rPr>
          <w:szCs w:val="24"/>
        </w:rPr>
        <w:t xml:space="preserve"> November 16, 2014</w:t>
      </w:r>
      <w:r w:rsidR="00C25948" w:rsidRPr="009D608C">
        <w:rPr>
          <w:szCs w:val="24"/>
        </w:rPr>
        <w:t xml:space="preserve">—the date </w:t>
      </w:r>
      <w:r w:rsidR="00E21A1F">
        <w:rPr>
          <w:szCs w:val="24"/>
        </w:rPr>
        <w:t>on which</w:t>
      </w:r>
      <w:r w:rsidR="00C25948" w:rsidRPr="009D608C">
        <w:rPr>
          <w:szCs w:val="24"/>
        </w:rPr>
        <w:t xml:space="preserve"> PacifiCorp requests</w:t>
      </w:r>
      <w:r w:rsidR="00D66F53">
        <w:rPr>
          <w:szCs w:val="24"/>
        </w:rPr>
        <w:t xml:space="preserve"> </w:t>
      </w:r>
      <w:r w:rsidR="00C25948" w:rsidRPr="009D608C">
        <w:rPr>
          <w:szCs w:val="24"/>
        </w:rPr>
        <w:t>the</w:t>
      </w:r>
      <w:r w:rsidR="00D66F53">
        <w:rPr>
          <w:szCs w:val="24"/>
        </w:rPr>
        <w:t xml:space="preserve"> monthly</w:t>
      </w:r>
      <w:r w:rsidR="00C25948" w:rsidRPr="009D608C">
        <w:rPr>
          <w:szCs w:val="24"/>
        </w:rPr>
        <w:t xml:space="preserve"> adjustment</w:t>
      </w:r>
      <w:r w:rsidR="00D66F53">
        <w:rPr>
          <w:szCs w:val="24"/>
        </w:rPr>
        <w:t>s</w:t>
      </w:r>
      <w:r w:rsidR="00C25948" w:rsidRPr="009D608C">
        <w:rPr>
          <w:szCs w:val="24"/>
        </w:rPr>
        <w:t xml:space="preserve"> </w:t>
      </w:r>
      <w:r w:rsidR="00D66F53">
        <w:rPr>
          <w:szCs w:val="24"/>
        </w:rPr>
        <w:t>to take</w:t>
      </w:r>
      <w:r w:rsidR="00C25948" w:rsidRPr="009D608C">
        <w:rPr>
          <w:szCs w:val="24"/>
        </w:rPr>
        <w:t xml:space="preserve"> effect</w:t>
      </w:r>
      <w:r w:rsidR="006833B8" w:rsidRPr="009D608C">
        <w:rPr>
          <w:szCs w:val="24"/>
        </w:rPr>
        <w:t>.</w:t>
      </w:r>
      <w:r w:rsidR="0014218B" w:rsidRPr="009D608C">
        <w:rPr>
          <w:szCs w:val="24"/>
        </w:rPr>
        <w:t xml:space="preserve">  The $5,063,704 </w:t>
      </w:r>
      <w:r w:rsidR="005763A6">
        <w:rPr>
          <w:szCs w:val="24"/>
        </w:rPr>
        <w:t>amount</w:t>
      </w:r>
      <w:r w:rsidR="0014218B" w:rsidRPr="009D608C">
        <w:rPr>
          <w:szCs w:val="24"/>
        </w:rPr>
        <w:t xml:space="preserve"> includes $753,797 of interest</w:t>
      </w:r>
      <w:r w:rsidR="009D608C" w:rsidRPr="009D608C">
        <w:rPr>
          <w:szCs w:val="24"/>
        </w:rPr>
        <w:t xml:space="preserve"> accrued </w:t>
      </w:r>
      <w:r w:rsidR="00D66F53">
        <w:rPr>
          <w:szCs w:val="24"/>
        </w:rPr>
        <w:t>until</w:t>
      </w:r>
      <w:r w:rsidR="009D608C" w:rsidRPr="009D608C">
        <w:rPr>
          <w:szCs w:val="24"/>
        </w:rPr>
        <w:t xml:space="preserve"> November 16, 2014</w:t>
      </w:r>
      <w:r w:rsidR="0014218B" w:rsidRPr="009D608C">
        <w:rPr>
          <w:szCs w:val="24"/>
        </w:rPr>
        <w:t>.</w:t>
      </w:r>
    </w:p>
    <w:p w14:paraId="473DB238" w14:textId="7B0AFDA7" w:rsidR="00321072" w:rsidRDefault="00D66F53" w:rsidP="00321072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3B4E27">
        <w:rPr>
          <w:szCs w:val="24"/>
        </w:rPr>
        <w:t xml:space="preserve"> </w:t>
      </w:r>
      <w:r w:rsidRPr="003B4E27">
        <w:rPr>
          <w:szCs w:val="24"/>
        </w:rPr>
        <w:tab/>
      </w:r>
      <w:r w:rsidR="006833B8" w:rsidRPr="003B4E27">
        <w:rPr>
          <w:szCs w:val="24"/>
        </w:rPr>
        <w:t xml:space="preserve">Staff recommends that </w:t>
      </w:r>
      <w:r w:rsidR="00C25948" w:rsidRPr="003B4E27">
        <w:rPr>
          <w:szCs w:val="24"/>
        </w:rPr>
        <w:t xml:space="preserve">interest stop accruing on November 16, 2014, because the agreed-upon mechanism to credit customers for REC sale proceeds called for </w:t>
      </w:r>
      <w:r w:rsidRPr="003B4E27">
        <w:rPr>
          <w:szCs w:val="24"/>
        </w:rPr>
        <w:t xml:space="preserve">an </w:t>
      </w:r>
      <w:r w:rsidR="00C25948" w:rsidRPr="003B4E27">
        <w:rPr>
          <w:szCs w:val="24"/>
        </w:rPr>
        <w:t>annual tr</w:t>
      </w:r>
      <w:r w:rsidRPr="003B4E27">
        <w:rPr>
          <w:szCs w:val="24"/>
        </w:rPr>
        <w:t>ue-up that would</w:t>
      </w:r>
      <w:r w:rsidR="00423883" w:rsidRPr="003B4E27">
        <w:rPr>
          <w:szCs w:val="24"/>
        </w:rPr>
        <w:t>,</w:t>
      </w:r>
      <w:r w:rsidRPr="003B4E27">
        <w:rPr>
          <w:szCs w:val="24"/>
        </w:rPr>
        <w:t xml:space="preserve"> in </w:t>
      </w:r>
      <w:r w:rsidR="00C25948" w:rsidRPr="003B4E27">
        <w:rPr>
          <w:szCs w:val="24"/>
        </w:rPr>
        <w:t>effect</w:t>
      </w:r>
      <w:r w:rsidR="00423883" w:rsidRPr="003B4E27">
        <w:rPr>
          <w:szCs w:val="24"/>
        </w:rPr>
        <w:t>,</w:t>
      </w:r>
      <w:r w:rsidR="00C25948" w:rsidRPr="003B4E27">
        <w:rPr>
          <w:szCs w:val="24"/>
        </w:rPr>
        <w:t xml:space="preserve"> </w:t>
      </w:r>
      <w:r w:rsidR="00423883" w:rsidRPr="003B4E27">
        <w:rPr>
          <w:szCs w:val="24"/>
        </w:rPr>
        <w:t>limit</w:t>
      </w:r>
      <w:r w:rsidR="00C25948" w:rsidRPr="003B4E27">
        <w:rPr>
          <w:szCs w:val="24"/>
        </w:rPr>
        <w:t xml:space="preserve"> the accrual of interest.  </w:t>
      </w:r>
      <w:r w:rsidRPr="003B4E27">
        <w:rPr>
          <w:szCs w:val="24"/>
        </w:rPr>
        <w:t>Stopping</w:t>
      </w:r>
      <w:r w:rsidR="007D261C" w:rsidRPr="003B4E27">
        <w:rPr>
          <w:szCs w:val="24"/>
        </w:rPr>
        <w:t xml:space="preserve"> interest accrual on November 16, 2014, enables PacifiCorp to earn the interest it was entitled</w:t>
      </w:r>
      <w:r w:rsidR="0014218B" w:rsidRPr="003B4E27">
        <w:rPr>
          <w:szCs w:val="24"/>
        </w:rPr>
        <w:t xml:space="preserve"> to in accordance with</w:t>
      </w:r>
      <w:r w:rsidR="007D261C" w:rsidRPr="003B4E27">
        <w:rPr>
          <w:szCs w:val="24"/>
        </w:rPr>
        <w:t xml:space="preserve"> the agree</w:t>
      </w:r>
      <w:r w:rsidR="002D11BC">
        <w:rPr>
          <w:szCs w:val="24"/>
        </w:rPr>
        <w:t>d</w:t>
      </w:r>
      <w:r w:rsidR="007D261C" w:rsidRPr="003B4E27">
        <w:rPr>
          <w:szCs w:val="24"/>
        </w:rPr>
        <w:t>-upon mechanism</w:t>
      </w:r>
      <w:r w:rsidR="00E21A1F" w:rsidRPr="003B4E27">
        <w:rPr>
          <w:szCs w:val="24"/>
        </w:rPr>
        <w:t>, but precludes the Company</w:t>
      </w:r>
      <w:r w:rsidR="003B4E27" w:rsidRPr="003B4E27">
        <w:rPr>
          <w:szCs w:val="24"/>
        </w:rPr>
        <w:t xml:space="preserve"> from receiving additional financial benefit f</w:t>
      </w:r>
      <w:r w:rsidR="003B4E27">
        <w:rPr>
          <w:szCs w:val="24"/>
        </w:rPr>
        <w:t>rom delaying its true-up request</w:t>
      </w:r>
      <w:r w:rsidR="00321072">
        <w:rPr>
          <w:szCs w:val="24"/>
        </w:rPr>
        <w:t xml:space="preserve"> due to the</w:t>
      </w:r>
      <w:r w:rsidR="007D261C" w:rsidRPr="003B4E27">
        <w:rPr>
          <w:szCs w:val="24"/>
        </w:rPr>
        <w:t xml:space="preserve"> </w:t>
      </w:r>
      <w:r w:rsidR="0014218B" w:rsidRPr="003B4E27">
        <w:rPr>
          <w:szCs w:val="24"/>
        </w:rPr>
        <w:t>dispute</w:t>
      </w:r>
      <w:r w:rsidR="008B4F6A" w:rsidRPr="003B4E27">
        <w:rPr>
          <w:szCs w:val="24"/>
        </w:rPr>
        <w:t xml:space="preserve"> over the historic REC revenues</w:t>
      </w:r>
      <w:r w:rsidR="00321072">
        <w:rPr>
          <w:szCs w:val="24"/>
        </w:rPr>
        <w:t>.  The</w:t>
      </w:r>
      <w:r w:rsidR="00321072" w:rsidRPr="003B4E27">
        <w:rPr>
          <w:szCs w:val="24"/>
        </w:rPr>
        <w:t xml:space="preserve"> dispute over the historic REC revenues </w:t>
      </w:r>
      <w:r w:rsidR="008B4F6A" w:rsidRPr="003B4E27">
        <w:rPr>
          <w:szCs w:val="24"/>
        </w:rPr>
        <w:t>does not justify the windfall that PacifiCorp would receive if it were allowed to continue to earn interest through the adjustment period</w:t>
      </w:r>
      <w:r w:rsidR="005763A6" w:rsidRPr="003B4E27">
        <w:rPr>
          <w:szCs w:val="24"/>
        </w:rPr>
        <w:t xml:space="preserve"> and recover the full $5.2 million</w:t>
      </w:r>
      <w:r w:rsidR="008B4F6A" w:rsidRPr="003B4E27">
        <w:rPr>
          <w:szCs w:val="24"/>
        </w:rPr>
        <w:t xml:space="preserve"> because the dispute focused solely on the historic REC revenues, and</w:t>
      </w:r>
      <w:r w:rsidR="0014218B" w:rsidRPr="003B4E27">
        <w:rPr>
          <w:szCs w:val="24"/>
        </w:rPr>
        <w:t xml:space="preserve"> did</w:t>
      </w:r>
      <w:r w:rsidR="008B4F6A" w:rsidRPr="003B4E27">
        <w:rPr>
          <w:szCs w:val="24"/>
        </w:rPr>
        <w:t xml:space="preserve"> not </w:t>
      </w:r>
      <w:r w:rsidR="0014218B" w:rsidRPr="003B4E27">
        <w:rPr>
          <w:szCs w:val="24"/>
        </w:rPr>
        <w:t xml:space="preserve">concern </w:t>
      </w:r>
      <w:r w:rsidR="008B4F6A" w:rsidRPr="003B4E27">
        <w:rPr>
          <w:szCs w:val="24"/>
        </w:rPr>
        <w:t>the over-credited REC proceeds</w:t>
      </w:r>
      <w:r w:rsidR="0014218B" w:rsidRPr="003B4E27">
        <w:rPr>
          <w:szCs w:val="24"/>
        </w:rPr>
        <w:t xml:space="preserve"> for the period</w:t>
      </w:r>
      <w:r w:rsidR="008B4F6A" w:rsidRPr="003B4E27">
        <w:rPr>
          <w:szCs w:val="24"/>
        </w:rPr>
        <w:t xml:space="preserve"> that the Company now seeks to recover.  </w:t>
      </w:r>
      <w:r w:rsidR="00321072">
        <w:rPr>
          <w:szCs w:val="24"/>
        </w:rPr>
        <w:t xml:space="preserve">Accordingly, </w:t>
      </w:r>
      <w:r w:rsidR="00321072" w:rsidRPr="009D608C">
        <w:rPr>
          <w:szCs w:val="24"/>
        </w:rPr>
        <w:t xml:space="preserve">Staff supports </w:t>
      </w:r>
      <w:r w:rsidR="00321072">
        <w:rPr>
          <w:szCs w:val="24"/>
        </w:rPr>
        <w:t>a rate adjustment that is limited to</w:t>
      </w:r>
      <w:r w:rsidR="00321072" w:rsidRPr="009D608C">
        <w:rPr>
          <w:szCs w:val="24"/>
        </w:rPr>
        <w:t xml:space="preserve"> $5,063,704 to recover the over-credited REC sale proceeds</w:t>
      </w:r>
      <w:r w:rsidR="00321072">
        <w:rPr>
          <w:szCs w:val="24"/>
        </w:rPr>
        <w:t xml:space="preserve">, including </w:t>
      </w:r>
      <w:r w:rsidR="00321072" w:rsidRPr="009D608C">
        <w:rPr>
          <w:szCs w:val="24"/>
        </w:rPr>
        <w:t xml:space="preserve">interest accrued </w:t>
      </w:r>
      <w:r w:rsidR="00321072">
        <w:rPr>
          <w:szCs w:val="24"/>
        </w:rPr>
        <w:t>until</w:t>
      </w:r>
      <w:r w:rsidR="00321072" w:rsidRPr="009D608C">
        <w:rPr>
          <w:szCs w:val="24"/>
        </w:rPr>
        <w:t xml:space="preserve"> November 16, 2014.</w:t>
      </w:r>
    </w:p>
    <w:p w14:paraId="4EFEFF1C" w14:textId="61FFAE93" w:rsidR="009D608C" w:rsidRPr="00321072" w:rsidRDefault="00321072" w:rsidP="00321072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0546CA" w:rsidRPr="00321072">
        <w:rPr>
          <w:szCs w:val="24"/>
        </w:rPr>
        <w:t xml:space="preserve">Commission Staff </w:t>
      </w:r>
      <w:r w:rsidR="0014218B" w:rsidRPr="00321072">
        <w:rPr>
          <w:szCs w:val="24"/>
        </w:rPr>
        <w:t xml:space="preserve">further </w:t>
      </w:r>
      <w:r w:rsidR="000546CA" w:rsidRPr="00321072">
        <w:rPr>
          <w:szCs w:val="24"/>
        </w:rPr>
        <w:t xml:space="preserve">proposes that the adjustment be recovered </w:t>
      </w:r>
      <w:r w:rsidR="00B54E6B" w:rsidRPr="00321072">
        <w:rPr>
          <w:szCs w:val="24"/>
        </w:rPr>
        <w:t xml:space="preserve">through monthly bill adjustments </w:t>
      </w:r>
      <w:r w:rsidR="000546CA" w:rsidRPr="00321072">
        <w:rPr>
          <w:szCs w:val="24"/>
        </w:rPr>
        <w:t>over a two-year period beginning November 16, 2014</w:t>
      </w:r>
      <w:r w:rsidR="001B1452" w:rsidRPr="00321072">
        <w:rPr>
          <w:szCs w:val="24"/>
        </w:rPr>
        <w:t>,</w:t>
      </w:r>
      <w:r w:rsidR="000546CA" w:rsidRPr="00321072">
        <w:rPr>
          <w:szCs w:val="24"/>
        </w:rPr>
        <w:t xml:space="preserve"> rather than a one-year period</w:t>
      </w:r>
      <w:r w:rsidR="001B1452" w:rsidRPr="00321072">
        <w:rPr>
          <w:szCs w:val="24"/>
        </w:rPr>
        <w:t>,</w:t>
      </w:r>
      <w:r w:rsidR="000546CA" w:rsidRPr="00321072">
        <w:rPr>
          <w:szCs w:val="24"/>
        </w:rPr>
        <w:t xml:space="preserve"> to minimize the rate impact </w:t>
      </w:r>
      <w:r w:rsidR="00311EED" w:rsidRPr="00321072">
        <w:rPr>
          <w:szCs w:val="24"/>
        </w:rPr>
        <w:t>on</w:t>
      </w:r>
      <w:r w:rsidR="000546CA" w:rsidRPr="00321072">
        <w:rPr>
          <w:szCs w:val="24"/>
        </w:rPr>
        <w:t xml:space="preserve"> customers.  </w:t>
      </w:r>
    </w:p>
    <w:p w14:paraId="170A86F1" w14:textId="278DAF8A" w:rsidR="009749FA" w:rsidRPr="009D608C" w:rsidRDefault="009749FA" w:rsidP="002149CD">
      <w:pPr>
        <w:pStyle w:val="ListParagraph"/>
        <w:spacing w:line="480" w:lineRule="auto"/>
        <w:ind w:left="0" w:firstLine="720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 xml:space="preserve">DATED this </w:t>
      </w:r>
      <w:r w:rsidR="00605BEE" w:rsidRPr="009D608C">
        <w:rPr>
          <w:rFonts w:cs="Times New Roman"/>
          <w:szCs w:val="24"/>
        </w:rPr>
        <w:t>17</w:t>
      </w:r>
      <w:r w:rsidR="00605BEE" w:rsidRPr="009D608C">
        <w:rPr>
          <w:rFonts w:cs="Times New Roman"/>
          <w:szCs w:val="24"/>
          <w:vertAlign w:val="superscript"/>
        </w:rPr>
        <w:t>th</w:t>
      </w:r>
      <w:r w:rsidRPr="009D608C">
        <w:rPr>
          <w:rFonts w:cs="Times New Roman"/>
          <w:szCs w:val="24"/>
        </w:rPr>
        <w:t xml:space="preserve"> day of </w:t>
      </w:r>
      <w:r w:rsidR="00605BEE" w:rsidRPr="009D608C">
        <w:rPr>
          <w:rFonts w:cs="Times New Roman"/>
          <w:szCs w:val="24"/>
        </w:rPr>
        <w:t>October</w:t>
      </w:r>
      <w:r w:rsidRPr="009D608C">
        <w:rPr>
          <w:rFonts w:cs="Times New Roman"/>
          <w:szCs w:val="24"/>
        </w:rPr>
        <w:t xml:space="preserve"> 201</w:t>
      </w:r>
      <w:r w:rsidR="00605BEE" w:rsidRPr="009D608C">
        <w:rPr>
          <w:rFonts w:cs="Times New Roman"/>
          <w:szCs w:val="24"/>
        </w:rPr>
        <w:t>4</w:t>
      </w:r>
      <w:r w:rsidRPr="009D608C">
        <w:rPr>
          <w:rFonts w:cs="Times New Roman"/>
          <w:szCs w:val="24"/>
        </w:rPr>
        <w:t>.</w:t>
      </w:r>
    </w:p>
    <w:p w14:paraId="170A86F3" w14:textId="77777777" w:rsidR="009749FA" w:rsidRPr="009D608C" w:rsidRDefault="009749FA" w:rsidP="009749FA">
      <w:pPr>
        <w:ind w:left="720"/>
        <w:rPr>
          <w:rFonts w:cs="Times New Roman"/>
          <w:szCs w:val="24"/>
        </w:rPr>
      </w:pPr>
      <w:bookmarkStart w:id="0" w:name="_GoBack"/>
      <w:bookmarkEnd w:id="0"/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</w:r>
      <w:r w:rsidRPr="009D608C">
        <w:rPr>
          <w:rFonts w:cs="Times New Roman"/>
          <w:szCs w:val="24"/>
        </w:rPr>
        <w:tab/>
        <w:t xml:space="preserve">Respectfully submitted, </w:t>
      </w:r>
    </w:p>
    <w:p w14:paraId="170A86F4" w14:textId="77777777" w:rsidR="009749FA" w:rsidRPr="009D608C" w:rsidRDefault="009749FA" w:rsidP="009749FA">
      <w:pPr>
        <w:pStyle w:val="BodyTextIndent2"/>
        <w:rPr>
          <w:rFonts w:ascii="Times New Roman" w:hAnsi="Times New Roman"/>
        </w:rPr>
      </w:pPr>
    </w:p>
    <w:p w14:paraId="170A86F5" w14:textId="77777777" w:rsidR="009749FA" w:rsidRPr="009D608C" w:rsidRDefault="009749FA" w:rsidP="009749FA">
      <w:pPr>
        <w:ind w:left="504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 xml:space="preserve">ROBERT W. FERGUSON </w:t>
      </w:r>
    </w:p>
    <w:p w14:paraId="170A86F6" w14:textId="77777777" w:rsidR="009749FA" w:rsidRPr="009D608C" w:rsidRDefault="009749FA" w:rsidP="009749FA">
      <w:pPr>
        <w:ind w:firstLine="504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Attorney General</w:t>
      </w:r>
    </w:p>
    <w:p w14:paraId="170A86F7" w14:textId="77777777" w:rsidR="009749FA" w:rsidRPr="009D608C" w:rsidRDefault="009749FA" w:rsidP="009749FA">
      <w:pPr>
        <w:jc w:val="both"/>
        <w:rPr>
          <w:rFonts w:cs="Times New Roman"/>
          <w:szCs w:val="24"/>
        </w:rPr>
      </w:pPr>
    </w:p>
    <w:p w14:paraId="170A86F8" w14:textId="77777777" w:rsidR="009749FA" w:rsidRPr="009D608C" w:rsidRDefault="009749FA" w:rsidP="009749FA">
      <w:pPr>
        <w:jc w:val="both"/>
        <w:rPr>
          <w:rFonts w:cs="Times New Roman"/>
          <w:szCs w:val="24"/>
        </w:rPr>
      </w:pPr>
    </w:p>
    <w:p w14:paraId="170A86F9" w14:textId="77777777" w:rsidR="009749FA" w:rsidRPr="009D608C" w:rsidRDefault="009749FA" w:rsidP="009749FA">
      <w:pPr>
        <w:ind w:left="1440" w:firstLine="360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______________________________</w:t>
      </w:r>
    </w:p>
    <w:p w14:paraId="170A86FA" w14:textId="77777777" w:rsidR="009749FA" w:rsidRPr="009D608C" w:rsidRDefault="00605BEE" w:rsidP="009749FA">
      <w:pPr>
        <w:ind w:firstLine="504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CHRISTOPHER M. CASEY</w:t>
      </w:r>
    </w:p>
    <w:p w14:paraId="170A86FB" w14:textId="77777777" w:rsidR="009749FA" w:rsidRPr="009D608C" w:rsidRDefault="009749FA" w:rsidP="009749FA">
      <w:pPr>
        <w:ind w:left="1440" w:firstLine="360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Assistant Attorney General</w:t>
      </w:r>
    </w:p>
    <w:p w14:paraId="170A86FC" w14:textId="77777777" w:rsidR="009749FA" w:rsidRPr="009D608C" w:rsidRDefault="009749FA" w:rsidP="009749FA">
      <w:pPr>
        <w:ind w:left="2160" w:firstLine="2880"/>
        <w:jc w:val="both"/>
        <w:rPr>
          <w:rFonts w:cs="Times New Roman"/>
          <w:szCs w:val="24"/>
        </w:rPr>
      </w:pPr>
      <w:r w:rsidRPr="009D608C">
        <w:rPr>
          <w:rFonts w:cs="Times New Roman"/>
          <w:szCs w:val="24"/>
        </w:rPr>
        <w:t>Counsel for Washington Utilities and</w:t>
      </w:r>
    </w:p>
    <w:p w14:paraId="170A86FE" w14:textId="5526D606" w:rsidR="00100F18" w:rsidRPr="009D608C" w:rsidRDefault="009749FA" w:rsidP="00321072">
      <w:pPr>
        <w:ind w:left="2880" w:firstLine="2160"/>
        <w:jc w:val="both"/>
        <w:rPr>
          <w:szCs w:val="24"/>
        </w:rPr>
      </w:pPr>
      <w:r w:rsidRPr="009D608C">
        <w:rPr>
          <w:rFonts w:cs="Times New Roman"/>
          <w:szCs w:val="24"/>
        </w:rPr>
        <w:t>Transportation Commission Staff</w:t>
      </w:r>
    </w:p>
    <w:sectPr w:rsidR="00100F18" w:rsidRPr="009D608C" w:rsidSect="009E7D38">
      <w:footerReference w:type="default" r:id="rId12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A8701" w14:textId="77777777" w:rsidR="00A42DB9" w:rsidRDefault="00A42DB9" w:rsidP="009749FA">
      <w:r>
        <w:separator/>
      </w:r>
    </w:p>
  </w:endnote>
  <w:endnote w:type="continuationSeparator" w:id="0">
    <w:p w14:paraId="170A8702" w14:textId="77777777" w:rsidR="00A42DB9" w:rsidRDefault="00A42DB9" w:rsidP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A8703" w14:textId="77777777" w:rsidR="001F1935" w:rsidRPr="001F1935" w:rsidRDefault="002D11BC">
    <w:pPr>
      <w:pStyle w:val="Footer"/>
      <w:rPr>
        <w:sz w:val="20"/>
        <w:szCs w:val="20"/>
      </w:rPr>
    </w:pPr>
  </w:p>
  <w:p w14:paraId="170A8704" w14:textId="77777777" w:rsidR="001F1935" w:rsidRPr="009332F6" w:rsidRDefault="00A42DB9">
    <w:pPr>
      <w:pStyle w:val="Footer"/>
      <w:rPr>
        <w:sz w:val="20"/>
        <w:szCs w:val="20"/>
      </w:rPr>
    </w:pPr>
    <w:r w:rsidRPr="001F1935">
      <w:rPr>
        <w:sz w:val="20"/>
        <w:szCs w:val="20"/>
      </w:rPr>
      <w:t>COMMISSION STAFF</w:t>
    </w:r>
    <w:r w:rsidR="006817C4">
      <w:rPr>
        <w:sz w:val="20"/>
        <w:szCs w:val="20"/>
      </w:rPr>
      <w:t>’S</w:t>
    </w:r>
    <w:r w:rsidRPr="001F1935">
      <w:rPr>
        <w:sz w:val="20"/>
        <w:szCs w:val="20"/>
      </w:rPr>
      <w:t xml:space="preserve"> </w:t>
    </w:r>
    <w:r w:rsidRPr="009332F6">
      <w:rPr>
        <w:sz w:val="20"/>
        <w:szCs w:val="20"/>
      </w:rPr>
      <w:t xml:space="preserve">RESPONSE </w:t>
    </w:r>
    <w:r w:rsidR="00383668" w:rsidRPr="009332F6">
      <w:rPr>
        <w:sz w:val="20"/>
        <w:szCs w:val="20"/>
      </w:rPr>
      <w:t>TO</w:t>
    </w:r>
    <w:r w:rsidRPr="009332F6">
      <w:rPr>
        <w:sz w:val="20"/>
        <w:szCs w:val="20"/>
      </w:rPr>
      <w:t xml:space="preserve"> </w:t>
    </w:r>
  </w:p>
  <w:p w14:paraId="170A8705" w14:textId="77777777" w:rsidR="001F1935" w:rsidRPr="001F1935" w:rsidRDefault="00A42DB9">
    <w:pPr>
      <w:pStyle w:val="Footer"/>
      <w:rPr>
        <w:sz w:val="20"/>
        <w:szCs w:val="20"/>
      </w:rPr>
    </w:pPr>
    <w:r w:rsidRPr="009332F6">
      <w:rPr>
        <w:sz w:val="20"/>
        <w:szCs w:val="20"/>
      </w:rPr>
      <w:t xml:space="preserve">PACIFICORP’S </w:t>
    </w:r>
    <w:r w:rsidR="009332F6">
      <w:rPr>
        <w:sz w:val="20"/>
        <w:szCs w:val="20"/>
      </w:rPr>
      <w:t xml:space="preserve">COMPLIANCE </w:t>
    </w:r>
    <w:r w:rsidRPr="009332F6">
      <w:rPr>
        <w:sz w:val="20"/>
        <w:szCs w:val="20"/>
      </w:rPr>
      <w:t xml:space="preserve">FILING </w:t>
    </w:r>
    <w:r w:rsidR="009332F6">
      <w:rPr>
        <w:sz w:val="20"/>
        <w:szCs w:val="20"/>
      </w:rPr>
      <w:t xml:space="preserve">OF </w:t>
    </w:r>
    <w:r w:rsidR="009332F6" w:rsidRPr="009332F6">
      <w:rPr>
        <w:sz w:val="20"/>
        <w:szCs w:val="20"/>
      </w:rPr>
      <w:t>OCTOBER 3, 2014</w:t>
    </w:r>
    <w:r w:rsidR="009332F6">
      <w:rPr>
        <w:sz w:val="20"/>
        <w:szCs w:val="20"/>
      </w:rPr>
      <w:t xml:space="preserve"> </w:t>
    </w:r>
    <w:r w:rsidRPr="009332F6">
      <w:rPr>
        <w:sz w:val="20"/>
        <w:szCs w:val="20"/>
      </w:rPr>
      <w:t xml:space="preserve">- </w:t>
    </w:r>
    <w:r w:rsidRPr="009332F6">
      <w:rPr>
        <w:sz w:val="20"/>
        <w:szCs w:val="20"/>
      </w:rPr>
      <w:fldChar w:fldCharType="begin"/>
    </w:r>
    <w:r w:rsidRPr="009332F6">
      <w:rPr>
        <w:sz w:val="20"/>
        <w:szCs w:val="20"/>
      </w:rPr>
      <w:instrText xml:space="preserve"> PAGE   \* MERGEFORMAT </w:instrText>
    </w:r>
    <w:r w:rsidRPr="009332F6">
      <w:rPr>
        <w:sz w:val="20"/>
        <w:szCs w:val="20"/>
      </w:rPr>
      <w:fldChar w:fldCharType="separate"/>
    </w:r>
    <w:r w:rsidR="002D11BC">
      <w:rPr>
        <w:noProof/>
        <w:sz w:val="20"/>
        <w:szCs w:val="20"/>
      </w:rPr>
      <w:t>3</w:t>
    </w:r>
    <w:r w:rsidRPr="009332F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A86FF" w14:textId="77777777" w:rsidR="00A42DB9" w:rsidRDefault="00A42DB9" w:rsidP="009749FA">
      <w:r>
        <w:separator/>
      </w:r>
    </w:p>
  </w:footnote>
  <w:footnote w:type="continuationSeparator" w:id="0">
    <w:p w14:paraId="170A8700" w14:textId="77777777" w:rsidR="00A42DB9" w:rsidRDefault="00A42DB9" w:rsidP="009749FA">
      <w:r>
        <w:continuationSeparator/>
      </w:r>
    </w:p>
  </w:footnote>
  <w:footnote w:id="1">
    <w:p w14:paraId="170A8706" w14:textId="77777777" w:rsidR="001A1F7A" w:rsidRPr="001A1F7A" w:rsidRDefault="001A1F7A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v. PacifiCorp, d/b/a Pacific Power &amp; Light Co</w:t>
      </w:r>
      <w:r w:rsidRPr="001A1F7A">
        <w:rPr>
          <w:i/>
        </w:rPr>
        <w:t>.</w:t>
      </w:r>
      <w:r w:rsidRPr="001A1F7A">
        <w:t xml:space="preserve">, Docket UE-100749, Order 06, ¶ 204 </w:t>
      </w:r>
      <w:r w:rsidR="006955A2">
        <w:t>(</w:t>
      </w:r>
      <w:r w:rsidRPr="001A1F7A">
        <w:t>Mar. 25, 2011).</w:t>
      </w:r>
    </w:p>
  </w:footnote>
  <w:footnote w:id="2">
    <w:p w14:paraId="170A8707" w14:textId="77777777" w:rsidR="006955A2" w:rsidRDefault="006955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v. PacifiCorp</w:t>
      </w:r>
      <w:r>
        <w:t>, Docket UE-100749, Order 10</w:t>
      </w:r>
      <w:r w:rsidRPr="001A1F7A">
        <w:t xml:space="preserve">, ¶ </w:t>
      </w:r>
      <w:r w:rsidR="00993D48">
        <w:t xml:space="preserve">58, </w:t>
      </w:r>
      <w:r>
        <w:t>60</w:t>
      </w:r>
      <w:r w:rsidRPr="001A1F7A">
        <w:t xml:space="preserve"> </w:t>
      </w:r>
      <w:r>
        <w:t>(Aug. 23, 2012).</w:t>
      </w:r>
    </w:p>
  </w:footnote>
  <w:footnote w:id="3">
    <w:p w14:paraId="170A8708" w14:textId="77777777" w:rsidR="00993D48" w:rsidRDefault="00993D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v. PacifiCorp</w:t>
      </w:r>
      <w:r>
        <w:t xml:space="preserve">, Docket UE-100749, Joint Letter </w:t>
      </w:r>
      <w:r w:rsidRPr="009332F6">
        <w:t>re:</w:t>
      </w:r>
      <w:r w:rsidR="009332F6" w:rsidRPr="009332F6">
        <w:t xml:space="preserve"> </w:t>
      </w:r>
      <w:r w:rsidRPr="009332F6">
        <w:t xml:space="preserve"> Renewable</w:t>
      </w:r>
      <w:r>
        <w:t xml:space="preserve"> Energy </w:t>
      </w:r>
      <w:r w:rsidR="006817C4">
        <w:t>Revenue</w:t>
      </w:r>
      <w:r>
        <w:t xml:space="preserve"> Tracking Mechanism (Feb. 28, 2013).  </w:t>
      </w:r>
    </w:p>
  </w:footnote>
  <w:footnote w:id="4">
    <w:p w14:paraId="170A8709" w14:textId="77777777" w:rsidR="006720FF" w:rsidRDefault="006720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v. PacifiCorp</w:t>
      </w:r>
      <w:r>
        <w:t xml:space="preserve">, Docket UE-100749, Notice of Extension of Deadline for Compliance Filing (Jan. 23, 2014). </w:t>
      </w:r>
    </w:p>
  </w:footnote>
  <w:footnote w:id="5">
    <w:p w14:paraId="170A870A" w14:textId="77777777" w:rsidR="001B1452" w:rsidRDefault="001B14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v. PacifiCorp</w:t>
      </w:r>
      <w:r>
        <w:t xml:space="preserve">, Docket UE-100749, Renewable Energy Revenue Adjustment Compliance Filing (Oct. 3, 2014).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2944"/>
    <w:multiLevelType w:val="hybridMultilevel"/>
    <w:tmpl w:val="742677AA"/>
    <w:lvl w:ilvl="0" w:tplc="6ADE525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A54ABB"/>
    <w:multiLevelType w:val="hybridMultilevel"/>
    <w:tmpl w:val="5D2A664C"/>
    <w:lvl w:ilvl="0" w:tplc="0254CEC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27D24"/>
    <w:multiLevelType w:val="hybridMultilevel"/>
    <w:tmpl w:val="9E489712"/>
    <w:lvl w:ilvl="0" w:tplc="52C4A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A"/>
    <w:rsid w:val="000546CA"/>
    <w:rsid w:val="00085FF0"/>
    <w:rsid w:val="000A2B22"/>
    <w:rsid w:val="00100F18"/>
    <w:rsid w:val="0014218B"/>
    <w:rsid w:val="001A1F7A"/>
    <w:rsid w:val="001B1452"/>
    <w:rsid w:val="002149CD"/>
    <w:rsid w:val="002B02DF"/>
    <w:rsid w:val="002D11BC"/>
    <w:rsid w:val="002F1CA8"/>
    <w:rsid w:val="00311EED"/>
    <w:rsid w:val="00321072"/>
    <w:rsid w:val="00371766"/>
    <w:rsid w:val="00383668"/>
    <w:rsid w:val="003B4E27"/>
    <w:rsid w:val="003D3F88"/>
    <w:rsid w:val="00417006"/>
    <w:rsid w:val="00423883"/>
    <w:rsid w:val="0045401A"/>
    <w:rsid w:val="005763A6"/>
    <w:rsid w:val="00605BEE"/>
    <w:rsid w:val="006674AD"/>
    <w:rsid w:val="006720FF"/>
    <w:rsid w:val="006817C4"/>
    <w:rsid w:val="006833B8"/>
    <w:rsid w:val="006955A2"/>
    <w:rsid w:val="00773EEB"/>
    <w:rsid w:val="00774663"/>
    <w:rsid w:val="007B0004"/>
    <w:rsid w:val="007B25FB"/>
    <w:rsid w:val="007D261C"/>
    <w:rsid w:val="008B1317"/>
    <w:rsid w:val="008B4F6A"/>
    <w:rsid w:val="008E7C0C"/>
    <w:rsid w:val="00914A79"/>
    <w:rsid w:val="009332F6"/>
    <w:rsid w:val="00940844"/>
    <w:rsid w:val="0094589B"/>
    <w:rsid w:val="00962CDB"/>
    <w:rsid w:val="009749FA"/>
    <w:rsid w:val="00993D48"/>
    <w:rsid w:val="009D608C"/>
    <w:rsid w:val="00A42DB9"/>
    <w:rsid w:val="00A834FC"/>
    <w:rsid w:val="00B14D0A"/>
    <w:rsid w:val="00B54E6B"/>
    <w:rsid w:val="00C25948"/>
    <w:rsid w:val="00CA3E35"/>
    <w:rsid w:val="00D414DF"/>
    <w:rsid w:val="00D64552"/>
    <w:rsid w:val="00D66F53"/>
    <w:rsid w:val="00DE3D1D"/>
    <w:rsid w:val="00E14684"/>
    <w:rsid w:val="00E21A1F"/>
    <w:rsid w:val="00E41215"/>
    <w:rsid w:val="00E83AD5"/>
    <w:rsid w:val="00F234DA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A8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4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FA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9749FA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749FA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FA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F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F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F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4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FA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9749FA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749FA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FA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F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F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F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2014-10-17T22:47:54+00:00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C7A3A-3B12-4CD5-BFD6-515086DF37E2}"/>
</file>

<file path=customXml/itemProps2.xml><?xml version="1.0" encoding="utf-8"?>
<ds:datastoreItem xmlns:ds="http://schemas.openxmlformats.org/officeDocument/2006/customXml" ds:itemID="{3A858F5E-105C-4DB5-95B0-D5C110F726E6}"/>
</file>

<file path=customXml/itemProps3.xml><?xml version="1.0" encoding="utf-8"?>
<ds:datastoreItem xmlns:ds="http://schemas.openxmlformats.org/officeDocument/2006/customXml" ds:itemID="{84B03350-68F6-495A-9264-50EDE35BA723}"/>
</file>

<file path=customXml/itemProps4.xml><?xml version="1.0" encoding="utf-8"?>
<ds:datastoreItem xmlns:ds="http://schemas.openxmlformats.org/officeDocument/2006/customXml" ds:itemID="{B96E6140-3654-4D39-B3A3-E7600831F4A1}"/>
</file>

<file path=customXml/itemProps5.xml><?xml version="1.0" encoding="utf-8"?>
<ds:datastoreItem xmlns:ds="http://schemas.openxmlformats.org/officeDocument/2006/customXml" ds:itemID="{1DB52B9E-BD35-43D5-AE08-336C06CBF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Chris (UTC)</dc:creator>
  <cp:keywords/>
  <dc:description/>
  <cp:lastModifiedBy>DeMarco, Betsy (UTC)</cp:lastModifiedBy>
  <cp:revision>18</cp:revision>
  <cp:lastPrinted>2014-10-17T20:02:00Z</cp:lastPrinted>
  <dcterms:created xsi:type="dcterms:W3CDTF">2014-10-15T23:46:00Z</dcterms:created>
  <dcterms:modified xsi:type="dcterms:W3CDTF">2014-10-17T22:15:00Z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