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3074E" w14:textId="5F7BE3FF" w:rsidR="00380457" w:rsidRDefault="00EE7D1F" w:rsidP="00710D4A">
      <w:pPr>
        <w:rPr>
          <w:b/>
          <w:bCs/>
          <w:sz w:val="24"/>
        </w:rPr>
      </w:pPr>
      <w:r>
        <w:rPr>
          <w:b/>
          <w:bCs/>
          <w:sz w:val="24"/>
        </w:rPr>
        <w:t xml:space="preserve">BENCH </w:t>
      </w:r>
      <w:r w:rsidR="00BE1605" w:rsidRPr="00380457">
        <w:rPr>
          <w:b/>
          <w:bCs/>
          <w:sz w:val="24"/>
        </w:rPr>
        <w:t xml:space="preserve">REQUEST NO. </w:t>
      </w:r>
      <w:r w:rsidR="00710D4A">
        <w:rPr>
          <w:b/>
          <w:bCs/>
          <w:sz w:val="24"/>
        </w:rPr>
        <w:t>9</w:t>
      </w:r>
      <w:r w:rsidR="00BE1605" w:rsidRPr="00380457">
        <w:rPr>
          <w:b/>
          <w:bCs/>
          <w:sz w:val="24"/>
        </w:rPr>
        <w:t xml:space="preserve">:  </w:t>
      </w:r>
    </w:p>
    <w:p w14:paraId="2596CC3A" w14:textId="77777777" w:rsidR="00710D4A" w:rsidRDefault="00710D4A" w:rsidP="00710D4A">
      <w:pPr>
        <w:rPr>
          <w:b/>
          <w:bCs/>
          <w:sz w:val="24"/>
        </w:rPr>
      </w:pPr>
    </w:p>
    <w:p w14:paraId="1EAE25BE" w14:textId="77777777" w:rsidR="00710D4A" w:rsidRPr="007A0571" w:rsidRDefault="00710D4A" w:rsidP="00710D4A">
      <w:pPr>
        <w:pStyle w:val="ListParagraph"/>
        <w:widowControl/>
        <w:numPr>
          <w:ilvl w:val="0"/>
          <w:numId w:val="8"/>
        </w:numPr>
        <w:autoSpaceDE/>
        <w:autoSpaceDN/>
        <w:adjustRightInd/>
        <w:spacing w:line="264" w:lineRule="auto"/>
        <w:contextualSpacing w:val="0"/>
        <w:rPr>
          <w:sz w:val="24"/>
        </w:rPr>
      </w:pPr>
      <w:r w:rsidRPr="007A0571">
        <w:rPr>
          <w:sz w:val="24"/>
        </w:rPr>
        <w:t>Please provide a recalculation of all restating and pro forma adjustments to end-of-period (EOP) for Jason L. Ball corrected Exh. No. JLB-2r filed on April 29, 2016.</w:t>
      </w:r>
    </w:p>
    <w:p w14:paraId="19EAA78B" w14:textId="77777777" w:rsidR="00710D4A" w:rsidRPr="007A0571" w:rsidRDefault="00710D4A" w:rsidP="00710D4A">
      <w:pPr>
        <w:pStyle w:val="ListParagraph"/>
        <w:widowControl/>
        <w:numPr>
          <w:ilvl w:val="0"/>
          <w:numId w:val="8"/>
        </w:numPr>
        <w:autoSpaceDE/>
        <w:autoSpaceDN/>
        <w:adjustRightInd/>
        <w:spacing w:line="264" w:lineRule="auto"/>
        <w:contextualSpacing w:val="0"/>
        <w:rPr>
          <w:sz w:val="24"/>
        </w:rPr>
      </w:pPr>
      <w:r w:rsidRPr="007A0571">
        <w:rPr>
          <w:sz w:val="24"/>
        </w:rPr>
        <w:t>Please provide a separate recalculation of all restating and pro forma adjustments to average-of-monthly-averages (AMA) for Jason L. Ball corrected Exh. No. JLB-2r filed on April 29, 2016.</w:t>
      </w:r>
    </w:p>
    <w:p w14:paraId="44DD522A" w14:textId="77777777" w:rsidR="00710D4A" w:rsidRDefault="00710D4A" w:rsidP="00710D4A">
      <w:pPr>
        <w:rPr>
          <w:b/>
          <w:bCs/>
          <w:sz w:val="24"/>
        </w:rPr>
      </w:pPr>
    </w:p>
    <w:p w14:paraId="40AB7A2E" w14:textId="79A5F025" w:rsidR="00710D4A" w:rsidRDefault="00EF5647" w:rsidP="00710D4A">
      <w:pPr>
        <w:rPr>
          <w:sz w:val="24"/>
        </w:rPr>
      </w:pPr>
      <w:r>
        <w:rPr>
          <w:b/>
          <w:bCs/>
          <w:sz w:val="24"/>
        </w:rPr>
        <w:t>RESPONSE:</w:t>
      </w:r>
      <w:r w:rsidR="00DB0048">
        <w:rPr>
          <w:b/>
          <w:bCs/>
          <w:sz w:val="24"/>
        </w:rPr>
        <w:t xml:space="preserve">  </w:t>
      </w:r>
    </w:p>
    <w:p w14:paraId="50E1821E" w14:textId="19EBD8D2" w:rsidR="0063150E" w:rsidRPr="000A7E11" w:rsidRDefault="0063150E" w:rsidP="0063150E">
      <w:pPr>
        <w:pStyle w:val="ListParagraph"/>
        <w:widowControl/>
        <w:autoSpaceDE/>
        <w:autoSpaceDN/>
        <w:adjustRightInd/>
        <w:rPr>
          <w:bCs/>
          <w:sz w:val="24"/>
        </w:rPr>
      </w:pPr>
    </w:p>
    <w:p w14:paraId="7649A2B2" w14:textId="7BD9C119" w:rsidR="0063150E" w:rsidRDefault="0063150E" w:rsidP="0063150E">
      <w:pPr>
        <w:pStyle w:val="ListParagraph"/>
        <w:widowControl/>
        <w:numPr>
          <w:ilvl w:val="0"/>
          <w:numId w:val="10"/>
        </w:numPr>
        <w:autoSpaceDE/>
        <w:autoSpaceDN/>
        <w:adjustRightInd/>
        <w:rPr>
          <w:bCs/>
          <w:sz w:val="24"/>
        </w:rPr>
      </w:pPr>
      <w:r w:rsidRPr="00F82F2D">
        <w:rPr>
          <w:bCs/>
          <w:sz w:val="24"/>
        </w:rPr>
        <w:t>Staff supports the use of end-of-period and this, generally,</w:t>
      </w:r>
      <w:r>
        <w:rPr>
          <w:bCs/>
          <w:sz w:val="24"/>
        </w:rPr>
        <w:t xml:space="preserve"> is</w:t>
      </w:r>
      <w:r w:rsidRPr="00F82F2D">
        <w:rPr>
          <w:bCs/>
          <w:sz w:val="24"/>
        </w:rPr>
        <w:t xml:space="preserve"> already reflected in Exh</w:t>
      </w:r>
      <w:r w:rsidR="00D73B81">
        <w:rPr>
          <w:bCs/>
          <w:sz w:val="24"/>
        </w:rPr>
        <w:t>.</w:t>
      </w:r>
      <w:r w:rsidRPr="00F82F2D">
        <w:rPr>
          <w:bCs/>
          <w:sz w:val="24"/>
        </w:rPr>
        <w:t xml:space="preserve"> No. JLB-2r.  However, after consultation with Pacific Power, Staff determined that there are three additional adjustments in Staff’s case that may be impacted by the use of end-of-period.  </w:t>
      </w:r>
      <w:r w:rsidR="00AD5197">
        <w:rPr>
          <w:bCs/>
          <w:sz w:val="24"/>
        </w:rPr>
        <w:t>Staff reviewed</w:t>
      </w:r>
      <w:r w:rsidRPr="00F82F2D">
        <w:rPr>
          <w:bCs/>
          <w:sz w:val="24"/>
        </w:rPr>
        <w:t xml:space="preserve"> the potential impact and information available for </w:t>
      </w:r>
      <w:r>
        <w:rPr>
          <w:bCs/>
          <w:sz w:val="24"/>
        </w:rPr>
        <w:t>each of these adjustments</w:t>
      </w:r>
      <w:r w:rsidR="00AD5197">
        <w:rPr>
          <w:bCs/>
          <w:sz w:val="24"/>
        </w:rPr>
        <w:t xml:space="preserve"> and </w:t>
      </w:r>
      <w:r>
        <w:rPr>
          <w:bCs/>
          <w:sz w:val="24"/>
        </w:rPr>
        <w:t>determined that the presentation of end-of-period currently reflected in Exh</w:t>
      </w:r>
      <w:r w:rsidR="00D73B81">
        <w:rPr>
          <w:bCs/>
          <w:sz w:val="24"/>
        </w:rPr>
        <w:t>.</w:t>
      </w:r>
      <w:r>
        <w:rPr>
          <w:bCs/>
          <w:sz w:val="24"/>
        </w:rPr>
        <w:t xml:space="preserve"> No. JLB-2r is the best possible representation of the impact of end-of-period balances on Staff’s case.  </w:t>
      </w:r>
      <w:r w:rsidR="00AD5197">
        <w:rPr>
          <w:bCs/>
          <w:sz w:val="24"/>
        </w:rPr>
        <w:t>Each of the three adjustments is listed below along with the reason that it is already adequately reflected in Exh</w:t>
      </w:r>
      <w:r w:rsidR="0020145A">
        <w:rPr>
          <w:bCs/>
          <w:sz w:val="24"/>
        </w:rPr>
        <w:t>.</w:t>
      </w:r>
      <w:r w:rsidR="00AD5197">
        <w:rPr>
          <w:bCs/>
          <w:sz w:val="24"/>
        </w:rPr>
        <w:t xml:space="preserve"> No. JLB-2r.</w:t>
      </w:r>
    </w:p>
    <w:p w14:paraId="01F372CA" w14:textId="77777777" w:rsidR="0063150E" w:rsidRPr="00F82F2D" w:rsidRDefault="0063150E" w:rsidP="0063150E">
      <w:pPr>
        <w:widowControl/>
        <w:autoSpaceDE/>
        <w:autoSpaceDN/>
        <w:adjustRightInd/>
        <w:rPr>
          <w:bCs/>
          <w:sz w:val="24"/>
        </w:rPr>
      </w:pPr>
    </w:p>
    <w:p w14:paraId="7387670D" w14:textId="3126ABEA" w:rsidR="0063150E" w:rsidRDefault="0063150E" w:rsidP="0063150E">
      <w:pPr>
        <w:pStyle w:val="ListParagraph"/>
        <w:widowControl/>
        <w:numPr>
          <w:ilvl w:val="1"/>
          <w:numId w:val="10"/>
        </w:numPr>
        <w:autoSpaceDE/>
        <w:autoSpaceDN/>
        <w:adjustRightInd/>
        <w:rPr>
          <w:bCs/>
          <w:sz w:val="24"/>
        </w:rPr>
      </w:pPr>
      <w:r>
        <w:rPr>
          <w:bCs/>
          <w:sz w:val="24"/>
        </w:rPr>
        <w:t xml:space="preserve">Adjustment 7.1, Interest True-up – This adjustment is calculated using restated and pro forma rate base amounts and is therefore affected by any change in </w:t>
      </w:r>
      <w:r w:rsidR="00AD5197">
        <w:rPr>
          <w:bCs/>
          <w:sz w:val="24"/>
        </w:rPr>
        <w:t>r</w:t>
      </w:r>
      <w:r>
        <w:rPr>
          <w:bCs/>
          <w:sz w:val="24"/>
        </w:rPr>
        <w:t xml:space="preserve">atebase.  </w:t>
      </w:r>
    </w:p>
    <w:p w14:paraId="2C895C5B" w14:textId="77777777" w:rsidR="0063150E" w:rsidRDefault="0063150E" w:rsidP="0063150E">
      <w:pPr>
        <w:pStyle w:val="ListParagraph"/>
        <w:widowControl/>
        <w:autoSpaceDE/>
        <w:autoSpaceDN/>
        <w:adjustRightInd/>
        <w:ind w:left="1440"/>
        <w:rPr>
          <w:bCs/>
          <w:sz w:val="24"/>
        </w:rPr>
      </w:pPr>
    </w:p>
    <w:p w14:paraId="2CA8D891" w14:textId="2AEE0CAA" w:rsidR="0063150E" w:rsidRDefault="0063150E" w:rsidP="0063150E">
      <w:pPr>
        <w:pStyle w:val="ListParagraph"/>
        <w:widowControl/>
        <w:numPr>
          <w:ilvl w:val="1"/>
          <w:numId w:val="10"/>
        </w:numPr>
        <w:autoSpaceDE/>
        <w:autoSpaceDN/>
        <w:adjustRightInd/>
        <w:rPr>
          <w:bCs/>
          <w:sz w:val="24"/>
        </w:rPr>
      </w:pPr>
      <w:r>
        <w:rPr>
          <w:bCs/>
          <w:sz w:val="24"/>
        </w:rPr>
        <w:t>Adjustment 7.4, Power</w:t>
      </w:r>
      <w:r w:rsidR="00596CE7">
        <w:rPr>
          <w:bCs/>
          <w:sz w:val="24"/>
        </w:rPr>
        <w:t>/</w:t>
      </w:r>
      <w:r>
        <w:rPr>
          <w:bCs/>
          <w:sz w:val="24"/>
        </w:rPr>
        <w:t xml:space="preserve">Tax ADIT – This adjustment reflects the Company’s accumulated deferred income tax balances using its PowerTax software.  Staff does not have access to the PowerTax software and has been unable to calculate an </w:t>
      </w:r>
      <w:r w:rsidR="00B42DBC">
        <w:rPr>
          <w:bCs/>
          <w:sz w:val="24"/>
        </w:rPr>
        <w:t xml:space="preserve">exact </w:t>
      </w:r>
      <w:r>
        <w:rPr>
          <w:bCs/>
          <w:sz w:val="24"/>
        </w:rPr>
        <w:t xml:space="preserve">adjustment in the level of PowerTax ADIT </w:t>
      </w:r>
      <w:r w:rsidRPr="004E6FB6">
        <w:rPr>
          <w:bCs/>
          <w:i/>
          <w:sz w:val="24"/>
        </w:rPr>
        <w:t>in Staff’s</w:t>
      </w:r>
      <w:r>
        <w:rPr>
          <w:bCs/>
          <w:sz w:val="24"/>
        </w:rPr>
        <w:t xml:space="preserve"> </w:t>
      </w:r>
      <w:r w:rsidRPr="008D257B">
        <w:rPr>
          <w:bCs/>
          <w:i/>
          <w:sz w:val="24"/>
        </w:rPr>
        <w:t>case</w:t>
      </w:r>
      <w:r w:rsidR="00B42DBC">
        <w:rPr>
          <w:bCs/>
          <w:sz w:val="24"/>
        </w:rPr>
        <w:t xml:space="preserve"> using end-of-period</w:t>
      </w:r>
      <w:r>
        <w:rPr>
          <w:bCs/>
          <w:sz w:val="24"/>
        </w:rPr>
        <w:t>.</w:t>
      </w:r>
      <w:r w:rsidR="003D7B11">
        <w:rPr>
          <w:bCs/>
          <w:sz w:val="24"/>
        </w:rPr>
        <w:t xml:space="preserve">  </w:t>
      </w:r>
      <w:r>
        <w:rPr>
          <w:bCs/>
          <w:sz w:val="24"/>
        </w:rPr>
        <w:t xml:space="preserve">We estimate the difference between the </w:t>
      </w:r>
      <w:r w:rsidR="00AD5197">
        <w:rPr>
          <w:bCs/>
          <w:sz w:val="24"/>
        </w:rPr>
        <w:t xml:space="preserve">PowerTax ADIT </w:t>
      </w:r>
      <w:r>
        <w:rPr>
          <w:bCs/>
          <w:sz w:val="24"/>
        </w:rPr>
        <w:t>amount</w:t>
      </w:r>
      <w:r w:rsidR="00B42DBC">
        <w:rPr>
          <w:bCs/>
          <w:sz w:val="24"/>
        </w:rPr>
        <w:t>s</w:t>
      </w:r>
      <w:r>
        <w:rPr>
          <w:bCs/>
          <w:sz w:val="24"/>
        </w:rPr>
        <w:t xml:space="preserve"> reflected in Staff’s and the Company’s end-of-period case</w:t>
      </w:r>
      <w:r w:rsidR="00B42DBC">
        <w:rPr>
          <w:bCs/>
          <w:sz w:val="24"/>
        </w:rPr>
        <w:t>s</w:t>
      </w:r>
      <w:r>
        <w:rPr>
          <w:bCs/>
          <w:sz w:val="24"/>
        </w:rPr>
        <w:t xml:space="preserve"> to be relatively small and </w:t>
      </w:r>
      <w:r w:rsidR="00B42DBC">
        <w:rPr>
          <w:bCs/>
          <w:sz w:val="24"/>
        </w:rPr>
        <w:t xml:space="preserve">believe that the difference </w:t>
      </w:r>
      <w:r>
        <w:rPr>
          <w:bCs/>
          <w:sz w:val="24"/>
        </w:rPr>
        <w:t xml:space="preserve">could be corrected at the time of compliance.  </w:t>
      </w:r>
    </w:p>
    <w:p w14:paraId="6488ED6B" w14:textId="77777777" w:rsidR="0063150E" w:rsidRPr="00613030" w:rsidRDefault="0063150E" w:rsidP="0063150E">
      <w:pPr>
        <w:pStyle w:val="ListParagraph"/>
        <w:rPr>
          <w:bCs/>
          <w:sz w:val="24"/>
        </w:rPr>
      </w:pPr>
    </w:p>
    <w:p w14:paraId="74090B4B" w14:textId="7BF1BEE5" w:rsidR="0063150E" w:rsidRPr="00257B58" w:rsidRDefault="0063150E" w:rsidP="0063150E">
      <w:pPr>
        <w:pStyle w:val="ListParagraph"/>
        <w:widowControl/>
        <w:numPr>
          <w:ilvl w:val="1"/>
          <w:numId w:val="10"/>
        </w:numPr>
        <w:autoSpaceDE/>
        <w:autoSpaceDN/>
        <w:adjustRightInd/>
        <w:rPr>
          <w:b/>
          <w:bCs/>
          <w:sz w:val="24"/>
        </w:rPr>
      </w:pPr>
      <w:r w:rsidRPr="00257B58">
        <w:rPr>
          <w:bCs/>
          <w:sz w:val="24"/>
        </w:rPr>
        <w:t xml:space="preserve">Adjustment 8.4, Pro Forma Plant Additions (Jim Bridger SCR) – </w:t>
      </w:r>
      <w:r>
        <w:rPr>
          <w:bCs/>
          <w:sz w:val="24"/>
        </w:rPr>
        <w:t xml:space="preserve">As detailed in the testimony of Staff witness Jeremy Twitchell, Staff recommends that the Commission find the decision to install Selective Catalytic Reduction at the Jim Bridger Plant to be an imprudent decision.  Based on Mr. Twitchell’s findings, Staff recommends that the Commission use the cost of natural gas conversion at Jim Bridger in place of the Jim Bridger SCR upgrades.  </w:t>
      </w:r>
      <w:r w:rsidR="00AD5197">
        <w:rPr>
          <w:bCs/>
          <w:sz w:val="24"/>
        </w:rPr>
        <w:t xml:space="preserve">Staff’s </w:t>
      </w:r>
      <w:r w:rsidR="00AD5197">
        <w:rPr>
          <w:bCs/>
          <w:sz w:val="24"/>
        </w:rPr>
        <w:lastRenderedPageBreak/>
        <w:t>adjustment is a disallowance reflecting the difference in cost that Staff calculates between installing SCR and converting the plant to natural gas. Because the disallowance is calculated partially based on imputed costs,</w:t>
      </w:r>
      <w:r w:rsidR="00B42DBC">
        <w:rPr>
          <w:bCs/>
          <w:sz w:val="24"/>
        </w:rPr>
        <w:t xml:space="preserve"> </w:t>
      </w:r>
      <w:r w:rsidR="00AD5197">
        <w:rPr>
          <w:bCs/>
          <w:sz w:val="24"/>
        </w:rPr>
        <w:t>the minimal difference between</w:t>
      </w:r>
      <w:r>
        <w:rPr>
          <w:bCs/>
          <w:sz w:val="24"/>
        </w:rPr>
        <w:t xml:space="preserve"> end-of-period and average-of-monthly-averages </w:t>
      </w:r>
      <w:r w:rsidR="00AD5197">
        <w:rPr>
          <w:bCs/>
          <w:sz w:val="24"/>
        </w:rPr>
        <w:t>is ultimately insignificant</w:t>
      </w:r>
      <w:r w:rsidR="00063FA7">
        <w:rPr>
          <w:bCs/>
          <w:sz w:val="24"/>
        </w:rPr>
        <w:t xml:space="preserve">. </w:t>
      </w:r>
    </w:p>
    <w:p w14:paraId="1A032BE4" w14:textId="77777777" w:rsidR="0063150E" w:rsidRDefault="0063150E" w:rsidP="0063150E">
      <w:pPr>
        <w:widowControl/>
        <w:autoSpaceDE/>
        <w:autoSpaceDN/>
        <w:adjustRightInd/>
        <w:rPr>
          <w:b/>
          <w:bCs/>
          <w:sz w:val="24"/>
        </w:rPr>
      </w:pPr>
    </w:p>
    <w:p w14:paraId="2E908941" w14:textId="04355500" w:rsidR="00061D5F" w:rsidRPr="000A7E11" w:rsidRDefault="00A7200D" w:rsidP="00A7200D">
      <w:pPr>
        <w:pStyle w:val="ListParagraph"/>
        <w:widowControl/>
        <w:numPr>
          <w:ilvl w:val="0"/>
          <w:numId w:val="10"/>
        </w:numPr>
        <w:autoSpaceDE/>
        <w:autoSpaceDN/>
        <w:adjustRightInd/>
        <w:rPr>
          <w:bCs/>
          <w:sz w:val="24"/>
        </w:rPr>
      </w:pPr>
      <w:r w:rsidRPr="00A7200D">
        <w:rPr>
          <w:sz w:val="24"/>
        </w:rPr>
        <w:t xml:space="preserve">Please see </w:t>
      </w:r>
      <w:r>
        <w:rPr>
          <w:sz w:val="24"/>
        </w:rPr>
        <w:t xml:space="preserve">the attached excel spreadsheet showing a </w:t>
      </w:r>
      <w:r w:rsidR="000A7E11">
        <w:rPr>
          <w:sz w:val="24"/>
        </w:rPr>
        <w:t xml:space="preserve">recalculation of all restating and pro forma adjustments using </w:t>
      </w:r>
      <w:r w:rsidR="00FB68F8">
        <w:rPr>
          <w:sz w:val="24"/>
        </w:rPr>
        <w:t>average-of-monthly-averages</w:t>
      </w:r>
      <w:r w:rsidR="000A7E11">
        <w:rPr>
          <w:sz w:val="24"/>
        </w:rPr>
        <w:t xml:space="preserve">.  Workpapers are voluminous and are being provided in electronic format only.  </w:t>
      </w:r>
    </w:p>
    <w:p w14:paraId="73466273" w14:textId="77777777" w:rsidR="00061D5F" w:rsidRDefault="00061D5F" w:rsidP="00710D4A">
      <w:pPr>
        <w:widowControl/>
        <w:autoSpaceDE/>
        <w:autoSpaceDN/>
        <w:adjustRightInd/>
        <w:rPr>
          <w:b/>
          <w:bCs/>
          <w:sz w:val="24"/>
        </w:rPr>
      </w:pPr>
    </w:p>
    <w:p w14:paraId="4BA4CA2B" w14:textId="1508D9D0" w:rsidR="00EE7D1F" w:rsidRDefault="00EE7D1F" w:rsidP="00710D4A">
      <w:pPr>
        <w:widowControl/>
        <w:autoSpaceDE/>
        <w:autoSpaceDN/>
        <w:adjustRightInd/>
        <w:rPr>
          <w:b/>
          <w:bCs/>
          <w:sz w:val="24"/>
        </w:rPr>
      </w:pPr>
      <w:r>
        <w:rPr>
          <w:b/>
          <w:bCs/>
          <w:sz w:val="24"/>
        </w:rPr>
        <w:br w:type="page"/>
      </w:r>
    </w:p>
    <w:p w14:paraId="716F7F6A" w14:textId="77777777" w:rsidR="00710D4A" w:rsidRDefault="00380457" w:rsidP="00710D4A">
      <w:pPr>
        <w:pStyle w:val="ListParagraph"/>
        <w:ind w:left="0"/>
        <w:contextualSpacing w:val="0"/>
        <w:rPr>
          <w:sz w:val="24"/>
          <w:szCs w:val="25"/>
        </w:rPr>
      </w:pPr>
      <w:r w:rsidRPr="00380457">
        <w:rPr>
          <w:b/>
          <w:bCs/>
          <w:sz w:val="24"/>
        </w:rPr>
        <w:lastRenderedPageBreak/>
        <w:t xml:space="preserve">REQUEST NO. </w:t>
      </w:r>
      <w:r w:rsidR="00710D4A">
        <w:rPr>
          <w:b/>
          <w:bCs/>
          <w:sz w:val="24"/>
        </w:rPr>
        <w:t>10</w:t>
      </w:r>
      <w:r w:rsidRPr="00380457">
        <w:rPr>
          <w:b/>
          <w:bCs/>
          <w:sz w:val="24"/>
        </w:rPr>
        <w:t xml:space="preserve">:  </w:t>
      </w:r>
      <w:r w:rsidR="00710D4A">
        <w:rPr>
          <w:sz w:val="24"/>
          <w:szCs w:val="25"/>
        </w:rPr>
        <w:t>At hearing on May 2, 2016, Mr. Brad Purdy, on behalf of the Energy Project, indicated that some contested issues affecting low-income customers may be resolved. If the following issues have been resolved, please provide a description of the resolution:</w:t>
      </w:r>
    </w:p>
    <w:p w14:paraId="5D77F167" w14:textId="77777777" w:rsidR="00710D4A" w:rsidRDefault="00710D4A" w:rsidP="00710D4A">
      <w:pPr>
        <w:pStyle w:val="ListParagraph"/>
        <w:ind w:left="0"/>
        <w:contextualSpacing w:val="0"/>
        <w:rPr>
          <w:sz w:val="24"/>
          <w:szCs w:val="25"/>
        </w:rPr>
      </w:pPr>
    </w:p>
    <w:p w14:paraId="2D34A135" w14:textId="77777777" w:rsidR="00710D4A" w:rsidRPr="00E067E8" w:rsidRDefault="00710D4A" w:rsidP="00D73B81">
      <w:pPr>
        <w:pStyle w:val="ListParagraph"/>
        <w:widowControl/>
        <w:numPr>
          <w:ilvl w:val="0"/>
          <w:numId w:val="9"/>
        </w:numPr>
        <w:autoSpaceDE/>
        <w:autoSpaceDN/>
        <w:adjustRightInd/>
        <w:contextualSpacing w:val="0"/>
        <w:rPr>
          <w:sz w:val="24"/>
        </w:rPr>
      </w:pPr>
      <w:r w:rsidRPr="00E067E8">
        <w:rPr>
          <w:sz w:val="24"/>
        </w:rPr>
        <w:t>Staff recommends that the Company be required to commit at least $50,000 in shareholder funding to its low-income conservation program as a condition of the Commission approving a decoupling mechanism. (Ball, Exh. JLB-1T at 42:23-24)</w:t>
      </w:r>
    </w:p>
    <w:p w14:paraId="3238C8E5" w14:textId="41B7840D" w:rsidR="00380457" w:rsidRPr="00380457" w:rsidRDefault="00380457" w:rsidP="00710D4A">
      <w:pPr>
        <w:rPr>
          <w:sz w:val="24"/>
        </w:rPr>
      </w:pPr>
    </w:p>
    <w:p w14:paraId="5447A7A3" w14:textId="2830D7C9" w:rsidR="007163D4" w:rsidRDefault="00D34852" w:rsidP="00710D4A">
      <w:pPr>
        <w:rPr>
          <w:sz w:val="24"/>
        </w:rPr>
      </w:pPr>
      <w:r>
        <w:rPr>
          <w:b/>
          <w:bCs/>
          <w:sz w:val="24"/>
        </w:rPr>
        <w:t>RESPONSE:</w:t>
      </w:r>
      <w:r w:rsidR="00DB0048">
        <w:rPr>
          <w:b/>
          <w:bCs/>
          <w:sz w:val="24"/>
        </w:rPr>
        <w:t xml:space="preserve">  </w:t>
      </w:r>
      <w:r w:rsidR="007163D4">
        <w:rPr>
          <w:sz w:val="24"/>
        </w:rPr>
        <w:t>Staff</w:t>
      </w:r>
      <w:r w:rsidR="00086931">
        <w:rPr>
          <w:sz w:val="24"/>
        </w:rPr>
        <w:t>’s proposal remains in dispute</w:t>
      </w:r>
      <w:r w:rsidR="007163D4">
        <w:rPr>
          <w:sz w:val="24"/>
        </w:rPr>
        <w:t xml:space="preserve">.  </w:t>
      </w:r>
      <w:r w:rsidR="00C81761">
        <w:rPr>
          <w:sz w:val="24"/>
        </w:rPr>
        <w:t xml:space="preserve">Staff’s proposal to increase shareholder funding by $50,000 for low income weatherization proceeds directly </w:t>
      </w:r>
      <w:r w:rsidR="002E3718">
        <w:rPr>
          <w:sz w:val="24"/>
        </w:rPr>
        <w:t xml:space="preserve">from </w:t>
      </w:r>
      <w:r w:rsidR="00C81761">
        <w:rPr>
          <w:sz w:val="24"/>
        </w:rPr>
        <w:t xml:space="preserve">the </w:t>
      </w:r>
      <w:r w:rsidR="007250F4">
        <w:rPr>
          <w:sz w:val="24"/>
        </w:rPr>
        <w:t>Commission’s policy statement on decoupling:</w:t>
      </w:r>
    </w:p>
    <w:p w14:paraId="50CEB95E" w14:textId="77777777" w:rsidR="007250F4" w:rsidRDefault="007250F4" w:rsidP="00710D4A">
      <w:pPr>
        <w:rPr>
          <w:sz w:val="24"/>
        </w:rPr>
      </w:pPr>
    </w:p>
    <w:p w14:paraId="049FCB8A" w14:textId="42A2E6FC" w:rsidR="007250F4" w:rsidRDefault="00DD2F0B" w:rsidP="00D73B81">
      <w:pPr>
        <w:widowControl/>
        <w:autoSpaceDE/>
        <w:autoSpaceDN/>
        <w:adjustRightInd/>
        <w:ind w:left="630" w:right="18" w:hanging="270"/>
        <w:rPr>
          <w:rStyle w:val="QuoteChar"/>
        </w:rPr>
      </w:pPr>
      <w:r>
        <w:rPr>
          <w:sz w:val="24"/>
        </w:rPr>
        <w:t xml:space="preserve">4.  </w:t>
      </w:r>
      <w:r w:rsidR="007250F4" w:rsidRPr="00DD2F0B">
        <w:rPr>
          <w:i/>
          <w:sz w:val="24"/>
        </w:rPr>
        <w:t>Low-income.</w:t>
      </w:r>
      <w:r w:rsidR="007250F4" w:rsidRPr="00DD2F0B">
        <w:rPr>
          <w:sz w:val="24"/>
        </w:rP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7250F4" w:rsidRPr="008575E2">
        <w:rPr>
          <w:rStyle w:val="QuoteChar"/>
        </w:rPr>
        <w:t>.</w:t>
      </w:r>
      <w:r w:rsidR="006B4B46" w:rsidRPr="006B4B46">
        <w:rPr>
          <w:rStyle w:val="FootnoteReference"/>
          <w:rFonts w:eastAsia="Times"/>
          <w:iCs/>
          <w:sz w:val="24"/>
          <w:vertAlign w:val="superscript"/>
        </w:rPr>
        <w:footnoteReference w:id="2"/>
      </w:r>
    </w:p>
    <w:p w14:paraId="5FCA99DD" w14:textId="77777777" w:rsidR="00D73B81" w:rsidRPr="00D73B81" w:rsidRDefault="00D73B81" w:rsidP="00D73B81">
      <w:pPr>
        <w:widowControl/>
        <w:autoSpaceDE/>
        <w:autoSpaceDN/>
        <w:adjustRightInd/>
        <w:ind w:left="630" w:right="18" w:hanging="270"/>
        <w:rPr>
          <w:rStyle w:val="QuoteChar"/>
        </w:rPr>
      </w:pPr>
    </w:p>
    <w:p w14:paraId="6966ADF5" w14:textId="45005D0C" w:rsidR="007163D4" w:rsidRPr="00380457" w:rsidRDefault="00CC30FD" w:rsidP="00710D4A">
      <w:pPr>
        <w:rPr>
          <w:sz w:val="24"/>
        </w:rPr>
      </w:pPr>
      <w:r>
        <w:rPr>
          <w:sz w:val="24"/>
        </w:rPr>
        <w:t xml:space="preserve">This issue of additional funding for low income weatherization is appropriately addressed inside the present proceeding.  </w:t>
      </w:r>
      <w:r w:rsidR="00537E9E">
        <w:rPr>
          <w:sz w:val="24"/>
        </w:rPr>
        <w:t xml:space="preserve">Staff, however, does not oppose discussing </w:t>
      </w:r>
      <w:r>
        <w:rPr>
          <w:sz w:val="24"/>
        </w:rPr>
        <w:t xml:space="preserve">how such a program may operate </w:t>
      </w:r>
      <w:r w:rsidR="00FE19F2">
        <w:rPr>
          <w:sz w:val="24"/>
        </w:rPr>
        <w:t xml:space="preserve">with </w:t>
      </w:r>
      <w:r w:rsidR="00BF6BE6">
        <w:rPr>
          <w:sz w:val="24"/>
        </w:rPr>
        <w:t xml:space="preserve">the </w:t>
      </w:r>
      <w:r w:rsidR="00FE19F2">
        <w:rPr>
          <w:sz w:val="24"/>
        </w:rPr>
        <w:t xml:space="preserve">additional funding </w:t>
      </w:r>
      <w:r>
        <w:rPr>
          <w:sz w:val="24"/>
        </w:rPr>
        <w:t xml:space="preserve">in </w:t>
      </w:r>
      <w:r w:rsidR="00B2697B">
        <w:rPr>
          <w:sz w:val="24"/>
        </w:rPr>
        <w:t xml:space="preserve">the </w:t>
      </w:r>
      <w:r>
        <w:rPr>
          <w:sz w:val="24"/>
        </w:rPr>
        <w:t xml:space="preserve">stakeholder group discussed by </w:t>
      </w:r>
      <w:r w:rsidR="00537E9E">
        <w:rPr>
          <w:sz w:val="24"/>
        </w:rPr>
        <w:t>The Energy Project</w:t>
      </w:r>
      <w:r>
        <w:rPr>
          <w:sz w:val="24"/>
        </w:rPr>
        <w:t xml:space="preserve">.  </w:t>
      </w:r>
      <w:r w:rsidR="00537E9E">
        <w:rPr>
          <w:sz w:val="24"/>
        </w:rPr>
        <w:t xml:space="preserve">To be clear, </w:t>
      </w:r>
      <w:r w:rsidR="00B2697B">
        <w:rPr>
          <w:sz w:val="24"/>
        </w:rPr>
        <w:t>Staff is not the originator of the stakeholder group</w:t>
      </w:r>
      <w:r w:rsidR="00FE19F2">
        <w:rPr>
          <w:sz w:val="24"/>
        </w:rPr>
        <w:t xml:space="preserve"> proposal</w:t>
      </w:r>
      <w:r w:rsidR="00537E9E">
        <w:rPr>
          <w:sz w:val="24"/>
        </w:rPr>
        <w:t xml:space="preserve"> involving low income weatherization</w:t>
      </w:r>
      <w:r w:rsidR="00473357">
        <w:rPr>
          <w:sz w:val="24"/>
        </w:rPr>
        <w:t xml:space="preserve">. </w:t>
      </w:r>
      <w:r w:rsidR="00B2697B" w:rsidDel="00473357">
        <w:rPr>
          <w:sz w:val="24"/>
        </w:rPr>
        <w:t xml:space="preserve"> </w:t>
      </w:r>
      <w:r w:rsidR="00B2697B">
        <w:rPr>
          <w:sz w:val="24"/>
        </w:rPr>
        <w:t xml:space="preserve">Staff witness Tiffany Van Meter </w:t>
      </w:r>
      <w:r w:rsidR="00537E9E">
        <w:rPr>
          <w:sz w:val="24"/>
        </w:rPr>
        <w:t>did propose convening a collaborative, but Ms. Van Meter’s proposal relates to an entirely separate</w:t>
      </w:r>
      <w:r w:rsidR="00FE19F2">
        <w:rPr>
          <w:sz w:val="24"/>
        </w:rPr>
        <w:t xml:space="preserve"> </w:t>
      </w:r>
      <w:r>
        <w:rPr>
          <w:sz w:val="24"/>
        </w:rPr>
        <w:t>collaborative</w:t>
      </w:r>
      <w:r w:rsidR="00537E9E">
        <w:rPr>
          <w:sz w:val="24"/>
        </w:rPr>
        <w:t>, which would</w:t>
      </w:r>
      <w:r>
        <w:rPr>
          <w:sz w:val="24"/>
        </w:rPr>
        <w:t xml:space="preserve"> d</w:t>
      </w:r>
      <w:r w:rsidR="00B2697B">
        <w:rPr>
          <w:sz w:val="24"/>
        </w:rPr>
        <w:t>iscuss cost-of-service</w:t>
      </w:r>
      <w:r w:rsidR="00C64C5A">
        <w:rPr>
          <w:sz w:val="24"/>
        </w:rPr>
        <w:t xml:space="preserve"> and rate design</w:t>
      </w:r>
      <w:r w:rsidR="00B2697B">
        <w:rPr>
          <w:sz w:val="24"/>
        </w:rPr>
        <w:t xml:space="preserve"> issues only.</w:t>
      </w:r>
      <w:bookmarkStart w:id="0" w:name="_GoBack"/>
      <w:r w:rsidR="00086931">
        <w:rPr>
          <w:sz w:val="24"/>
        </w:rPr>
        <w:t xml:space="preserve">  Staff continues to believe, however, that it is most appropriate to explicitly require the Company to increase shareholder funding in conjunction with approving decoupling</w:t>
      </w:r>
      <w:r w:rsidR="00086931">
        <w:rPr>
          <w:i/>
          <w:sz w:val="24"/>
        </w:rPr>
        <w:t>.</w:t>
      </w:r>
      <w:bookmarkEnd w:id="0"/>
    </w:p>
    <w:sectPr w:rsidR="007163D4" w:rsidRPr="00380457" w:rsidSect="00F95720">
      <w:headerReference w:type="default" r:id="rId12"/>
      <w:endnotePr>
        <w:numFmt w:val="decimal"/>
      </w:endnotePr>
      <w:pgSz w:w="12240" w:h="15840"/>
      <w:pgMar w:top="1440" w:right="1440" w:bottom="1440" w:left="1872" w:header="1440" w:footer="1440" w:gutter="0"/>
      <w:paperSrc w:first="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5C18B" w14:textId="77777777" w:rsidR="004A44D8" w:rsidRDefault="004A44D8">
      <w:r>
        <w:separator/>
      </w:r>
    </w:p>
  </w:endnote>
  <w:endnote w:type="continuationSeparator" w:id="0">
    <w:p w14:paraId="5CE293FC" w14:textId="77777777" w:rsidR="004A44D8" w:rsidRDefault="004A44D8">
      <w:r>
        <w:continuationSeparator/>
      </w:r>
    </w:p>
  </w:endnote>
  <w:endnote w:type="continuationNotice" w:id="1">
    <w:p w14:paraId="64D6B1FE" w14:textId="77777777" w:rsidR="004A44D8" w:rsidRDefault="004A4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B962B" w14:textId="77777777" w:rsidR="004A44D8" w:rsidRDefault="004A44D8">
      <w:r>
        <w:separator/>
      </w:r>
    </w:p>
  </w:footnote>
  <w:footnote w:type="continuationSeparator" w:id="0">
    <w:p w14:paraId="44B46789" w14:textId="77777777" w:rsidR="004A44D8" w:rsidRDefault="004A44D8">
      <w:r>
        <w:continuationSeparator/>
      </w:r>
    </w:p>
  </w:footnote>
  <w:footnote w:type="continuationNotice" w:id="1">
    <w:p w14:paraId="65BC09F2" w14:textId="77777777" w:rsidR="004A44D8" w:rsidRDefault="004A44D8"/>
  </w:footnote>
  <w:footnote w:id="2">
    <w:p w14:paraId="7D86DDDD" w14:textId="6A84A8A0" w:rsidR="004A44D8" w:rsidRDefault="004A44D8">
      <w:pPr>
        <w:pStyle w:val="FootnoteText"/>
      </w:pPr>
      <w:r w:rsidRPr="00D73B81">
        <w:rPr>
          <w:rStyle w:val="FootnoteReference"/>
          <w:vertAlign w:val="superscript"/>
        </w:rPr>
        <w:footnoteRef/>
      </w:r>
      <w:r w:rsidRPr="00D73B81">
        <w:rPr>
          <w:vertAlign w:val="superscript"/>
        </w:rPr>
        <w:t xml:space="preserve"> </w:t>
      </w:r>
      <w:r w:rsidRPr="005057FE">
        <w:rPr>
          <w:i/>
        </w:rPr>
        <w:t>In the Matter of the Washington Utilities and Transportation Commission’s Investigation into Energy Conservation Incentives</w:t>
      </w:r>
      <w:r w:rsidRPr="005057FE">
        <w:t>, Docket U-100522, Report and Policy Statement on Regulatory Mechanisms, Including Decoupling, to Encourage Utilities to Meet or Exceed their Conservation Targets</w:t>
      </w:r>
      <w:r>
        <w:t xml:space="preserve">, </w:t>
      </w:r>
      <w:r w:rsidRPr="006B4B46">
        <w:t>17–19, ¶ 28</w:t>
      </w:r>
      <w:r w:rsidRPr="005057FE">
        <w:t xml:space="preserve"> (Nov. </w:t>
      </w:r>
      <w:r w:rsidR="00A57313" w:rsidRPr="005057FE">
        <w:t>4, 2010)</w:t>
      </w:r>
      <w:r w:rsidR="00473357" w:rsidRPr="006B4B4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D536" w14:textId="77777777" w:rsidR="004A44D8" w:rsidRDefault="004A44D8" w:rsidP="00801FFD">
    <w:pPr>
      <w:tabs>
        <w:tab w:val="center" w:pos="4680"/>
      </w:tabs>
      <w:jc w:val="center"/>
      <w:rPr>
        <w:sz w:val="24"/>
      </w:rPr>
    </w:pPr>
    <w:r>
      <w:rPr>
        <w:sz w:val="24"/>
      </w:rPr>
      <w:t>WASHINGTON UTILITIES AND TRANSPORTATION COMMISSION STAFF</w:t>
    </w:r>
  </w:p>
  <w:p w14:paraId="54D665F0" w14:textId="77777777" w:rsidR="004A44D8" w:rsidRDefault="004A44D8" w:rsidP="00801FFD">
    <w:pPr>
      <w:tabs>
        <w:tab w:val="center" w:pos="4680"/>
      </w:tabs>
      <w:jc w:val="center"/>
      <w:rPr>
        <w:sz w:val="24"/>
      </w:rPr>
    </w:pPr>
    <w:r>
      <w:rPr>
        <w:sz w:val="24"/>
      </w:rPr>
      <w:t>RESPONSE TO DATA REQUEST</w:t>
    </w:r>
  </w:p>
  <w:p w14:paraId="401182A0" w14:textId="77777777" w:rsidR="004A44D8" w:rsidRDefault="004A44D8">
    <w:pP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4A44D8" w14:paraId="7C10B9AD" w14:textId="77777777">
      <w:tc>
        <w:tcPr>
          <w:tcW w:w="4320" w:type="dxa"/>
          <w:tcBorders>
            <w:top w:val="nil"/>
            <w:left w:val="nil"/>
            <w:bottom w:val="nil"/>
            <w:right w:val="nil"/>
          </w:tcBorders>
        </w:tcPr>
        <w:p w14:paraId="7ACD172D" w14:textId="1C4E46F4" w:rsidR="004A44D8" w:rsidRDefault="004A44D8">
          <w:pPr>
            <w:tabs>
              <w:tab w:val="left" w:pos="-1440"/>
            </w:tabs>
            <w:ind w:left="2160" w:hanging="2160"/>
            <w:rPr>
              <w:sz w:val="24"/>
            </w:rPr>
          </w:pPr>
          <w:r>
            <w:rPr>
              <w:sz w:val="24"/>
            </w:rPr>
            <w:t>DATE PREPARED:</w:t>
          </w:r>
          <w:r>
            <w:rPr>
              <w:sz w:val="24"/>
            </w:rPr>
            <w:tab/>
            <w:t>May 20, 2016</w:t>
          </w:r>
        </w:p>
        <w:p w14:paraId="28FF1E7F" w14:textId="77777777" w:rsidR="004A44D8" w:rsidRDefault="004A44D8">
          <w:pPr>
            <w:tabs>
              <w:tab w:val="left" w:pos="-1440"/>
            </w:tabs>
            <w:ind w:left="1440" w:hanging="1440"/>
            <w:rPr>
              <w:sz w:val="24"/>
            </w:rPr>
          </w:pPr>
          <w:r>
            <w:rPr>
              <w:sz w:val="24"/>
            </w:rPr>
            <w:t>DOCKET:</w:t>
          </w:r>
          <w:r>
            <w:rPr>
              <w:sz w:val="24"/>
            </w:rPr>
            <w:tab/>
          </w:r>
          <w:r>
            <w:rPr>
              <w:sz w:val="24"/>
            </w:rPr>
            <w:tab/>
            <w:t>UE-152253</w:t>
          </w:r>
        </w:p>
        <w:p w14:paraId="1B59E23D" w14:textId="26979F63" w:rsidR="004A44D8" w:rsidRDefault="004A44D8" w:rsidP="00851BA8">
          <w:pPr>
            <w:rPr>
              <w:sz w:val="24"/>
            </w:rPr>
          </w:pPr>
          <w:r>
            <w:rPr>
              <w:sz w:val="24"/>
            </w:rPr>
            <w:t>REQUESTER:</w:t>
          </w:r>
          <w:r>
            <w:rPr>
              <w:sz w:val="24"/>
            </w:rPr>
            <w:tab/>
            <w:t>Bench</w:t>
          </w:r>
        </w:p>
      </w:tc>
      <w:tc>
        <w:tcPr>
          <w:tcW w:w="720" w:type="dxa"/>
          <w:tcBorders>
            <w:top w:val="nil"/>
            <w:left w:val="nil"/>
            <w:bottom w:val="nil"/>
            <w:right w:val="nil"/>
          </w:tcBorders>
        </w:tcPr>
        <w:p w14:paraId="6248FAA0" w14:textId="77777777" w:rsidR="004A44D8" w:rsidRDefault="004A44D8">
          <w:pPr>
            <w:rPr>
              <w:sz w:val="24"/>
            </w:rPr>
          </w:pPr>
        </w:p>
      </w:tc>
      <w:tc>
        <w:tcPr>
          <w:tcW w:w="4320" w:type="dxa"/>
          <w:tcBorders>
            <w:top w:val="nil"/>
            <w:left w:val="nil"/>
            <w:bottom w:val="nil"/>
            <w:right w:val="nil"/>
          </w:tcBorders>
        </w:tcPr>
        <w:p w14:paraId="24C3BC5F" w14:textId="34C26B69" w:rsidR="004A44D8" w:rsidRDefault="004A44D8" w:rsidP="00380457">
          <w:pPr>
            <w:tabs>
              <w:tab w:val="left" w:pos="-1440"/>
              <w:tab w:val="left" w:pos="1620"/>
            </w:tabs>
            <w:rPr>
              <w:sz w:val="24"/>
            </w:rPr>
          </w:pPr>
          <w:r>
            <w:rPr>
              <w:sz w:val="24"/>
            </w:rPr>
            <w:t>WITNESS:</w:t>
          </w:r>
          <w:r>
            <w:rPr>
              <w:sz w:val="24"/>
            </w:rPr>
            <w:tab/>
            <w:t>Jason L. Ball</w:t>
          </w:r>
        </w:p>
        <w:p w14:paraId="041E3FBD" w14:textId="370ED6F0" w:rsidR="004A44D8" w:rsidRDefault="004A44D8" w:rsidP="00380457">
          <w:pPr>
            <w:tabs>
              <w:tab w:val="left" w:pos="1620"/>
            </w:tabs>
            <w:rPr>
              <w:sz w:val="24"/>
            </w:rPr>
          </w:pPr>
          <w:r>
            <w:rPr>
              <w:sz w:val="24"/>
            </w:rPr>
            <w:t>RESPONDER:</w:t>
          </w:r>
          <w:r>
            <w:rPr>
              <w:sz w:val="24"/>
            </w:rPr>
            <w:tab/>
            <w:t>Jason L. Ball</w:t>
          </w:r>
        </w:p>
        <w:p w14:paraId="205F1E0E" w14:textId="49DAC7C5" w:rsidR="004A44D8" w:rsidRDefault="004A44D8" w:rsidP="00851BA8">
          <w:pPr>
            <w:tabs>
              <w:tab w:val="left" w:pos="1620"/>
            </w:tabs>
            <w:rPr>
              <w:sz w:val="24"/>
            </w:rPr>
          </w:pPr>
          <w:r>
            <w:rPr>
              <w:sz w:val="24"/>
            </w:rPr>
            <w:t>TELEPHONE:</w:t>
          </w:r>
          <w:r>
            <w:rPr>
              <w:sz w:val="24"/>
            </w:rPr>
            <w:tab/>
            <w:t>(360) 664-1279</w:t>
          </w:r>
        </w:p>
      </w:tc>
    </w:tr>
  </w:tbl>
  <w:p w14:paraId="28B023B3" w14:textId="77777777" w:rsidR="004A44D8" w:rsidRDefault="004A44D8">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8E4"/>
    <w:multiLevelType w:val="hybridMultilevel"/>
    <w:tmpl w:val="B3765CC6"/>
    <w:lvl w:ilvl="0" w:tplc="A2D0843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03FB"/>
    <w:multiLevelType w:val="hybridMultilevel"/>
    <w:tmpl w:val="44666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840C0"/>
    <w:multiLevelType w:val="hybridMultilevel"/>
    <w:tmpl w:val="BA365E8E"/>
    <w:lvl w:ilvl="0" w:tplc="F04C5B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57185"/>
    <w:multiLevelType w:val="hybridMultilevel"/>
    <w:tmpl w:val="A55AD6AE"/>
    <w:lvl w:ilvl="0" w:tplc="37B6B2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216A8D"/>
    <w:multiLevelType w:val="hybridMultilevel"/>
    <w:tmpl w:val="38127B28"/>
    <w:lvl w:ilvl="0" w:tplc="C9BA98CC">
      <w:start w:val="1"/>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422CD3"/>
    <w:multiLevelType w:val="hybridMultilevel"/>
    <w:tmpl w:val="56985CD8"/>
    <w:lvl w:ilvl="0" w:tplc="81EE25E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7A73BF"/>
    <w:multiLevelType w:val="hybridMultilevel"/>
    <w:tmpl w:val="40C65F06"/>
    <w:lvl w:ilvl="0" w:tplc="07EC3E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0369F"/>
    <w:multiLevelType w:val="hybridMultilevel"/>
    <w:tmpl w:val="0BC6214C"/>
    <w:lvl w:ilvl="0" w:tplc="C4B28CF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3761B9"/>
    <w:multiLevelType w:val="hybridMultilevel"/>
    <w:tmpl w:val="AE34A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20774"/>
    <w:multiLevelType w:val="hybridMultilevel"/>
    <w:tmpl w:val="492EC446"/>
    <w:lvl w:ilvl="0" w:tplc="0409000F">
      <w:start w:val="1"/>
      <w:numFmt w:val="decimal"/>
      <w:lvlText w:val="%1."/>
      <w:lvlJc w:val="left"/>
      <w:pPr>
        <w:ind w:left="720" w:hanging="360"/>
      </w:pPr>
      <w:rPr>
        <w:rFonts w:hint="default"/>
      </w:rPr>
    </w:lvl>
    <w:lvl w:ilvl="1" w:tplc="3BA0C5A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40004"/>
    <w:multiLevelType w:val="hybridMultilevel"/>
    <w:tmpl w:val="14E6F9C0"/>
    <w:lvl w:ilvl="0" w:tplc="FCAC05B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3"/>
  </w:num>
  <w:num w:numId="6">
    <w:abstractNumId w:val="4"/>
  </w:num>
  <w:num w:numId="7">
    <w:abstractNumId w:val="5"/>
  </w:num>
  <w:num w:numId="8">
    <w:abstractNumId w:val="6"/>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05"/>
    <w:rsid w:val="00005B53"/>
    <w:rsid w:val="00036235"/>
    <w:rsid w:val="00040D17"/>
    <w:rsid w:val="00055E21"/>
    <w:rsid w:val="00061D5F"/>
    <w:rsid w:val="00063FA7"/>
    <w:rsid w:val="00067654"/>
    <w:rsid w:val="0008432E"/>
    <w:rsid w:val="00086931"/>
    <w:rsid w:val="00091562"/>
    <w:rsid w:val="000921A8"/>
    <w:rsid w:val="00097326"/>
    <w:rsid w:val="000A4DFD"/>
    <w:rsid w:val="000A7E11"/>
    <w:rsid w:val="000C0B72"/>
    <w:rsid w:val="000D35AE"/>
    <w:rsid w:val="000F3969"/>
    <w:rsid w:val="000F782E"/>
    <w:rsid w:val="00101742"/>
    <w:rsid w:val="00112F96"/>
    <w:rsid w:val="0011518B"/>
    <w:rsid w:val="0013050E"/>
    <w:rsid w:val="00130A5D"/>
    <w:rsid w:val="00157440"/>
    <w:rsid w:val="00162C06"/>
    <w:rsid w:val="001820B6"/>
    <w:rsid w:val="0019539B"/>
    <w:rsid w:val="001A0018"/>
    <w:rsid w:val="001C5FCD"/>
    <w:rsid w:val="001C7849"/>
    <w:rsid w:val="001D562F"/>
    <w:rsid w:val="001D7CF7"/>
    <w:rsid w:val="001E74BE"/>
    <w:rsid w:val="001F0CC3"/>
    <w:rsid w:val="0020145A"/>
    <w:rsid w:val="00211A5F"/>
    <w:rsid w:val="00213093"/>
    <w:rsid w:val="00227246"/>
    <w:rsid w:val="00253474"/>
    <w:rsid w:val="00253D8E"/>
    <w:rsid w:val="00254020"/>
    <w:rsid w:val="00257B58"/>
    <w:rsid w:val="00262113"/>
    <w:rsid w:val="00263C8D"/>
    <w:rsid w:val="00267A19"/>
    <w:rsid w:val="002B055A"/>
    <w:rsid w:val="002B3787"/>
    <w:rsid w:val="002B4D89"/>
    <w:rsid w:val="002C40EE"/>
    <w:rsid w:val="002E3718"/>
    <w:rsid w:val="002F3A92"/>
    <w:rsid w:val="00313005"/>
    <w:rsid w:val="00332A6F"/>
    <w:rsid w:val="00380457"/>
    <w:rsid w:val="003A0071"/>
    <w:rsid w:val="003A02D9"/>
    <w:rsid w:val="003D7B11"/>
    <w:rsid w:val="003F446F"/>
    <w:rsid w:val="00402606"/>
    <w:rsid w:val="00432AD8"/>
    <w:rsid w:val="00435551"/>
    <w:rsid w:val="00443B24"/>
    <w:rsid w:val="00457099"/>
    <w:rsid w:val="00467E92"/>
    <w:rsid w:val="00473357"/>
    <w:rsid w:val="00480A6F"/>
    <w:rsid w:val="004A44D8"/>
    <w:rsid w:val="004B2D97"/>
    <w:rsid w:val="004B3D45"/>
    <w:rsid w:val="004D7FD5"/>
    <w:rsid w:val="004E6FB6"/>
    <w:rsid w:val="005229EB"/>
    <w:rsid w:val="005265CC"/>
    <w:rsid w:val="00526860"/>
    <w:rsid w:val="00531CB9"/>
    <w:rsid w:val="00537E9E"/>
    <w:rsid w:val="00554165"/>
    <w:rsid w:val="00570040"/>
    <w:rsid w:val="00596CE7"/>
    <w:rsid w:val="005B4D13"/>
    <w:rsid w:val="005B4F08"/>
    <w:rsid w:val="005C7426"/>
    <w:rsid w:val="00613030"/>
    <w:rsid w:val="0063150E"/>
    <w:rsid w:val="00631C2F"/>
    <w:rsid w:val="00633CC7"/>
    <w:rsid w:val="0064542E"/>
    <w:rsid w:val="0065095D"/>
    <w:rsid w:val="00651433"/>
    <w:rsid w:val="00660E84"/>
    <w:rsid w:val="006948EB"/>
    <w:rsid w:val="006A637E"/>
    <w:rsid w:val="006B4B46"/>
    <w:rsid w:val="006C35D0"/>
    <w:rsid w:val="006C3632"/>
    <w:rsid w:val="006D3D80"/>
    <w:rsid w:val="006F610A"/>
    <w:rsid w:val="00702CAD"/>
    <w:rsid w:val="00710D4A"/>
    <w:rsid w:val="00711CBC"/>
    <w:rsid w:val="007163D4"/>
    <w:rsid w:val="007250F4"/>
    <w:rsid w:val="00752E52"/>
    <w:rsid w:val="00762A0E"/>
    <w:rsid w:val="00774AE4"/>
    <w:rsid w:val="007C16DF"/>
    <w:rsid w:val="007D5451"/>
    <w:rsid w:val="007E2B88"/>
    <w:rsid w:val="00801FFD"/>
    <w:rsid w:val="00804353"/>
    <w:rsid w:val="0082585F"/>
    <w:rsid w:val="0084632F"/>
    <w:rsid w:val="00851BA8"/>
    <w:rsid w:val="00870494"/>
    <w:rsid w:val="00882AFA"/>
    <w:rsid w:val="00885091"/>
    <w:rsid w:val="008D257B"/>
    <w:rsid w:val="008D51D1"/>
    <w:rsid w:val="008F2AF3"/>
    <w:rsid w:val="00903B42"/>
    <w:rsid w:val="0091084E"/>
    <w:rsid w:val="00914156"/>
    <w:rsid w:val="00943020"/>
    <w:rsid w:val="00946EA7"/>
    <w:rsid w:val="00952E55"/>
    <w:rsid w:val="009763D2"/>
    <w:rsid w:val="009A29F4"/>
    <w:rsid w:val="009C7623"/>
    <w:rsid w:val="009D333A"/>
    <w:rsid w:val="009F7291"/>
    <w:rsid w:val="009F7E89"/>
    <w:rsid w:val="00A01278"/>
    <w:rsid w:val="00A23E50"/>
    <w:rsid w:val="00A32B9F"/>
    <w:rsid w:val="00A476E7"/>
    <w:rsid w:val="00A57313"/>
    <w:rsid w:val="00A7200D"/>
    <w:rsid w:val="00A94E05"/>
    <w:rsid w:val="00AB7513"/>
    <w:rsid w:val="00AD5197"/>
    <w:rsid w:val="00B04010"/>
    <w:rsid w:val="00B21085"/>
    <w:rsid w:val="00B2697B"/>
    <w:rsid w:val="00B3744B"/>
    <w:rsid w:val="00B41D72"/>
    <w:rsid w:val="00B42DBC"/>
    <w:rsid w:val="00B55879"/>
    <w:rsid w:val="00B61A19"/>
    <w:rsid w:val="00B63487"/>
    <w:rsid w:val="00B9013D"/>
    <w:rsid w:val="00B921A1"/>
    <w:rsid w:val="00B933B9"/>
    <w:rsid w:val="00BA0AB4"/>
    <w:rsid w:val="00BA6AAE"/>
    <w:rsid w:val="00BA6BDC"/>
    <w:rsid w:val="00BC4449"/>
    <w:rsid w:val="00BC51CB"/>
    <w:rsid w:val="00BE1605"/>
    <w:rsid w:val="00BF1506"/>
    <w:rsid w:val="00BF6BE6"/>
    <w:rsid w:val="00C02DE8"/>
    <w:rsid w:val="00C0558B"/>
    <w:rsid w:val="00C24EF9"/>
    <w:rsid w:val="00C32009"/>
    <w:rsid w:val="00C3454B"/>
    <w:rsid w:val="00C346D0"/>
    <w:rsid w:val="00C3723E"/>
    <w:rsid w:val="00C47A9B"/>
    <w:rsid w:val="00C52902"/>
    <w:rsid w:val="00C626A0"/>
    <w:rsid w:val="00C64C5A"/>
    <w:rsid w:val="00C81761"/>
    <w:rsid w:val="00CB03E5"/>
    <w:rsid w:val="00CC30FD"/>
    <w:rsid w:val="00CF2B82"/>
    <w:rsid w:val="00D10ED7"/>
    <w:rsid w:val="00D17F88"/>
    <w:rsid w:val="00D34852"/>
    <w:rsid w:val="00D40990"/>
    <w:rsid w:val="00D457FD"/>
    <w:rsid w:val="00D47C2A"/>
    <w:rsid w:val="00D50D91"/>
    <w:rsid w:val="00D65051"/>
    <w:rsid w:val="00D673AD"/>
    <w:rsid w:val="00D73B81"/>
    <w:rsid w:val="00D749FA"/>
    <w:rsid w:val="00D90149"/>
    <w:rsid w:val="00DB0048"/>
    <w:rsid w:val="00DD2612"/>
    <w:rsid w:val="00DD2F0B"/>
    <w:rsid w:val="00DF7F58"/>
    <w:rsid w:val="00E00473"/>
    <w:rsid w:val="00E212B5"/>
    <w:rsid w:val="00E46831"/>
    <w:rsid w:val="00E77428"/>
    <w:rsid w:val="00E81693"/>
    <w:rsid w:val="00E81C12"/>
    <w:rsid w:val="00E84D5C"/>
    <w:rsid w:val="00EA367B"/>
    <w:rsid w:val="00EA6262"/>
    <w:rsid w:val="00EB2742"/>
    <w:rsid w:val="00EB3A3F"/>
    <w:rsid w:val="00EB67C3"/>
    <w:rsid w:val="00EC36B2"/>
    <w:rsid w:val="00EC67D5"/>
    <w:rsid w:val="00EC6AE3"/>
    <w:rsid w:val="00EE7894"/>
    <w:rsid w:val="00EE7D1F"/>
    <w:rsid w:val="00EF4522"/>
    <w:rsid w:val="00EF5647"/>
    <w:rsid w:val="00F27CE2"/>
    <w:rsid w:val="00F33E28"/>
    <w:rsid w:val="00F34480"/>
    <w:rsid w:val="00F35C02"/>
    <w:rsid w:val="00F43FE1"/>
    <w:rsid w:val="00F74741"/>
    <w:rsid w:val="00F82F2D"/>
    <w:rsid w:val="00F874D4"/>
    <w:rsid w:val="00F95720"/>
    <w:rsid w:val="00FA6125"/>
    <w:rsid w:val="00FB68F8"/>
    <w:rsid w:val="00FD14BD"/>
    <w:rsid w:val="00FD35E5"/>
    <w:rsid w:val="00FE19F2"/>
    <w:rsid w:val="00FE5C1B"/>
    <w:rsid w:val="00FF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ACD0C"/>
  <w15:chartTrackingRefBased/>
  <w15:docId w15:val="{AFB42900-0575-47DA-B8A0-20F29495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1"/>
    <w:qFormat/>
    <w:rsid w:val="00157440"/>
    <w:pPr>
      <w:ind w:left="720"/>
      <w:contextualSpacing/>
    </w:pPr>
  </w:style>
  <w:style w:type="character" w:styleId="CommentReference">
    <w:name w:val="annotation reference"/>
    <w:basedOn w:val="DefaultParagraphFont"/>
    <w:rsid w:val="00526860"/>
    <w:rPr>
      <w:sz w:val="16"/>
      <w:szCs w:val="16"/>
    </w:rPr>
  </w:style>
  <w:style w:type="paragraph" w:styleId="CommentText">
    <w:name w:val="annotation text"/>
    <w:basedOn w:val="Normal"/>
    <w:link w:val="CommentTextChar"/>
    <w:rsid w:val="00526860"/>
    <w:rPr>
      <w:szCs w:val="20"/>
    </w:rPr>
  </w:style>
  <w:style w:type="character" w:customStyle="1" w:styleId="CommentTextChar">
    <w:name w:val="Comment Text Char"/>
    <w:basedOn w:val="DefaultParagraphFont"/>
    <w:link w:val="CommentText"/>
    <w:rsid w:val="00526860"/>
  </w:style>
  <w:style w:type="paragraph" w:styleId="CommentSubject">
    <w:name w:val="annotation subject"/>
    <w:basedOn w:val="CommentText"/>
    <w:next w:val="CommentText"/>
    <w:link w:val="CommentSubjectChar"/>
    <w:rsid w:val="00526860"/>
    <w:rPr>
      <w:b/>
      <w:bCs/>
    </w:rPr>
  </w:style>
  <w:style w:type="character" w:customStyle="1" w:styleId="CommentSubjectChar">
    <w:name w:val="Comment Subject Char"/>
    <w:basedOn w:val="CommentTextChar"/>
    <w:link w:val="CommentSubject"/>
    <w:rsid w:val="00526860"/>
    <w:rPr>
      <w:b/>
      <w:bCs/>
    </w:rPr>
  </w:style>
  <w:style w:type="paragraph" w:styleId="BalloonText">
    <w:name w:val="Balloon Text"/>
    <w:basedOn w:val="Normal"/>
    <w:link w:val="BalloonTextChar"/>
    <w:rsid w:val="00526860"/>
    <w:rPr>
      <w:rFonts w:ascii="Segoe UI" w:hAnsi="Segoe UI" w:cs="Segoe UI"/>
      <w:sz w:val="18"/>
      <w:szCs w:val="18"/>
    </w:rPr>
  </w:style>
  <w:style w:type="character" w:customStyle="1" w:styleId="BalloonTextChar">
    <w:name w:val="Balloon Text Char"/>
    <w:basedOn w:val="DefaultParagraphFont"/>
    <w:link w:val="BalloonText"/>
    <w:rsid w:val="00526860"/>
    <w:rPr>
      <w:rFonts w:ascii="Segoe UI" w:hAnsi="Segoe UI" w:cs="Segoe UI"/>
      <w:sz w:val="18"/>
      <w:szCs w:val="18"/>
    </w:rPr>
  </w:style>
  <w:style w:type="paragraph" w:styleId="FootnoteText">
    <w:name w:val="footnote text"/>
    <w:basedOn w:val="Normal"/>
    <w:link w:val="FootnoteTextChar"/>
    <w:rsid w:val="00F43FE1"/>
    <w:rPr>
      <w:szCs w:val="20"/>
    </w:rPr>
  </w:style>
  <w:style w:type="character" w:customStyle="1" w:styleId="FootnoteTextChar">
    <w:name w:val="Footnote Text Char"/>
    <w:basedOn w:val="DefaultParagraphFont"/>
    <w:link w:val="FootnoteText"/>
    <w:rsid w:val="00F43FE1"/>
  </w:style>
  <w:style w:type="paragraph" w:styleId="Quote">
    <w:name w:val="Quote"/>
    <w:basedOn w:val="Normal"/>
    <w:next w:val="Normal"/>
    <w:link w:val="QuoteChar"/>
    <w:uiPriority w:val="29"/>
    <w:qFormat/>
    <w:rsid w:val="00467E92"/>
    <w:pPr>
      <w:widowControl/>
      <w:autoSpaceDE/>
      <w:autoSpaceDN/>
      <w:adjustRightInd/>
      <w:spacing w:after="160"/>
      <w:ind w:left="1440" w:right="864"/>
    </w:pPr>
    <w:rPr>
      <w:rFonts w:eastAsia="Times"/>
      <w:iCs/>
      <w:sz w:val="24"/>
    </w:rPr>
  </w:style>
  <w:style w:type="character" w:customStyle="1" w:styleId="QuoteChar">
    <w:name w:val="Quote Char"/>
    <w:basedOn w:val="DefaultParagraphFont"/>
    <w:link w:val="Quote"/>
    <w:uiPriority w:val="29"/>
    <w:rsid w:val="00467E92"/>
    <w:rPr>
      <w:rFonts w:eastAsia="Time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12745">
      <w:bodyDiv w:val="1"/>
      <w:marLeft w:val="0"/>
      <w:marRight w:val="0"/>
      <w:marTop w:val="0"/>
      <w:marBottom w:val="0"/>
      <w:divBdr>
        <w:top w:val="none" w:sz="0" w:space="0" w:color="auto"/>
        <w:left w:val="none" w:sz="0" w:space="0" w:color="auto"/>
        <w:bottom w:val="none" w:sz="0" w:space="0" w:color="auto"/>
        <w:right w:val="none" w:sz="0" w:space="0" w:color="auto"/>
      </w:divBdr>
    </w:div>
    <w:div w:id="786239677">
      <w:bodyDiv w:val="1"/>
      <w:marLeft w:val="0"/>
      <w:marRight w:val="0"/>
      <w:marTop w:val="0"/>
      <w:marBottom w:val="0"/>
      <w:divBdr>
        <w:top w:val="none" w:sz="0" w:space="0" w:color="auto"/>
        <w:left w:val="none" w:sz="0" w:space="0" w:color="auto"/>
        <w:bottom w:val="none" w:sz="0" w:space="0" w:color="auto"/>
        <w:right w:val="none" w:sz="0" w:space="0" w:color="auto"/>
      </w:divBdr>
    </w:div>
    <w:div w:id="1122967481">
      <w:bodyDiv w:val="1"/>
      <w:marLeft w:val="0"/>
      <w:marRight w:val="0"/>
      <w:marTop w:val="0"/>
      <w:marBottom w:val="0"/>
      <w:divBdr>
        <w:top w:val="none" w:sz="0" w:space="0" w:color="auto"/>
        <w:left w:val="none" w:sz="0" w:space="0" w:color="auto"/>
        <w:bottom w:val="none" w:sz="0" w:space="0" w:color="auto"/>
        <w:right w:val="none" w:sz="0" w:space="0" w:color="auto"/>
      </w:divBdr>
    </w:div>
    <w:div w:id="18829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2016-05-20T16:52:26+00:00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988B2-097F-4864-937C-160D1B99BBF3}"/>
</file>

<file path=customXml/itemProps2.xml><?xml version="1.0" encoding="utf-8"?>
<ds:datastoreItem xmlns:ds="http://schemas.openxmlformats.org/officeDocument/2006/customXml" ds:itemID="{C84339C3-1803-4403-950C-584F2D848F68}"/>
</file>

<file path=customXml/itemProps3.xml><?xml version="1.0" encoding="utf-8"?>
<ds:datastoreItem xmlns:ds="http://schemas.openxmlformats.org/officeDocument/2006/customXml" ds:itemID="{753AC1E7-2E03-4544-A519-44643FF6E285}"/>
</file>

<file path=customXml/itemProps4.xml><?xml version="1.0" encoding="utf-8"?>
<ds:datastoreItem xmlns:ds="http://schemas.openxmlformats.org/officeDocument/2006/customXml" ds:itemID="{3D7B93CB-F9A4-4069-940D-C573C0476197}"/>
</file>

<file path=customXml/itemProps5.xml><?xml version="1.0" encoding="utf-8"?>
<ds:datastoreItem xmlns:ds="http://schemas.openxmlformats.org/officeDocument/2006/customXml" ds:itemID="{F50F1B53-CCDA-4CC0-B300-1F82F363BA3D}"/>
</file>

<file path=customXml/itemProps6.xml><?xml version="1.0" encoding="utf-8"?>
<ds:datastoreItem xmlns:ds="http://schemas.openxmlformats.org/officeDocument/2006/customXml" ds:itemID="{73800F1B-E73C-496A-A6C1-998CC6293B9B}"/>
</file>

<file path=docProps/app.xml><?xml version="1.0" encoding="utf-8"?>
<Properties xmlns="http://schemas.openxmlformats.org/officeDocument/2006/extended-properties" xmlns:vt="http://schemas.openxmlformats.org/officeDocument/2006/docPropsVTypes">
  <Template>Normal.dotm</Template>
  <TotalTime>292</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Staff Resp to Bench DRs 9-10</vt:lpstr>
    </vt:vector>
  </TitlesOfParts>
  <Company>WUTC</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Resp to Bench DRs 9-10</dc:title>
  <dc:subject/>
  <dc:creator>Information Services</dc:creator>
  <cp:keywords/>
  <dc:description/>
  <cp:lastModifiedBy>Ball, Jason (UTC)</cp:lastModifiedBy>
  <cp:revision>30</cp:revision>
  <cp:lastPrinted>2016-05-19T21:49:00Z</cp:lastPrinted>
  <dcterms:created xsi:type="dcterms:W3CDTF">2016-05-05T20:51:00Z</dcterms:created>
  <dcterms:modified xsi:type="dcterms:W3CDTF">2016-05-20T16:00:00Z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0x0101006E56B4D1795A2E4DB2F0B01679ED314A007595E2AA379E88449A4F511BF799667C</vt:lpwstr>
  </property>
  <property fmtid="{D5CDD505-2E9C-101B-9397-08002B2CF9AE}" pid="5" name="Modified Date">
    <vt:lpwstr/>
  </property>
  <property fmtid="{D5CDD505-2E9C-101B-9397-08002B2CF9AE}" pid="6" name="Status">
    <vt:lpwstr/>
  </property>
  <property fmtid="{D5CDD505-2E9C-101B-9397-08002B2CF9AE}" pid="7" name="Document Date">
    <vt:lpwstr/>
  </property>
  <property fmtid="{D5CDD505-2E9C-101B-9397-08002B2CF9AE}" pid="8" name="DR Nos.">
    <vt:lpwstr/>
  </property>
  <property fmtid="{D5CDD505-2E9C-101B-9397-08002B2CF9AE}" pid="9" name="Requesting Party">
    <vt:lpwstr/>
  </property>
  <property fmtid="{D5CDD505-2E9C-101B-9397-08002B2CF9AE}" pid="10" name="Document Type">
    <vt:lpwstr/>
  </property>
  <property fmtid="{D5CDD505-2E9C-101B-9397-08002B2CF9AE}" pid="11" name="DR Sort">
    <vt:lpwstr/>
  </property>
  <property fmtid="{D5CDD505-2E9C-101B-9397-08002B2CF9AE}" pid="12" name="Document Name">
    <vt:lpwstr/>
  </property>
  <property fmtid="{D5CDD505-2E9C-101B-9397-08002B2CF9AE}" pid="13" name="Responding Party">
    <vt:lpwstr/>
  </property>
  <property fmtid="{D5CDD505-2E9C-101B-9397-08002B2CF9AE}" pid="14" name="_docset_NoMedatataSyncRequired">
    <vt:lpwstr>False</vt:lpwstr>
  </property>
</Properties>
</file>