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75" w:rsidRDefault="00DC7B75">
      <w:pPr>
        <w:pStyle w:val="Header"/>
        <w:tabs>
          <w:tab w:val="clear" w:pos="4320"/>
          <w:tab w:val="clear" w:pos="8640"/>
          <w:tab w:val="center" w:pos="4680"/>
        </w:tabs>
        <w:spacing w:line="480" w:lineRule="auto"/>
        <w:jc w:val="center"/>
        <w:rPr>
          <w:b/>
          <w:bCs/>
          <w:sz w:val="24"/>
        </w:rPr>
      </w:pPr>
      <w:r>
        <w:rPr>
          <w:b/>
          <w:bCs/>
          <w:sz w:val="24"/>
        </w:rPr>
        <w:t>BEFORE THE</w:t>
      </w:r>
    </w:p>
    <w:p w:rsidR="00DC7B75" w:rsidRDefault="00DC7B75">
      <w:pPr>
        <w:pStyle w:val="Heading1"/>
        <w:jc w:val="center"/>
        <w:rPr>
          <w:sz w:val="24"/>
        </w:rPr>
      </w:pPr>
      <w:r>
        <w:rPr>
          <w:sz w:val="24"/>
        </w:rPr>
        <w:t>WASHINGTON UTILITIES AND TRANSPORTATION COMMISSION</w:t>
      </w:r>
    </w:p>
    <w:p w:rsidR="00DC7B75" w:rsidRPr="00FE7B82" w:rsidRDefault="00DC7B75" w:rsidP="00DC7B75"/>
    <w:p w:rsidR="00DC7B75" w:rsidRDefault="00DC7B75">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DC7B75">
        <w:tc>
          <w:tcPr>
            <w:tcW w:w="4328" w:type="dxa"/>
            <w:tcBorders>
              <w:bottom w:val="single" w:sz="4" w:space="0" w:color="auto"/>
            </w:tcBorders>
          </w:tcPr>
          <w:p w:rsidR="0092177A" w:rsidRPr="00B41A5F" w:rsidRDefault="0092177A" w:rsidP="0092177A">
            <w:pPr>
              <w:spacing w:line="264" w:lineRule="auto"/>
            </w:pPr>
            <w:bookmarkStart w:id="0" w:name="Parties"/>
            <w:bookmarkEnd w:id="0"/>
            <w:r w:rsidRPr="00B41A5F">
              <w:t>WASHINGTON UTILITIES AND TRANSPORTATION COMMISSION,</w:t>
            </w:r>
          </w:p>
          <w:p w:rsidR="0092177A" w:rsidRPr="00B41A5F" w:rsidRDefault="0092177A" w:rsidP="0092177A">
            <w:pPr>
              <w:spacing w:line="264" w:lineRule="auto"/>
            </w:pPr>
          </w:p>
          <w:p w:rsidR="0092177A" w:rsidRPr="00B41A5F" w:rsidRDefault="0092177A" w:rsidP="0092177A">
            <w:pPr>
              <w:tabs>
                <w:tab w:val="left" w:pos="1800"/>
              </w:tabs>
              <w:spacing w:line="264" w:lineRule="auto"/>
            </w:pPr>
            <w:r w:rsidRPr="00B41A5F">
              <w:tab/>
              <w:t>Complainant,</w:t>
            </w:r>
          </w:p>
          <w:p w:rsidR="0092177A" w:rsidRPr="00B41A5F" w:rsidRDefault="0092177A" w:rsidP="0092177A">
            <w:pPr>
              <w:spacing w:line="264" w:lineRule="auto"/>
            </w:pPr>
          </w:p>
          <w:p w:rsidR="0092177A" w:rsidRPr="00B41A5F" w:rsidRDefault="0092177A" w:rsidP="0092177A">
            <w:pPr>
              <w:spacing w:line="264" w:lineRule="auto"/>
            </w:pPr>
            <w:proofErr w:type="gramStart"/>
            <w:r w:rsidRPr="00B41A5F">
              <w:t>v</w:t>
            </w:r>
            <w:proofErr w:type="gramEnd"/>
            <w:r w:rsidRPr="00B41A5F">
              <w:t>.</w:t>
            </w:r>
          </w:p>
          <w:p w:rsidR="0092177A" w:rsidRPr="00B41A5F" w:rsidRDefault="0092177A" w:rsidP="0092177A">
            <w:pPr>
              <w:spacing w:line="264" w:lineRule="auto"/>
              <w:jc w:val="center"/>
            </w:pPr>
          </w:p>
          <w:p w:rsidR="0092177A" w:rsidRPr="00B41A5F" w:rsidRDefault="0092177A" w:rsidP="0092177A">
            <w:pPr>
              <w:spacing w:line="264" w:lineRule="auto"/>
            </w:pPr>
            <w:r w:rsidRPr="00B41A5F">
              <w:t>PACIFIC POWER &amp; LIGHT COMPANY,</w:t>
            </w:r>
          </w:p>
          <w:p w:rsidR="0092177A" w:rsidRPr="00B41A5F" w:rsidRDefault="0092177A" w:rsidP="0092177A">
            <w:pPr>
              <w:spacing w:line="264" w:lineRule="auto"/>
              <w:jc w:val="center"/>
            </w:pPr>
          </w:p>
          <w:p w:rsidR="00DC7B75" w:rsidRPr="009728C7" w:rsidRDefault="0092177A" w:rsidP="0092177A">
            <w:pPr>
              <w:pStyle w:val="Footer"/>
              <w:widowControl/>
              <w:tabs>
                <w:tab w:val="clear" w:pos="4320"/>
                <w:tab w:val="clear" w:pos="8640"/>
                <w:tab w:val="left" w:pos="2160"/>
              </w:tabs>
              <w:rPr>
                <w:snapToGrid/>
                <w:lang w:val="en-US" w:eastAsia="en-US"/>
              </w:rPr>
            </w:pPr>
            <w:r w:rsidRPr="00B41A5F">
              <w:tab/>
              <w:t>Respondent.</w:t>
            </w:r>
          </w:p>
        </w:tc>
        <w:tc>
          <w:tcPr>
            <w:tcW w:w="270" w:type="dxa"/>
          </w:tcPr>
          <w:p w:rsidR="00DC7B75" w:rsidRDefault="00DC7B75">
            <w:pPr>
              <w:pStyle w:val="SingleSpacing"/>
              <w:spacing w:line="240" w:lineRule="auto"/>
            </w:pPr>
            <w:r>
              <w:t>)</w:t>
            </w:r>
          </w:p>
          <w:p w:rsidR="00DC7B75" w:rsidRDefault="00DC7B75">
            <w:pPr>
              <w:pStyle w:val="SingleSpacing"/>
              <w:spacing w:line="240" w:lineRule="auto"/>
            </w:pPr>
            <w:r>
              <w:t>)</w:t>
            </w:r>
          </w:p>
          <w:p w:rsidR="00DC7B75" w:rsidRDefault="00DC7B75">
            <w:pPr>
              <w:pStyle w:val="SingleSpacing"/>
              <w:spacing w:line="240" w:lineRule="auto"/>
            </w:pPr>
            <w:r>
              <w:t>)</w:t>
            </w:r>
          </w:p>
          <w:p w:rsidR="00DC7B75" w:rsidRDefault="00DC7B75">
            <w:pPr>
              <w:pStyle w:val="SingleSpacing"/>
              <w:spacing w:line="240" w:lineRule="auto"/>
            </w:pPr>
            <w:r>
              <w:t>)</w:t>
            </w:r>
          </w:p>
          <w:p w:rsidR="00DC7B75" w:rsidRDefault="00DC7B75">
            <w:pPr>
              <w:pStyle w:val="SingleSpacing"/>
              <w:spacing w:line="240" w:lineRule="auto"/>
            </w:pPr>
            <w:r>
              <w:t>)</w:t>
            </w:r>
          </w:p>
          <w:p w:rsidR="00DC7B75" w:rsidRDefault="00DC7B75">
            <w:pPr>
              <w:pStyle w:val="SingleSpacing"/>
              <w:spacing w:line="240" w:lineRule="auto"/>
            </w:pPr>
            <w:r>
              <w:t>)</w:t>
            </w:r>
          </w:p>
          <w:p w:rsidR="00DC7B75" w:rsidRDefault="00DC7B75">
            <w:pPr>
              <w:pStyle w:val="SingleSpacing"/>
              <w:spacing w:line="240" w:lineRule="auto"/>
            </w:pPr>
            <w:r>
              <w:t>)</w:t>
            </w:r>
          </w:p>
          <w:p w:rsidR="00DC7B75" w:rsidRDefault="00DC7B75">
            <w:pPr>
              <w:pStyle w:val="SingleSpacing"/>
              <w:spacing w:line="240" w:lineRule="auto"/>
            </w:pPr>
            <w:r>
              <w:t>)</w:t>
            </w:r>
          </w:p>
          <w:p w:rsidR="00DC7B75" w:rsidRDefault="00DC7B75">
            <w:pPr>
              <w:pStyle w:val="SingleSpacing"/>
              <w:spacing w:line="240" w:lineRule="auto"/>
            </w:pPr>
            <w:r>
              <w:t>)</w:t>
            </w:r>
          </w:p>
          <w:p w:rsidR="00DC7B75" w:rsidRDefault="00DC7B75">
            <w:pPr>
              <w:pStyle w:val="SingleSpacing"/>
              <w:spacing w:line="240" w:lineRule="auto"/>
            </w:pPr>
            <w:r>
              <w:t>)</w:t>
            </w:r>
          </w:p>
          <w:p w:rsidR="0092177A" w:rsidRDefault="0092177A">
            <w:pPr>
              <w:pStyle w:val="SingleSpacing"/>
              <w:spacing w:line="240" w:lineRule="auto"/>
            </w:pPr>
            <w:r>
              <w:t>)</w:t>
            </w:r>
          </w:p>
        </w:tc>
        <w:tc>
          <w:tcPr>
            <w:tcW w:w="4050" w:type="dxa"/>
          </w:tcPr>
          <w:p w:rsidR="00DC7B75" w:rsidRDefault="00DC7B75">
            <w:pPr>
              <w:pStyle w:val="SingleSpacing"/>
              <w:spacing w:line="240" w:lineRule="auto"/>
            </w:pPr>
            <w:bookmarkStart w:id="1" w:name="CaseNumber"/>
            <w:bookmarkEnd w:id="1"/>
            <w:r>
              <w:t xml:space="preserve">DOCKET </w:t>
            </w:r>
            <w:r w:rsidR="00152B1C">
              <w:t>UE-152253</w:t>
            </w:r>
          </w:p>
          <w:p w:rsidR="00DC7B75" w:rsidRDefault="00DC7B75">
            <w:pPr>
              <w:pStyle w:val="BodyText2"/>
            </w:pPr>
          </w:p>
          <w:p w:rsidR="00DC7B75" w:rsidRDefault="00DC7B75">
            <w:pPr>
              <w:pStyle w:val="BodyText2"/>
            </w:pPr>
          </w:p>
          <w:p w:rsidR="00DC7B75" w:rsidRDefault="00DC7B75">
            <w:pPr>
              <w:pStyle w:val="BodyText2"/>
            </w:pPr>
          </w:p>
          <w:p w:rsidR="00DC7B75" w:rsidRDefault="003D4919">
            <w:pPr>
              <w:pStyle w:val="BodyText2"/>
            </w:pPr>
            <w:r>
              <w:t>MOTION TO DISMISS</w:t>
            </w:r>
            <w:r w:rsidR="00DC7B75">
              <w:t xml:space="preserve"> OF </w:t>
            </w:r>
            <w:r>
              <w:t xml:space="preserve">           </w:t>
            </w:r>
            <w:r w:rsidR="00DC7B75">
              <w:t>BOISE WHITE PAPER, L.L.C.</w:t>
            </w:r>
            <w:r w:rsidR="005805E4">
              <w:t>; ALTERNATIVE MOTION TO TREAT AS A GENERAL RATE CASE FILING</w:t>
            </w:r>
          </w:p>
          <w:p w:rsidR="00DC7B75" w:rsidRDefault="00DC7B75">
            <w:pPr>
              <w:pStyle w:val="SingleSpacing"/>
              <w:spacing w:line="240" w:lineRule="auto"/>
            </w:pPr>
          </w:p>
        </w:tc>
      </w:tr>
    </w:tbl>
    <w:p w:rsidR="006B6569" w:rsidRDefault="006B6569" w:rsidP="006B6569">
      <w:pPr>
        <w:pStyle w:val="IAS2"/>
        <w:tabs>
          <w:tab w:val="clear" w:pos="0"/>
        </w:tabs>
        <w:ind w:firstLine="0"/>
        <w:rPr>
          <w:lang w:val="en-US"/>
        </w:rPr>
      </w:pPr>
    </w:p>
    <w:p w:rsidR="005805E4" w:rsidRPr="005805E4" w:rsidRDefault="005805E4" w:rsidP="005805E4">
      <w:pPr>
        <w:keepNext/>
        <w:tabs>
          <w:tab w:val="left" w:pos="720"/>
          <w:tab w:val="left" w:pos="1440"/>
        </w:tabs>
        <w:spacing w:after="240"/>
        <w:jc w:val="center"/>
        <w:rPr>
          <w:b/>
          <w:bCs/>
          <w:color w:val="auto"/>
          <w:szCs w:val="24"/>
          <w:lang w:eastAsia="x-none"/>
        </w:rPr>
      </w:pPr>
      <w:r>
        <w:rPr>
          <w:b/>
          <w:bCs/>
          <w:color w:val="auto"/>
          <w:szCs w:val="24"/>
          <w:lang w:val="x-none" w:eastAsia="x-none"/>
        </w:rPr>
        <w:t>I</w:t>
      </w:r>
      <w:r w:rsidRPr="005805E4">
        <w:rPr>
          <w:b/>
          <w:bCs/>
          <w:color w:val="auto"/>
          <w:szCs w:val="24"/>
          <w:lang w:val="x-none" w:eastAsia="x-none"/>
        </w:rPr>
        <w:t>.</w:t>
      </w:r>
      <w:r w:rsidRPr="005805E4">
        <w:rPr>
          <w:b/>
          <w:bCs/>
          <w:color w:val="auto"/>
          <w:szCs w:val="24"/>
          <w:lang w:val="x-none" w:eastAsia="x-none"/>
        </w:rPr>
        <w:tab/>
      </w:r>
      <w:r>
        <w:rPr>
          <w:b/>
          <w:bCs/>
          <w:color w:val="auto"/>
          <w:szCs w:val="24"/>
          <w:lang w:eastAsia="x-none"/>
        </w:rPr>
        <w:t>MOTION TO DISMISS</w:t>
      </w:r>
    </w:p>
    <w:p w:rsidR="00DC7B75" w:rsidRDefault="00DC7B75" w:rsidP="002F1D22">
      <w:pPr>
        <w:pStyle w:val="WUTCParagraph"/>
      </w:pPr>
      <w:r>
        <w:tab/>
        <w:t>Pursuant to WAC § 480-07-3</w:t>
      </w:r>
      <w:r w:rsidR="00263B12">
        <w:t>80(1)</w:t>
      </w:r>
      <w:r w:rsidR="001C5E77">
        <w:t xml:space="preserve">, </w:t>
      </w:r>
      <w:r w:rsidR="00F0419B" w:rsidRPr="00F0419B">
        <w:t>Boise White Paper, L.L.C. (“Boise”)</w:t>
      </w:r>
      <w:r w:rsidR="000702FE">
        <w:t xml:space="preserve"> files</w:t>
      </w:r>
      <w:r w:rsidR="005B582D">
        <w:t xml:space="preserve"> this </w:t>
      </w:r>
      <w:r w:rsidR="003D4919">
        <w:t>motion to dismiss</w:t>
      </w:r>
      <w:r w:rsidR="00263B12">
        <w:t xml:space="preserve"> (“Motion”)</w:t>
      </w:r>
      <w:r w:rsidR="003D4919">
        <w:t xml:space="preserve">, </w:t>
      </w:r>
      <w:r>
        <w:t xml:space="preserve">requesting that </w:t>
      </w:r>
      <w:r w:rsidR="00F0419B" w:rsidRPr="00F0419B">
        <w:t xml:space="preserve">the Washington Utilities and Transportation Commission (“WUTC” or the “Commission”) </w:t>
      </w:r>
      <w:r w:rsidR="00263B12">
        <w:t xml:space="preserve">dismiss Pacific Power &amp; Light Company’s (“Pacific Power” or the “Company”) </w:t>
      </w:r>
      <w:r w:rsidR="00063393">
        <w:t xml:space="preserve">petition for approval of an expedited rate filing (“ERF”) and two-year rate plan.  Boise asserts that Pacific Power has failed to state a claim </w:t>
      </w:r>
      <w:r w:rsidR="000702FE">
        <w:t xml:space="preserve">within its prefiled direct case </w:t>
      </w:r>
      <w:r w:rsidR="00063393">
        <w:t>upon which the Commission may grant relief</w:t>
      </w:r>
      <w:r w:rsidR="000702FE">
        <w:t>, at least as t</w:t>
      </w:r>
      <w:r w:rsidR="00063393">
        <w:t xml:space="preserve">o the Company’s petition for approval of an ERF and two-year rate plan.  Boise does not contest the Company’s petition for approval </w:t>
      </w:r>
      <w:r w:rsidR="006B6569">
        <w:t>of a decoupling mechanism.</w:t>
      </w:r>
    </w:p>
    <w:p w:rsidR="006462DD" w:rsidRDefault="002F1D22" w:rsidP="006462DD">
      <w:pPr>
        <w:pStyle w:val="WUTCParagraph"/>
        <w:rPr>
          <w:lang w:val="en-US"/>
        </w:rPr>
      </w:pPr>
      <w:r>
        <w:rPr>
          <w:lang w:val="en-US"/>
        </w:rPr>
        <w:tab/>
      </w:r>
      <w:r w:rsidR="00952395" w:rsidRPr="00952395">
        <w:rPr>
          <w:lang w:val="en-US"/>
        </w:rPr>
        <w:t>On November 25, 2015, Pacific Power fi</w:t>
      </w:r>
      <w:r w:rsidR="006F3F68">
        <w:rPr>
          <w:lang w:val="en-US"/>
        </w:rPr>
        <w:t>led Advice 15-06 (later docketed as UE</w:t>
      </w:r>
      <w:r w:rsidR="006F3F68">
        <w:rPr>
          <w:lang w:val="en-US"/>
        </w:rPr>
        <w:noBreakHyphen/>
        <w:t xml:space="preserve">152253), which </w:t>
      </w:r>
      <w:r w:rsidR="00184099">
        <w:rPr>
          <w:lang w:val="en-US"/>
        </w:rPr>
        <w:t>included Pacific Power’s p</w:t>
      </w:r>
      <w:r w:rsidR="00952395" w:rsidRPr="00952395">
        <w:rPr>
          <w:lang w:val="en-US"/>
        </w:rPr>
        <w:t xml:space="preserve">etition (“Petition”) to the WUTC for approval of an ERF, two-year rate plan, and a decoupling mechanism.  </w:t>
      </w:r>
      <w:r w:rsidR="00952395">
        <w:rPr>
          <w:lang w:val="en-US"/>
        </w:rPr>
        <w:t>T</w:t>
      </w:r>
      <w:r w:rsidR="00952395" w:rsidRPr="00952395">
        <w:rPr>
          <w:lang w:val="en-US"/>
        </w:rPr>
        <w:t xml:space="preserve">he Company states that it “is not </w:t>
      </w:r>
      <w:r w:rsidR="00952395" w:rsidRPr="00952395">
        <w:rPr>
          <w:lang w:val="en-US"/>
        </w:rPr>
        <w:lastRenderedPageBreak/>
        <w:t>requesting a change to its cost of capital established earlier this year,”</w:t>
      </w:r>
      <w:r w:rsidR="00952395" w:rsidRPr="006D240E">
        <w:rPr>
          <w:u w:val="single"/>
          <w:vertAlign w:val="superscript"/>
          <w:lang w:val="en-US"/>
        </w:rPr>
        <w:footnoteReference w:id="2"/>
      </w:r>
      <w:r w:rsidR="00952395" w:rsidRPr="00952395">
        <w:rPr>
          <w:vertAlign w:val="superscript"/>
          <w:lang w:val="en-US"/>
        </w:rPr>
        <w:t>/</w:t>
      </w:r>
      <w:r w:rsidR="00952395" w:rsidRPr="00952395">
        <w:rPr>
          <w:lang w:val="en-US"/>
        </w:rPr>
        <w:t xml:space="preserve"> </w:t>
      </w:r>
      <w:r w:rsidR="00184099">
        <w:rPr>
          <w:lang w:val="en-US"/>
        </w:rPr>
        <w:t xml:space="preserve">as </w:t>
      </w:r>
      <w:r w:rsidR="00952395" w:rsidRPr="00952395">
        <w:rPr>
          <w:lang w:val="en-US"/>
        </w:rPr>
        <w:t>supported by testimony that the Company is providing “[n]o updates or changes to the authorized rate of return.”</w:t>
      </w:r>
      <w:r w:rsidR="00952395" w:rsidRPr="006D240E">
        <w:rPr>
          <w:u w:val="single"/>
          <w:vertAlign w:val="superscript"/>
          <w:lang w:val="en-US"/>
        </w:rPr>
        <w:footnoteReference w:id="3"/>
      </w:r>
      <w:proofErr w:type="gramStart"/>
      <w:r w:rsidR="00952395" w:rsidRPr="00952395">
        <w:rPr>
          <w:vertAlign w:val="superscript"/>
          <w:lang w:val="en-US"/>
        </w:rPr>
        <w:t>/</w:t>
      </w:r>
      <w:r w:rsidR="00952395" w:rsidRPr="00952395">
        <w:rPr>
          <w:lang w:val="en-US"/>
        </w:rPr>
        <w:t xml:space="preserve">  </w:t>
      </w:r>
      <w:r w:rsidR="00952395" w:rsidRPr="006462DD">
        <w:rPr>
          <w:lang w:val="en-US"/>
        </w:rPr>
        <w:t>Pacific</w:t>
      </w:r>
      <w:proofErr w:type="gramEnd"/>
      <w:r w:rsidR="00952395" w:rsidRPr="006462DD">
        <w:rPr>
          <w:lang w:val="en-US"/>
        </w:rPr>
        <w:t xml:space="preserve"> Power </w:t>
      </w:r>
      <w:r w:rsidR="006E7680">
        <w:rPr>
          <w:lang w:val="en-US"/>
        </w:rPr>
        <w:t>also</w:t>
      </w:r>
      <w:r w:rsidR="00952395" w:rsidRPr="006462DD">
        <w:rPr>
          <w:lang w:val="en-US"/>
        </w:rPr>
        <w:t xml:space="preserve"> assert</w:t>
      </w:r>
      <w:r w:rsidR="006E7680">
        <w:rPr>
          <w:lang w:val="en-US"/>
        </w:rPr>
        <w:t>s</w:t>
      </w:r>
      <w:r w:rsidR="00952395" w:rsidRPr="006462DD">
        <w:rPr>
          <w:lang w:val="en-US"/>
        </w:rPr>
        <w:t xml:space="preserve">:  “The combination of the ERF with a two-year rate plan … </w:t>
      </w:r>
      <w:r w:rsidR="00952395" w:rsidRPr="006462DD">
        <w:rPr>
          <w:i/>
          <w:lang w:val="en-US"/>
        </w:rPr>
        <w:t>does not require the Commission to conduct a full cost of capital hearing</w:t>
      </w:r>
      <w:r w:rsidR="00952395" w:rsidRPr="006462DD">
        <w:rPr>
          <w:lang w:val="en-US"/>
        </w:rPr>
        <w:t>.”</w:t>
      </w:r>
      <w:r w:rsidR="00952395" w:rsidRPr="00A3175C">
        <w:rPr>
          <w:u w:val="single"/>
          <w:vertAlign w:val="superscript"/>
          <w:lang w:val="en-US"/>
        </w:rPr>
        <w:footnoteReference w:id="4"/>
      </w:r>
      <w:proofErr w:type="gramStart"/>
      <w:r w:rsidR="00952395" w:rsidRPr="006462DD">
        <w:rPr>
          <w:vertAlign w:val="superscript"/>
          <w:lang w:val="en-US"/>
        </w:rPr>
        <w:t>/</w:t>
      </w:r>
      <w:r w:rsidR="00952395" w:rsidRPr="006462DD">
        <w:rPr>
          <w:lang w:val="en-US"/>
        </w:rPr>
        <w:t xml:space="preserve">  </w:t>
      </w:r>
      <w:r w:rsidR="006462DD">
        <w:rPr>
          <w:lang w:val="en-US"/>
        </w:rPr>
        <w:t>Boise</w:t>
      </w:r>
      <w:proofErr w:type="gramEnd"/>
      <w:r w:rsidR="006462DD">
        <w:rPr>
          <w:lang w:val="en-US"/>
        </w:rPr>
        <w:t xml:space="preserve"> believes this assertion to be inaccurate and sufficient to justify a dismiss</w:t>
      </w:r>
      <w:r w:rsidR="00ED089D">
        <w:rPr>
          <w:lang w:val="en-US"/>
        </w:rPr>
        <w:t>al</w:t>
      </w:r>
      <w:r w:rsidR="006462DD">
        <w:rPr>
          <w:lang w:val="en-US"/>
        </w:rPr>
        <w:t xml:space="preserve"> in light of:  1) the </w:t>
      </w:r>
      <w:r w:rsidR="006462DD" w:rsidRPr="006462DD">
        <w:rPr>
          <w:lang w:val="en-US"/>
        </w:rPr>
        <w:t xml:space="preserve">Thurston County </w:t>
      </w:r>
      <w:r w:rsidR="006462DD">
        <w:rPr>
          <w:lang w:val="en-US"/>
        </w:rPr>
        <w:t xml:space="preserve">Superior </w:t>
      </w:r>
      <w:r w:rsidR="006462DD" w:rsidRPr="006462DD">
        <w:rPr>
          <w:lang w:val="en-US"/>
        </w:rPr>
        <w:t>Court</w:t>
      </w:r>
      <w:r w:rsidR="006462DD">
        <w:rPr>
          <w:lang w:val="en-US"/>
        </w:rPr>
        <w:t xml:space="preserve">’s (the “Court”) 2014 </w:t>
      </w:r>
      <w:r w:rsidR="000755EB">
        <w:rPr>
          <w:lang w:val="en-US"/>
        </w:rPr>
        <w:t>order reversing</w:t>
      </w:r>
      <w:r w:rsidR="006462DD">
        <w:rPr>
          <w:lang w:val="en-US"/>
        </w:rPr>
        <w:t xml:space="preserve"> the Commission’s </w:t>
      </w:r>
      <w:r w:rsidR="000755EB">
        <w:rPr>
          <w:lang w:val="en-US"/>
        </w:rPr>
        <w:t xml:space="preserve">determination on </w:t>
      </w:r>
      <w:r w:rsidR="006462DD">
        <w:rPr>
          <w:lang w:val="en-US"/>
        </w:rPr>
        <w:t>Puget Sound Energy, Inc.</w:t>
      </w:r>
      <w:r w:rsidR="00184099">
        <w:rPr>
          <w:lang w:val="en-US"/>
        </w:rPr>
        <w:t>’s</w:t>
      </w:r>
      <w:r w:rsidR="006462DD">
        <w:rPr>
          <w:lang w:val="en-US"/>
        </w:rPr>
        <w:t xml:space="preserve"> (“PSE”) </w:t>
      </w:r>
      <w:r w:rsidR="000755EB" w:rsidRPr="000755EB">
        <w:rPr>
          <w:lang w:val="en-US"/>
        </w:rPr>
        <w:t xml:space="preserve">multi-year rate plan in the context of </w:t>
      </w:r>
      <w:r w:rsidR="000755EB">
        <w:rPr>
          <w:lang w:val="en-US"/>
        </w:rPr>
        <w:t xml:space="preserve">PSE’s </w:t>
      </w:r>
      <w:r w:rsidR="006462DD">
        <w:rPr>
          <w:lang w:val="en-US"/>
        </w:rPr>
        <w:t>ERF proceeding; and 2) the Commission’s own statements acknowledging and affirming the Court’s reversal order during remand proceedings</w:t>
      </w:r>
      <w:r w:rsidR="000755EB">
        <w:rPr>
          <w:lang w:val="en-US"/>
        </w:rPr>
        <w:t xml:space="preserve"> on PSE’s ERF and multi-year rate plan.</w:t>
      </w:r>
      <w:r w:rsidR="006462DD">
        <w:rPr>
          <w:lang w:val="en-US"/>
        </w:rPr>
        <w:t xml:space="preserve"> </w:t>
      </w:r>
    </w:p>
    <w:p w:rsidR="00952395" w:rsidRDefault="002F1D22" w:rsidP="006462DD">
      <w:pPr>
        <w:pStyle w:val="WUTCParagraph"/>
        <w:rPr>
          <w:lang w:val="en-US"/>
        </w:rPr>
      </w:pPr>
      <w:r>
        <w:rPr>
          <w:lang w:val="en-US"/>
        </w:rPr>
        <w:tab/>
      </w:r>
      <w:r w:rsidR="006A766B">
        <w:rPr>
          <w:lang w:val="en-US"/>
        </w:rPr>
        <w:t>T</w:t>
      </w:r>
      <w:r w:rsidR="00952395" w:rsidRPr="006462DD">
        <w:rPr>
          <w:lang w:val="en-US"/>
        </w:rPr>
        <w:t xml:space="preserve">he Company </w:t>
      </w:r>
      <w:r w:rsidR="006A766B">
        <w:rPr>
          <w:lang w:val="en-US"/>
        </w:rPr>
        <w:t xml:space="preserve">itself </w:t>
      </w:r>
      <w:r w:rsidR="00952395" w:rsidRPr="006462DD">
        <w:rPr>
          <w:lang w:val="en-US"/>
        </w:rPr>
        <w:t xml:space="preserve">quotes the Commission’s recent acknowledgment </w:t>
      </w:r>
      <w:r w:rsidR="006A766B">
        <w:rPr>
          <w:lang w:val="en-US"/>
        </w:rPr>
        <w:t>in the PSE remand proceedings</w:t>
      </w:r>
      <w:r w:rsidR="00481540">
        <w:rPr>
          <w:lang w:val="en-US"/>
        </w:rPr>
        <w:t>,</w:t>
      </w:r>
      <w:r w:rsidR="006A766B">
        <w:rPr>
          <w:lang w:val="en-US"/>
        </w:rPr>
        <w:t xml:space="preserve"> </w:t>
      </w:r>
      <w:r w:rsidR="00952395" w:rsidRPr="006462DD">
        <w:rPr>
          <w:lang w:val="en-US"/>
        </w:rPr>
        <w:t xml:space="preserve">that the “Court determined that the Commission should have required the evidence necessary and </w:t>
      </w:r>
      <w:r w:rsidR="00952395" w:rsidRPr="00ED089D">
        <w:rPr>
          <w:i/>
          <w:lang w:val="en-US"/>
        </w:rPr>
        <w:t>should have undertaken a full analysis of return on equity in the ERF proceeding considering that updated rates were being set in connection with a multi-year rate plan</w:t>
      </w:r>
      <w:r w:rsidR="00952395" w:rsidRPr="006462DD">
        <w:rPr>
          <w:lang w:val="en-US"/>
        </w:rPr>
        <w:t>.”</w:t>
      </w:r>
      <w:r w:rsidR="00952395" w:rsidRPr="00746675">
        <w:rPr>
          <w:u w:val="single"/>
          <w:vertAlign w:val="superscript"/>
          <w:lang w:val="en-US"/>
        </w:rPr>
        <w:footnoteReference w:id="5"/>
      </w:r>
      <w:proofErr w:type="gramStart"/>
      <w:r w:rsidR="00952395" w:rsidRPr="006462DD">
        <w:rPr>
          <w:vertAlign w:val="superscript"/>
          <w:lang w:val="en-US"/>
        </w:rPr>
        <w:t>/</w:t>
      </w:r>
      <w:r w:rsidR="006A766B">
        <w:rPr>
          <w:lang w:val="en-US"/>
        </w:rPr>
        <w:t xml:space="preserve">  While</w:t>
      </w:r>
      <w:proofErr w:type="gramEnd"/>
      <w:r w:rsidR="006A766B">
        <w:rPr>
          <w:lang w:val="en-US"/>
        </w:rPr>
        <w:t xml:space="preserve"> Pacific Power then emphasizes </w:t>
      </w:r>
      <w:r w:rsidR="007B1B70">
        <w:rPr>
          <w:lang w:val="en-US"/>
        </w:rPr>
        <w:t>footnoted statements from the Commission</w:t>
      </w:r>
      <w:r w:rsidR="00523CC1">
        <w:rPr>
          <w:lang w:val="en-US"/>
        </w:rPr>
        <w:t>,</w:t>
      </w:r>
      <w:r w:rsidR="007B1B70">
        <w:rPr>
          <w:lang w:val="en-US"/>
        </w:rPr>
        <w:t xml:space="preserve"> which may be interpreted as explaining the basis for the Commission’s disagreement with the Court’s ruling,</w:t>
      </w:r>
      <w:r w:rsidR="007B1B70" w:rsidRPr="007B1B70">
        <w:rPr>
          <w:u w:val="single"/>
          <w:vertAlign w:val="superscript"/>
          <w:lang w:val="en-US"/>
        </w:rPr>
        <w:footnoteReference w:id="6"/>
      </w:r>
      <w:r w:rsidR="007B1B70" w:rsidRPr="007B1B70">
        <w:rPr>
          <w:vertAlign w:val="superscript"/>
          <w:lang w:val="en-US"/>
        </w:rPr>
        <w:t>/</w:t>
      </w:r>
      <w:r w:rsidR="007B1B70">
        <w:rPr>
          <w:lang w:val="en-US"/>
        </w:rPr>
        <w:t xml:space="preserve"> the Company’s reliance upon such statements is improper.  The relied upon statements are dicta, and the Commission appropriately </w:t>
      </w:r>
      <w:r w:rsidR="0034023A">
        <w:rPr>
          <w:lang w:val="en-US"/>
        </w:rPr>
        <w:t>placed them</w:t>
      </w:r>
      <w:r w:rsidR="007B1B70">
        <w:rPr>
          <w:lang w:val="en-US"/>
        </w:rPr>
        <w:t xml:space="preserve"> in a footnote while </w:t>
      </w:r>
      <w:r w:rsidR="007B1B70" w:rsidRPr="007B1B70">
        <w:rPr>
          <w:lang w:val="en-US"/>
        </w:rPr>
        <w:t xml:space="preserve">dutifully </w:t>
      </w:r>
      <w:r w:rsidR="007B1B70">
        <w:rPr>
          <w:lang w:val="en-US"/>
        </w:rPr>
        <w:t>following the Court’s remand instructions.</w:t>
      </w:r>
    </w:p>
    <w:p w:rsidR="007B1B70" w:rsidRDefault="002F1D22" w:rsidP="006462DD">
      <w:pPr>
        <w:pStyle w:val="WUTCParagraph"/>
        <w:rPr>
          <w:lang w:val="en-US"/>
        </w:rPr>
      </w:pPr>
      <w:r>
        <w:rPr>
          <w:lang w:val="en-US"/>
        </w:rPr>
        <w:lastRenderedPageBreak/>
        <w:tab/>
      </w:r>
      <w:r w:rsidR="0034023A">
        <w:rPr>
          <w:lang w:val="en-US"/>
        </w:rPr>
        <w:t>T</w:t>
      </w:r>
      <w:r w:rsidR="007B1B70">
        <w:rPr>
          <w:lang w:val="en-US"/>
        </w:rPr>
        <w:t xml:space="preserve">hat the Commission both understood and affirmed the controlling force of the Court’s reversal order is </w:t>
      </w:r>
      <w:r w:rsidR="0034023A">
        <w:rPr>
          <w:lang w:val="en-US"/>
        </w:rPr>
        <w:t xml:space="preserve">very </w:t>
      </w:r>
      <w:r w:rsidR="00ED089D">
        <w:rPr>
          <w:lang w:val="en-US"/>
        </w:rPr>
        <w:t>apparent in the</w:t>
      </w:r>
      <w:r w:rsidR="007B1B70">
        <w:rPr>
          <w:lang w:val="en-US"/>
        </w:rPr>
        <w:t xml:space="preserve"> initial PSE remand order.</w:t>
      </w:r>
      <w:r w:rsidR="005E2555" w:rsidRPr="005E2555">
        <w:rPr>
          <w:color w:val="000000"/>
          <w:szCs w:val="20"/>
          <w:lang w:val="en-US" w:eastAsia="en-US"/>
        </w:rPr>
        <w:t xml:space="preserve"> </w:t>
      </w:r>
      <w:r w:rsidR="005E2555">
        <w:rPr>
          <w:color w:val="000000"/>
          <w:szCs w:val="20"/>
          <w:lang w:val="en-US" w:eastAsia="en-US"/>
        </w:rPr>
        <w:t xml:space="preserve"> </w:t>
      </w:r>
      <w:r w:rsidR="005E2555" w:rsidRPr="005E2555">
        <w:rPr>
          <w:lang w:val="en-US"/>
        </w:rPr>
        <w:t>As the Commission acknowledged, the Court “did not fully endorse the Expedited Rate Filing process as an alternative to a general rate case in the context of approving a multi-year rate plan.”</w:t>
      </w:r>
      <w:r w:rsidR="005E2555" w:rsidRPr="005E2555">
        <w:rPr>
          <w:u w:val="single"/>
          <w:vertAlign w:val="superscript"/>
          <w:lang w:val="en-US"/>
        </w:rPr>
        <w:footnoteReference w:id="7"/>
      </w:r>
      <w:r w:rsidR="005E2555" w:rsidRPr="005E2555">
        <w:rPr>
          <w:vertAlign w:val="superscript"/>
          <w:lang w:val="en-US"/>
        </w:rPr>
        <w:t>/</w:t>
      </w:r>
      <w:r w:rsidR="005E2555" w:rsidRPr="005E2555">
        <w:rPr>
          <w:lang w:val="en-US"/>
        </w:rPr>
        <w:t xml:space="preserve">  </w:t>
      </w:r>
      <w:r w:rsidR="005E2555">
        <w:rPr>
          <w:lang w:val="en-US"/>
        </w:rPr>
        <w:t>More</w:t>
      </w:r>
      <w:r w:rsidR="005E2555" w:rsidRPr="005E2555">
        <w:rPr>
          <w:lang w:val="en-US"/>
        </w:rPr>
        <w:t xml:space="preserve"> particular</w:t>
      </w:r>
      <w:r w:rsidR="005E2555">
        <w:rPr>
          <w:lang w:val="en-US"/>
        </w:rPr>
        <w:t>ly</w:t>
      </w:r>
      <w:r w:rsidR="005E2555" w:rsidRPr="005E2555">
        <w:rPr>
          <w:lang w:val="en-US"/>
        </w:rPr>
        <w:t>, the</w:t>
      </w:r>
      <w:r w:rsidR="005E2555">
        <w:rPr>
          <w:lang w:val="en-US"/>
        </w:rPr>
        <w:t xml:space="preserve"> Commission recognized that the</w:t>
      </w:r>
      <w:r w:rsidR="005E2555" w:rsidRPr="005E2555">
        <w:rPr>
          <w:lang w:val="en-US"/>
        </w:rPr>
        <w:t xml:space="preserve"> Court </w:t>
      </w:r>
      <w:r w:rsidR="005E2555">
        <w:rPr>
          <w:lang w:val="en-US"/>
        </w:rPr>
        <w:t xml:space="preserve">had </w:t>
      </w:r>
      <w:r w:rsidR="005E2555" w:rsidRPr="005E2555">
        <w:rPr>
          <w:lang w:val="en-US"/>
        </w:rPr>
        <w:t>found:</w:t>
      </w:r>
    </w:p>
    <w:p w:rsidR="005E2555" w:rsidRDefault="00184099" w:rsidP="005E2555">
      <w:pPr>
        <w:pStyle w:val="WUTCParagraph"/>
        <w:numPr>
          <w:ilvl w:val="0"/>
          <w:numId w:val="0"/>
        </w:numPr>
        <w:spacing w:after="240" w:line="240" w:lineRule="auto"/>
        <w:ind w:left="720" w:right="720"/>
        <w:jc w:val="both"/>
        <w:rPr>
          <w:lang w:val="en-US"/>
        </w:rPr>
      </w:pPr>
      <w:r>
        <w:rPr>
          <w:lang w:val="en-US"/>
        </w:rPr>
        <w:t>[T</w:t>
      </w:r>
      <w:r w:rsidR="005E2555">
        <w:rPr>
          <w:lang w:val="en-US"/>
        </w:rPr>
        <w:t>]he Commission’</w:t>
      </w:r>
      <w:r w:rsidR="005E2555" w:rsidRPr="004738E8">
        <w:rPr>
          <w:lang w:val="en-US"/>
        </w:rPr>
        <w:t>s findings of fact with respect to the return on equity compone</w:t>
      </w:r>
      <w:r w:rsidR="005E2555">
        <w:rPr>
          <w:lang w:val="en-US"/>
        </w:rPr>
        <w:t>nt of Puget Sound Energy, Inc.’</w:t>
      </w:r>
      <w:r w:rsidR="005E2555" w:rsidRPr="004738E8">
        <w:rPr>
          <w:lang w:val="en-US"/>
        </w:rPr>
        <w:t>s cost of capital in the context of a multi-year rate plan</w:t>
      </w:r>
      <w:r w:rsidR="005E2555">
        <w:rPr>
          <w:lang w:val="en-US"/>
        </w:rPr>
        <w:t xml:space="preserve"> are unsupported by substantial</w:t>
      </w:r>
      <w:r w:rsidR="005E2555" w:rsidRPr="004738E8">
        <w:rPr>
          <w:lang w:val="en-US"/>
        </w:rPr>
        <w:t xml:space="preserve"> evidence and the Commission improperly shifted the burden of proof on this issue from Puget Sound Energy, Inc. to the other parties in the proceeding below, contrary to RCW 34.05.461(4) and RCW 80.04.130(4).</w:t>
      </w:r>
      <w:r w:rsidR="005E2555" w:rsidRPr="00AE73A7">
        <w:rPr>
          <w:u w:val="single"/>
          <w:vertAlign w:val="superscript"/>
          <w:lang w:val="en-US"/>
        </w:rPr>
        <w:footnoteReference w:id="8"/>
      </w:r>
      <w:r w:rsidR="005E2555" w:rsidRPr="00AE73A7">
        <w:rPr>
          <w:vertAlign w:val="superscript"/>
          <w:lang w:val="en-US"/>
        </w:rPr>
        <w:t>/</w:t>
      </w:r>
    </w:p>
    <w:p w:rsidR="005E2555" w:rsidRDefault="005E2555" w:rsidP="005E2555">
      <w:pPr>
        <w:pStyle w:val="WUTCParagraph"/>
        <w:numPr>
          <w:ilvl w:val="0"/>
          <w:numId w:val="0"/>
        </w:numPr>
        <w:rPr>
          <w:lang w:val="en-US"/>
        </w:rPr>
      </w:pPr>
      <w:r>
        <w:rPr>
          <w:lang w:val="en-US"/>
        </w:rPr>
        <w:t xml:space="preserve">Accordingly, the Commission then dutifully and appropriately affirmed the general applicability of the Court’s order in the context of any future ERF and multi-year rate plan proceeding, independent of whether the Commission </w:t>
      </w:r>
      <w:r w:rsidR="00ED089D">
        <w:rPr>
          <w:lang w:val="en-US"/>
        </w:rPr>
        <w:t>fu</w:t>
      </w:r>
      <w:r w:rsidR="006E7680">
        <w:rPr>
          <w:lang w:val="en-US"/>
        </w:rPr>
        <w:t xml:space="preserve">lly </w:t>
      </w:r>
      <w:r>
        <w:rPr>
          <w:lang w:val="en-US"/>
        </w:rPr>
        <w:t>agreed with the Court’s judgment:</w:t>
      </w:r>
    </w:p>
    <w:p w:rsidR="005E2555" w:rsidRPr="006462DD" w:rsidRDefault="005E2555" w:rsidP="0034023A">
      <w:pPr>
        <w:pStyle w:val="WUTCParagraph"/>
        <w:numPr>
          <w:ilvl w:val="0"/>
          <w:numId w:val="0"/>
        </w:numPr>
        <w:spacing w:after="240" w:line="240" w:lineRule="auto"/>
        <w:ind w:left="720" w:right="720"/>
        <w:jc w:val="both"/>
        <w:rPr>
          <w:lang w:val="en-US"/>
        </w:rPr>
      </w:pPr>
      <w:r w:rsidRPr="00AE73A7">
        <w:rPr>
          <w:lang w:val="en-US"/>
        </w:rPr>
        <w:t xml:space="preserve">The Court said, in effect, that while the Commission need not in every instance hold a general rate case to adjust rates, with all the special requirements for such cases established by Subpart B of the Commission’s procedural rules, </w:t>
      </w:r>
      <w:r w:rsidRPr="00AE73A7">
        <w:rPr>
          <w:i/>
          <w:lang w:val="en-US"/>
        </w:rPr>
        <w:t>the Commission cannot adjust rates in the context of considering a multi-year rate plan without undertaking a thoroughgoing analysis of return on equity with the Company bearing the burden of proof</w:t>
      </w:r>
      <w:r w:rsidRPr="00AE73A7">
        <w:rPr>
          <w:lang w:val="en-US"/>
        </w:rPr>
        <w:t>, as is typically required, if at all, only in general rate proceedings.</w:t>
      </w:r>
      <w:r w:rsidRPr="00AE73A7">
        <w:rPr>
          <w:u w:val="single"/>
          <w:vertAlign w:val="superscript"/>
          <w:lang w:val="en-US"/>
        </w:rPr>
        <w:footnoteReference w:id="9"/>
      </w:r>
      <w:r w:rsidRPr="00AE73A7">
        <w:rPr>
          <w:vertAlign w:val="superscript"/>
          <w:lang w:val="en-US"/>
        </w:rPr>
        <w:t>/</w:t>
      </w:r>
    </w:p>
    <w:p w:rsidR="0034023A" w:rsidRDefault="002F1D22" w:rsidP="003D4919">
      <w:pPr>
        <w:pStyle w:val="WUTCParagraph"/>
        <w:rPr>
          <w:lang w:val="en-US"/>
        </w:rPr>
      </w:pPr>
      <w:r>
        <w:rPr>
          <w:lang w:val="en-US"/>
        </w:rPr>
        <w:tab/>
      </w:r>
      <w:r w:rsidR="0034023A">
        <w:rPr>
          <w:lang w:val="en-US"/>
        </w:rPr>
        <w:t>The fact that Pacific Power has petitioned for approval of an ERF and multi-year rate plan while providing “[n]o updates” to its rate of return, of which return on equity is a major component, is contrary to the Commission-affirmed holding of the Court that “</w:t>
      </w:r>
      <w:r w:rsidR="0034023A" w:rsidRPr="0034023A">
        <w:rPr>
          <w:lang w:val="en-US"/>
        </w:rPr>
        <w:t xml:space="preserve">the Commission </w:t>
      </w:r>
      <w:r w:rsidR="0034023A" w:rsidRPr="0034023A">
        <w:rPr>
          <w:i/>
          <w:lang w:val="en-US"/>
        </w:rPr>
        <w:t>cannot</w:t>
      </w:r>
      <w:r w:rsidR="0034023A" w:rsidRPr="0034023A">
        <w:rPr>
          <w:lang w:val="en-US"/>
        </w:rPr>
        <w:t xml:space="preserve"> adjust rates in the context of considering a multi-year rate plan without undertaking a </w:t>
      </w:r>
      <w:r w:rsidR="0034023A" w:rsidRPr="0034023A">
        <w:rPr>
          <w:lang w:val="en-US"/>
        </w:rPr>
        <w:lastRenderedPageBreak/>
        <w:t>thoroughgoing analysis of return on equity with the Company bearing the burden of proof.”</w:t>
      </w:r>
      <w:r w:rsidR="0034023A" w:rsidRPr="0034023A">
        <w:rPr>
          <w:u w:val="single"/>
          <w:vertAlign w:val="superscript"/>
          <w:lang w:val="en-US"/>
        </w:rPr>
        <w:footnoteReference w:id="10"/>
      </w:r>
      <w:r w:rsidR="0034023A" w:rsidRPr="0034023A">
        <w:rPr>
          <w:vertAlign w:val="superscript"/>
          <w:lang w:val="en-US"/>
        </w:rPr>
        <w:t>/</w:t>
      </w:r>
      <w:r w:rsidR="0034023A">
        <w:rPr>
          <w:lang w:val="en-US"/>
        </w:rPr>
        <w:t xml:space="preserve">  </w:t>
      </w:r>
      <w:r w:rsidR="008C41C8">
        <w:rPr>
          <w:lang w:val="en-US"/>
        </w:rPr>
        <w:t>In short, the Company has asked the Commission to approve ERF and multi-year rate increases without any update whatsoever to its return on equity, never mind the “thoroughgoing analysis” required</w:t>
      </w:r>
      <w:r w:rsidR="006E7680">
        <w:rPr>
          <w:lang w:val="en-US"/>
        </w:rPr>
        <w:t xml:space="preserve"> by the Court</w:t>
      </w:r>
      <w:r w:rsidR="008C41C8">
        <w:rPr>
          <w:lang w:val="en-US"/>
        </w:rPr>
        <w:t xml:space="preserve">.  </w:t>
      </w:r>
      <w:r w:rsidR="000E169C">
        <w:rPr>
          <w:lang w:val="en-US"/>
        </w:rPr>
        <w:t xml:space="preserve">Pacific Power’s requests would, therefore, unlawfully shift the burden of proof to other parties, in violation of statute.  </w:t>
      </w:r>
      <w:r w:rsidR="008C41C8">
        <w:rPr>
          <w:lang w:val="en-US"/>
        </w:rPr>
        <w:t>The Company’s claim, that “[t]</w:t>
      </w:r>
      <w:r w:rsidR="0034023A" w:rsidRPr="0034023A">
        <w:rPr>
          <w:lang w:val="en-US"/>
        </w:rPr>
        <w:t>he combination of the ERF with a two-year rate plan … does not require the Commission to conduct a full cost of capital hearing</w:t>
      </w:r>
      <w:r w:rsidR="008C41C8">
        <w:rPr>
          <w:lang w:val="en-US"/>
        </w:rPr>
        <w:t>,</w:t>
      </w:r>
      <w:r w:rsidR="0034023A" w:rsidRPr="0034023A">
        <w:rPr>
          <w:lang w:val="en-US"/>
        </w:rPr>
        <w:t>”</w:t>
      </w:r>
      <w:r w:rsidR="008C41C8">
        <w:rPr>
          <w:lang w:val="en-US"/>
        </w:rPr>
        <w:t xml:space="preserve"> cannot be reconciled with the Court’s order and the Commission’s </w:t>
      </w:r>
      <w:r w:rsidR="006E7680">
        <w:rPr>
          <w:lang w:val="en-US"/>
        </w:rPr>
        <w:t>dutiful</w:t>
      </w:r>
      <w:r w:rsidR="008C41C8">
        <w:rPr>
          <w:lang w:val="en-US"/>
        </w:rPr>
        <w:t xml:space="preserve"> observance of that order.</w:t>
      </w:r>
    </w:p>
    <w:p w:rsidR="008C41C8" w:rsidRDefault="002F1D22" w:rsidP="003D4919">
      <w:pPr>
        <w:pStyle w:val="WUTCParagraph"/>
        <w:rPr>
          <w:lang w:val="en-US"/>
        </w:rPr>
      </w:pPr>
      <w:r>
        <w:rPr>
          <w:lang w:val="en-US"/>
        </w:rPr>
        <w:tab/>
      </w:r>
      <w:r w:rsidR="000E169C">
        <w:rPr>
          <w:lang w:val="en-US"/>
        </w:rPr>
        <w:t>Since the Commission cannot approve the Company’s ERF and multi-year rate plan requests in the form presented by the Company in its direct case—</w:t>
      </w:r>
      <w:r w:rsidR="000E169C" w:rsidRPr="000E169C">
        <w:rPr>
          <w:u w:val="single"/>
          <w:lang w:val="en-US"/>
        </w:rPr>
        <w:t>i.e.</w:t>
      </w:r>
      <w:r w:rsidR="000E169C">
        <w:rPr>
          <w:lang w:val="en-US"/>
        </w:rPr>
        <w:t>, on the assertion that a thoroughgoing analysis of return on equity is not required</w:t>
      </w:r>
      <w:r w:rsidR="006E7680">
        <w:rPr>
          <w:lang w:val="en-US"/>
        </w:rPr>
        <w:t>,</w:t>
      </w:r>
      <w:r w:rsidR="000E169C">
        <w:rPr>
          <w:lang w:val="en-US"/>
        </w:rPr>
        <w:t xml:space="preserve"> and </w:t>
      </w:r>
      <w:r w:rsidR="00335A79">
        <w:rPr>
          <w:lang w:val="en-US"/>
        </w:rPr>
        <w:t xml:space="preserve">with </w:t>
      </w:r>
      <w:r w:rsidR="000E169C">
        <w:rPr>
          <w:lang w:val="en-US"/>
        </w:rPr>
        <w:t xml:space="preserve">no update to the rate of return—Boise respectfully submits that the Commission should dismiss Pacific Power’s ERF and two-year rate plan petition.  </w:t>
      </w:r>
      <w:r w:rsidR="006E7680">
        <w:rPr>
          <w:lang w:val="en-US"/>
        </w:rPr>
        <w:t>That is</w:t>
      </w:r>
      <w:r w:rsidR="00A37346">
        <w:rPr>
          <w:lang w:val="en-US"/>
        </w:rPr>
        <w:t>, the Company has not stated an ERF and multi-year rate plan claim upon which the Commission may grant relief.</w:t>
      </w:r>
      <w:r w:rsidR="00A37346" w:rsidRPr="00A37346">
        <w:rPr>
          <w:u w:val="single"/>
          <w:vertAlign w:val="superscript"/>
          <w:lang w:val="en-US"/>
        </w:rPr>
        <w:footnoteReference w:id="11"/>
      </w:r>
      <w:proofErr w:type="gramStart"/>
      <w:r w:rsidR="00A37346" w:rsidRPr="00A37346">
        <w:rPr>
          <w:vertAlign w:val="superscript"/>
          <w:lang w:val="en-US"/>
        </w:rPr>
        <w:t>/</w:t>
      </w:r>
      <w:r w:rsidR="00A37346">
        <w:rPr>
          <w:lang w:val="en-US"/>
        </w:rPr>
        <w:t xml:space="preserve">  As</w:t>
      </w:r>
      <w:proofErr w:type="gramEnd"/>
      <w:r w:rsidR="00A37346">
        <w:rPr>
          <w:lang w:val="en-US"/>
        </w:rPr>
        <w:t xml:space="preserve"> the Commission affirmed in 2014, when </w:t>
      </w:r>
      <w:r w:rsidR="0000190F">
        <w:rPr>
          <w:lang w:val="en-US"/>
        </w:rPr>
        <w:t xml:space="preserve">granting a motion to dismiss and rejecting a tariff filing to increase rates:  “In Commission proceedings, prefiled evidence </w:t>
      </w:r>
      <w:r w:rsidR="0000190F" w:rsidRPr="0000190F">
        <w:rPr>
          <w:i/>
          <w:lang w:val="en-US"/>
        </w:rPr>
        <w:t>is</w:t>
      </w:r>
      <w:r w:rsidR="0000190F">
        <w:rPr>
          <w:lang w:val="en-US"/>
        </w:rPr>
        <w:t xml:space="preserve"> a party’s evidence supporting its case.”</w:t>
      </w:r>
      <w:r w:rsidR="0000190F" w:rsidRPr="0000190F">
        <w:rPr>
          <w:u w:val="single"/>
          <w:vertAlign w:val="superscript"/>
          <w:lang w:val="en-US"/>
        </w:rPr>
        <w:footnoteReference w:id="12"/>
      </w:r>
      <w:r w:rsidR="0000190F" w:rsidRPr="0000190F">
        <w:rPr>
          <w:vertAlign w:val="superscript"/>
          <w:lang w:val="en-US"/>
        </w:rPr>
        <w:t>/</w:t>
      </w:r>
      <w:r w:rsidR="0000190F">
        <w:rPr>
          <w:lang w:val="en-US"/>
        </w:rPr>
        <w:t xml:space="preserve"> </w:t>
      </w:r>
      <w:r w:rsidR="001D6FB8">
        <w:rPr>
          <w:lang w:val="en-US"/>
        </w:rPr>
        <w:t>Consequently, a “Company’s failure to file a direct case that provides full support for its rate request necessarily results in dismissal of that case and rejection of the tariff filing.”</w:t>
      </w:r>
      <w:r w:rsidR="001D6FB8" w:rsidRPr="001D6FB8">
        <w:rPr>
          <w:u w:val="single"/>
          <w:vertAlign w:val="superscript"/>
          <w:lang w:val="en-US"/>
        </w:rPr>
        <w:footnoteReference w:id="13"/>
      </w:r>
      <w:r w:rsidR="001D6FB8" w:rsidRPr="001D6FB8">
        <w:rPr>
          <w:vertAlign w:val="superscript"/>
          <w:lang w:val="en-US"/>
        </w:rPr>
        <w:t>/</w:t>
      </w:r>
      <w:r w:rsidR="001D6FB8">
        <w:rPr>
          <w:lang w:val="en-US"/>
        </w:rPr>
        <w:t xml:space="preserve">  </w:t>
      </w:r>
    </w:p>
    <w:p w:rsidR="001D6FB8" w:rsidRDefault="002F1D22" w:rsidP="003D4919">
      <w:pPr>
        <w:pStyle w:val="WUTCParagraph"/>
        <w:rPr>
          <w:lang w:val="en-US"/>
        </w:rPr>
      </w:pPr>
      <w:r>
        <w:rPr>
          <w:lang w:val="en-US"/>
        </w:rPr>
        <w:tab/>
      </w:r>
      <w:r w:rsidR="001D6FB8">
        <w:rPr>
          <w:lang w:val="en-US"/>
        </w:rPr>
        <w:t xml:space="preserve">Pacific Power’s failure to file a direct </w:t>
      </w:r>
      <w:r w:rsidR="00C66AF5">
        <w:rPr>
          <w:lang w:val="en-US"/>
        </w:rPr>
        <w:t>case providing full support for its ERF and multi-year rate plan rate incr</w:t>
      </w:r>
      <w:r w:rsidR="00ED089D">
        <w:rPr>
          <w:lang w:val="en-US"/>
        </w:rPr>
        <w:t>ease requests should lead to</w:t>
      </w:r>
      <w:r w:rsidR="00C66AF5">
        <w:rPr>
          <w:lang w:val="en-US"/>
        </w:rPr>
        <w:t xml:space="preserve"> dismissal </w:t>
      </w:r>
      <w:r w:rsidR="00ED089D">
        <w:rPr>
          <w:lang w:val="en-US"/>
        </w:rPr>
        <w:t>and</w:t>
      </w:r>
      <w:r w:rsidR="00C66AF5">
        <w:rPr>
          <w:lang w:val="en-US"/>
        </w:rPr>
        <w:t xml:space="preserve"> rejection of associated </w:t>
      </w:r>
      <w:r w:rsidR="00C66AF5">
        <w:rPr>
          <w:lang w:val="en-US"/>
        </w:rPr>
        <w:lastRenderedPageBreak/>
        <w:t xml:space="preserve">tariff filings.  </w:t>
      </w:r>
      <w:r w:rsidR="007E053B">
        <w:rPr>
          <w:lang w:val="en-US"/>
        </w:rPr>
        <w:t>T</w:t>
      </w:r>
      <w:r w:rsidR="00C66AF5">
        <w:rPr>
          <w:lang w:val="en-US"/>
        </w:rPr>
        <w:t>he Commission has recently rejected arguments against dismissal on the basis that a company “will develop its full case at hearing,” or “that dismissal would waste resources.”</w:t>
      </w:r>
      <w:r w:rsidR="00C66AF5" w:rsidRPr="00C66AF5">
        <w:rPr>
          <w:u w:val="single"/>
          <w:vertAlign w:val="superscript"/>
          <w:lang w:val="en-US"/>
        </w:rPr>
        <w:footnoteReference w:id="14"/>
      </w:r>
      <w:r w:rsidR="00C66AF5" w:rsidRPr="00C66AF5">
        <w:rPr>
          <w:vertAlign w:val="superscript"/>
          <w:lang w:val="en-US"/>
        </w:rPr>
        <w:t>/</w:t>
      </w:r>
      <w:r w:rsidR="00C66AF5">
        <w:rPr>
          <w:lang w:val="en-US"/>
        </w:rPr>
        <w:t xml:space="preserve"> </w:t>
      </w:r>
      <w:r w:rsidR="006E7680">
        <w:rPr>
          <w:lang w:val="en-US"/>
        </w:rPr>
        <w:t xml:space="preserve"> </w:t>
      </w:r>
      <w:r w:rsidR="00C66AF5">
        <w:rPr>
          <w:lang w:val="en-US"/>
        </w:rPr>
        <w:t xml:space="preserve">Notwithstanding, Boise would not oppose treatment of the Company’s Advice </w:t>
      </w:r>
      <w:r w:rsidR="00481540">
        <w:rPr>
          <w:lang w:val="en-US"/>
        </w:rPr>
        <w:t xml:space="preserve"> </w:t>
      </w:r>
      <w:r w:rsidR="00C66AF5">
        <w:rPr>
          <w:lang w:val="en-US"/>
        </w:rPr>
        <w:t>15-06 filing as a general rate case, as an alternative to outright dismissal of Pacific Power’s ERF and two-year rate plan petition.</w:t>
      </w:r>
    </w:p>
    <w:p w:rsidR="00D30BC8" w:rsidRPr="006B6569" w:rsidRDefault="00D30BC8" w:rsidP="00D30BC8">
      <w:pPr>
        <w:pStyle w:val="WUTCParagraph"/>
        <w:keepNext/>
        <w:numPr>
          <w:ilvl w:val="0"/>
          <w:numId w:val="0"/>
        </w:numPr>
        <w:tabs>
          <w:tab w:val="left" w:pos="720"/>
        </w:tabs>
        <w:spacing w:after="240" w:line="240" w:lineRule="auto"/>
        <w:jc w:val="center"/>
        <w:rPr>
          <w:b/>
          <w:bCs/>
          <w:lang w:val="en-US"/>
        </w:rPr>
      </w:pPr>
      <w:r>
        <w:rPr>
          <w:b/>
          <w:bCs/>
        </w:rPr>
        <w:t>I</w:t>
      </w:r>
      <w:r>
        <w:rPr>
          <w:b/>
          <w:bCs/>
          <w:lang w:val="en-US"/>
        </w:rPr>
        <w:t>I</w:t>
      </w:r>
      <w:r>
        <w:rPr>
          <w:b/>
          <w:bCs/>
        </w:rPr>
        <w:t>.</w:t>
      </w:r>
      <w:r>
        <w:rPr>
          <w:b/>
          <w:bCs/>
        </w:rPr>
        <w:tab/>
      </w:r>
      <w:r>
        <w:rPr>
          <w:b/>
          <w:bCs/>
          <w:lang w:val="en-US"/>
        </w:rPr>
        <w:t>ALTERNATIVE MOTION TO TREAT AS A GENERAL RATE CASE FILING</w:t>
      </w:r>
    </w:p>
    <w:p w:rsidR="00D30BC8" w:rsidRDefault="002F1D22" w:rsidP="003D4919">
      <w:pPr>
        <w:pStyle w:val="WUTCParagraph"/>
        <w:rPr>
          <w:lang w:val="en-US"/>
        </w:rPr>
      </w:pPr>
      <w:r>
        <w:rPr>
          <w:lang w:val="en-US"/>
        </w:rPr>
        <w:tab/>
      </w:r>
      <w:r w:rsidR="006F3F68">
        <w:rPr>
          <w:lang w:val="en-US"/>
        </w:rPr>
        <w:t>On its public website, t</w:t>
      </w:r>
      <w:r w:rsidR="006F3F68" w:rsidRPr="006F3F68">
        <w:rPr>
          <w:lang w:val="en-US"/>
        </w:rPr>
        <w:t xml:space="preserve">he Commission </w:t>
      </w:r>
      <w:r w:rsidR="006F3F68">
        <w:rPr>
          <w:lang w:val="en-US"/>
        </w:rPr>
        <w:t>states that Pacific Power’s Advice 15-06 i</w:t>
      </w:r>
      <w:r w:rsidR="006F3F68" w:rsidRPr="006F3F68">
        <w:rPr>
          <w:lang w:val="en-US"/>
        </w:rPr>
        <w:t>s a “[g]</w:t>
      </w:r>
      <w:proofErr w:type="spellStart"/>
      <w:r w:rsidR="006F3F68" w:rsidRPr="006F3F68">
        <w:rPr>
          <w:lang w:val="en-US"/>
        </w:rPr>
        <w:t>eneral</w:t>
      </w:r>
      <w:proofErr w:type="spellEnd"/>
      <w:r w:rsidR="006F3F68" w:rsidRPr="006F3F68">
        <w:rPr>
          <w:lang w:val="en-US"/>
        </w:rPr>
        <w:t xml:space="preserve"> rate case” filing.</w:t>
      </w:r>
      <w:r w:rsidR="006F3F68" w:rsidRPr="006F3F68">
        <w:rPr>
          <w:u w:val="single"/>
          <w:vertAlign w:val="superscript"/>
          <w:lang w:val="en-US"/>
        </w:rPr>
        <w:footnoteReference w:id="15"/>
      </w:r>
      <w:r w:rsidR="006F3F68" w:rsidRPr="006F3F68">
        <w:rPr>
          <w:vertAlign w:val="superscript"/>
          <w:lang w:val="en-US"/>
        </w:rPr>
        <w:t>/</w:t>
      </w:r>
      <w:r w:rsidR="006F3F68" w:rsidRPr="006F3F68">
        <w:rPr>
          <w:lang w:val="en-US"/>
        </w:rPr>
        <w:t xml:space="preserve">  </w:t>
      </w:r>
      <w:r w:rsidR="006F3F68">
        <w:rPr>
          <w:lang w:val="en-US"/>
        </w:rPr>
        <w:t xml:space="preserve">Pursuant to </w:t>
      </w:r>
      <w:r w:rsidR="008666E8">
        <w:rPr>
          <w:lang w:val="en-US"/>
        </w:rPr>
        <w:t xml:space="preserve">this designation and </w:t>
      </w:r>
      <w:r w:rsidR="006F3F68">
        <w:rPr>
          <w:lang w:val="en-US"/>
        </w:rPr>
        <w:t xml:space="preserve">WAC § 480-07-375(1)(b), Boise </w:t>
      </w:r>
      <w:r w:rsidR="008666E8">
        <w:rPr>
          <w:lang w:val="en-US"/>
        </w:rPr>
        <w:t>moves</w:t>
      </w:r>
      <w:r w:rsidR="006F3F68">
        <w:rPr>
          <w:lang w:val="en-US"/>
        </w:rPr>
        <w:t xml:space="preserve"> that</w:t>
      </w:r>
      <w:r w:rsidR="008666E8">
        <w:rPr>
          <w:lang w:val="en-US"/>
        </w:rPr>
        <w:t>, as an alternative to dismissing Pacific Power’s ERF and two-year rate plan requests,</w:t>
      </w:r>
      <w:r w:rsidR="006F3F68">
        <w:rPr>
          <w:lang w:val="en-US"/>
        </w:rPr>
        <w:t xml:space="preserve"> the Commission </w:t>
      </w:r>
      <w:r w:rsidR="00BB4362">
        <w:rPr>
          <w:lang w:val="en-US"/>
        </w:rPr>
        <w:t>treat Advice 15-06</w:t>
      </w:r>
      <w:r w:rsidR="00AF66E5">
        <w:rPr>
          <w:lang w:val="en-US"/>
        </w:rPr>
        <w:t>,</w:t>
      </w:r>
      <w:r w:rsidR="008666E8">
        <w:rPr>
          <w:lang w:val="en-US"/>
        </w:rPr>
        <w:t xml:space="preserve"> procedurally</w:t>
      </w:r>
      <w:r w:rsidR="00AF66E5">
        <w:rPr>
          <w:lang w:val="en-US"/>
        </w:rPr>
        <w:t>,</w:t>
      </w:r>
      <w:r w:rsidR="008666E8">
        <w:rPr>
          <w:lang w:val="en-US"/>
        </w:rPr>
        <w:t xml:space="preserve"> as a general rate case (“Alternative Motion”).</w:t>
      </w:r>
    </w:p>
    <w:p w:rsidR="009938B1" w:rsidRDefault="002F1D22" w:rsidP="00C17221">
      <w:pPr>
        <w:pStyle w:val="WUTCParagraph"/>
        <w:rPr>
          <w:lang w:val="en-US"/>
        </w:rPr>
      </w:pPr>
      <w:r>
        <w:rPr>
          <w:lang w:val="en-US"/>
        </w:rPr>
        <w:tab/>
      </w:r>
      <w:r w:rsidR="008666E8">
        <w:rPr>
          <w:lang w:val="en-US"/>
        </w:rPr>
        <w:t>In fact, the Company contemplates that the Commission may elect to treat thi</w:t>
      </w:r>
      <w:r w:rsidR="008E6FE4">
        <w:rPr>
          <w:lang w:val="en-US"/>
        </w:rPr>
        <w:t>s docket as a general rate case,</w:t>
      </w:r>
      <w:r w:rsidR="008666E8" w:rsidRPr="008666E8">
        <w:rPr>
          <w:u w:val="single"/>
          <w:vertAlign w:val="superscript"/>
          <w:lang w:val="en-US"/>
        </w:rPr>
        <w:footnoteReference w:id="16"/>
      </w:r>
      <w:r w:rsidR="008666E8" w:rsidRPr="008666E8">
        <w:rPr>
          <w:vertAlign w:val="superscript"/>
          <w:lang w:val="en-US"/>
        </w:rPr>
        <w:t>/</w:t>
      </w:r>
      <w:r w:rsidR="008666E8">
        <w:rPr>
          <w:lang w:val="en-US"/>
        </w:rPr>
        <w:t xml:space="preserve"> </w:t>
      </w:r>
      <w:r w:rsidR="00205674">
        <w:rPr>
          <w:lang w:val="en-US"/>
        </w:rPr>
        <w:t>prompting Pacific Power to</w:t>
      </w:r>
      <w:r w:rsidR="00A34EC4">
        <w:rPr>
          <w:lang w:val="en-US"/>
        </w:rPr>
        <w:t>, among other things</w:t>
      </w:r>
      <w:r w:rsidR="008D75CF">
        <w:rPr>
          <w:lang w:val="en-US"/>
        </w:rPr>
        <w:t>:  1)</w:t>
      </w:r>
      <w:r w:rsidR="00205674">
        <w:rPr>
          <w:lang w:val="en-US"/>
        </w:rPr>
        <w:t xml:space="preserve"> </w:t>
      </w:r>
      <w:r w:rsidR="002B50A5">
        <w:rPr>
          <w:lang w:val="en-US"/>
        </w:rPr>
        <w:t>file testimony and exhibits from witness Kurt G. Strunk supporting a higher return on equity (“ROE”) level</w:t>
      </w:r>
      <w:r w:rsidR="008D75CF">
        <w:rPr>
          <w:lang w:val="en-US"/>
        </w:rPr>
        <w:t>;</w:t>
      </w:r>
      <w:r w:rsidR="002B50A5">
        <w:rPr>
          <w:lang w:val="en-US"/>
        </w:rPr>
        <w:t xml:space="preserve"> and </w:t>
      </w:r>
      <w:r w:rsidR="008D75CF">
        <w:rPr>
          <w:lang w:val="en-US"/>
        </w:rPr>
        <w:t>2)</w:t>
      </w:r>
      <w:r w:rsidR="002B50A5">
        <w:rPr>
          <w:lang w:val="en-US"/>
        </w:rPr>
        <w:t xml:space="preserve"> </w:t>
      </w:r>
      <w:r w:rsidR="00205674">
        <w:rPr>
          <w:lang w:val="en-US"/>
        </w:rPr>
        <w:t xml:space="preserve">explicitly “reserve[] its right to seek </w:t>
      </w:r>
      <w:r w:rsidR="00205674" w:rsidRPr="00205674">
        <w:rPr>
          <w:i/>
          <w:lang w:val="en-US"/>
        </w:rPr>
        <w:t>the higher ROE supported by Mr. Strunk’s testimony</w:t>
      </w:r>
      <w:r w:rsidR="00205674">
        <w:rPr>
          <w:lang w:val="en-US"/>
        </w:rPr>
        <w:t>.”</w:t>
      </w:r>
      <w:r w:rsidR="00205674" w:rsidRPr="00205674">
        <w:rPr>
          <w:u w:val="single"/>
          <w:vertAlign w:val="superscript"/>
          <w:lang w:val="en-US"/>
        </w:rPr>
        <w:footnoteReference w:id="17"/>
      </w:r>
      <w:proofErr w:type="gramStart"/>
      <w:r w:rsidR="00205674" w:rsidRPr="00205674">
        <w:rPr>
          <w:vertAlign w:val="superscript"/>
          <w:lang w:val="en-US"/>
        </w:rPr>
        <w:t>/</w:t>
      </w:r>
      <w:r w:rsidR="009938B1">
        <w:rPr>
          <w:lang w:val="en-US"/>
        </w:rPr>
        <w:t xml:space="preserve">  Given</w:t>
      </w:r>
      <w:proofErr w:type="gramEnd"/>
      <w:r w:rsidR="009938B1">
        <w:rPr>
          <w:lang w:val="en-US"/>
        </w:rPr>
        <w:t xml:space="preserve"> that the Company has </w:t>
      </w:r>
      <w:r w:rsidR="002B50A5">
        <w:rPr>
          <w:lang w:val="en-US"/>
        </w:rPr>
        <w:t>chosen to take</w:t>
      </w:r>
      <w:r w:rsidR="00481540">
        <w:rPr>
          <w:lang w:val="en-US"/>
        </w:rPr>
        <w:t xml:space="preserve"> this</w:t>
      </w:r>
      <w:r w:rsidR="001511C1">
        <w:rPr>
          <w:lang w:val="en-US"/>
        </w:rPr>
        <w:t xml:space="preserve"> affirmative step of filing </w:t>
      </w:r>
      <w:r w:rsidR="009938B1">
        <w:rPr>
          <w:lang w:val="en-US"/>
        </w:rPr>
        <w:t xml:space="preserve">testimony supporting a potential change in Pacific Power’s authorized </w:t>
      </w:r>
      <w:r w:rsidR="00184099">
        <w:rPr>
          <w:lang w:val="en-US"/>
        </w:rPr>
        <w:t>ROE</w:t>
      </w:r>
      <w:r w:rsidR="009938B1">
        <w:rPr>
          <w:lang w:val="en-US"/>
        </w:rPr>
        <w:t xml:space="preserve">, </w:t>
      </w:r>
      <w:r w:rsidR="001511C1">
        <w:rPr>
          <w:lang w:val="en-US"/>
        </w:rPr>
        <w:t xml:space="preserve">treating this proceeding </w:t>
      </w:r>
      <w:r w:rsidR="006E7680">
        <w:rPr>
          <w:lang w:val="en-US"/>
        </w:rPr>
        <w:t xml:space="preserve">as a general rate case </w:t>
      </w:r>
      <w:r w:rsidR="001511C1">
        <w:rPr>
          <w:lang w:val="en-US"/>
        </w:rPr>
        <w:t>appear</w:t>
      </w:r>
      <w:r w:rsidR="006E7680">
        <w:rPr>
          <w:lang w:val="en-US"/>
        </w:rPr>
        <w:t>s to be a</w:t>
      </w:r>
      <w:r w:rsidR="001511C1">
        <w:rPr>
          <w:lang w:val="en-US"/>
        </w:rPr>
        <w:t xml:space="preserve"> prudent and proper course</w:t>
      </w:r>
      <w:r w:rsidR="00BF7FA6">
        <w:rPr>
          <w:lang w:val="en-US"/>
        </w:rPr>
        <w:t>.</w:t>
      </w:r>
      <w:r w:rsidR="00A34EC4">
        <w:rPr>
          <w:lang w:val="en-US"/>
        </w:rPr>
        <w:t xml:space="preserve">  Moreover, no prejudice or disadvantage should ensue as a result of general rate proceeding treatment, based on </w:t>
      </w:r>
      <w:r w:rsidR="00A34EC4">
        <w:rPr>
          <w:lang w:val="en-US"/>
        </w:rPr>
        <w:lastRenderedPageBreak/>
        <w:t>the claim that “Pacific Power supports its filing with the documentation normally required for a general rate case.”</w:t>
      </w:r>
      <w:r w:rsidR="00A34EC4" w:rsidRPr="00A34EC4">
        <w:rPr>
          <w:u w:val="single"/>
          <w:vertAlign w:val="superscript"/>
          <w:lang w:val="en-US"/>
        </w:rPr>
        <w:footnoteReference w:id="18"/>
      </w:r>
      <w:r w:rsidR="00A34EC4" w:rsidRPr="00A34EC4">
        <w:rPr>
          <w:vertAlign w:val="superscript"/>
          <w:lang w:val="en-US"/>
        </w:rPr>
        <w:t>/</w:t>
      </w:r>
      <w:r w:rsidR="00A34EC4">
        <w:rPr>
          <w:lang w:val="en-US"/>
        </w:rPr>
        <w:t xml:space="preserve"> </w:t>
      </w:r>
    </w:p>
    <w:p w:rsidR="00630FC8" w:rsidRPr="00630FC8" w:rsidRDefault="00630FC8" w:rsidP="00630FC8">
      <w:pPr>
        <w:pStyle w:val="WUTCParagraph"/>
        <w:numPr>
          <w:ilvl w:val="0"/>
          <w:numId w:val="0"/>
        </w:numPr>
        <w:tabs>
          <w:tab w:val="left" w:pos="720"/>
        </w:tabs>
        <w:spacing w:after="240" w:line="240" w:lineRule="auto"/>
        <w:ind w:left="720" w:hanging="720"/>
        <w:rPr>
          <w:b/>
          <w:lang w:val="en-US"/>
        </w:rPr>
      </w:pPr>
      <w:r w:rsidRPr="00630FC8">
        <w:rPr>
          <w:b/>
          <w:lang w:val="en-US"/>
        </w:rPr>
        <w:t>A.</w:t>
      </w:r>
      <w:r>
        <w:rPr>
          <w:b/>
          <w:lang w:val="en-US"/>
        </w:rPr>
        <w:tab/>
        <w:t xml:space="preserve">The Commission Cannot Practically Avoid Consideration of the Company’s Cost of Capital Case, as Would Be </w:t>
      </w:r>
      <w:r w:rsidR="00523CC1">
        <w:rPr>
          <w:b/>
          <w:lang w:val="en-US"/>
        </w:rPr>
        <w:t>Customary to</w:t>
      </w:r>
      <w:r>
        <w:rPr>
          <w:b/>
          <w:lang w:val="en-US"/>
        </w:rPr>
        <w:t xml:space="preserve"> a General Rate Proceeding</w:t>
      </w:r>
    </w:p>
    <w:p w:rsidR="006E7680" w:rsidRDefault="002F1D22" w:rsidP="00C17221">
      <w:pPr>
        <w:pStyle w:val="WUTCParagraph"/>
        <w:rPr>
          <w:lang w:val="en-US"/>
        </w:rPr>
      </w:pPr>
      <w:r>
        <w:rPr>
          <w:lang w:val="en-US"/>
        </w:rPr>
        <w:tab/>
      </w:r>
      <w:r w:rsidR="004B042D">
        <w:rPr>
          <w:lang w:val="en-US"/>
        </w:rPr>
        <w:t>T</w:t>
      </w:r>
      <w:r w:rsidR="00601916" w:rsidRPr="00601916">
        <w:rPr>
          <w:lang w:val="en-US"/>
        </w:rPr>
        <w:t xml:space="preserve">he Company has filed testimony and exhibits from </w:t>
      </w:r>
      <w:r w:rsidR="008D75CF">
        <w:rPr>
          <w:lang w:val="en-US"/>
        </w:rPr>
        <w:t xml:space="preserve">Mr. </w:t>
      </w:r>
      <w:r w:rsidR="00601916" w:rsidRPr="00601916">
        <w:rPr>
          <w:lang w:val="en-US"/>
        </w:rPr>
        <w:t>Strunk that purportedly “</w:t>
      </w:r>
      <w:proofErr w:type="gramStart"/>
      <w:r w:rsidR="00205674">
        <w:rPr>
          <w:lang w:val="en-US"/>
        </w:rPr>
        <w:t>demonstrate[</w:t>
      </w:r>
      <w:proofErr w:type="gramEnd"/>
      <w:r w:rsidR="00205674">
        <w:rPr>
          <w:lang w:val="en-US"/>
        </w:rPr>
        <w:t>]</w:t>
      </w:r>
      <w:r w:rsidR="00601916" w:rsidRPr="00601916">
        <w:rPr>
          <w:lang w:val="en-US"/>
        </w:rPr>
        <w:t xml:space="preserve"> that an ROE of 10.0 percent continues to be appropriate for Pacific Power</w:t>
      </w:r>
      <w:r w:rsidR="00601916">
        <w:rPr>
          <w:lang w:val="en-US"/>
        </w:rPr>
        <w:t>,</w:t>
      </w:r>
      <w:r w:rsidR="00601916" w:rsidRPr="00601916">
        <w:rPr>
          <w:lang w:val="en-US"/>
        </w:rPr>
        <w:t>”</w:t>
      </w:r>
      <w:r w:rsidR="00601916" w:rsidRPr="00601916">
        <w:rPr>
          <w:u w:val="single"/>
          <w:vertAlign w:val="superscript"/>
          <w:lang w:val="en-US"/>
        </w:rPr>
        <w:footnoteReference w:id="19"/>
      </w:r>
      <w:r w:rsidR="00601916" w:rsidRPr="00601916">
        <w:rPr>
          <w:vertAlign w:val="superscript"/>
          <w:lang w:val="en-US"/>
        </w:rPr>
        <w:t>/</w:t>
      </w:r>
      <w:r w:rsidR="00601916" w:rsidRPr="00601916">
        <w:rPr>
          <w:lang w:val="en-US"/>
        </w:rPr>
        <w:t xml:space="preserve"> above the currently authorized </w:t>
      </w:r>
      <w:r w:rsidR="00845D07">
        <w:rPr>
          <w:lang w:val="en-US"/>
        </w:rPr>
        <w:t xml:space="preserve">equity </w:t>
      </w:r>
      <w:r w:rsidR="00601916" w:rsidRPr="00601916">
        <w:rPr>
          <w:lang w:val="en-US"/>
        </w:rPr>
        <w:t>return of 9.5%</w:t>
      </w:r>
      <w:r w:rsidR="00601916">
        <w:rPr>
          <w:lang w:val="en-US"/>
        </w:rPr>
        <w:t xml:space="preserve">. </w:t>
      </w:r>
      <w:r w:rsidR="00601916" w:rsidRPr="00601916">
        <w:rPr>
          <w:lang w:val="en-US"/>
        </w:rPr>
        <w:t xml:space="preserve"> </w:t>
      </w:r>
      <w:r w:rsidR="002B50A5">
        <w:rPr>
          <w:lang w:val="en-US"/>
        </w:rPr>
        <w:t>B</w:t>
      </w:r>
      <w:r w:rsidR="000635B7">
        <w:rPr>
          <w:lang w:val="en-US"/>
        </w:rPr>
        <w:t>ut, b</w:t>
      </w:r>
      <w:r w:rsidR="002B50A5">
        <w:rPr>
          <w:lang w:val="en-US"/>
        </w:rPr>
        <w:t>ased on</w:t>
      </w:r>
      <w:r w:rsidR="002B50A5" w:rsidRPr="002B50A5">
        <w:rPr>
          <w:lang w:val="en-US"/>
        </w:rPr>
        <w:t xml:space="preserve"> the Court’s mandate that the Commission </w:t>
      </w:r>
      <w:proofErr w:type="gramStart"/>
      <w:r w:rsidR="002B50A5" w:rsidRPr="002B50A5">
        <w:rPr>
          <w:lang w:val="en-US"/>
        </w:rPr>
        <w:t>undertake</w:t>
      </w:r>
      <w:proofErr w:type="gramEnd"/>
      <w:r w:rsidR="002B50A5" w:rsidRPr="002B50A5">
        <w:rPr>
          <w:lang w:val="en-US"/>
        </w:rPr>
        <w:t xml:space="preserve"> a “</w:t>
      </w:r>
      <w:r w:rsidR="002B50A5" w:rsidRPr="002B50A5">
        <w:rPr>
          <w:i/>
          <w:lang w:val="en-US"/>
        </w:rPr>
        <w:t>thoroughgoing</w:t>
      </w:r>
      <w:r w:rsidR="002B50A5" w:rsidRPr="002B50A5">
        <w:rPr>
          <w:lang w:val="en-US"/>
        </w:rPr>
        <w:t xml:space="preserve"> analysis of return on equity</w:t>
      </w:r>
      <w:r w:rsidR="002B50A5">
        <w:rPr>
          <w:lang w:val="en-US"/>
        </w:rPr>
        <w:t>,</w:t>
      </w:r>
      <w:r w:rsidR="002B50A5" w:rsidRPr="002B50A5">
        <w:rPr>
          <w:lang w:val="en-US"/>
        </w:rPr>
        <w:t>”</w:t>
      </w:r>
      <w:r w:rsidR="002B50A5" w:rsidRPr="002B50A5">
        <w:rPr>
          <w:u w:val="single"/>
          <w:vertAlign w:val="superscript"/>
          <w:lang w:val="en-US"/>
        </w:rPr>
        <w:footnoteReference w:id="20"/>
      </w:r>
      <w:r w:rsidR="002B50A5" w:rsidRPr="002B50A5">
        <w:rPr>
          <w:vertAlign w:val="superscript"/>
          <w:lang w:val="en-US"/>
        </w:rPr>
        <w:t>/</w:t>
      </w:r>
      <w:r w:rsidR="002B50A5">
        <w:rPr>
          <w:lang w:val="en-US"/>
        </w:rPr>
        <w:t xml:space="preserve"> </w:t>
      </w:r>
      <w:r w:rsidR="002B50A5" w:rsidRPr="002B50A5">
        <w:rPr>
          <w:lang w:val="en-US"/>
        </w:rPr>
        <w:t xml:space="preserve">the Commission cannot </w:t>
      </w:r>
      <w:r w:rsidR="002B50A5">
        <w:rPr>
          <w:lang w:val="en-US"/>
        </w:rPr>
        <w:t xml:space="preserve">reasonably </w:t>
      </w:r>
      <w:r w:rsidR="00845D07">
        <w:rPr>
          <w:lang w:val="en-US"/>
        </w:rPr>
        <w:t xml:space="preserve">hope to </w:t>
      </w:r>
      <w:r w:rsidR="002B50A5">
        <w:rPr>
          <w:lang w:val="en-US"/>
        </w:rPr>
        <w:t>conduct such a “thoroughgoing analysis” w</w:t>
      </w:r>
      <w:r w:rsidR="00CB67D0">
        <w:rPr>
          <w:lang w:val="en-US"/>
        </w:rPr>
        <w:t>ithout</w:t>
      </w:r>
      <w:r w:rsidR="002B50A5">
        <w:rPr>
          <w:lang w:val="en-US"/>
        </w:rPr>
        <w:t xml:space="preserve"> simultaneously </w:t>
      </w:r>
      <w:r w:rsidR="00CB67D0">
        <w:rPr>
          <w:lang w:val="en-US"/>
        </w:rPr>
        <w:t xml:space="preserve">considering </w:t>
      </w:r>
      <w:r w:rsidR="002B50A5" w:rsidRPr="002B50A5">
        <w:rPr>
          <w:lang w:val="en-US"/>
        </w:rPr>
        <w:t xml:space="preserve">the allegedly “appropriate” and “higher” return on equity level supported by Mr. Strunk’s </w:t>
      </w:r>
      <w:r w:rsidR="002B50A5">
        <w:rPr>
          <w:lang w:val="en-US"/>
        </w:rPr>
        <w:t xml:space="preserve">filed </w:t>
      </w:r>
      <w:r w:rsidR="002B50A5" w:rsidRPr="002B50A5">
        <w:rPr>
          <w:lang w:val="en-US"/>
        </w:rPr>
        <w:t>testimony</w:t>
      </w:r>
      <w:r w:rsidR="002B50A5">
        <w:rPr>
          <w:lang w:val="en-US"/>
        </w:rPr>
        <w:t xml:space="preserve">.  </w:t>
      </w:r>
    </w:p>
    <w:p w:rsidR="008D75CF" w:rsidRDefault="002F1D22" w:rsidP="00C17221">
      <w:pPr>
        <w:pStyle w:val="WUTCParagraph"/>
        <w:rPr>
          <w:lang w:val="en-US"/>
        </w:rPr>
      </w:pPr>
      <w:r>
        <w:rPr>
          <w:lang w:val="en-US"/>
        </w:rPr>
        <w:tab/>
      </w:r>
      <w:r w:rsidR="00523CC1">
        <w:rPr>
          <w:lang w:val="en-US"/>
        </w:rPr>
        <w:t>Such</w:t>
      </w:r>
      <w:r w:rsidR="000635B7">
        <w:rPr>
          <w:lang w:val="en-US"/>
        </w:rPr>
        <w:t xml:space="preserve"> </w:t>
      </w:r>
      <w:r w:rsidR="00CB67D0">
        <w:rPr>
          <w:lang w:val="en-US"/>
        </w:rPr>
        <w:t>unavoidable</w:t>
      </w:r>
      <w:r w:rsidR="000635B7">
        <w:rPr>
          <w:lang w:val="en-US"/>
        </w:rPr>
        <w:t xml:space="preserve"> consideration of </w:t>
      </w:r>
      <w:r w:rsidR="00D831BC">
        <w:rPr>
          <w:lang w:val="en-US"/>
        </w:rPr>
        <w:t xml:space="preserve">filed </w:t>
      </w:r>
      <w:r w:rsidR="000635B7">
        <w:rPr>
          <w:lang w:val="en-US"/>
        </w:rPr>
        <w:t>Pacific Power evidence</w:t>
      </w:r>
      <w:r w:rsidR="00CB67D0">
        <w:rPr>
          <w:lang w:val="en-US"/>
        </w:rPr>
        <w:t>,</w:t>
      </w:r>
      <w:r w:rsidR="000635B7">
        <w:rPr>
          <w:lang w:val="en-US"/>
        </w:rPr>
        <w:t xml:space="preserve"> in support of a higher return on equity</w:t>
      </w:r>
      <w:r w:rsidR="00CB67D0">
        <w:rPr>
          <w:lang w:val="en-US"/>
        </w:rPr>
        <w:t>,</w:t>
      </w:r>
      <w:r w:rsidR="008D75CF">
        <w:rPr>
          <w:lang w:val="en-US"/>
        </w:rPr>
        <w:t xml:space="preserve"> has the same practical effect as if the Company were to have </w:t>
      </w:r>
      <w:r w:rsidR="00D831BC">
        <w:rPr>
          <w:lang w:val="en-US"/>
        </w:rPr>
        <w:t xml:space="preserve">overtly </w:t>
      </w:r>
      <w:r w:rsidR="008D75CF">
        <w:rPr>
          <w:lang w:val="en-US"/>
        </w:rPr>
        <w:t>requested a</w:t>
      </w:r>
      <w:r w:rsidR="00845D07">
        <w:rPr>
          <w:lang w:val="en-US"/>
        </w:rPr>
        <w:t>n express change to</w:t>
      </w:r>
      <w:r w:rsidR="008D75CF">
        <w:rPr>
          <w:lang w:val="en-US"/>
        </w:rPr>
        <w:t xml:space="preserve"> its authorized </w:t>
      </w:r>
      <w:r w:rsidR="00523CC1">
        <w:rPr>
          <w:lang w:val="en-US"/>
        </w:rPr>
        <w:t>ROE</w:t>
      </w:r>
      <w:r w:rsidR="00CB67D0">
        <w:rPr>
          <w:lang w:val="en-US"/>
        </w:rPr>
        <w:t>,</w:t>
      </w:r>
      <w:r w:rsidR="000635B7">
        <w:rPr>
          <w:lang w:val="en-US"/>
        </w:rPr>
        <w:t xml:space="preserve"> in the context of its ERF and multi-year rate plan petition</w:t>
      </w:r>
      <w:r w:rsidR="008D75CF">
        <w:rPr>
          <w:lang w:val="en-US"/>
        </w:rPr>
        <w:t>.</w:t>
      </w:r>
      <w:r w:rsidR="006E7680">
        <w:rPr>
          <w:lang w:val="en-US"/>
        </w:rPr>
        <w:t xml:space="preserve">  This is important because</w:t>
      </w:r>
      <w:r w:rsidR="00CB67D0">
        <w:rPr>
          <w:lang w:val="en-US"/>
        </w:rPr>
        <w:t xml:space="preserve"> while the Company testifies that</w:t>
      </w:r>
      <w:r w:rsidR="006E7680">
        <w:rPr>
          <w:lang w:val="en-US"/>
        </w:rPr>
        <w:t>,</w:t>
      </w:r>
      <w:r w:rsidR="00C84E28">
        <w:rPr>
          <w:lang w:val="en-US"/>
        </w:rPr>
        <w:t xml:space="preserve"> for purposes of its ERF and two-year rate plan</w:t>
      </w:r>
      <w:r w:rsidR="00523CC1">
        <w:rPr>
          <w:lang w:val="en-US"/>
        </w:rPr>
        <w:t>,</w:t>
      </w:r>
      <w:r w:rsidR="00CB67D0">
        <w:rPr>
          <w:lang w:val="en-US"/>
        </w:rPr>
        <w:t xml:space="preserve"> it is requesting </w:t>
      </w:r>
      <w:r w:rsidR="00CB67D0" w:rsidRPr="00CB67D0">
        <w:rPr>
          <w:lang w:val="en-US"/>
        </w:rPr>
        <w:t>“[n]o updates or changes t</w:t>
      </w:r>
      <w:r w:rsidR="00CB67D0">
        <w:rPr>
          <w:lang w:val="en-US"/>
        </w:rPr>
        <w:t>o the authorized rate of return,</w:t>
      </w:r>
      <w:r w:rsidR="00CB67D0" w:rsidRPr="00CB67D0">
        <w:rPr>
          <w:lang w:val="en-US"/>
        </w:rPr>
        <w:t>”</w:t>
      </w:r>
      <w:r w:rsidR="00CB67D0">
        <w:rPr>
          <w:lang w:val="en-US"/>
        </w:rPr>
        <w:t xml:space="preserve"> </w:t>
      </w:r>
      <w:r w:rsidR="00523CC1">
        <w:rPr>
          <w:lang w:val="en-US"/>
        </w:rPr>
        <w:t>the Commission will</w:t>
      </w:r>
      <w:r w:rsidR="00C84E28">
        <w:rPr>
          <w:lang w:val="en-US"/>
        </w:rPr>
        <w:t xml:space="preserve"> </w:t>
      </w:r>
      <w:r w:rsidR="006E7680">
        <w:rPr>
          <w:lang w:val="en-US"/>
        </w:rPr>
        <w:t>have</w:t>
      </w:r>
      <w:r w:rsidR="00C84E28">
        <w:rPr>
          <w:lang w:val="en-US"/>
        </w:rPr>
        <w:t xml:space="preserve"> </w:t>
      </w:r>
      <w:r w:rsidR="00523CC1">
        <w:rPr>
          <w:lang w:val="en-US"/>
        </w:rPr>
        <w:t xml:space="preserve">no reasonable alternative </w:t>
      </w:r>
      <w:r w:rsidR="00D831BC">
        <w:rPr>
          <w:lang w:val="en-US"/>
        </w:rPr>
        <w:t xml:space="preserve">under the Court’s directive </w:t>
      </w:r>
      <w:r w:rsidR="00523CC1">
        <w:rPr>
          <w:lang w:val="en-US"/>
        </w:rPr>
        <w:t xml:space="preserve">but </w:t>
      </w:r>
      <w:r w:rsidR="00C84E28">
        <w:rPr>
          <w:lang w:val="en-US"/>
        </w:rPr>
        <w:t xml:space="preserve">to conduct its analysis of the </w:t>
      </w:r>
      <w:r w:rsidR="00C84E28" w:rsidRPr="00C84E28">
        <w:rPr>
          <w:lang w:val="en-US"/>
        </w:rPr>
        <w:t xml:space="preserve">ERF and multi-year rate plan petition </w:t>
      </w:r>
      <w:r w:rsidR="00C84E28">
        <w:rPr>
          <w:lang w:val="en-US"/>
        </w:rPr>
        <w:t>just as if the</w:t>
      </w:r>
      <w:r w:rsidR="00C84E28" w:rsidRPr="00C84E28">
        <w:rPr>
          <w:color w:val="000000"/>
          <w:szCs w:val="20"/>
          <w:lang w:val="en-US" w:eastAsia="en-US"/>
        </w:rPr>
        <w:t xml:space="preserve"> </w:t>
      </w:r>
      <w:r w:rsidR="00C84E28">
        <w:rPr>
          <w:lang w:val="en-US"/>
        </w:rPr>
        <w:t>C</w:t>
      </w:r>
      <w:r w:rsidR="00C84E28" w:rsidRPr="00C84E28">
        <w:rPr>
          <w:lang w:val="en-US"/>
        </w:rPr>
        <w:t xml:space="preserve">ompany </w:t>
      </w:r>
      <w:r w:rsidR="00C84E28" w:rsidRPr="00C84E28">
        <w:rPr>
          <w:i/>
          <w:lang w:val="en-US"/>
        </w:rPr>
        <w:t>had</w:t>
      </w:r>
      <w:r w:rsidR="00C84E28">
        <w:rPr>
          <w:lang w:val="en-US"/>
        </w:rPr>
        <w:t xml:space="preserve"> requested</w:t>
      </w:r>
      <w:r w:rsidR="00C84E28" w:rsidRPr="00C84E28">
        <w:rPr>
          <w:lang w:val="en-US"/>
        </w:rPr>
        <w:t xml:space="preserve"> a change in its authorized rate of return on common equity</w:t>
      </w:r>
      <w:r w:rsidR="00C84E28">
        <w:rPr>
          <w:lang w:val="en-US"/>
        </w:rPr>
        <w:t>.</w:t>
      </w:r>
    </w:p>
    <w:p w:rsidR="009B30BB" w:rsidRDefault="008D75CF" w:rsidP="00C17221">
      <w:pPr>
        <w:pStyle w:val="WUTCParagraph"/>
        <w:rPr>
          <w:lang w:val="en-US"/>
        </w:rPr>
      </w:pPr>
      <w:r>
        <w:rPr>
          <w:lang w:val="en-US"/>
        </w:rPr>
        <w:lastRenderedPageBreak/>
        <w:t xml:space="preserve"> </w:t>
      </w:r>
      <w:r w:rsidR="002F1D22">
        <w:rPr>
          <w:lang w:val="en-US"/>
        </w:rPr>
        <w:tab/>
      </w:r>
      <w:r w:rsidR="00C84E28">
        <w:rPr>
          <w:lang w:val="en-US"/>
        </w:rPr>
        <w:t>S</w:t>
      </w:r>
      <w:r w:rsidR="00C84E28" w:rsidRPr="00C84E28">
        <w:rPr>
          <w:lang w:val="en-US"/>
        </w:rPr>
        <w:t>ince a general rate proceeding is defined by Commission rule as a filing in which a “company requests a change in its authorized rate of return on common equity</w:t>
      </w:r>
      <w:r w:rsidR="00C84E28">
        <w:rPr>
          <w:lang w:val="en-US"/>
        </w:rPr>
        <w:t>,</w:t>
      </w:r>
      <w:r w:rsidR="00C84E28" w:rsidRPr="00C84E28">
        <w:rPr>
          <w:lang w:val="en-US"/>
        </w:rPr>
        <w:t>”</w:t>
      </w:r>
      <w:r w:rsidR="00C84E28" w:rsidRPr="00C84E28">
        <w:rPr>
          <w:u w:val="single"/>
          <w:vertAlign w:val="superscript"/>
          <w:lang w:val="en-US"/>
        </w:rPr>
        <w:footnoteReference w:id="21"/>
      </w:r>
      <w:r w:rsidR="00C84E28" w:rsidRPr="00C84E28">
        <w:rPr>
          <w:vertAlign w:val="superscript"/>
          <w:lang w:val="en-US"/>
        </w:rPr>
        <w:t>/</w:t>
      </w:r>
      <w:r w:rsidR="00C84E28">
        <w:rPr>
          <w:lang w:val="en-US"/>
        </w:rPr>
        <w:t xml:space="preserve"> </w:t>
      </w:r>
      <w:r w:rsidR="00287573">
        <w:rPr>
          <w:lang w:val="en-US"/>
        </w:rPr>
        <w:t xml:space="preserve">the </w:t>
      </w:r>
      <w:r w:rsidR="00C84E28">
        <w:rPr>
          <w:lang w:val="en-US"/>
        </w:rPr>
        <w:t>inevitable</w:t>
      </w:r>
      <w:r w:rsidR="000635B7" w:rsidRPr="000635B7">
        <w:rPr>
          <w:lang w:val="en-US"/>
        </w:rPr>
        <w:t xml:space="preserve"> consideration of “the higher ROE supported by Mr. Strunk’s testimony”</w:t>
      </w:r>
      <w:r w:rsidR="00C84E28">
        <w:rPr>
          <w:lang w:val="en-US"/>
        </w:rPr>
        <w:t xml:space="preserve"> </w:t>
      </w:r>
      <w:r w:rsidR="000635B7" w:rsidRPr="000635B7">
        <w:rPr>
          <w:lang w:val="en-US"/>
        </w:rPr>
        <w:t xml:space="preserve">would be </w:t>
      </w:r>
      <w:r w:rsidR="0060222D">
        <w:rPr>
          <w:lang w:val="en-US"/>
        </w:rPr>
        <w:t>well</w:t>
      </w:r>
      <w:r w:rsidR="00D831BC">
        <w:rPr>
          <w:lang w:val="en-US"/>
        </w:rPr>
        <w:t xml:space="preserve"> suited to</w:t>
      </w:r>
      <w:r w:rsidR="000635B7" w:rsidRPr="000635B7">
        <w:rPr>
          <w:lang w:val="en-US"/>
        </w:rPr>
        <w:t xml:space="preserve"> a general rate proceeding</w:t>
      </w:r>
      <w:r w:rsidR="00C84E28">
        <w:rPr>
          <w:lang w:val="en-US"/>
        </w:rPr>
        <w:t>.</w:t>
      </w:r>
      <w:r>
        <w:rPr>
          <w:lang w:val="en-US"/>
        </w:rPr>
        <w:t xml:space="preserve"> </w:t>
      </w:r>
      <w:r w:rsidR="00CB67D0">
        <w:rPr>
          <w:lang w:val="en-US"/>
        </w:rPr>
        <w:t xml:space="preserve"> </w:t>
      </w:r>
      <w:r w:rsidR="00184099" w:rsidRPr="00C33BC1">
        <w:rPr>
          <w:lang w:val="en-US"/>
        </w:rPr>
        <w:t>Moreover</w:t>
      </w:r>
      <w:r w:rsidRPr="00C33BC1">
        <w:rPr>
          <w:lang w:val="en-US"/>
        </w:rPr>
        <w:t>, t</w:t>
      </w:r>
      <w:r w:rsidR="002B50A5" w:rsidRPr="00C33BC1">
        <w:rPr>
          <w:lang w:val="en-US"/>
        </w:rPr>
        <w:t>reating this docket as a general rate proceeding may also allow the Commission to avoid future legal challenges</w:t>
      </w:r>
      <w:r w:rsidR="00845D07" w:rsidRPr="00C33BC1">
        <w:rPr>
          <w:lang w:val="en-US"/>
        </w:rPr>
        <w:t xml:space="preserve">, as </w:t>
      </w:r>
      <w:r w:rsidR="00180C18">
        <w:rPr>
          <w:lang w:val="en-US"/>
        </w:rPr>
        <w:t xml:space="preserve">there would inevitably be </w:t>
      </w:r>
      <w:r w:rsidRPr="00C33BC1">
        <w:rPr>
          <w:lang w:val="en-US"/>
        </w:rPr>
        <w:t>difficulties attend</w:t>
      </w:r>
      <w:r w:rsidR="00830102" w:rsidRPr="00C33BC1">
        <w:rPr>
          <w:lang w:val="en-US"/>
        </w:rPr>
        <w:t>ant upon</w:t>
      </w:r>
      <w:r w:rsidRPr="00C33BC1">
        <w:rPr>
          <w:lang w:val="en-US"/>
        </w:rPr>
        <w:t xml:space="preserve"> any effort by the Commission </w:t>
      </w:r>
      <w:r w:rsidR="00523CC1">
        <w:rPr>
          <w:lang w:val="en-US"/>
        </w:rPr>
        <w:t xml:space="preserve">to </w:t>
      </w:r>
      <w:r w:rsidRPr="00C33BC1">
        <w:rPr>
          <w:lang w:val="en-US"/>
        </w:rPr>
        <w:t>explain how it undertook</w:t>
      </w:r>
      <w:r w:rsidR="00830102" w:rsidRPr="00C33BC1">
        <w:rPr>
          <w:lang w:val="en-US"/>
        </w:rPr>
        <w:t xml:space="preserve"> the</w:t>
      </w:r>
      <w:r w:rsidR="00845D07" w:rsidRPr="00C33BC1">
        <w:rPr>
          <w:lang w:val="en-US"/>
        </w:rPr>
        <w:t xml:space="preserve"> “thoroughgoing” analysis</w:t>
      </w:r>
      <w:r w:rsidR="00830102" w:rsidRPr="00C33BC1">
        <w:rPr>
          <w:lang w:val="en-US"/>
        </w:rPr>
        <w:t xml:space="preserve"> required by the Court,</w:t>
      </w:r>
      <w:r w:rsidR="00845D07" w:rsidRPr="00C33BC1">
        <w:rPr>
          <w:lang w:val="en-US"/>
        </w:rPr>
        <w:t xml:space="preserve"> </w:t>
      </w:r>
      <w:r w:rsidR="00523CC1">
        <w:rPr>
          <w:lang w:val="en-US"/>
        </w:rPr>
        <w:t>if the WUTC were to</w:t>
      </w:r>
      <w:r w:rsidR="00845D07" w:rsidRPr="00C33BC1">
        <w:rPr>
          <w:lang w:val="en-US"/>
        </w:rPr>
        <w:t xml:space="preserve"> simultaneous</w:t>
      </w:r>
      <w:r w:rsidR="00523CC1">
        <w:rPr>
          <w:lang w:val="en-US"/>
        </w:rPr>
        <w:t>ly limit</w:t>
      </w:r>
      <w:r w:rsidR="006E7680" w:rsidRPr="00C33BC1">
        <w:rPr>
          <w:lang w:val="en-US"/>
        </w:rPr>
        <w:t xml:space="preserve"> consideration of</w:t>
      </w:r>
      <w:r w:rsidR="00845D07" w:rsidRPr="00C33BC1">
        <w:rPr>
          <w:lang w:val="en-US"/>
        </w:rPr>
        <w:t xml:space="preserve"> evidence concerning </w:t>
      </w:r>
      <w:r w:rsidR="00523CC1">
        <w:rPr>
          <w:lang w:val="en-US"/>
        </w:rPr>
        <w:t>ROE</w:t>
      </w:r>
      <w:r w:rsidR="00845D07" w:rsidRPr="00C33BC1">
        <w:rPr>
          <w:lang w:val="en-US"/>
        </w:rPr>
        <w:t>.</w:t>
      </w:r>
      <w:r w:rsidR="00845D07">
        <w:rPr>
          <w:lang w:val="en-US"/>
        </w:rPr>
        <w:t xml:space="preserve">  Indeed, </w:t>
      </w:r>
      <w:r w:rsidR="00C84E28">
        <w:rPr>
          <w:lang w:val="en-US"/>
        </w:rPr>
        <w:t xml:space="preserve">insufficient consideration of </w:t>
      </w:r>
      <w:r w:rsidR="00184099">
        <w:rPr>
          <w:lang w:val="en-US"/>
        </w:rPr>
        <w:t>ROE</w:t>
      </w:r>
      <w:r w:rsidR="00C84E28">
        <w:rPr>
          <w:lang w:val="en-US"/>
        </w:rPr>
        <w:t xml:space="preserve"> evidence</w:t>
      </w:r>
      <w:r w:rsidR="00845D07">
        <w:rPr>
          <w:lang w:val="en-US"/>
        </w:rPr>
        <w:t xml:space="preserve"> was the </w:t>
      </w:r>
      <w:r w:rsidR="00C84E28">
        <w:rPr>
          <w:lang w:val="en-US"/>
        </w:rPr>
        <w:t xml:space="preserve">very </w:t>
      </w:r>
      <w:r w:rsidR="00845D07">
        <w:rPr>
          <w:lang w:val="en-US"/>
        </w:rPr>
        <w:t>issue which led the Court to reverse the Commission’s order approving PSE’s multi-year rate plan</w:t>
      </w:r>
      <w:r w:rsidR="00830102">
        <w:rPr>
          <w:lang w:val="en-US"/>
        </w:rPr>
        <w:t xml:space="preserve"> in the context of an ERF proceeding</w:t>
      </w:r>
      <w:r w:rsidR="002B50A5" w:rsidRPr="002B50A5">
        <w:rPr>
          <w:lang w:val="en-US"/>
        </w:rPr>
        <w:t>.</w:t>
      </w:r>
      <w:r w:rsidR="009B30BB">
        <w:rPr>
          <w:lang w:val="en-US"/>
        </w:rPr>
        <w:t xml:space="preserve">  </w:t>
      </w:r>
    </w:p>
    <w:p w:rsidR="00185E17" w:rsidRDefault="002F1D22" w:rsidP="00C17221">
      <w:pPr>
        <w:pStyle w:val="WUTCParagraph"/>
        <w:rPr>
          <w:lang w:val="en-US"/>
        </w:rPr>
      </w:pPr>
      <w:r>
        <w:rPr>
          <w:lang w:val="en-US"/>
        </w:rPr>
        <w:tab/>
      </w:r>
      <w:r w:rsidR="009B30BB">
        <w:rPr>
          <w:lang w:val="en-US"/>
        </w:rPr>
        <w:t>In any event, the Company’s rate filing is substantively equivalent to what the Commission normally defines and considers as a “general rate proceeding</w:t>
      </w:r>
      <w:r w:rsidR="00C2161B">
        <w:rPr>
          <w:lang w:val="en-US"/>
        </w:rPr>
        <w:t>”</w:t>
      </w:r>
      <w:r w:rsidR="009B30BB">
        <w:rPr>
          <w:lang w:val="en-US"/>
        </w:rPr>
        <w:t>—</w:t>
      </w:r>
      <w:r w:rsidR="009B30BB" w:rsidRPr="00C2161B">
        <w:rPr>
          <w:u w:val="single"/>
          <w:lang w:val="en-US"/>
        </w:rPr>
        <w:t>i.e.</w:t>
      </w:r>
      <w:r w:rsidR="009B30BB">
        <w:rPr>
          <w:lang w:val="en-US"/>
        </w:rPr>
        <w:t>, “[t</w:t>
      </w:r>
      <w:r w:rsidR="00C2161B">
        <w:rPr>
          <w:lang w:val="en-US"/>
        </w:rPr>
        <w:t>]</w:t>
      </w:r>
      <w:r w:rsidR="009B30BB">
        <w:rPr>
          <w:lang w:val="en-US"/>
        </w:rPr>
        <w:t>he amount requested would i</w:t>
      </w:r>
      <w:r w:rsidR="00C2161B">
        <w:rPr>
          <w:lang w:val="en-US"/>
        </w:rPr>
        <w:t>ncrease gross annual revenue of the company from activities regulated by the commission by three percent or more.”</w:t>
      </w:r>
      <w:r w:rsidR="00C2161B" w:rsidRPr="00C2161B">
        <w:rPr>
          <w:u w:val="single"/>
          <w:vertAlign w:val="superscript"/>
          <w:lang w:val="en-US"/>
        </w:rPr>
        <w:footnoteReference w:id="22"/>
      </w:r>
      <w:proofErr w:type="gramStart"/>
      <w:r w:rsidR="00C2161B" w:rsidRPr="00C2161B">
        <w:rPr>
          <w:vertAlign w:val="superscript"/>
          <w:lang w:val="en-US"/>
        </w:rPr>
        <w:t>/</w:t>
      </w:r>
      <w:r w:rsidR="009B30BB">
        <w:rPr>
          <w:lang w:val="en-US"/>
        </w:rPr>
        <w:t xml:space="preserve"> </w:t>
      </w:r>
      <w:r w:rsidR="00C2161B">
        <w:rPr>
          <w:lang w:val="en-US"/>
        </w:rPr>
        <w:t xml:space="preserve"> Cumulatively</w:t>
      </w:r>
      <w:proofErr w:type="gramEnd"/>
      <w:r w:rsidR="00C2161B">
        <w:rPr>
          <w:lang w:val="en-US"/>
        </w:rPr>
        <w:t xml:space="preserve">, the Company is seeking </w:t>
      </w:r>
      <w:r w:rsidR="00C2161B" w:rsidRPr="00C2161B">
        <w:rPr>
          <w:lang w:val="en-US"/>
        </w:rPr>
        <w:t xml:space="preserve">a rate increase of about six percent </w:t>
      </w:r>
      <w:r w:rsidR="00C2161B">
        <w:rPr>
          <w:lang w:val="en-US"/>
        </w:rPr>
        <w:t xml:space="preserve">through one filing.  But, even if </w:t>
      </w:r>
      <w:r w:rsidR="00185E17">
        <w:rPr>
          <w:lang w:val="en-US"/>
        </w:rPr>
        <w:t xml:space="preserve">rate requests are </w:t>
      </w:r>
      <w:r w:rsidR="00C2161B">
        <w:rPr>
          <w:lang w:val="en-US"/>
        </w:rPr>
        <w:t xml:space="preserve">considered individually, the Company’s second-year rate increase request of $10.3 million is about 3.1% </w:t>
      </w:r>
      <w:r w:rsidR="00185E17">
        <w:rPr>
          <w:lang w:val="en-US"/>
        </w:rPr>
        <w:t xml:space="preserve">higher than current rates.  </w:t>
      </w:r>
    </w:p>
    <w:p w:rsidR="004B042D" w:rsidRDefault="002F1D22" w:rsidP="00C17221">
      <w:pPr>
        <w:pStyle w:val="WUTCParagraph"/>
        <w:rPr>
          <w:lang w:val="en-US"/>
        </w:rPr>
      </w:pPr>
      <w:r>
        <w:rPr>
          <w:lang w:val="en-US"/>
        </w:rPr>
        <w:tab/>
      </w:r>
      <w:r w:rsidR="00185E17">
        <w:rPr>
          <w:lang w:val="en-US"/>
        </w:rPr>
        <w:t xml:space="preserve">In other words, the Company’s attempt to employ a hyper-technical metric in designing 2.99% rate increases </w:t>
      </w:r>
      <w:r w:rsidR="00185E17" w:rsidRPr="00185E17">
        <w:rPr>
          <w:i/>
          <w:lang w:val="en-US"/>
        </w:rPr>
        <w:t>just</w:t>
      </w:r>
      <w:r w:rsidR="00185E17">
        <w:rPr>
          <w:lang w:val="en-US"/>
        </w:rPr>
        <w:t xml:space="preserve"> under the 3.00% definitional threshold does not hold under scrutiny</w:t>
      </w:r>
      <w:r w:rsidR="00523CC1">
        <w:rPr>
          <w:lang w:val="en-US"/>
        </w:rPr>
        <w:t>, once</w:t>
      </w:r>
      <w:r w:rsidR="00185E17">
        <w:rPr>
          <w:lang w:val="en-US"/>
        </w:rPr>
        <w:t xml:space="preserve"> a </w:t>
      </w:r>
      <w:r w:rsidR="00523CC1">
        <w:rPr>
          <w:lang w:val="en-US"/>
        </w:rPr>
        <w:t xml:space="preserve">similarly </w:t>
      </w:r>
      <w:r w:rsidR="00185E17">
        <w:rPr>
          <w:lang w:val="en-US"/>
        </w:rPr>
        <w:t>hyper-technical application of the rule text is also fairly applied to the actual second-year rate increase</w:t>
      </w:r>
      <w:r w:rsidR="00523CC1">
        <w:rPr>
          <w:lang w:val="en-US"/>
        </w:rPr>
        <w:t xml:space="preserve"> in relation to rates at the time of the Company’s filing</w:t>
      </w:r>
      <w:r w:rsidR="00185E17">
        <w:rPr>
          <w:lang w:val="en-US"/>
        </w:rPr>
        <w:t xml:space="preserve">.  Boise </w:t>
      </w:r>
      <w:r w:rsidR="00185E17">
        <w:rPr>
          <w:lang w:val="en-US"/>
        </w:rPr>
        <w:lastRenderedPageBreak/>
        <w:t>raises this point no</w:t>
      </w:r>
      <w:r w:rsidR="007E053B">
        <w:rPr>
          <w:lang w:val="en-US"/>
        </w:rPr>
        <w:t>t</w:t>
      </w:r>
      <w:r w:rsidR="00185E17">
        <w:rPr>
          <w:lang w:val="en-US"/>
        </w:rPr>
        <w:t xml:space="preserve"> to advocate for such hyper-technical analysis, but simply to illustrate that the</w:t>
      </w:r>
      <w:r w:rsidR="007E053B">
        <w:rPr>
          <w:lang w:val="en-US"/>
        </w:rPr>
        <w:t>re</w:t>
      </w:r>
      <w:r w:rsidR="00D831BC">
        <w:rPr>
          <w:lang w:val="en-US"/>
        </w:rPr>
        <w:t xml:space="preserve"> is little substantive basis to</w:t>
      </w:r>
      <w:r w:rsidR="007E053B">
        <w:rPr>
          <w:lang w:val="en-US"/>
        </w:rPr>
        <w:t xml:space="preserve"> distinguish the Company’s filing from a typical general rate proceeding</w:t>
      </w:r>
      <w:r w:rsidR="00185E17">
        <w:rPr>
          <w:lang w:val="en-US"/>
        </w:rPr>
        <w:t xml:space="preserve"> </w:t>
      </w:r>
      <w:r w:rsidR="007E053B" w:rsidRPr="00523CC1">
        <w:rPr>
          <w:i/>
          <w:lang w:val="en-US"/>
        </w:rPr>
        <w:t>only</w:t>
      </w:r>
      <w:r w:rsidR="007E053B">
        <w:rPr>
          <w:lang w:val="en-US"/>
        </w:rPr>
        <w:t xml:space="preserve"> upon the bare margin of </w:t>
      </w:r>
      <w:r w:rsidR="00185E17">
        <w:rPr>
          <w:lang w:val="en-US"/>
        </w:rPr>
        <w:t>nominal 2.99% rate increases</w:t>
      </w:r>
      <w:r w:rsidR="007E053B">
        <w:rPr>
          <w:lang w:val="en-US"/>
        </w:rPr>
        <w:t xml:space="preserve"> requests. </w:t>
      </w:r>
      <w:r w:rsidR="00185E17">
        <w:rPr>
          <w:lang w:val="en-US"/>
        </w:rPr>
        <w:t xml:space="preserve">  </w:t>
      </w:r>
      <w:r w:rsidR="00C2161B">
        <w:rPr>
          <w:lang w:val="en-US"/>
        </w:rPr>
        <w:t xml:space="preserve"> </w:t>
      </w:r>
    </w:p>
    <w:p w:rsidR="0002655B" w:rsidRPr="004B042D" w:rsidRDefault="004B042D" w:rsidP="004B042D">
      <w:pPr>
        <w:pStyle w:val="WUTCParagraph"/>
        <w:numPr>
          <w:ilvl w:val="0"/>
          <w:numId w:val="0"/>
        </w:numPr>
        <w:tabs>
          <w:tab w:val="left" w:pos="720"/>
        </w:tabs>
        <w:spacing w:after="240" w:line="240" w:lineRule="auto"/>
        <w:ind w:left="720" w:hanging="720"/>
        <w:rPr>
          <w:b/>
          <w:lang w:val="en-US"/>
        </w:rPr>
      </w:pPr>
      <w:r>
        <w:rPr>
          <w:b/>
          <w:lang w:val="en-US"/>
        </w:rPr>
        <w:t>B</w:t>
      </w:r>
      <w:r w:rsidRPr="00630FC8">
        <w:rPr>
          <w:b/>
          <w:lang w:val="en-US"/>
        </w:rPr>
        <w:t>.</w:t>
      </w:r>
      <w:r>
        <w:rPr>
          <w:b/>
          <w:lang w:val="en-US"/>
        </w:rPr>
        <w:tab/>
        <w:t xml:space="preserve">The Public Interest Would Not Be </w:t>
      </w:r>
      <w:r w:rsidR="00523CC1">
        <w:rPr>
          <w:b/>
          <w:lang w:val="en-US"/>
        </w:rPr>
        <w:t xml:space="preserve">Well </w:t>
      </w:r>
      <w:r>
        <w:rPr>
          <w:b/>
          <w:lang w:val="en-US"/>
        </w:rPr>
        <w:t>Served by Treating Pacific Power’s Filing in Expedited Fashion</w:t>
      </w:r>
      <w:r w:rsidR="0048533B">
        <w:rPr>
          <w:lang w:val="en-US"/>
        </w:rPr>
        <w:t xml:space="preserve">  </w:t>
      </w:r>
    </w:p>
    <w:p w:rsidR="0002655B" w:rsidRDefault="002F1D22" w:rsidP="003D4919">
      <w:pPr>
        <w:pStyle w:val="WUTCParagraph"/>
        <w:rPr>
          <w:lang w:val="en-US"/>
        </w:rPr>
      </w:pPr>
      <w:r>
        <w:rPr>
          <w:lang w:val="en-US"/>
        </w:rPr>
        <w:tab/>
      </w:r>
      <w:r w:rsidR="002F6AE2">
        <w:rPr>
          <w:lang w:val="en-US"/>
        </w:rPr>
        <w:t xml:space="preserve">In asking the Commission to consider this Alternative Motion, Boise </w:t>
      </w:r>
      <w:r w:rsidR="00830102">
        <w:rPr>
          <w:lang w:val="en-US"/>
        </w:rPr>
        <w:t xml:space="preserve">fully </w:t>
      </w:r>
      <w:r w:rsidR="002F6AE2">
        <w:rPr>
          <w:lang w:val="en-US"/>
        </w:rPr>
        <w:t xml:space="preserve">appreciates that </w:t>
      </w:r>
      <w:r w:rsidR="00830102">
        <w:rPr>
          <w:lang w:val="en-US"/>
        </w:rPr>
        <w:t xml:space="preserve">the Commission may waive its own procedural rules, as the Commission </w:t>
      </w:r>
      <w:r w:rsidR="00FA09D5">
        <w:rPr>
          <w:lang w:val="en-US"/>
        </w:rPr>
        <w:t xml:space="preserve">pointed out </w:t>
      </w:r>
      <w:r w:rsidR="00830102">
        <w:rPr>
          <w:lang w:val="en-US"/>
        </w:rPr>
        <w:t>in the PSE ERF and multi-year rate plan dockets</w:t>
      </w:r>
      <w:r w:rsidR="00FA09D5">
        <w:rPr>
          <w:lang w:val="en-US"/>
        </w:rPr>
        <w:t>,</w:t>
      </w:r>
      <w:r w:rsidR="00830102">
        <w:rPr>
          <w:lang w:val="en-US"/>
        </w:rPr>
        <w:t xml:space="preserve"> </w:t>
      </w:r>
      <w:r w:rsidR="00FA09D5">
        <w:rPr>
          <w:lang w:val="en-US"/>
        </w:rPr>
        <w:t xml:space="preserve">after </w:t>
      </w:r>
      <w:r w:rsidR="00830102">
        <w:rPr>
          <w:lang w:val="en-US"/>
        </w:rPr>
        <w:t xml:space="preserve">parties </w:t>
      </w:r>
      <w:r w:rsidR="00FA09D5">
        <w:rPr>
          <w:lang w:val="en-US"/>
        </w:rPr>
        <w:t xml:space="preserve">had </w:t>
      </w:r>
      <w:r w:rsidR="00830102">
        <w:rPr>
          <w:lang w:val="en-US"/>
        </w:rPr>
        <w:t>contended that PSE’s requests should be treated as a general rate proceeding.</w:t>
      </w:r>
      <w:r w:rsidR="00FA09D5" w:rsidRPr="00FA09D5">
        <w:rPr>
          <w:u w:val="single"/>
          <w:vertAlign w:val="superscript"/>
          <w:lang w:val="en-US"/>
        </w:rPr>
        <w:footnoteReference w:id="23"/>
      </w:r>
      <w:r w:rsidR="00FA09D5" w:rsidRPr="00FA09D5">
        <w:rPr>
          <w:vertAlign w:val="superscript"/>
          <w:lang w:val="en-US"/>
        </w:rPr>
        <w:t>/</w:t>
      </w:r>
      <w:r w:rsidR="00830102">
        <w:rPr>
          <w:lang w:val="en-US"/>
        </w:rPr>
        <w:t xml:space="preserve"> </w:t>
      </w:r>
      <w:r w:rsidR="00FA09D5">
        <w:rPr>
          <w:lang w:val="en-US"/>
        </w:rPr>
        <w:t xml:space="preserve"> There, the Commission reiterated “a key underlying purpose” behind “the Commission’s invitation for parties to present innovative approaches to ratemaking that would avoid the complex process of a general rate case”:</w:t>
      </w:r>
      <w:r w:rsidR="00FA09D5" w:rsidRPr="00FA09D5">
        <w:rPr>
          <w:u w:val="single"/>
          <w:vertAlign w:val="superscript"/>
          <w:lang w:val="en-US"/>
        </w:rPr>
        <w:footnoteReference w:id="24"/>
      </w:r>
      <w:r w:rsidR="00FA09D5" w:rsidRPr="00FA09D5">
        <w:rPr>
          <w:vertAlign w:val="superscript"/>
          <w:lang w:val="en-US"/>
        </w:rPr>
        <w:t>/</w:t>
      </w:r>
      <w:r w:rsidR="00FA09D5">
        <w:rPr>
          <w:lang w:val="en-US"/>
        </w:rPr>
        <w:t xml:space="preserve">  </w:t>
      </w:r>
      <w:r w:rsidR="00830102">
        <w:rPr>
          <w:lang w:val="en-US"/>
        </w:rPr>
        <w:t xml:space="preserve"> </w:t>
      </w:r>
    </w:p>
    <w:p w:rsidR="00033023" w:rsidRDefault="00033023" w:rsidP="00033023">
      <w:pPr>
        <w:pStyle w:val="WUTCParagraph"/>
        <w:numPr>
          <w:ilvl w:val="0"/>
          <w:numId w:val="0"/>
        </w:numPr>
        <w:spacing w:after="240" w:line="240" w:lineRule="auto"/>
        <w:ind w:left="720" w:right="720"/>
        <w:jc w:val="both"/>
        <w:rPr>
          <w:lang w:val="en-US"/>
        </w:rPr>
      </w:pPr>
      <w:r>
        <w:rPr>
          <w:lang w:val="en-US"/>
        </w:rPr>
        <w:t>This pattern of one general rate case filing following quickly after the resolution of another is overtaxing the resources of all participants and is wearying to the ratepayers w</w:t>
      </w:r>
      <w:r w:rsidR="004E5FC6">
        <w:rPr>
          <w:lang w:val="en-US"/>
        </w:rPr>
        <w:t>ho are confronted with increase</w:t>
      </w:r>
      <w:r>
        <w:rPr>
          <w:lang w:val="en-US"/>
        </w:rPr>
        <w:t xml:space="preserve"> after increase.  This situation does not well serve the public interest and we encourage the development of thoughtful solutions.</w:t>
      </w:r>
      <w:r w:rsidRPr="00033023">
        <w:rPr>
          <w:u w:val="single"/>
          <w:vertAlign w:val="superscript"/>
          <w:lang w:val="en-US"/>
        </w:rPr>
        <w:footnoteReference w:id="25"/>
      </w:r>
      <w:r w:rsidRPr="00033023">
        <w:rPr>
          <w:vertAlign w:val="superscript"/>
          <w:lang w:val="en-US"/>
        </w:rPr>
        <w:t>/</w:t>
      </w:r>
    </w:p>
    <w:p w:rsidR="005476F6" w:rsidRPr="005476F6" w:rsidRDefault="001406A9" w:rsidP="00033023">
      <w:pPr>
        <w:pStyle w:val="WUTCParagraph"/>
        <w:numPr>
          <w:ilvl w:val="0"/>
          <w:numId w:val="0"/>
        </w:numPr>
        <w:rPr>
          <w:lang w:val="en-US"/>
        </w:rPr>
      </w:pPr>
      <w:r>
        <w:rPr>
          <w:lang w:val="en-US"/>
        </w:rPr>
        <w:t>The Company quotes this same statement in support of its ERF and two-year rate plan petition</w:t>
      </w:r>
      <w:r w:rsidR="005476F6">
        <w:rPr>
          <w:lang w:val="en-US"/>
        </w:rPr>
        <w:t xml:space="preserve"> requests</w:t>
      </w:r>
      <w:r>
        <w:rPr>
          <w:lang w:val="en-US"/>
        </w:rPr>
        <w:t>, in addition to claiming that these proposals “benefit the public interest” in keeping with the Commission’s goals.</w:t>
      </w:r>
      <w:r w:rsidRPr="001406A9">
        <w:rPr>
          <w:u w:val="single"/>
          <w:vertAlign w:val="superscript"/>
          <w:lang w:val="en-US"/>
        </w:rPr>
        <w:footnoteReference w:id="26"/>
      </w:r>
      <w:r w:rsidRPr="001406A9">
        <w:rPr>
          <w:vertAlign w:val="superscript"/>
          <w:lang w:val="en-US"/>
        </w:rPr>
        <w:t>/</w:t>
      </w:r>
      <w:r w:rsidR="005476F6">
        <w:rPr>
          <w:lang w:val="en-US"/>
        </w:rPr>
        <w:t xml:space="preserve">  </w:t>
      </w:r>
    </w:p>
    <w:p w:rsidR="005476F6" w:rsidRDefault="002F1D22" w:rsidP="003D4919">
      <w:pPr>
        <w:pStyle w:val="WUTCParagraph"/>
        <w:rPr>
          <w:lang w:val="en-US"/>
        </w:rPr>
      </w:pPr>
      <w:r>
        <w:rPr>
          <w:lang w:val="en-US"/>
        </w:rPr>
        <w:tab/>
      </w:r>
      <w:r w:rsidR="005476F6" w:rsidRPr="005476F6">
        <w:rPr>
          <w:lang w:val="en-US"/>
        </w:rPr>
        <w:t>In this proceeding, however, Boise maintains that the</w:t>
      </w:r>
      <w:r w:rsidR="005476F6">
        <w:rPr>
          <w:lang w:val="en-US"/>
        </w:rPr>
        <w:t xml:space="preserve"> public interest would not be </w:t>
      </w:r>
      <w:r w:rsidR="00825285">
        <w:rPr>
          <w:lang w:val="en-US"/>
        </w:rPr>
        <w:t xml:space="preserve">well </w:t>
      </w:r>
      <w:r w:rsidR="005476F6">
        <w:rPr>
          <w:lang w:val="en-US"/>
        </w:rPr>
        <w:t xml:space="preserve">served by waiver of the Commission’s general rate case rules, or by </w:t>
      </w:r>
      <w:r w:rsidR="00825285">
        <w:rPr>
          <w:lang w:val="en-US"/>
        </w:rPr>
        <w:t xml:space="preserve">treatment of the Company’s filing as anything other than a general rate proceeding.  In requesting that the </w:t>
      </w:r>
      <w:r w:rsidR="00825285">
        <w:rPr>
          <w:lang w:val="en-US"/>
        </w:rPr>
        <w:lastRenderedPageBreak/>
        <w:t xml:space="preserve">Commission grant this Alternative Motion, Boise relies upon the same rationale articulated by the Commission when evaluating viable alternatives to “break the </w:t>
      </w:r>
      <w:r w:rsidR="00184099">
        <w:rPr>
          <w:lang w:val="en-US"/>
        </w:rPr>
        <w:t xml:space="preserve">current </w:t>
      </w:r>
      <w:r w:rsidR="00825285">
        <w:rPr>
          <w:lang w:val="en-US"/>
        </w:rPr>
        <w:t>pattern of almost continual rate cases.”</w:t>
      </w:r>
      <w:r w:rsidR="00825285" w:rsidRPr="00825285">
        <w:rPr>
          <w:u w:val="single"/>
          <w:vertAlign w:val="superscript"/>
          <w:lang w:val="en-US"/>
        </w:rPr>
        <w:footnoteReference w:id="27"/>
      </w:r>
      <w:r w:rsidR="00825285" w:rsidRPr="00825285">
        <w:rPr>
          <w:vertAlign w:val="superscript"/>
          <w:lang w:val="en-US"/>
        </w:rPr>
        <w:t>/</w:t>
      </w:r>
      <w:r w:rsidR="00825285">
        <w:rPr>
          <w:lang w:val="en-US"/>
        </w:rPr>
        <w:t xml:space="preserve"> </w:t>
      </w:r>
    </w:p>
    <w:p w:rsidR="0004552C" w:rsidRPr="0004552C" w:rsidRDefault="0004552C" w:rsidP="0004552C">
      <w:pPr>
        <w:pStyle w:val="WUTCParagraph"/>
        <w:numPr>
          <w:ilvl w:val="0"/>
          <w:numId w:val="0"/>
        </w:numPr>
        <w:tabs>
          <w:tab w:val="left" w:pos="720"/>
        </w:tabs>
        <w:spacing w:after="240" w:line="240" w:lineRule="auto"/>
        <w:ind w:left="1440" w:hanging="1440"/>
        <w:rPr>
          <w:b/>
          <w:lang w:val="en-US"/>
        </w:rPr>
      </w:pPr>
      <w:r>
        <w:rPr>
          <w:b/>
          <w:lang w:val="en-US"/>
        </w:rPr>
        <w:tab/>
        <w:t>1</w:t>
      </w:r>
      <w:r w:rsidRPr="00630FC8">
        <w:rPr>
          <w:b/>
          <w:lang w:val="en-US"/>
        </w:rPr>
        <w:t>.</w:t>
      </w:r>
      <w:r>
        <w:rPr>
          <w:b/>
          <w:lang w:val="en-US"/>
        </w:rPr>
        <w:tab/>
        <w:t>The Company’s “Alternative” Rate Mechanism Proposal Does Not Provide Benefits Sufficient to Justify a Departure from General Rate Case Process</w:t>
      </w:r>
    </w:p>
    <w:p w:rsidR="00825285" w:rsidRDefault="002F1D22" w:rsidP="003D4919">
      <w:pPr>
        <w:pStyle w:val="WUTCParagraph"/>
        <w:rPr>
          <w:lang w:val="en-US"/>
        </w:rPr>
      </w:pPr>
      <w:r>
        <w:rPr>
          <w:lang w:val="en-US"/>
        </w:rPr>
        <w:tab/>
      </w:r>
      <w:r w:rsidR="00825285">
        <w:rPr>
          <w:lang w:val="en-US"/>
        </w:rPr>
        <w:t xml:space="preserve">Simply put, the Company’s ERF and multi-year rate plan requests are neither “innovative” nor </w:t>
      </w:r>
      <w:r w:rsidR="004E5FC6">
        <w:rPr>
          <w:lang w:val="en-US"/>
        </w:rPr>
        <w:t>“thoughtful solutions” that produce any effective alternative to the “wearying” circumstances in which Pacific Power customers have been “confronted with increase</w:t>
      </w:r>
      <w:r w:rsidR="004E5FC6" w:rsidRPr="004E5FC6">
        <w:rPr>
          <w:lang w:val="en-US"/>
        </w:rPr>
        <w:t xml:space="preserve"> after increase</w:t>
      </w:r>
      <w:r w:rsidR="004E5FC6">
        <w:rPr>
          <w:lang w:val="en-US"/>
        </w:rPr>
        <w:t xml:space="preserve">.”  </w:t>
      </w:r>
      <w:r w:rsidR="004E5FC6" w:rsidRPr="004E5FC6">
        <w:rPr>
          <w:lang w:val="en-US"/>
        </w:rPr>
        <w:t>The Company seeks consecutive annual 2.99% rate increases, effective May 1, 2016, and May 1, 2017,</w:t>
      </w:r>
      <w:r w:rsidR="001876A2" w:rsidRPr="001876A2">
        <w:rPr>
          <w:u w:val="single"/>
          <w:vertAlign w:val="superscript"/>
          <w:lang w:val="en-US"/>
        </w:rPr>
        <w:footnoteReference w:id="28"/>
      </w:r>
      <w:r w:rsidR="001876A2" w:rsidRPr="001876A2">
        <w:rPr>
          <w:vertAlign w:val="superscript"/>
          <w:lang w:val="en-US"/>
        </w:rPr>
        <w:t>/</w:t>
      </w:r>
      <w:r w:rsidR="004E5FC6">
        <w:rPr>
          <w:lang w:val="en-US"/>
        </w:rPr>
        <w:t xml:space="preserve"> </w:t>
      </w:r>
      <w:r w:rsidR="00523CC1">
        <w:rPr>
          <w:lang w:val="en-US"/>
        </w:rPr>
        <w:t xml:space="preserve">respectively, </w:t>
      </w:r>
      <w:r w:rsidR="004E5FC6">
        <w:rPr>
          <w:lang w:val="en-US"/>
        </w:rPr>
        <w:t xml:space="preserve">which follow the Company’s last effective </w:t>
      </w:r>
      <w:r w:rsidR="001876A2">
        <w:rPr>
          <w:lang w:val="en-US"/>
        </w:rPr>
        <w:t xml:space="preserve">general </w:t>
      </w:r>
      <w:r w:rsidR="004E5FC6">
        <w:rPr>
          <w:lang w:val="en-US"/>
        </w:rPr>
        <w:t xml:space="preserve">rate increase </w:t>
      </w:r>
      <w:r w:rsidR="001876A2">
        <w:rPr>
          <w:lang w:val="en-US"/>
        </w:rPr>
        <w:t xml:space="preserve">of 3.0% </w:t>
      </w:r>
      <w:r w:rsidR="00523CC1">
        <w:rPr>
          <w:lang w:val="en-US"/>
        </w:rPr>
        <w:t>on March 31, 2015</w:t>
      </w:r>
      <w:r w:rsidR="001876A2" w:rsidRPr="001876A2">
        <w:rPr>
          <w:u w:val="single"/>
          <w:vertAlign w:val="superscript"/>
          <w:lang w:val="en-US"/>
        </w:rPr>
        <w:footnoteReference w:id="29"/>
      </w:r>
      <w:r w:rsidR="001876A2" w:rsidRPr="001876A2">
        <w:rPr>
          <w:vertAlign w:val="superscript"/>
          <w:lang w:val="en-US"/>
        </w:rPr>
        <w:t>/</w:t>
      </w:r>
      <w:r w:rsidR="00523CC1">
        <w:rPr>
          <w:lang w:val="en-US"/>
        </w:rPr>
        <w:t>—</w:t>
      </w:r>
      <w:r w:rsidR="001876A2">
        <w:rPr>
          <w:lang w:val="en-US"/>
        </w:rPr>
        <w:t>and which could be followed, in turn, by another general rate increase effective April 1, 2018</w:t>
      </w:r>
      <w:r w:rsidR="004E5FC6">
        <w:rPr>
          <w:lang w:val="en-US"/>
        </w:rPr>
        <w:t>.</w:t>
      </w:r>
      <w:r w:rsidR="004E5FC6" w:rsidRPr="004E5FC6">
        <w:rPr>
          <w:u w:val="single"/>
          <w:vertAlign w:val="superscript"/>
          <w:lang w:val="en-US"/>
        </w:rPr>
        <w:footnoteReference w:id="30"/>
      </w:r>
      <w:proofErr w:type="gramStart"/>
      <w:r w:rsidR="004E5FC6" w:rsidRPr="004E5FC6">
        <w:rPr>
          <w:vertAlign w:val="superscript"/>
          <w:lang w:val="en-US"/>
        </w:rPr>
        <w:t>/</w:t>
      </w:r>
      <w:r w:rsidR="00AC0634">
        <w:rPr>
          <w:lang w:val="en-US"/>
        </w:rPr>
        <w:t xml:space="preserve">  Under</w:t>
      </w:r>
      <w:proofErr w:type="gramEnd"/>
      <w:r w:rsidR="00AC0634">
        <w:rPr>
          <w:lang w:val="en-US"/>
        </w:rPr>
        <w:t xml:space="preserve"> the Company’s proposals, Boise and other Pacific Power customers will find no relief from </w:t>
      </w:r>
      <w:r w:rsidR="00101E1B">
        <w:rPr>
          <w:lang w:val="en-US"/>
        </w:rPr>
        <w:t xml:space="preserve">the “wearying” prospect of rate “increase after increase” on an annual basis.  While Pacific Power shareholders may stand to benefit from “locking in” this sequence of annual rate increases, no rational argument can be entertained from a ratepayer perspective that the “public interest” will be better served by this alternative. </w:t>
      </w:r>
    </w:p>
    <w:p w:rsidR="00382E6E" w:rsidRDefault="002F1D22" w:rsidP="003D4919">
      <w:pPr>
        <w:pStyle w:val="WUTCParagraph"/>
        <w:rPr>
          <w:lang w:val="en-US"/>
        </w:rPr>
      </w:pPr>
      <w:r>
        <w:rPr>
          <w:lang w:val="en-US"/>
        </w:rPr>
        <w:tab/>
      </w:r>
      <w:r w:rsidR="00101E1B">
        <w:rPr>
          <w:lang w:val="en-US"/>
        </w:rPr>
        <w:t xml:space="preserve">This is especially true, given that ratepayers are often able to obtain considerably better outcomes through the </w:t>
      </w:r>
      <w:r w:rsidR="00865AD8">
        <w:rPr>
          <w:lang w:val="en-US"/>
        </w:rPr>
        <w:t>full</w:t>
      </w:r>
      <w:r w:rsidR="00101E1B">
        <w:rPr>
          <w:lang w:val="en-US"/>
        </w:rPr>
        <w:t xml:space="preserve"> process afforded through general rate cases than through </w:t>
      </w:r>
      <w:r w:rsidR="00F66144">
        <w:rPr>
          <w:lang w:val="en-US"/>
        </w:rPr>
        <w:t xml:space="preserve">the </w:t>
      </w:r>
      <w:r w:rsidR="006E7680">
        <w:rPr>
          <w:lang w:val="en-US"/>
        </w:rPr>
        <w:t xml:space="preserve">far </w:t>
      </w:r>
      <w:r w:rsidR="00184099">
        <w:rPr>
          <w:lang w:val="en-US"/>
        </w:rPr>
        <w:t xml:space="preserve">less procedurally </w:t>
      </w:r>
      <w:r w:rsidR="006E7680">
        <w:rPr>
          <w:lang w:val="en-US"/>
        </w:rPr>
        <w:t xml:space="preserve">intensive </w:t>
      </w:r>
      <w:r w:rsidR="00F66144">
        <w:rPr>
          <w:lang w:val="en-US"/>
        </w:rPr>
        <w:t xml:space="preserve">sort </w:t>
      </w:r>
      <w:r w:rsidR="00481540">
        <w:rPr>
          <w:lang w:val="en-US"/>
        </w:rPr>
        <w:t xml:space="preserve">of </w:t>
      </w:r>
      <w:r w:rsidR="00D831BC">
        <w:rPr>
          <w:lang w:val="en-US"/>
        </w:rPr>
        <w:t>rate increase mechanism</w:t>
      </w:r>
      <w:r w:rsidR="00F66144">
        <w:rPr>
          <w:lang w:val="en-US"/>
        </w:rPr>
        <w:t xml:space="preserve"> proposed by the Company.  For example, in the Company’s most recent general rate case, Boise and other parties challenged </w:t>
      </w:r>
      <w:r w:rsidR="00F66144">
        <w:rPr>
          <w:lang w:val="en-US"/>
        </w:rPr>
        <w:lastRenderedPageBreak/>
        <w:t xml:space="preserve">Pacific Power’s initial request for an 8.5%, or $27.2 million rate increase, </w:t>
      </w:r>
      <w:r w:rsidR="006E7680">
        <w:rPr>
          <w:lang w:val="en-US"/>
        </w:rPr>
        <w:t>culminating in</w:t>
      </w:r>
      <w:r w:rsidR="00F66144">
        <w:rPr>
          <w:lang w:val="en-US"/>
        </w:rPr>
        <w:t xml:space="preserve"> the Commission’s authorization of just a $9.6 million, or 3.0% rate increase.</w:t>
      </w:r>
      <w:r w:rsidR="00F66144" w:rsidRPr="00F66144">
        <w:rPr>
          <w:u w:val="single"/>
          <w:vertAlign w:val="superscript"/>
          <w:lang w:val="en-US"/>
        </w:rPr>
        <w:footnoteReference w:id="31"/>
      </w:r>
      <w:proofErr w:type="gramStart"/>
      <w:r w:rsidR="00F66144" w:rsidRPr="00F66144">
        <w:rPr>
          <w:vertAlign w:val="superscript"/>
          <w:lang w:val="en-US"/>
        </w:rPr>
        <w:t>/</w:t>
      </w:r>
      <w:r w:rsidR="00101E1B">
        <w:rPr>
          <w:lang w:val="en-US"/>
        </w:rPr>
        <w:t xml:space="preserve"> </w:t>
      </w:r>
      <w:r w:rsidR="006E7680">
        <w:rPr>
          <w:lang w:val="en-US"/>
        </w:rPr>
        <w:t xml:space="preserve"> </w:t>
      </w:r>
      <w:r w:rsidR="00F66144">
        <w:rPr>
          <w:lang w:val="en-US"/>
        </w:rPr>
        <w:t>Similarly</w:t>
      </w:r>
      <w:proofErr w:type="gramEnd"/>
      <w:r w:rsidR="00F66144">
        <w:rPr>
          <w:lang w:val="en-US"/>
        </w:rPr>
        <w:t>, Avista Utilities</w:t>
      </w:r>
      <w:r w:rsidR="006E7680">
        <w:rPr>
          <w:lang w:val="en-US"/>
        </w:rPr>
        <w:t>’</w:t>
      </w:r>
      <w:r w:rsidR="00F66144">
        <w:rPr>
          <w:lang w:val="en-US"/>
        </w:rPr>
        <w:t xml:space="preserve"> pending electric general rate request has gone from a $33.2 million increase to a </w:t>
      </w:r>
      <w:r w:rsidR="00F66144" w:rsidRPr="00F66144">
        <w:rPr>
          <w:i/>
          <w:lang w:val="en-US"/>
        </w:rPr>
        <w:t>decrease</w:t>
      </w:r>
      <w:r w:rsidR="00F66144">
        <w:rPr>
          <w:lang w:val="en-US"/>
        </w:rPr>
        <w:t xml:space="preserve"> of $72,000—with further rate reductions possible if the Commission accepts any of the</w:t>
      </w:r>
      <w:r w:rsidR="00382E6E">
        <w:rPr>
          <w:lang w:val="en-US"/>
        </w:rPr>
        <w:t xml:space="preserve"> myriad of</w:t>
      </w:r>
      <w:r w:rsidR="00F66144">
        <w:rPr>
          <w:lang w:val="en-US"/>
        </w:rPr>
        <w:t xml:space="preserve"> </w:t>
      </w:r>
      <w:r w:rsidR="00382E6E">
        <w:rPr>
          <w:lang w:val="en-US"/>
        </w:rPr>
        <w:t xml:space="preserve">adjustments submitted by parties to that proceeding.  These excellent customer outcomes were achieved through the diligent effort of parties </w:t>
      </w:r>
      <w:r w:rsidR="006E7680">
        <w:rPr>
          <w:lang w:val="en-US"/>
        </w:rPr>
        <w:t>who</w:t>
      </w:r>
      <w:r w:rsidR="00382E6E">
        <w:rPr>
          <w:lang w:val="en-US"/>
        </w:rPr>
        <w:t xml:space="preserve"> challenge</w:t>
      </w:r>
      <w:r w:rsidR="006E7680">
        <w:rPr>
          <w:lang w:val="en-US"/>
        </w:rPr>
        <w:t>d</w:t>
      </w:r>
      <w:r w:rsidR="00382E6E">
        <w:rPr>
          <w:lang w:val="en-US"/>
        </w:rPr>
        <w:t xml:space="preserve"> inflated utility rate increase requests, but onl</w:t>
      </w:r>
      <w:r w:rsidR="00865AD8">
        <w:rPr>
          <w:lang w:val="en-US"/>
        </w:rPr>
        <w:t>y in the context of the full</w:t>
      </w:r>
      <w:r w:rsidR="00382E6E">
        <w:rPr>
          <w:lang w:val="en-US"/>
        </w:rPr>
        <w:t xml:space="preserve"> process afforded by </w:t>
      </w:r>
      <w:r w:rsidR="00523CC1">
        <w:rPr>
          <w:lang w:val="en-US"/>
        </w:rPr>
        <w:t>a general rate proceeding</w:t>
      </w:r>
      <w:r w:rsidR="00382E6E">
        <w:rPr>
          <w:lang w:val="en-US"/>
        </w:rPr>
        <w:t xml:space="preserve">.  </w:t>
      </w:r>
    </w:p>
    <w:p w:rsidR="003D68CD" w:rsidRDefault="002F1D22" w:rsidP="003D4919">
      <w:pPr>
        <w:pStyle w:val="WUTCParagraph"/>
        <w:rPr>
          <w:lang w:val="en-US"/>
        </w:rPr>
      </w:pPr>
      <w:r>
        <w:rPr>
          <w:lang w:val="en-US"/>
        </w:rPr>
        <w:tab/>
      </w:r>
      <w:r w:rsidR="00382E6E">
        <w:rPr>
          <w:lang w:val="en-US"/>
        </w:rPr>
        <w:t xml:space="preserve">Conversely, </w:t>
      </w:r>
      <w:r w:rsidR="00382E6E" w:rsidRPr="00382E6E">
        <w:rPr>
          <w:lang w:val="en-US"/>
        </w:rPr>
        <w:t>the Company proposes to condense two general rate case</w:t>
      </w:r>
      <w:r w:rsidR="00020FB2">
        <w:rPr>
          <w:lang w:val="en-US"/>
        </w:rPr>
        <w:t>s</w:t>
      </w:r>
      <w:r w:rsidR="00382E6E" w:rsidRPr="00382E6E">
        <w:rPr>
          <w:lang w:val="en-US"/>
        </w:rPr>
        <w:t xml:space="preserve"> into a single ERF and multi-year rate plan proceeding </w:t>
      </w:r>
      <w:r w:rsidR="00020FB2">
        <w:rPr>
          <w:lang w:val="en-US"/>
        </w:rPr>
        <w:t>with an “abbreviated schedule,”</w:t>
      </w:r>
      <w:r w:rsidR="00020FB2" w:rsidRPr="00020FB2">
        <w:rPr>
          <w:u w:val="single"/>
          <w:vertAlign w:val="superscript"/>
          <w:lang w:val="en-US"/>
        </w:rPr>
        <w:footnoteReference w:id="32"/>
      </w:r>
      <w:r w:rsidR="00020FB2" w:rsidRPr="00020FB2">
        <w:rPr>
          <w:vertAlign w:val="superscript"/>
          <w:lang w:val="en-US"/>
        </w:rPr>
        <w:t>/</w:t>
      </w:r>
      <w:r w:rsidR="00020FB2">
        <w:rPr>
          <w:lang w:val="en-US"/>
        </w:rPr>
        <w:t xml:space="preserve"> asserting a “public benefit” because rate increase requests would be reduced by about $0.5 million a year. </w:t>
      </w:r>
      <w:r w:rsidR="00382E6E" w:rsidRPr="00382E6E">
        <w:rPr>
          <w:lang w:val="en-US"/>
        </w:rPr>
        <w:t>As Pacific Power witness R. Bryce Dalley explains:  “Rather than file two additional general rate cases to cover cost increases over the next two years, the Company decided to pursue this petition as an alternative.”</w:t>
      </w:r>
      <w:r w:rsidR="00382E6E" w:rsidRPr="00382E6E">
        <w:rPr>
          <w:u w:val="single"/>
          <w:vertAlign w:val="superscript"/>
          <w:lang w:val="en-US"/>
        </w:rPr>
        <w:footnoteReference w:id="33"/>
      </w:r>
      <w:r w:rsidR="00382E6E" w:rsidRPr="00382E6E">
        <w:rPr>
          <w:vertAlign w:val="superscript"/>
          <w:lang w:val="en-US"/>
        </w:rPr>
        <w:t>/</w:t>
      </w:r>
      <w:r w:rsidR="00382E6E" w:rsidRPr="00382E6E">
        <w:rPr>
          <w:lang w:val="en-US"/>
        </w:rPr>
        <w:t xml:space="preserve">  More specifically, rather than seeking rate increases of $10.7 and $10.6 million over the next two years, the Company states that it is requesting “only” $10.0 and $10.3 million, respectively, over those same two years.</w:t>
      </w:r>
      <w:r w:rsidR="00382E6E" w:rsidRPr="00382E6E">
        <w:rPr>
          <w:u w:val="single"/>
          <w:vertAlign w:val="superscript"/>
          <w:lang w:val="en-US"/>
        </w:rPr>
        <w:footnoteReference w:id="34"/>
      </w:r>
      <w:proofErr w:type="gramStart"/>
      <w:r w:rsidR="00382E6E" w:rsidRPr="00382E6E">
        <w:rPr>
          <w:vertAlign w:val="superscript"/>
          <w:lang w:val="en-US"/>
        </w:rPr>
        <w:t>/</w:t>
      </w:r>
      <w:r w:rsidR="00382E6E" w:rsidRPr="00382E6E">
        <w:rPr>
          <w:lang w:val="en-US"/>
        </w:rPr>
        <w:t xml:space="preserve">  </w:t>
      </w:r>
      <w:r w:rsidR="00020FB2" w:rsidRPr="00020FB2">
        <w:rPr>
          <w:lang w:val="en-US"/>
        </w:rPr>
        <w:t>As</w:t>
      </w:r>
      <w:proofErr w:type="gramEnd"/>
      <w:r w:rsidR="00020FB2" w:rsidRPr="00020FB2">
        <w:rPr>
          <w:lang w:val="en-US"/>
        </w:rPr>
        <w:t xml:space="preserve"> </w:t>
      </w:r>
      <w:r w:rsidR="00020FB2">
        <w:rPr>
          <w:lang w:val="en-US"/>
        </w:rPr>
        <w:t>Mr.</w:t>
      </w:r>
      <w:r w:rsidR="00020FB2" w:rsidRPr="00020FB2">
        <w:rPr>
          <w:lang w:val="en-US"/>
        </w:rPr>
        <w:t xml:space="preserve"> Strunk testifies:  “The ERF is a limited-issue rate proceeding that seeks smaller rate increases within a shorter timeframe than a general rate case.”</w:t>
      </w:r>
      <w:r w:rsidR="00020FB2" w:rsidRPr="00020FB2">
        <w:rPr>
          <w:u w:val="single"/>
          <w:vertAlign w:val="superscript"/>
          <w:lang w:val="en-US"/>
        </w:rPr>
        <w:footnoteReference w:id="35"/>
      </w:r>
      <w:r w:rsidR="00020FB2" w:rsidRPr="00020FB2">
        <w:rPr>
          <w:vertAlign w:val="superscript"/>
          <w:lang w:val="en-US"/>
        </w:rPr>
        <w:t>/</w:t>
      </w:r>
      <w:r w:rsidR="00020FB2" w:rsidRPr="00020FB2">
        <w:rPr>
          <w:lang w:val="en-US"/>
        </w:rPr>
        <w:t xml:space="preserve">  </w:t>
      </w:r>
    </w:p>
    <w:p w:rsidR="00E1553A" w:rsidRDefault="002F1D22" w:rsidP="003D4919">
      <w:pPr>
        <w:pStyle w:val="WUTCParagraph"/>
        <w:rPr>
          <w:lang w:val="en-US"/>
        </w:rPr>
      </w:pPr>
      <w:r>
        <w:rPr>
          <w:lang w:val="en-US"/>
        </w:rPr>
        <w:tab/>
      </w:r>
      <w:r w:rsidR="003D68CD">
        <w:rPr>
          <w:lang w:val="en-US"/>
        </w:rPr>
        <w:t>Thus, f</w:t>
      </w:r>
      <w:r w:rsidR="00382E6E" w:rsidRPr="00382E6E">
        <w:rPr>
          <w:lang w:val="en-US"/>
        </w:rPr>
        <w:t>rom the Company’s vantage point, this net reduction of $1.0 million in rate increase requests over the next two ye</w:t>
      </w:r>
      <w:r w:rsidR="00184099">
        <w:rPr>
          <w:lang w:val="en-US"/>
        </w:rPr>
        <w:t>ars apparently justifies a five-</w:t>
      </w:r>
      <w:r w:rsidR="00382E6E" w:rsidRPr="00382E6E">
        <w:rPr>
          <w:lang w:val="en-US"/>
        </w:rPr>
        <w:t xml:space="preserve">month ERF proceeding in </w:t>
      </w:r>
      <w:r w:rsidR="00382E6E" w:rsidRPr="00382E6E">
        <w:rPr>
          <w:lang w:val="en-US"/>
        </w:rPr>
        <w:lastRenderedPageBreak/>
        <w:t>favor of the twenty-two months which would normally be afforded through general rate case filings.</w:t>
      </w:r>
      <w:r w:rsidR="00865AD8" w:rsidRPr="00865AD8">
        <w:rPr>
          <w:u w:val="single"/>
          <w:vertAlign w:val="superscript"/>
          <w:lang w:val="en-US"/>
        </w:rPr>
        <w:footnoteReference w:id="36"/>
      </w:r>
      <w:proofErr w:type="gramStart"/>
      <w:r w:rsidR="00865AD8" w:rsidRPr="00865AD8">
        <w:rPr>
          <w:vertAlign w:val="superscript"/>
          <w:lang w:val="en-US"/>
        </w:rPr>
        <w:t>/</w:t>
      </w:r>
      <w:r w:rsidR="00382E6E" w:rsidRPr="00382E6E">
        <w:rPr>
          <w:lang w:val="en-US"/>
        </w:rPr>
        <w:t xml:space="preserve">  Yet</w:t>
      </w:r>
      <w:proofErr w:type="gramEnd"/>
      <w:r w:rsidR="00382E6E" w:rsidRPr="00382E6E">
        <w:rPr>
          <w:lang w:val="en-US"/>
        </w:rPr>
        <w:t>, the Company is “limiting” its requested rate increases by an averag</w:t>
      </w:r>
      <w:r w:rsidR="00605A2F">
        <w:rPr>
          <w:lang w:val="en-US"/>
        </w:rPr>
        <w:t>e of just $0.5 million per year.</w:t>
      </w:r>
      <w:r w:rsidR="00382E6E" w:rsidRPr="00382E6E">
        <w:rPr>
          <w:u w:val="single"/>
          <w:vertAlign w:val="superscript"/>
          <w:lang w:val="en-US"/>
        </w:rPr>
        <w:footnoteReference w:id="37"/>
      </w:r>
      <w:proofErr w:type="gramStart"/>
      <w:r w:rsidR="00382E6E" w:rsidRPr="00382E6E">
        <w:rPr>
          <w:vertAlign w:val="superscript"/>
          <w:lang w:val="en-US"/>
        </w:rPr>
        <w:t>/</w:t>
      </w:r>
      <w:r w:rsidR="00605A2F">
        <w:rPr>
          <w:lang w:val="en-US"/>
        </w:rPr>
        <w:t xml:space="preserve">  This</w:t>
      </w:r>
      <w:proofErr w:type="gramEnd"/>
      <w:r w:rsidR="00382E6E" w:rsidRPr="00382E6E">
        <w:rPr>
          <w:lang w:val="en-US"/>
        </w:rPr>
        <w:t xml:space="preserve"> is almost equivalent to the $0.4 million revenue requirement impact which Pacific Power witness Shelley E. McCoy describes as “nominal.”</w:t>
      </w:r>
      <w:r w:rsidR="00382E6E" w:rsidRPr="00382E6E">
        <w:rPr>
          <w:u w:val="single"/>
          <w:vertAlign w:val="superscript"/>
          <w:lang w:val="en-US"/>
        </w:rPr>
        <w:footnoteReference w:id="38"/>
      </w:r>
      <w:r w:rsidR="00382E6E" w:rsidRPr="00382E6E">
        <w:rPr>
          <w:vertAlign w:val="superscript"/>
          <w:lang w:val="en-US"/>
        </w:rPr>
        <w:t>/</w:t>
      </w:r>
      <w:r w:rsidR="00382E6E" w:rsidRPr="00382E6E">
        <w:rPr>
          <w:lang w:val="en-US"/>
        </w:rPr>
        <w:t xml:space="preserve"> </w:t>
      </w:r>
      <w:r w:rsidR="003D68CD">
        <w:rPr>
          <w:lang w:val="en-US"/>
        </w:rPr>
        <w:t xml:space="preserve"> Boise strongly contends that the public </w:t>
      </w:r>
      <w:r w:rsidR="00F12D91">
        <w:rPr>
          <w:lang w:val="en-US"/>
        </w:rPr>
        <w:t xml:space="preserve">interest is not well served by securing a </w:t>
      </w:r>
      <w:r w:rsidR="00F12D91" w:rsidRPr="00F12D91">
        <w:rPr>
          <w:lang w:val="en-US"/>
        </w:rPr>
        <w:t xml:space="preserve">“nominal” decrease in the Company’s annual rate increase requests </w:t>
      </w:r>
      <w:r w:rsidR="00F12D91">
        <w:rPr>
          <w:lang w:val="en-US"/>
        </w:rPr>
        <w:t xml:space="preserve">in exchange for </w:t>
      </w:r>
      <w:r w:rsidR="00F12D91" w:rsidRPr="00F12D91">
        <w:rPr>
          <w:lang w:val="en-US"/>
        </w:rPr>
        <w:t>an extremely “abbreviated schedule</w:t>
      </w:r>
      <w:r w:rsidR="006E7680">
        <w:rPr>
          <w:lang w:val="en-US"/>
        </w:rPr>
        <w:t>.</w:t>
      </w:r>
      <w:r w:rsidR="00F12D91">
        <w:rPr>
          <w:lang w:val="en-US"/>
        </w:rPr>
        <w:t>”</w:t>
      </w:r>
    </w:p>
    <w:p w:rsidR="00784B46" w:rsidRPr="00784B46" w:rsidRDefault="002F1D22" w:rsidP="00784B46">
      <w:pPr>
        <w:pStyle w:val="WUTCParagraph"/>
        <w:rPr>
          <w:lang w:val="en-US"/>
        </w:rPr>
      </w:pPr>
      <w:r>
        <w:rPr>
          <w:lang w:val="en-US"/>
        </w:rPr>
        <w:tab/>
      </w:r>
      <w:r w:rsidR="00784B46" w:rsidRPr="00784B46">
        <w:rPr>
          <w:lang w:val="en-US"/>
        </w:rPr>
        <w:t xml:space="preserve">In asking the Commission to grant this Alternative Motion, Boise does not dispute the “key underlying” purposes behind the Commission’s efforts to develop thoughtful </w:t>
      </w:r>
      <w:r w:rsidR="00494C0E">
        <w:rPr>
          <w:lang w:val="en-US"/>
        </w:rPr>
        <w:t>solutions to break the</w:t>
      </w:r>
      <w:r w:rsidR="00784B46" w:rsidRPr="00784B46">
        <w:rPr>
          <w:lang w:val="en-US"/>
        </w:rPr>
        <w:t xml:space="preserve"> pattern of almost continual annual rate case filings.  Instead, granting the Alternative Motion would affirm the need for </w:t>
      </w:r>
      <w:r w:rsidR="00784B46">
        <w:rPr>
          <w:lang w:val="en-US"/>
        </w:rPr>
        <w:t xml:space="preserve">the </w:t>
      </w:r>
      <w:r w:rsidR="00784B46" w:rsidRPr="00784B46">
        <w:rPr>
          <w:lang w:val="en-US"/>
        </w:rPr>
        <w:t xml:space="preserve">development of truly “thoughtful” and “innovative” alternatives that benefit ratepayers in equitable proportion to shareholders.  </w:t>
      </w:r>
    </w:p>
    <w:p w:rsidR="0004552C" w:rsidRDefault="0004552C" w:rsidP="0004552C">
      <w:pPr>
        <w:pStyle w:val="WUTCParagraph"/>
        <w:numPr>
          <w:ilvl w:val="0"/>
          <w:numId w:val="0"/>
        </w:numPr>
        <w:spacing w:after="240" w:line="240" w:lineRule="auto"/>
        <w:ind w:left="2160" w:hanging="2160"/>
        <w:rPr>
          <w:lang w:val="en-US"/>
        </w:rPr>
      </w:pPr>
      <w:r>
        <w:rPr>
          <w:b/>
          <w:lang w:val="en-US"/>
        </w:rPr>
        <w:tab/>
        <w:t>2</w:t>
      </w:r>
      <w:r w:rsidRPr="0004552C">
        <w:rPr>
          <w:b/>
          <w:lang w:val="en-US"/>
        </w:rPr>
        <w:t>.</w:t>
      </w:r>
      <w:r w:rsidRPr="0004552C">
        <w:rPr>
          <w:b/>
          <w:lang w:val="en-US"/>
        </w:rPr>
        <w:tab/>
        <w:t xml:space="preserve">The </w:t>
      </w:r>
      <w:r>
        <w:rPr>
          <w:b/>
          <w:lang w:val="en-US"/>
        </w:rPr>
        <w:t>Diversity and Complexity of Issues in this Proceeding Goes well beyond the “Simple and Straight-Forward Process” Intent of an ERF</w:t>
      </w:r>
    </w:p>
    <w:p w:rsidR="00523CC1" w:rsidRPr="00523CC1" w:rsidRDefault="002F1D22" w:rsidP="00523CC1">
      <w:pPr>
        <w:pStyle w:val="WUTCParagraph"/>
        <w:rPr>
          <w:lang w:val="en-US"/>
        </w:rPr>
      </w:pPr>
      <w:r>
        <w:rPr>
          <w:lang w:val="en-US"/>
        </w:rPr>
        <w:tab/>
      </w:r>
      <w:r w:rsidR="00523CC1">
        <w:rPr>
          <w:lang w:val="en-US"/>
        </w:rPr>
        <w:t>T</w:t>
      </w:r>
      <w:r w:rsidR="00523CC1" w:rsidRPr="00523CC1">
        <w:rPr>
          <w:lang w:val="en-US"/>
        </w:rPr>
        <w:t xml:space="preserve">he breadth </w:t>
      </w:r>
      <w:r w:rsidR="00EA4010">
        <w:rPr>
          <w:lang w:val="en-US"/>
        </w:rPr>
        <w:t xml:space="preserve">and complexity </w:t>
      </w:r>
      <w:r w:rsidR="00523CC1" w:rsidRPr="00523CC1">
        <w:rPr>
          <w:lang w:val="en-US"/>
        </w:rPr>
        <w:t xml:space="preserve">of issues to be considered under the Company’s proposed </w:t>
      </w:r>
      <w:r w:rsidR="00523CC1">
        <w:rPr>
          <w:lang w:val="en-US"/>
        </w:rPr>
        <w:t>ERF is more appropriate for consideration within</w:t>
      </w:r>
      <w:r w:rsidR="00523CC1" w:rsidRPr="00523CC1">
        <w:rPr>
          <w:lang w:val="en-US"/>
        </w:rPr>
        <w:t xml:space="preserve"> a general rate proceeding.  Earlier this year, the Commission found that PSE’s ERF rates “were developed consistent with a proposal by</w:t>
      </w:r>
      <w:r w:rsidR="00523CC1">
        <w:rPr>
          <w:lang w:val="en-US"/>
        </w:rPr>
        <w:t xml:space="preserve"> Staff in PSE’s 2011/2012 GRC”—</w:t>
      </w:r>
      <w:r w:rsidR="00523CC1" w:rsidRPr="00523CC1">
        <w:rPr>
          <w:lang w:val="en-US"/>
        </w:rPr>
        <w:t xml:space="preserve">an ERF concept which the Commission itself described as “[a]n expedited form of general rate relief using a </w:t>
      </w:r>
      <w:r w:rsidR="00523CC1" w:rsidRPr="009D2E73">
        <w:rPr>
          <w:i/>
          <w:lang w:val="en-US"/>
        </w:rPr>
        <w:t>simple and straight-forward</w:t>
      </w:r>
      <w:r w:rsidR="00523CC1" w:rsidRPr="00523CC1">
        <w:rPr>
          <w:lang w:val="en-US"/>
        </w:rPr>
        <w:t xml:space="preserve"> process to update the test period relationships between rate b</w:t>
      </w:r>
      <w:r w:rsidR="00523CC1">
        <w:rPr>
          <w:lang w:val="en-US"/>
        </w:rPr>
        <w:t>ase and net operating income.”</w:t>
      </w:r>
      <w:r w:rsidR="00A1025D" w:rsidRPr="00A1025D">
        <w:rPr>
          <w:u w:val="single"/>
          <w:vertAlign w:val="superscript"/>
          <w:lang w:val="en-US"/>
        </w:rPr>
        <w:footnoteReference w:id="39"/>
      </w:r>
      <w:proofErr w:type="gramStart"/>
      <w:r w:rsidR="00A1025D" w:rsidRPr="00A1025D">
        <w:rPr>
          <w:vertAlign w:val="superscript"/>
          <w:lang w:val="en-US"/>
        </w:rPr>
        <w:t>/</w:t>
      </w:r>
      <w:r w:rsidR="00523CC1" w:rsidRPr="00523CC1">
        <w:rPr>
          <w:lang w:val="en-US"/>
        </w:rPr>
        <w:t xml:space="preserve">  In</w:t>
      </w:r>
      <w:proofErr w:type="gramEnd"/>
      <w:r w:rsidR="00523CC1" w:rsidRPr="00523CC1">
        <w:rPr>
          <w:lang w:val="en-US"/>
        </w:rPr>
        <w:t xml:space="preserve"> </w:t>
      </w:r>
      <w:r w:rsidR="00523CC1" w:rsidRPr="00523CC1">
        <w:rPr>
          <w:lang w:val="en-US"/>
        </w:rPr>
        <w:lastRenderedPageBreak/>
        <w:t xml:space="preserve">contrast, the degree of issue breadth and complexity associated with Pacific Power’s ERF and multi-year rate plan proposals cannot be fairly associated with a “simple and straight-forward process.” </w:t>
      </w:r>
    </w:p>
    <w:p w:rsidR="005701A3" w:rsidRDefault="002F1D22" w:rsidP="003D4919">
      <w:pPr>
        <w:pStyle w:val="WUTCParagraph"/>
        <w:rPr>
          <w:lang w:val="en-US"/>
        </w:rPr>
      </w:pPr>
      <w:r>
        <w:rPr>
          <w:lang w:val="en-US"/>
        </w:rPr>
        <w:tab/>
      </w:r>
      <w:r w:rsidR="00C71BE7">
        <w:rPr>
          <w:lang w:val="en-US"/>
        </w:rPr>
        <w:t xml:space="preserve">In PSE’s ERF, the Commission </w:t>
      </w:r>
      <w:r w:rsidR="006270BC">
        <w:rPr>
          <w:lang w:val="en-US"/>
        </w:rPr>
        <w:t>provided</w:t>
      </w:r>
      <w:r w:rsidR="00C71BE7">
        <w:rPr>
          <w:lang w:val="en-US"/>
        </w:rPr>
        <w:t xml:space="preserve"> a detailed </w:t>
      </w:r>
      <w:r w:rsidR="006270BC">
        <w:rPr>
          <w:lang w:val="en-US"/>
        </w:rPr>
        <w:t>overview</w:t>
      </w:r>
      <w:r w:rsidR="00C71BE7">
        <w:rPr>
          <w:lang w:val="en-US"/>
        </w:rPr>
        <w:t xml:space="preserve"> </w:t>
      </w:r>
      <w:r w:rsidR="006270BC">
        <w:rPr>
          <w:lang w:val="en-US"/>
        </w:rPr>
        <w:t xml:space="preserve">of the “complex issues” </w:t>
      </w:r>
      <w:r w:rsidR="00C71BE7">
        <w:rPr>
          <w:lang w:val="en-US"/>
        </w:rPr>
        <w:t>considered in PSE’s prior general rate case.</w:t>
      </w:r>
      <w:r w:rsidR="00B00A6B" w:rsidRPr="00B00A6B">
        <w:rPr>
          <w:u w:val="single"/>
          <w:vertAlign w:val="superscript"/>
          <w:lang w:val="en-US"/>
        </w:rPr>
        <w:footnoteReference w:id="40"/>
      </w:r>
      <w:r w:rsidR="00B00A6B" w:rsidRPr="00B00A6B">
        <w:rPr>
          <w:vertAlign w:val="superscript"/>
          <w:lang w:val="en-US"/>
        </w:rPr>
        <w:t>/</w:t>
      </w:r>
      <w:r w:rsidR="00C71BE7">
        <w:rPr>
          <w:lang w:val="en-US"/>
        </w:rPr>
        <w:t xml:space="preserve">  In contrast to PSE’s ERF, </w:t>
      </w:r>
      <w:r w:rsidR="006270BC">
        <w:rPr>
          <w:lang w:val="en-US"/>
        </w:rPr>
        <w:t xml:space="preserve">that prior </w:t>
      </w:r>
      <w:r w:rsidR="00B00A6B">
        <w:rPr>
          <w:lang w:val="en-US"/>
        </w:rPr>
        <w:t xml:space="preserve">PSE </w:t>
      </w:r>
      <w:r w:rsidR="006270BC">
        <w:rPr>
          <w:lang w:val="en-US"/>
        </w:rPr>
        <w:t xml:space="preserve">general rate case had </w:t>
      </w:r>
      <w:r w:rsidR="00C71BE7">
        <w:rPr>
          <w:lang w:val="en-US"/>
        </w:rPr>
        <w:t xml:space="preserve">presented </w:t>
      </w:r>
      <w:r w:rsidR="006270BC">
        <w:rPr>
          <w:lang w:val="en-US"/>
        </w:rPr>
        <w:t xml:space="preserve">the Commission </w:t>
      </w:r>
      <w:r w:rsidR="00C71BE7">
        <w:rPr>
          <w:lang w:val="en-US"/>
        </w:rPr>
        <w:t>with</w:t>
      </w:r>
      <w:r w:rsidR="006270BC">
        <w:rPr>
          <w:lang w:val="en-US"/>
        </w:rPr>
        <w:t xml:space="preserve"> </w:t>
      </w:r>
      <w:r w:rsidR="00784B46">
        <w:rPr>
          <w:lang w:val="en-US"/>
        </w:rPr>
        <w:t>a</w:t>
      </w:r>
      <w:r w:rsidR="00B00A6B">
        <w:rPr>
          <w:lang w:val="en-US"/>
        </w:rPr>
        <w:t xml:space="preserve"> combination of </w:t>
      </w:r>
      <w:r w:rsidR="006270BC">
        <w:rPr>
          <w:lang w:val="en-US"/>
        </w:rPr>
        <w:t xml:space="preserve">“contested </w:t>
      </w:r>
      <w:r w:rsidR="00B00A6B">
        <w:rPr>
          <w:lang w:val="en-US"/>
        </w:rPr>
        <w:t xml:space="preserve">… </w:t>
      </w:r>
      <w:r w:rsidR="006270BC">
        <w:rPr>
          <w:lang w:val="en-US"/>
        </w:rPr>
        <w:t>pro forma adjustments,”</w:t>
      </w:r>
      <w:r w:rsidR="00C71BE7">
        <w:rPr>
          <w:lang w:val="en-US"/>
        </w:rPr>
        <w:t xml:space="preserve"> a “full cost of capital</w:t>
      </w:r>
      <w:r w:rsidR="003C749B">
        <w:rPr>
          <w:lang w:val="en-US"/>
        </w:rPr>
        <w:t>” case,</w:t>
      </w:r>
      <w:r w:rsidR="00C71BE7">
        <w:rPr>
          <w:lang w:val="en-US"/>
        </w:rPr>
        <w:t xml:space="preserve"> </w:t>
      </w:r>
      <w:r w:rsidR="006270BC">
        <w:rPr>
          <w:lang w:val="en-US"/>
        </w:rPr>
        <w:t>“additional issues related to … rate design,” and “several prudence issues.”</w:t>
      </w:r>
      <w:r w:rsidR="00B00A6B" w:rsidRPr="00B00A6B">
        <w:rPr>
          <w:u w:val="single"/>
          <w:vertAlign w:val="superscript"/>
          <w:lang w:val="en-US"/>
        </w:rPr>
        <w:footnoteReference w:id="41"/>
      </w:r>
      <w:proofErr w:type="gramStart"/>
      <w:r w:rsidR="00B00A6B" w:rsidRPr="00B00A6B">
        <w:rPr>
          <w:vertAlign w:val="superscript"/>
          <w:lang w:val="en-US"/>
        </w:rPr>
        <w:t>/</w:t>
      </w:r>
      <w:r w:rsidR="006270BC">
        <w:rPr>
          <w:lang w:val="en-US"/>
        </w:rPr>
        <w:t xml:space="preserve"> </w:t>
      </w:r>
      <w:r w:rsidR="00EA4010">
        <w:rPr>
          <w:lang w:val="en-US"/>
        </w:rPr>
        <w:t xml:space="preserve"> </w:t>
      </w:r>
      <w:bookmarkStart w:id="2" w:name="_GoBack"/>
      <w:bookmarkEnd w:id="2"/>
      <w:r w:rsidR="00B00A6B">
        <w:rPr>
          <w:lang w:val="en-US"/>
        </w:rPr>
        <w:t>Yet</w:t>
      </w:r>
      <w:proofErr w:type="gramEnd"/>
      <w:r w:rsidR="00B00A6B">
        <w:rPr>
          <w:lang w:val="en-US"/>
        </w:rPr>
        <w:t xml:space="preserve">, in terms of the breadth </w:t>
      </w:r>
      <w:r w:rsidR="00784B46">
        <w:rPr>
          <w:lang w:val="en-US"/>
        </w:rPr>
        <w:t xml:space="preserve">and complexity </w:t>
      </w:r>
      <w:r w:rsidR="00B00A6B">
        <w:rPr>
          <w:lang w:val="en-US"/>
        </w:rPr>
        <w:t>of issues which must be considered by the Commission</w:t>
      </w:r>
      <w:r w:rsidR="00784B46">
        <w:rPr>
          <w:lang w:val="en-US"/>
        </w:rPr>
        <w:t xml:space="preserve"> now</w:t>
      </w:r>
      <w:r w:rsidR="00B00A6B">
        <w:rPr>
          <w:lang w:val="en-US"/>
        </w:rPr>
        <w:t xml:space="preserve">, </w:t>
      </w:r>
      <w:r w:rsidR="00D831BC">
        <w:rPr>
          <w:lang w:val="en-US"/>
        </w:rPr>
        <w:t>Pacific Power’s ERF cannot be sufficiently</w:t>
      </w:r>
      <w:r w:rsidR="00B00A6B">
        <w:rPr>
          <w:lang w:val="en-US"/>
        </w:rPr>
        <w:t xml:space="preserve"> distinguished</w:t>
      </w:r>
      <w:r w:rsidR="00D831BC">
        <w:rPr>
          <w:lang w:val="en-US"/>
        </w:rPr>
        <w:t xml:space="preserve"> from</w:t>
      </w:r>
      <w:r w:rsidR="00784B46">
        <w:rPr>
          <w:lang w:val="en-US"/>
        </w:rPr>
        <w:t xml:space="preserve"> </w:t>
      </w:r>
      <w:r w:rsidR="00B00A6B">
        <w:rPr>
          <w:lang w:val="en-US"/>
        </w:rPr>
        <w:t xml:space="preserve">either PSE’s or the Company’s own prior general rate case.  </w:t>
      </w:r>
    </w:p>
    <w:p w:rsidR="00784B46" w:rsidRDefault="002F1D22" w:rsidP="003D4919">
      <w:pPr>
        <w:pStyle w:val="WUTCParagraph"/>
        <w:rPr>
          <w:lang w:val="en-US"/>
        </w:rPr>
      </w:pPr>
      <w:r>
        <w:rPr>
          <w:lang w:val="en-US"/>
        </w:rPr>
        <w:tab/>
      </w:r>
      <w:r w:rsidR="005701A3">
        <w:rPr>
          <w:lang w:val="en-US"/>
        </w:rPr>
        <w:t xml:space="preserve">For instance, </w:t>
      </w:r>
      <w:r w:rsidR="00A65439">
        <w:rPr>
          <w:lang w:val="en-US"/>
        </w:rPr>
        <w:t>cost of capital will inevitably be a consideration in this case, as previously explained, given the Court’s mandate of a “</w:t>
      </w:r>
      <w:r w:rsidR="00A65439" w:rsidRPr="00A65439">
        <w:rPr>
          <w:lang w:val="en-US"/>
        </w:rPr>
        <w:t>thoroughgoing analysis of return on equity</w:t>
      </w:r>
      <w:r w:rsidR="00784B46">
        <w:rPr>
          <w:lang w:val="en-US"/>
        </w:rPr>
        <w:t>”</w:t>
      </w:r>
      <w:r w:rsidR="00A65439">
        <w:rPr>
          <w:lang w:val="en-US"/>
        </w:rPr>
        <w:t xml:space="preserve"> that </w:t>
      </w:r>
      <w:r w:rsidR="00784B46">
        <w:rPr>
          <w:lang w:val="en-US"/>
        </w:rPr>
        <w:t>will necessitate</w:t>
      </w:r>
      <w:r w:rsidR="002D533F">
        <w:rPr>
          <w:lang w:val="en-US"/>
        </w:rPr>
        <w:t xml:space="preserve"> review of the</w:t>
      </w:r>
      <w:r w:rsidR="00A65439">
        <w:rPr>
          <w:lang w:val="en-US"/>
        </w:rPr>
        <w:t xml:space="preserve"> cost of capital case sponsored by Mr. Strunk.  </w:t>
      </w:r>
      <w:r w:rsidR="00784B46">
        <w:rPr>
          <w:lang w:val="en-US"/>
        </w:rPr>
        <w:t>Likewise</w:t>
      </w:r>
      <w:r w:rsidR="00A65439">
        <w:rPr>
          <w:lang w:val="en-US"/>
        </w:rPr>
        <w:t xml:space="preserve">, </w:t>
      </w:r>
      <w:r w:rsidR="00B00A6B">
        <w:rPr>
          <w:lang w:val="en-US"/>
        </w:rPr>
        <w:t>pro forma adjustments</w:t>
      </w:r>
      <w:r w:rsidR="00A65439">
        <w:rPr>
          <w:lang w:val="en-US"/>
        </w:rPr>
        <w:t xml:space="preserve"> will prominently feature i</w:t>
      </w:r>
      <w:r w:rsidR="00784B46">
        <w:rPr>
          <w:lang w:val="en-US"/>
        </w:rPr>
        <w:t>n</w:t>
      </w:r>
      <w:r w:rsidR="00A65439">
        <w:rPr>
          <w:lang w:val="en-US"/>
        </w:rPr>
        <w:t xml:space="preserve"> this proceeding</w:t>
      </w:r>
      <w:r w:rsidR="005701A3">
        <w:rPr>
          <w:lang w:val="en-US"/>
        </w:rPr>
        <w:t xml:space="preserve">, since Mr. Dalley explicitly testifies that </w:t>
      </w:r>
      <w:r w:rsidR="00A65439">
        <w:rPr>
          <w:lang w:val="en-US"/>
        </w:rPr>
        <w:t>such adjustments</w:t>
      </w:r>
      <w:r w:rsidR="005701A3">
        <w:rPr>
          <w:lang w:val="en-US"/>
        </w:rPr>
        <w:t xml:space="preserve"> are the “primary” and “significant” cost drivers behind the Company’s proposed rate increases.</w:t>
      </w:r>
      <w:r w:rsidR="005701A3" w:rsidRPr="005701A3">
        <w:rPr>
          <w:u w:val="single"/>
          <w:vertAlign w:val="superscript"/>
          <w:lang w:val="en-US"/>
        </w:rPr>
        <w:footnoteReference w:id="42"/>
      </w:r>
      <w:r w:rsidR="005701A3" w:rsidRPr="005701A3">
        <w:rPr>
          <w:vertAlign w:val="superscript"/>
          <w:lang w:val="en-US"/>
        </w:rPr>
        <w:t>/</w:t>
      </w:r>
      <w:r w:rsidR="00784B46">
        <w:rPr>
          <w:lang w:val="en-US"/>
        </w:rPr>
        <w:t xml:space="preserve">  </w:t>
      </w:r>
    </w:p>
    <w:p w:rsidR="00676EF9" w:rsidRDefault="002F1D22" w:rsidP="003D4919">
      <w:pPr>
        <w:pStyle w:val="WUTCParagraph"/>
        <w:rPr>
          <w:lang w:val="en-US"/>
        </w:rPr>
      </w:pPr>
      <w:r>
        <w:rPr>
          <w:lang w:val="en-US"/>
        </w:rPr>
        <w:tab/>
      </w:r>
      <w:r w:rsidR="00784B46">
        <w:rPr>
          <w:lang w:val="en-US"/>
        </w:rPr>
        <w:t>In</w:t>
      </w:r>
      <w:r w:rsidR="00011D1B">
        <w:rPr>
          <w:lang w:val="en-US"/>
        </w:rPr>
        <w:t xml:space="preserve"> fact</w:t>
      </w:r>
      <w:r w:rsidR="00784B46">
        <w:rPr>
          <w:lang w:val="en-US"/>
        </w:rPr>
        <w:t>,</w:t>
      </w:r>
      <w:r w:rsidR="005701A3">
        <w:rPr>
          <w:lang w:val="en-US"/>
        </w:rPr>
        <w:t xml:space="preserve"> the Commission </w:t>
      </w:r>
      <w:r w:rsidR="00011D1B">
        <w:rPr>
          <w:lang w:val="en-US"/>
        </w:rPr>
        <w:t>rejected 25 of the</w:t>
      </w:r>
      <w:r w:rsidR="005701A3">
        <w:rPr>
          <w:lang w:val="en-US"/>
        </w:rPr>
        <w:t xml:space="preserve"> Company’</w:t>
      </w:r>
      <w:r w:rsidR="00011D1B">
        <w:rPr>
          <w:lang w:val="en-US"/>
        </w:rPr>
        <w:t xml:space="preserve">s 30 proposed pro forma adjustments as “insufficiently supported by the evidence” </w:t>
      </w:r>
      <w:r w:rsidR="00011D1B" w:rsidRPr="00011D1B">
        <w:rPr>
          <w:lang w:val="en-US"/>
        </w:rPr>
        <w:t xml:space="preserve">in </w:t>
      </w:r>
      <w:r w:rsidR="00011D1B">
        <w:rPr>
          <w:lang w:val="en-US"/>
        </w:rPr>
        <w:t>Pacific Power’s most recent general rate case</w:t>
      </w:r>
      <w:proofErr w:type="gramStart"/>
      <w:r w:rsidR="00011D1B">
        <w:rPr>
          <w:lang w:val="en-US"/>
        </w:rPr>
        <w:t>,</w:t>
      </w:r>
      <w:proofErr w:type="gramEnd"/>
      <w:r w:rsidR="00011D1B" w:rsidRPr="00011D1B">
        <w:rPr>
          <w:u w:val="single"/>
          <w:vertAlign w:val="superscript"/>
          <w:lang w:val="en-US"/>
        </w:rPr>
        <w:footnoteReference w:id="43"/>
      </w:r>
      <w:r w:rsidR="00011D1B" w:rsidRPr="00011D1B">
        <w:rPr>
          <w:vertAlign w:val="superscript"/>
          <w:lang w:val="en-US"/>
        </w:rPr>
        <w:t>/</w:t>
      </w:r>
      <w:r w:rsidR="00011D1B">
        <w:rPr>
          <w:lang w:val="en-US"/>
        </w:rPr>
        <w:t xml:space="preserve"> </w:t>
      </w:r>
      <w:r w:rsidR="00784B46">
        <w:rPr>
          <w:lang w:val="en-US"/>
        </w:rPr>
        <w:t>so it seems very likely</w:t>
      </w:r>
      <w:r w:rsidR="00011D1B">
        <w:rPr>
          <w:lang w:val="en-US"/>
        </w:rPr>
        <w:t xml:space="preserve"> that </w:t>
      </w:r>
      <w:r w:rsidR="00A65439">
        <w:rPr>
          <w:lang w:val="en-US"/>
        </w:rPr>
        <w:t>such a primary and significant element</w:t>
      </w:r>
      <w:r w:rsidR="00784B46">
        <w:rPr>
          <w:lang w:val="en-US"/>
        </w:rPr>
        <w:t xml:space="preserve"> of this proceeding will</w:t>
      </w:r>
      <w:r w:rsidR="00011D1B">
        <w:rPr>
          <w:lang w:val="en-US"/>
        </w:rPr>
        <w:t xml:space="preserve"> </w:t>
      </w:r>
      <w:r w:rsidR="00784B46">
        <w:rPr>
          <w:lang w:val="en-US"/>
        </w:rPr>
        <w:t xml:space="preserve">also </w:t>
      </w:r>
      <w:r w:rsidR="00011D1B">
        <w:rPr>
          <w:lang w:val="en-US"/>
        </w:rPr>
        <w:t xml:space="preserve">be </w:t>
      </w:r>
      <w:r w:rsidR="00784B46">
        <w:rPr>
          <w:lang w:val="en-US"/>
        </w:rPr>
        <w:t>subject to significant evidentiary contest</w:t>
      </w:r>
      <w:r w:rsidR="00D831BC">
        <w:rPr>
          <w:lang w:val="en-US"/>
        </w:rPr>
        <w:t>.  Further</w:t>
      </w:r>
      <w:r w:rsidR="00011D1B">
        <w:rPr>
          <w:lang w:val="en-US"/>
        </w:rPr>
        <w:t xml:space="preserve">, the Sierra Club has petitioned to </w:t>
      </w:r>
      <w:r w:rsidR="00011D1B">
        <w:rPr>
          <w:lang w:val="en-US"/>
        </w:rPr>
        <w:lastRenderedPageBreak/>
        <w:t>intervene in this proceeding, and as a party would bring “</w:t>
      </w:r>
      <w:r w:rsidR="00011D1B" w:rsidRPr="00011D1B">
        <w:rPr>
          <w:lang w:val="en-US"/>
        </w:rPr>
        <w:t>specific experience with the particular capital expenditures at issue in this proceeding</w:t>
      </w:r>
      <w:r w:rsidR="00676EF9">
        <w:rPr>
          <w:lang w:val="en-US"/>
        </w:rPr>
        <w:t>,” including “</w:t>
      </w:r>
      <w:r w:rsidR="00676EF9" w:rsidRPr="00676EF9">
        <w:rPr>
          <w:lang w:val="en-US"/>
        </w:rPr>
        <w:t>the prudence of PacifiCorp’s expenditures to install selective catalytic reduction (“SCR”) on Jim Bridger units 3 and 4.</w:t>
      </w:r>
      <w:r w:rsidR="00676EF9">
        <w:rPr>
          <w:lang w:val="en-US"/>
        </w:rPr>
        <w:t>”</w:t>
      </w:r>
      <w:r w:rsidR="00676EF9" w:rsidRPr="00676EF9">
        <w:rPr>
          <w:u w:val="single"/>
          <w:vertAlign w:val="superscript"/>
          <w:lang w:val="en-US"/>
        </w:rPr>
        <w:footnoteReference w:id="44"/>
      </w:r>
      <w:proofErr w:type="gramStart"/>
      <w:r w:rsidR="00676EF9" w:rsidRPr="00676EF9">
        <w:rPr>
          <w:vertAlign w:val="superscript"/>
          <w:lang w:val="en-US"/>
        </w:rPr>
        <w:t>/</w:t>
      </w:r>
      <w:r w:rsidR="00011D1B">
        <w:rPr>
          <w:lang w:val="en-US"/>
        </w:rPr>
        <w:t xml:space="preserve"> </w:t>
      </w:r>
      <w:r w:rsidR="00B00A6B">
        <w:rPr>
          <w:lang w:val="en-US"/>
        </w:rPr>
        <w:t xml:space="preserve"> </w:t>
      </w:r>
      <w:r w:rsidR="00676EF9">
        <w:rPr>
          <w:lang w:val="en-US"/>
        </w:rPr>
        <w:t>As</w:t>
      </w:r>
      <w:proofErr w:type="gramEnd"/>
      <w:r w:rsidR="00676EF9">
        <w:rPr>
          <w:lang w:val="en-US"/>
        </w:rPr>
        <w:t xml:space="preserve"> Sierra Club expects to take the position that the Company’s SCR expenditures were imprudent,</w:t>
      </w:r>
      <w:r w:rsidR="00676EF9" w:rsidRPr="00676EF9">
        <w:rPr>
          <w:u w:val="single"/>
          <w:vertAlign w:val="superscript"/>
          <w:lang w:val="en-US"/>
        </w:rPr>
        <w:footnoteReference w:id="45"/>
      </w:r>
      <w:r w:rsidR="00676EF9" w:rsidRPr="00676EF9">
        <w:rPr>
          <w:vertAlign w:val="superscript"/>
          <w:lang w:val="en-US"/>
        </w:rPr>
        <w:t>/</w:t>
      </w:r>
      <w:r w:rsidR="00676EF9">
        <w:rPr>
          <w:lang w:val="en-US"/>
        </w:rPr>
        <w:t xml:space="preserve"> in all likelihood the Commission will be presented with thorough evidence on complex issues regarding pro forma and prudency determinations in this case.</w:t>
      </w:r>
    </w:p>
    <w:p w:rsidR="000204AE" w:rsidRDefault="002F1D22" w:rsidP="003D4919">
      <w:pPr>
        <w:pStyle w:val="WUTCParagraph"/>
        <w:rPr>
          <w:lang w:val="en-US"/>
        </w:rPr>
      </w:pPr>
      <w:r>
        <w:rPr>
          <w:lang w:val="en-US"/>
        </w:rPr>
        <w:tab/>
      </w:r>
      <w:r w:rsidR="00784B46">
        <w:rPr>
          <w:lang w:val="en-US"/>
        </w:rPr>
        <w:t>Also</w:t>
      </w:r>
      <w:r w:rsidR="00676EF9">
        <w:rPr>
          <w:lang w:val="en-US"/>
        </w:rPr>
        <w:t>, the Company has proposed rate design changes</w:t>
      </w:r>
      <w:proofErr w:type="gramStart"/>
      <w:r w:rsidR="00676EF9">
        <w:rPr>
          <w:lang w:val="en-US"/>
        </w:rPr>
        <w:t>,</w:t>
      </w:r>
      <w:proofErr w:type="gramEnd"/>
      <w:r w:rsidR="00EC39E7" w:rsidRPr="00EC39E7">
        <w:rPr>
          <w:u w:val="single"/>
          <w:vertAlign w:val="superscript"/>
          <w:lang w:val="en-US"/>
        </w:rPr>
        <w:footnoteReference w:id="46"/>
      </w:r>
      <w:r w:rsidR="00EC39E7" w:rsidRPr="00EC39E7">
        <w:rPr>
          <w:vertAlign w:val="superscript"/>
          <w:lang w:val="en-US"/>
        </w:rPr>
        <w:t>/</w:t>
      </w:r>
      <w:r w:rsidR="00676EF9">
        <w:rPr>
          <w:lang w:val="en-US"/>
        </w:rPr>
        <w:t xml:space="preserve"> which further renders this proceeding more like </w:t>
      </w:r>
      <w:r w:rsidR="00EC39E7">
        <w:rPr>
          <w:lang w:val="en-US"/>
        </w:rPr>
        <w:t>recent</w:t>
      </w:r>
      <w:r w:rsidR="00676EF9">
        <w:rPr>
          <w:lang w:val="en-US"/>
        </w:rPr>
        <w:t xml:space="preserve"> </w:t>
      </w:r>
      <w:r w:rsidR="00EC39E7">
        <w:rPr>
          <w:lang w:val="en-US"/>
        </w:rPr>
        <w:t>general rate cases</w:t>
      </w:r>
      <w:r w:rsidR="00AF5A03">
        <w:rPr>
          <w:lang w:val="en-US"/>
        </w:rPr>
        <w:t>.  Moreover, a</w:t>
      </w:r>
      <w:r w:rsidR="00676EF9">
        <w:rPr>
          <w:lang w:val="en-US"/>
        </w:rPr>
        <w:t>s the Company’s proposal would have a material</w:t>
      </w:r>
      <w:r w:rsidR="00EC39E7">
        <w:rPr>
          <w:lang w:val="en-US"/>
        </w:rPr>
        <w:t xml:space="preserve"> impact on Boise</w:t>
      </w:r>
      <w:r w:rsidR="00784B46">
        <w:rPr>
          <w:lang w:val="en-US"/>
        </w:rPr>
        <w:t>,</w:t>
      </w:r>
      <w:r w:rsidR="00EC39E7">
        <w:rPr>
          <w:lang w:val="en-US"/>
        </w:rPr>
        <w:t xml:space="preserve"> in particular, this may well be another contested issue that would differentiate the Company’s ERF from the far more simplified </w:t>
      </w:r>
      <w:r w:rsidR="00784B46">
        <w:rPr>
          <w:lang w:val="en-US"/>
        </w:rPr>
        <w:t>ERF concept</w:t>
      </w:r>
      <w:r w:rsidR="00EC39E7">
        <w:rPr>
          <w:lang w:val="en-US"/>
        </w:rPr>
        <w:t xml:space="preserve"> which the Commission </w:t>
      </w:r>
      <w:r w:rsidR="00784B46">
        <w:rPr>
          <w:lang w:val="en-US"/>
        </w:rPr>
        <w:t>originally</w:t>
      </w:r>
      <w:r w:rsidR="00EC39E7">
        <w:rPr>
          <w:lang w:val="en-US"/>
        </w:rPr>
        <w:t xml:space="preserve"> envisioned as an alternative to general rate proceedings.  Boise </w:t>
      </w:r>
      <w:r w:rsidR="00A65439">
        <w:rPr>
          <w:lang w:val="en-US"/>
        </w:rPr>
        <w:t xml:space="preserve">also </w:t>
      </w:r>
      <w:r w:rsidR="00EC39E7">
        <w:rPr>
          <w:lang w:val="en-US"/>
        </w:rPr>
        <w:t xml:space="preserve">points out that, while the Company </w:t>
      </w:r>
      <w:r w:rsidR="003A74C4">
        <w:rPr>
          <w:lang w:val="en-US"/>
        </w:rPr>
        <w:t>portrays its proposal to use end-of-period (“EOP”) rate base as consistent with PSE’s ERF, the Commission rejected Pacific Power’s evidence in support of EOP rate base in the Company’s last general rate case as “woefully inadequate.”</w:t>
      </w:r>
      <w:r w:rsidR="003A74C4" w:rsidRPr="003A74C4">
        <w:rPr>
          <w:u w:val="single"/>
          <w:vertAlign w:val="superscript"/>
          <w:lang w:val="en-US"/>
        </w:rPr>
        <w:footnoteReference w:id="47"/>
      </w:r>
      <w:proofErr w:type="gramStart"/>
      <w:r w:rsidR="003A74C4" w:rsidRPr="003A74C4">
        <w:rPr>
          <w:vertAlign w:val="superscript"/>
          <w:lang w:val="en-US"/>
        </w:rPr>
        <w:t>/</w:t>
      </w:r>
      <w:r w:rsidR="006E7680">
        <w:rPr>
          <w:lang w:val="en-US"/>
        </w:rPr>
        <w:t xml:space="preserve"> </w:t>
      </w:r>
      <w:r w:rsidR="003A74C4">
        <w:rPr>
          <w:lang w:val="en-US"/>
        </w:rPr>
        <w:t xml:space="preserve"> Thus</w:t>
      </w:r>
      <w:proofErr w:type="gramEnd"/>
      <w:r w:rsidR="003A74C4">
        <w:rPr>
          <w:lang w:val="en-US"/>
        </w:rPr>
        <w:t>, the Company’s renewed EOP request is likely to be yet another thoroughly examined and contested issue</w:t>
      </w:r>
      <w:r w:rsidR="00D831BC">
        <w:rPr>
          <w:lang w:val="en-US"/>
        </w:rPr>
        <w:t>,</w:t>
      </w:r>
      <w:r w:rsidR="003A74C4">
        <w:rPr>
          <w:lang w:val="en-US"/>
        </w:rPr>
        <w:t xml:space="preserve"> adding to the overall </w:t>
      </w:r>
      <w:r w:rsidR="00D831BC">
        <w:rPr>
          <w:lang w:val="en-US"/>
        </w:rPr>
        <w:t>rationality</w:t>
      </w:r>
      <w:r w:rsidR="003A74C4">
        <w:rPr>
          <w:lang w:val="en-US"/>
        </w:rPr>
        <w:t xml:space="preserve"> of </w:t>
      </w:r>
      <w:r w:rsidR="003A74C4" w:rsidRPr="00D831BC">
        <w:rPr>
          <w:i/>
          <w:lang w:val="en-US"/>
        </w:rPr>
        <w:t>not</w:t>
      </w:r>
      <w:r w:rsidR="003A74C4">
        <w:rPr>
          <w:lang w:val="en-US"/>
        </w:rPr>
        <w:t xml:space="preserve"> treating this proceeding under a needlessly rushed, “expedited” schedule.</w:t>
      </w:r>
      <w:r w:rsidR="00A65439">
        <w:rPr>
          <w:lang w:val="en-US"/>
        </w:rPr>
        <w:t xml:space="preserve">  </w:t>
      </w:r>
    </w:p>
    <w:p w:rsidR="003D68CD" w:rsidRPr="0085221D" w:rsidRDefault="002F1D22" w:rsidP="0085221D">
      <w:pPr>
        <w:pStyle w:val="WUTCParagraph"/>
        <w:rPr>
          <w:lang w:val="en-US"/>
        </w:rPr>
      </w:pPr>
      <w:r>
        <w:rPr>
          <w:lang w:val="en-US"/>
        </w:rPr>
        <w:tab/>
      </w:r>
      <w:r w:rsidR="00A65439">
        <w:rPr>
          <w:lang w:val="en-US"/>
        </w:rPr>
        <w:t>Finally, the Company’</w:t>
      </w:r>
      <w:r w:rsidR="00D756E1">
        <w:rPr>
          <w:lang w:val="en-US"/>
        </w:rPr>
        <w:t xml:space="preserve">s request for </w:t>
      </w:r>
      <w:r w:rsidR="00A65439">
        <w:rPr>
          <w:lang w:val="en-US"/>
        </w:rPr>
        <w:t>rate increase</w:t>
      </w:r>
      <w:r w:rsidR="00D756E1">
        <w:rPr>
          <w:lang w:val="en-US"/>
        </w:rPr>
        <w:t>s</w:t>
      </w:r>
      <w:r w:rsidR="00A65439">
        <w:rPr>
          <w:lang w:val="en-US"/>
        </w:rPr>
        <w:t xml:space="preserve"> based on the highly contentious subject of earnings attrition adds even more complexity to this case.</w:t>
      </w:r>
      <w:r w:rsidR="00D756E1" w:rsidRPr="00D756E1">
        <w:rPr>
          <w:u w:val="single"/>
          <w:vertAlign w:val="superscript"/>
          <w:lang w:val="en-US"/>
        </w:rPr>
        <w:footnoteReference w:id="48"/>
      </w:r>
      <w:proofErr w:type="gramStart"/>
      <w:r w:rsidR="00D756E1" w:rsidRPr="00D756E1">
        <w:rPr>
          <w:vertAlign w:val="superscript"/>
          <w:lang w:val="en-US"/>
        </w:rPr>
        <w:t>/</w:t>
      </w:r>
      <w:r w:rsidR="00D756E1">
        <w:rPr>
          <w:lang w:val="en-US"/>
        </w:rPr>
        <w:t xml:space="preserve">  </w:t>
      </w:r>
      <w:r w:rsidR="00154A62">
        <w:rPr>
          <w:lang w:val="en-US"/>
        </w:rPr>
        <w:t>With</w:t>
      </w:r>
      <w:proofErr w:type="gramEnd"/>
      <w:r w:rsidR="00154A62">
        <w:rPr>
          <w:lang w:val="en-US"/>
        </w:rPr>
        <w:t xml:space="preserve"> the Commission explicitly suggesting</w:t>
      </w:r>
      <w:r w:rsidR="000204AE">
        <w:rPr>
          <w:lang w:val="en-US"/>
        </w:rPr>
        <w:t xml:space="preserve"> a</w:t>
      </w:r>
      <w:r w:rsidR="00154A62">
        <w:rPr>
          <w:lang w:val="en-US"/>
        </w:rPr>
        <w:t xml:space="preserve"> “</w:t>
      </w:r>
      <w:r w:rsidR="00154A62" w:rsidRPr="00154A62">
        <w:rPr>
          <w:lang w:val="en-US"/>
        </w:rPr>
        <w:t xml:space="preserve">loss of perspective on the Company’s responsibility to manage its power </w:t>
      </w:r>
      <w:r w:rsidR="00154A62" w:rsidRPr="00154A62">
        <w:rPr>
          <w:lang w:val="en-US"/>
        </w:rPr>
        <w:lastRenderedPageBreak/>
        <w:t>costs</w:t>
      </w:r>
      <w:r w:rsidR="00154A62">
        <w:rPr>
          <w:lang w:val="en-US"/>
        </w:rPr>
        <w:t>” in 2013,</w:t>
      </w:r>
      <w:r w:rsidR="0085221D" w:rsidRPr="0085221D">
        <w:rPr>
          <w:u w:val="single"/>
          <w:vertAlign w:val="superscript"/>
          <w:lang w:val="en-US"/>
        </w:rPr>
        <w:footnoteReference w:id="49"/>
      </w:r>
      <w:r w:rsidR="0085221D" w:rsidRPr="0085221D">
        <w:rPr>
          <w:vertAlign w:val="superscript"/>
          <w:lang w:val="en-US"/>
        </w:rPr>
        <w:t>/</w:t>
      </w:r>
      <w:r w:rsidR="00154A62">
        <w:rPr>
          <w:lang w:val="en-US"/>
        </w:rPr>
        <w:t xml:space="preserve"> and </w:t>
      </w:r>
      <w:r w:rsidR="000204AE">
        <w:rPr>
          <w:lang w:val="en-US"/>
        </w:rPr>
        <w:t>then finding that Pacific Power “</w:t>
      </w:r>
      <w:r w:rsidR="000204AE" w:rsidRPr="000204AE">
        <w:rPr>
          <w:lang w:val="en-US"/>
        </w:rPr>
        <w:t>did not present persuasive evidence that it is suffering attrition in earnings</w:t>
      </w:r>
      <w:r w:rsidR="000204AE">
        <w:rPr>
          <w:lang w:val="en-US"/>
        </w:rPr>
        <w:t>”</w:t>
      </w:r>
      <w:r w:rsidR="0085221D">
        <w:rPr>
          <w:lang w:val="en-US"/>
        </w:rPr>
        <w:t xml:space="preserve"> in 2015</w:t>
      </w:r>
      <w:r w:rsidR="000204AE">
        <w:rPr>
          <w:lang w:val="en-US"/>
        </w:rPr>
        <w:t>,</w:t>
      </w:r>
      <w:r w:rsidR="000204AE" w:rsidRPr="000204AE">
        <w:rPr>
          <w:u w:val="single"/>
          <w:vertAlign w:val="superscript"/>
          <w:lang w:val="en-US"/>
        </w:rPr>
        <w:footnoteReference w:id="50"/>
      </w:r>
      <w:r w:rsidR="000204AE" w:rsidRPr="000204AE">
        <w:rPr>
          <w:vertAlign w:val="superscript"/>
          <w:lang w:val="en-US"/>
        </w:rPr>
        <w:t>/</w:t>
      </w:r>
      <w:r w:rsidR="000204AE">
        <w:rPr>
          <w:lang w:val="en-US"/>
        </w:rPr>
        <w:t xml:space="preserve"> significant controversy is likely to surround the Company’s present claim that its entire $10.3 million, “second-year increase is based on Pacific Power’s </w:t>
      </w:r>
      <w:r w:rsidR="000204AE" w:rsidRPr="000204AE">
        <w:rPr>
          <w:i/>
          <w:lang w:val="en-US"/>
        </w:rPr>
        <w:t>10-year trend of earnings attrition</w:t>
      </w:r>
      <w:r w:rsidR="000204AE">
        <w:rPr>
          <w:lang w:val="en-US"/>
        </w:rPr>
        <w:t>.”</w:t>
      </w:r>
      <w:r w:rsidR="000204AE" w:rsidRPr="000204AE">
        <w:rPr>
          <w:u w:val="single"/>
          <w:vertAlign w:val="superscript"/>
          <w:lang w:val="en-US"/>
        </w:rPr>
        <w:footnoteReference w:id="51"/>
      </w:r>
      <w:r w:rsidR="000204AE" w:rsidRPr="000204AE">
        <w:rPr>
          <w:vertAlign w:val="superscript"/>
          <w:lang w:val="en-US"/>
        </w:rPr>
        <w:t>/</w:t>
      </w:r>
      <w:r w:rsidR="000204AE">
        <w:rPr>
          <w:lang w:val="en-US"/>
        </w:rPr>
        <w:t xml:space="preserve"> </w:t>
      </w:r>
      <w:r w:rsidR="00D756E1">
        <w:rPr>
          <w:lang w:val="en-US"/>
        </w:rPr>
        <w:t xml:space="preserve">  </w:t>
      </w:r>
      <w:r w:rsidR="003A74C4" w:rsidRPr="0085221D">
        <w:rPr>
          <w:lang w:val="en-US"/>
        </w:rPr>
        <w:t xml:space="preserve"> </w:t>
      </w:r>
    </w:p>
    <w:p w:rsidR="00FD21A5" w:rsidRPr="00555C43" w:rsidRDefault="002F1D22" w:rsidP="00555C43">
      <w:pPr>
        <w:pStyle w:val="WUTCParagraph"/>
        <w:rPr>
          <w:lang w:val="en-US"/>
        </w:rPr>
      </w:pPr>
      <w:r>
        <w:rPr>
          <w:lang w:val="en-US"/>
        </w:rPr>
        <w:tab/>
      </w:r>
      <w:r w:rsidR="00784B46">
        <w:rPr>
          <w:lang w:val="en-US"/>
        </w:rPr>
        <w:t>In sum, t</w:t>
      </w:r>
      <w:r w:rsidR="00177A76" w:rsidRPr="00555C43">
        <w:rPr>
          <w:lang w:val="en-US"/>
        </w:rPr>
        <w:t>he Commission recognized that PSE’s ERF and multi-year rate plan package was “somewhat of an experiment in new and innovative ratemaking mechanisms.”</w:t>
      </w:r>
      <w:r w:rsidR="00177A76" w:rsidRPr="00177A76">
        <w:rPr>
          <w:u w:val="single"/>
          <w:vertAlign w:val="superscript"/>
          <w:lang w:val="en-US"/>
        </w:rPr>
        <w:footnoteReference w:id="52"/>
      </w:r>
      <w:r w:rsidR="00177A76" w:rsidRPr="00555C43">
        <w:rPr>
          <w:vertAlign w:val="superscript"/>
          <w:lang w:val="en-US"/>
        </w:rPr>
        <w:t>/</w:t>
      </w:r>
      <w:r w:rsidR="00177A76" w:rsidRPr="00555C43">
        <w:rPr>
          <w:lang w:val="en-US"/>
        </w:rPr>
        <w:t xml:space="preserve"> </w:t>
      </w:r>
      <w:r w:rsidR="00382E6E" w:rsidRPr="00555C43">
        <w:rPr>
          <w:lang w:val="en-US"/>
        </w:rPr>
        <w:t xml:space="preserve"> </w:t>
      </w:r>
      <w:r w:rsidR="00177A76" w:rsidRPr="00555C43">
        <w:rPr>
          <w:lang w:val="en-US"/>
        </w:rPr>
        <w:t xml:space="preserve">The Company’s attempt to mimic PSE’s approach does not provide the Commission with an innovative or thoughtful improvement upon </w:t>
      </w:r>
      <w:r w:rsidR="006E7680" w:rsidRPr="00555C43">
        <w:rPr>
          <w:lang w:val="en-US"/>
        </w:rPr>
        <w:t>the PSE</w:t>
      </w:r>
      <w:r w:rsidR="00555C43">
        <w:rPr>
          <w:lang w:val="en-US"/>
        </w:rPr>
        <w:t xml:space="preserve"> “experiment,</w:t>
      </w:r>
      <w:r w:rsidR="00177A76" w:rsidRPr="00555C43">
        <w:rPr>
          <w:lang w:val="en-US"/>
        </w:rPr>
        <w:t xml:space="preserve">” </w:t>
      </w:r>
      <w:r w:rsidR="00555C43">
        <w:rPr>
          <w:lang w:val="en-US"/>
        </w:rPr>
        <w:t>especially as the Company has added layers of comp</w:t>
      </w:r>
      <w:r w:rsidR="00086CC1">
        <w:rPr>
          <w:lang w:val="en-US"/>
        </w:rPr>
        <w:t>lexity to</w:t>
      </w:r>
      <w:r w:rsidR="00555C43">
        <w:rPr>
          <w:lang w:val="en-US"/>
        </w:rPr>
        <w:t xml:space="preserve"> an ERF concept intended to feature simplicity and forthrightness. </w:t>
      </w:r>
      <w:r w:rsidR="00177A76" w:rsidRPr="00555C43">
        <w:rPr>
          <w:lang w:val="en-US"/>
        </w:rPr>
        <w:t xml:space="preserve"> Accordingly, Boise respectfully requests that the Commission approve this Alternative Motion and </w:t>
      </w:r>
      <w:r w:rsidR="00555C43">
        <w:rPr>
          <w:lang w:val="en-US"/>
        </w:rPr>
        <w:t>treat the Company’s filing as a general rate proceeding, including the e</w:t>
      </w:r>
      <w:r w:rsidR="00F9244F">
        <w:rPr>
          <w:lang w:val="en-US"/>
        </w:rPr>
        <w:t>stablishment of a customary ten-to-eleven-</w:t>
      </w:r>
      <w:r w:rsidR="00555C43">
        <w:rPr>
          <w:lang w:val="en-US"/>
        </w:rPr>
        <w:t>month schedule process to ensure full and adequate opportunity for all interested persons to thoroughly investigate the Company’s proposals.</w:t>
      </w:r>
      <w:r w:rsidR="00382E6E" w:rsidRPr="00555C43">
        <w:rPr>
          <w:lang w:val="en-US"/>
        </w:rPr>
        <w:t xml:space="preserve"> </w:t>
      </w:r>
      <w:r w:rsidR="00F66144" w:rsidRPr="00555C43">
        <w:rPr>
          <w:lang w:val="en-US"/>
        </w:rPr>
        <w:t xml:space="preserve"> </w:t>
      </w:r>
    </w:p>
    <w:p w:rsidR="00DC7B75" w:rsidRDefault="00DC7B75" w:rsidP="00DC7B75">
      <w:pPr>
        <w:keepNext/>
        <w:spacing w:line="480" w:lineRule="auto"/>
        <w:ind w:firstLine="1440"/>
      </w:pPr>
      <w:proofErr w:type="gramStart"/>
      <w:r>
        <w:t xml:space="preserve">Dated this </w:t>
      </w:r>
      <w:r w:rsidR="00086CC1">
        <w:t>10</w:t>
      </w:r>
      <w:r w:rsidR="006E7680">
        <w:t>th</w:t>
      </w:r>
      <w:r w:rsidR="003D4919">
        <w:t xml:space="preserve"> </w:t>
      </w:r>
      <w:r>
        <w:t xml:space="preserve">day of </w:t>
      </w:r>
      <w:r w:rsidR="00263B12">
        <w:t>Dec</w:t>
      </w:r>
      <w:r w:rsidR="003D4919">
        <w:t>ember, 2015</w:t>
      </w:r>
      <w:r>
        <w:t>.</w:t>
      </w:r>
      <w:proofErr w:type="gramEnd"/>
    </w:p>
    <w:p w:rsidR="00DC7B75" w:rsidRDefault="00DC7B75" w:rsidP="00DC7B75">
      <w:pPr>
        <w:keepNext/>
        <w:spacing w:line="480" w:lineRule="auto"/>
        <w:ind w:left="2880" w:firstLine="720"/>
      </w:pPr>
      <w:r>
        <w:t>Respectfully submitted,</w:t>
      </w:r>
    </w:p>
    <w:p w:rsidR="00DC7B75" w:rsidRDefault="00DC7B75" w:rsidP="00DC7B75">
      <w:pPr>
        <w:keepNext/>
        <w:spacing w:line="480" w:lineRule="auto"/>
        <w:ind w:firstLine="3600"/>
      </w:pPr>
      <w:r>
        <w:t>DAVISON VAN CLEVE, P.C.</w:t>
      </w:r>
    </w:p>
    <w:p w:rsidR="00DC7B75" w:rsidRPr="00282C0D" w:rsidRDefault="00282C0D" w:rsidP="00282C0D">
      <w:pPr>
        <w:keepNext/>
        <w:ind w:firstLine="3600"/>
        <w:rPr>
          <w:u w:val="single"/>
        </w:rPr>
      </w:pPr>
      <w:r w:rsidRPr="00282C0D">
        <w:rPr>
          <w:i/>
          <w:u w:val="single"/>
        </w:rPr>
        <w:t>/s/ Jesse E. Cowell</w:t>
      </w:r>
    </w:p>
    <w:p w:rsidR="00DC7B75" w:rsidRDefault="003D4919">
      <w:pPr>
        <w:keepNext/>
        <w:ind w:firstLine="3600"/>
      </w:pPr>
      <w:r>
        <w:t>Jesse E. Cowell</w:t>
      </w:r>
    </w:p>
    <w:p w:rsidR="00DC7B75" w:rsidRDefault="00DC7B75">
      <w:pPr>
        <w:keepNext/>
        <w:ind w:firstLine="3600"/>
      </w:pPr>
      <w:r>
        <w:t>333 S.W. Taylor, Suite 400</w:t>
      </w:r>
    </w:p>
    <w:p w:rsidR="00DC7B75" w:rsidRDefault="00DC7B75">
      <w:pPr>
        <w:keepNext/>
        <w:ind w:firstLine="3600"/>
      </w:pPr>
      <w:r>
        <w:t>Portland, Oregon 97204</w:t>
      </w:r>
    </w:p>
    <w:p w:rsidR="00DC7B75" w:rsidRDefault="00DC7B75">
      <w:pPr>
        <w:keepNext/>
        <w:ind w:firstLine="3600"/>
      </w:pPr>
      <w:r>
        <w:t>(503) 241-7242 telephone</w:t>
      </w:r>
    </w:p>
    <w:p w:rsidR="00DC7B75" w:rsidRDefault="00DC7B75">
      <w:pPr>
        <w:keepNext/>
        <w:ind w:firstLine="3600"/>
      </w:pPr>
      <w:r>
        <w:t>(503) 241-8160 facsimile</w:t>
      </w:r>
    </w:p>
    <w:p w:rsidR="00DC7B75" w:rsidRDefault="003D4919" w:rsidP="00DC7B75">
      <w:pPr>
        <w:ind w:left="2912" w:firstLine="688"/>
      </w:pPr>
      <w:r>
        <w:t>jec</w:t>
      </w:r>
      <w:r w:rsidR="00DC7B75" w:rsidRPr="002E1995">
        <w:t>@dvclaw.com</w:t>
      </w:r>
    </w:p>
    <w:p w:rsidR="00DC7B75" w:rsidRDefault="00DC7B75" w:rsidP="002F1D22">
      <w:pPr>
        <w:ind w:left="3600"/>
      </w:pPr>
      <w:r>
        <w:t>Of Attorneys for Boise White Paper, L.L.C.</w:t>
      </w:r>
    </w:p>
    <w:sectPr w:rsidR="00DC7B75" w:rsidSect="00C42330">
      <w:headerReference w:type="default" r:id="rId9"/>
      <w:footerReference w:type="default" r:id="rId10"/>
      <w:headerReference w:type="first" r:id="rId11"/>
      <w:footerReference w:type="first" r:id="rId12"/>
      <w:pgSz w:w="12240" w:h="15840" w:code="1"/>
      <w:pgMar w:top="1440" w:right="1440" w:bottom="720"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40" w:rsidRDefault="00107B40">
      <w:r>
        <w:separator/>
      </w:r>
    </w:p>
  </w:endnote>
  <w:endnote w:type="continuationSeparator" w:id="0">
    <w:p w:rsidR="00107B40" w:rsidRDefault="0010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C6" w:rsidRPr="00D30BC8" w:rsidRDefault="004E5FC6">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EA4010">
      <w:rPr>
        <w:rStyle w:val="PageNumber"/>
        <w:noProof/>
      </w:rPr>
      <w:t>2</w:t>
    </w:r>
    <w:r>
      <w:rPr>
        <w:rStyle w:val="PageNumber"/>
      </w:rPr>
      <w:fldChar w:fldCharType="end"/>
    </w:r>
    <w:r>
      <w:rPr>
        <w:rStyle w:val="PageNumber"/>
      </w:rPr>
      <w:t xml:space="preserve"> – </w:t>
    </w:r>
    <w:r>
      <w:rPr>
        <w:rStyle w:val="PageNumber"/>
        <w:lang w:val="en-US"/>
      </w:rPr>
      <w:t xml:space="preserve">MOTIONS </w:t>
    </w:r>
    <w:r>
      <w:rPr>
        <w:rStyle w:val="PageNumber"/>
      </w:rPr>
      <w:t xml:space="preserve">OF </w:t>
    </w:r>
    <w:r>
      <w:t>BOISE WHITE PAPER, L</w:t>
    </w:r>
    <w:r>
      <w:rPr>
        <w:lang w:val="en-US"/>
      </w:rPr>
      <w:t>.</w:t>
    </w:r>
    <w:r>
      <w:t>L</w:t>
    </w:r>
    <w:r>
      <w:rPr>
        <w:lang w:val="en-US"/>
      </w:rPr>
      <w:t>.</w:t>
    </w:r>
    <w:r>
      <w:t>C</w:t>
    </w:r>
    <w:r>
      <w:rPr>
        <w:lang w:val="en-US"/>
      </w:rPr>
      <w:t>.</w:t>
    </w:r>
  </w:p>
  <w:p w:rsidR="004E5FC6" w:rsidRDefault="004E5FC6">
    <w:pPr>
      <w:pStyle w:val="Footer"/>
      <w:rPr>
        <w:rStyle w:val="PageNumber"/>
      </w:rPr>
    </w:pPr>
  </w:p>
  <w:p w:rsidR="004E5FC6" w:rsidRPr="003D4919" w:rsidRDefault="004E5FC6">
    <w:pPr>
      <w:jc w:val="center"/>
      <w:rPr>
        <w:sz w:val="16"/>
      </w:rPr>
    </w:pPr>
    <w:r w:rsidRPr="003D4919">
      <w:rPr>
        <w:sz w:val="16"/>
      </w:rPr>
      <w:t>DAVISON VAN CLEVE, P.C.</w:t>
    </w:r>
  </w:p>
  <w:p w:rsidR="004E5FC6" w:rsidRPr="003D4919" w:rsidRDefault="004E5FC6">
    <w:pPr>
      <w:tabs>
        <w:tab w:val="center" w:pos="4680"/>
      </w:tabs>
      <w:jc w:val="center"/>
      <w:rPr>
        <w:sz w:val="16"/>
      </w:rPr>
    </w:pPr>
    <w:r w:rsidRPr="003D4919">
      <w:rPr>
        <w:sz w:val="16"/>
      </w:rPr>
      <w:t>333 SW Taylor, Suite 400</w:t>
    </w:r>
  </w:p>
  <w:p w:rsidR="004E5FC6" w:rsidRPr="003D4919" w:rsidRDefault="004E5FC6">
    <w:pPr>
      <w:tabs>
        <w:tab w:val="center" w:pos="4680"/>
      </w:tabs>
      <w:jc w:val="center"/>
      <w:rPr>
        <w:sz w:val="16"/>
      </w:rPr>
    </w:pPr>
    <w:r w:rsidRPr="003D4919">
      <w:rPr>
        <w:sz w:val="16"/>
      </w:rPr>
      <w:t>Portland, OR 97204</w:t>
    </w:r>
  </w:p>
  <w:p w:rsidR="004E5FC6" w:rsidRPr="003D4919" w:rsidRDefault="004E5FC6">
    <w:pPr>
      <w:pStyle w:val="Footer"/>
      <w:jc w:val="center"/>
    </w:pPr>
    <w:r w:rsidRPr="003D4919">
      <w:rPr>
        <w:sz w:val="16"/>
      </w:rPr>
      <w:t>Telephone (503) 241-7242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C6" w:rsidRPr="005805E4" w:rsidRDefault="004E5FC6" w:rsidP="00DC7B75">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EA4010">
      <w:rPr>
        <w:rStyle w:val="PageNumber"/>
        <w:noProof/>
      </w:rPr>
      <w:t>1</w:t>
    </w:r>
    <w:r>
      <w:rPr>
        <w:rStyle w:val="PageNumber"/>
      </w:rPr>
      <w:fldChar w:fldCharType="end"/>
    </w:r>
    <w:r>
      <w:rPr>
        <w:rStyle w:val="PageNumber"/>
      </w:rPr>
      <w:t xml:space="preserve"> – </w:t>
    </w:r>
    <w:r>
      <w:rPr>
        <w:rStyle w:val="PageNumber"/>
        <w:lang w:val="en-US"/>
      </w:rPr>
      <w:t>MOTIONS</w:t>
    </w:r>
    <w:r>
      <w:rPr>
        <w:rStyle w:val="PageNumber"/>
      </w:rPr>
      <w:t xml:space="preserve"> </w:t>
    </w:r>
    <w:r>
      <w:rPr>
        <w:rStyle w:val="PageNumber"/>
        <w:lang w:val="en-US"/>
      </w:rPr>
      <w:t xml:space="preserve">OF </w:t>
    </w:r>
    <w:r>
      <w:t>BOISE WHITE PAPER, L</w:t>
    </w:r>
    <w:r>
      <w:rPr>
        <w:lang w:val="en-US"/>
      </w:rPr>
      <w:t>.</w:t>
    </w:r>
    <w:r>
      <w:t>L</w:t>
    </w:r>
    <w:r>
      <w:rPr>
        <w:lang w:val="en-US"/>
      </w:rPr>
      <w:t>.</w:t>
    </w:r>
    <w:r>
      <w:t>C</w:t>
    </w:r>
    <w:r>
      <w:rPr>
        <w:lang w:val="en-US"/>
      </w:rPr>
      <w:t>.</w:t>
    </w:r>
  </w:p>
  <w:p w:rsidR="004E5FC6" w:rsidRPr="00B67B21" w:rsidRDefault="004E5FC6" w:rsidP="00DC7B75">
    <w:pPr>
      <w:jc w:val="center"/>
      <w:rPr>
        <w:sz w:val="16"/>
      </w:rPr>
    </w:pPr>
  </w:p>
  <w:p w:rsidR="004E5FC6" w:rsidRPr="00B67B21" w:rsidRDefault="004E5FC6" w:rsidP="00DC7B75">
    <w:pPr>
      <w:jc w:val="center"/>
      <w:rPr>
        <w:sz w:val="16"/>
      </w:rPr>
    </w:pPr>
    <w:r w:rsidRPr="00B67B21">
      <w:rPr>
        <w:sz w:val="16"/>
      </w:rPr>
      <w:t>DAVISON VAN CLEVE, P.C.</w:t>
    </w:r>
  </w:p>
  <w:p w:rsidR="004E5FC6" w:rsidRPr="00B67B21" w:rsidRDefault="004E5FC6" w:rsidP="00DC7B75">
    <w:pPr>
      <w:tabs>
        <w:tab w:val="center" w:pos="4680"/>
      </w:tabs>
      <w:jc w:val="center"/>
      <w:rPr>
        <w:sz w:val="16"/>
      </w:rPr>
    </w:pPr>
    <w:r w:rsidRPr="00B67B21">
      <w:rPr>
        <w:sz w:val="16"/>
      </w:rPr>
      <w:t>333 SW Taylor, Suite 400</w:t>
    </w:r>
  </w:p>
  <w:p w:rsidR="004E5FC6" w:rsidRPr="00B67B21" w:rsidRDefault="004E5FC6" w:rsidP="00DC7B75">
    <w:pPr>
      <w:tabs>
        <w:tab w:val="center" w:pos="4680"/>
      </w:tabs>
      <w:jc w:val="center"/>
      <w:rPr>
        <w:sz w:val="16"/>
      </w:rPr>
    </w:pPr>
    <w:r w:rsidRPr="00B67B21">
      <w:rPr>
        <w:sz w:val="16"/>
      </w:rPr>
      <w:t>Portland, OR 97204</w:t>
    </w:r>
  </w:p>
  <w:p w:rsidR="004E5FC6" w:rsidRPr="00B67B21" w:rsidRDefault="004E5FC6" w:rsidP="00DC7B75">
    <w:pPr>
      <w:pStyle w:val="Footer"/>
      <w:jc w:val="center"/>
    </w:pPr>
    <w:r w:rsidRPr="00B67B21">
      <w:rPr>
        <w:sz w:val="16"/>
      </w:rPr>
      <w:t>Telephone (503) 241-7242</w:t>
    </w:r>
  </w:p>
  <w:p w:rsidR="004E5FC6" w:rsidRDefault="004E5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40" w:rsidRDefault="00107B40">
      <w:r>
        <w:separator/>
      </w:r>
    </w:p>
  </w:footnote>
  <w:footnote w:type="continuationSeparator" w:id="0">
    <w:p w:rsidR="00107B40" w:rsidRPr="001A6AC7" w:rsidRDefault="00107B40" w:rsidP="001A6AC7">
      <w:r>
        <w:separator/>
      </w:r>
    </w:p>
  </w:footnote>
  <w:footnote w:type="continuationNotice" w:id="1">
    <w:p w:rsidR="00107B40" w:rsidRDefault="00107B40"/>
  </w:footnote>
  <w:footnote w:id="2">
    <w:p w:rsidR="004E5FC6" w:rsidRPr="003318BF" w:rsidRDefault="004E5FC6" w:rsidP="00952395">
      <w:pPr>
        <w:pStyle w:val="FootnoteText"/>
        <w:rPr>
          <w:lang w:val="en-US"/>
        </w:rPr>
      </w:pPr>
      <w:r w:rsidRPr="003318BF">
        <w:rPr>
          <w:rStyle w:val="FootnoteReference"/>
          <w:u w:val="single"/>
        </w:rPr>
        <w:footnoteRef/>
      </w:r>
      <w:r>
        <w:rPr>
          <w:vertAlign w:val="superscript"/>
          <w:lang w:val="en-US"/>
        </w:rPr>
        <w:t>/</w:t>
      </w:r>
      <w:r>
        <w:rPr>
          <w:lang w:val="en-US"/>
        </w:rPr>
        <w:tab/>
      </w:r>
      <w:r w:rsidRPr="00952395">
        <w:rPr>
          <w:lang w:val="en-US"/>
        </w:rPr>
        <w:t xml:space="preserve">Petition </w:t>
      </w:r>
      <w:r>
        <w:rPr>
          <w:lang w:val="en-US"/>
        </w:rPr>
        <w:t>at ¶ 24.</w:t>
      </w:r>
      <w:r>
        <w:t xml:space="preserve"> </w:t>
      </w:r>
    </w:p>
  </w:footnote>
  <w:footnote w:id="3">
    <w:p w:rsidR="004E5FC6" w:rsidRPr="003318BF" w:rsidRDefault="004E5FC6" w:rsidP="00952395">
      <w:pPr>
        <w:pStyle w:val="FootnoteText"/>
        <w:rPr>
          <w:lang w:val="en-US"/>
        </w:rPr>
      </w:pPr>
      <w:r w:rsidRPr="003318BF">
        <w:rPr>
          <w:rStyle w:val="FootnoteReference"/>
          <w:u w:val="single"/>
        </w:rPr>
        <w:footnoteRef/>
      </w:r>
      <w:r>
        <w:rPr>
          <w:vertAlign w:val="superscript"/>
          <w:lang w:val="en-US"/>
        </w:rPr>
        <w:t>/</w:t>
      </w:r>
      <w:r>
        <w:rPr>
          <w:lang w:val="en-US"/>
        </w:rPr>
        <w:tab/>
      </w:r>
      <w:proofErr w:type="spellStart"/>
      <w:r>
        <w:rPr>
          <w:lang w:val="en-US"/>
        </w:rPr>
        <w:t>Exh</w:t>
      </w:r>
      <w:proofErr w:type="spellEnd"/>
      <w:r>
        <w:rPr>
          <w:lang w:val="en-US"/>
        </w:rPr>
        <w:t xml:space="preserve">. No. </w:t>
      </w:r>
      <w:proofErr w:type="gramStart"/>
      <w:r>
        <w:rPr>
          <w:lang w:val="en-US"/>
        </w:rPr>
        <w:t>SEM-1T at 4:13.</w:t>
      </w:r>
      <w:proofErr w:type="gramEnd"/>
      <w:r>
        <w:t xml:space="preserve"> </w:t>
      </w:r>
    </w:p>
  </w:footnote>
  <w:footnote w:id="4">
    <w:p w:rsidR="004E5FC6" w:rsidRPr="003318BF" w:rsidRDefault="004E5FC6" w:rsidP="00952395">
      <w:pPr>
        <w:pStyle w:val="FootnoteText"/>
        <w:rPr>
          <w:lang w:val="en-US"/>
        </w:rPr>
      </w:pPr>
      <w:r w:rsidRPr="003318BF">
        <w:rPr>
          <w:rStyle w:val="FootnoteReference"/>
          <w:u w:val="single"/>
        </w:rPr>
        <w:footnoteRef/>
      </w:r>
      <w:r>
        <w:rPr>
          <w:vertAlign w:val="superscript"/>
          <w:lang w:val="en-US"/>
        </w:rPr>
        <w:t>/</w:t>
      </w:r>
      <w:r>
        <w:rPr>
          <w:lang w:val="en-US"/>
        </w:rPr>
        <w:tab/>
      </w:r>
      <w:r w:rsidRPr="00952395">
        <w:rPr>
          <w:lang w:val="en-US"/>
        </w:rPr>
        <w:t xml:space="preserve">Petition </w:t>
      </w:r>
      <w:r>
        <w:rPr>
          <w:lang w:val="en-US"/>
        </w:rPr>
        <w:t>at ¶ 25 (emphasis added).</w:t>
      </w:r>
      <w:r>
        <w:t xml:space="preserve"> </w:t>
      </w:r>
    </w:p>
  </w:footnote>
  <w:footnote w:id="5">
    <w:p w:rsidR="004E5FC6" w:rsidRPr="003318BF" w:rsidRDefault="004E5FC6" w:rsidP="00952395">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D267A7">
        <w:rPr>
          <w:u w:val="single"/>
          <w:lang w:val="en-US"/>
        </w:rPr>
        <w:t>Id.</w:t>
      </w:r>
      <w:r>
        <w:rPr>
          <w:lang w:val="en-US"/>
        </w:rPr>
        <w:t xml:space="preserve"> at ¶ 26 (</w:t>
      </w:r>
      <w:r w:rsidRPr="00746675">
        <w:rPr>
          <w:u w:val="single"/>
          <w:lang w:val="en-US"/>
        </w:rPr>
        <w:t>quoting</w:t>
      </w:r>
      <w:r>
        <w:rPr>
          <w:lang w:val="en-US"/>
        </w:rPr>
        <w:t xml:space="preserve"> </w:t>
      </w:r>
      <w:r w:rsidRPr="00746675">
        <w:rPr>
          <w:u w:val="single"/>
          <w:lang w:val="en-US"/>
        </w:rPr>
        <w:t>WUTC v. Puget Sound Energy (“PSE”)</w:t>
      </w:r>
      <w:r>
        <w:rPr>
          <w:lang w:val="en-US"/>
        </w:rPr>
        <w:t xml:space="preserve">, Dockets UE-130137 </w:t>
      </w:r>
      <w:r w:rsidRPr="00746675">
        <w:rPr>
          <w:i/>
          <w:lang w:val="en-US"/>
        </w:rPr>
        <w:t>et al.</w:t>
      </w:r>
      <w:r>
        <w:rPr>
          <w:lang w:val="en-US"/>
        </w:rPr>
        <w:t>, Order 15/14 at ¶ 21, n.18 (June 29, 2015))</w:t>
      </w:r>
      <w:r w:rsidR="00ED089D">
        <w:rPr>
          <w:lang w:val="en-US"/>
        </w:rPr>
        <w:t xml:space="preserve"> (emphasis added)</w:t>
      </w:r>
      <w:r>
        <w:rPr>
          <w:lang w:val="en-US"/>
        </w:rPr>
        <w:t>.</w:t>
      </w:r>
      <w:r>
        <w:t xml:space="preserve"> </w:t>
      </w:r>
    </w:p>
  </w:footnote>
  <w:footnote w:id="6">
    <w:p w:rsidR="004E5FC6" w:rsidRPr="003318BF" w:rsidRDefault="004E5FC6" w:rsidP="007B1B70">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D267A7">
        <w:rPr>
          <w:u w:val="single"/>
          <w:lang w:val="en-US"/>
        </w:rPr>
        <w:t>Id.</w:t>
      </w:r>
      <w:r>
        <w:rPr>
          <w:lang w:val="en-US"/>
        </w:rPr>
        <w:t xml:space="preserve"> </w:t>
      </w:r>
      <w:r w:rsidR="00A62ED2">
        <w:rPr>
          <w:lang w:val="en-US"/>
        </w:rPr>
        <w:t xml:space="preserve"> </w:t>
      </w:r>
    </w:p>
  </w:footnote>
  <w:footnote w:id="7">
    <w:p w:rsidR="004E5FC6" w:rsidRPr="003318BF" w:rsidRDefault="004E5FC6" w:rsidP="005E2555">
      <w:pPr>
        <w:pStyle w:val="FootnoteText"/>
        <w:rPr>
          <w:lang w:val="en-US"/>
        </w:rPr>
      </w:pPr>
      <w:r w:rsidRPr="003318BF">
        <w:rPr>
          <w:rStyle w:val="FootnoteReference"/>
          <w:u w:val="single"/>
        </w:rPr>
        <w:footnoteRef/>
      </w:r>
      <w:r>
        <w:rPr>
          <w:vertAlign w:val="superscript"/>
          <w:lang w:val="en-US"/>
        </w:rPr>
        <w:t>/</w:t>
      </w:r>
      <w:r>
        <w:rPr>
          <w:lang w:val="en-US"/>
        </w:rPr>
        <w:tab/>
      </w:r>
      <w:r w:rsidRPr="005E2555">
        <w:rPr>
          <w:lang w:val="en-US"/>
        </w:rPr>
        <w:t xml:space="preserve">Dockets UE-130137 </w:t>
      </w:r>
      <w:r w:rsidRPr="005E2555">
        <w:rPr>
          <w:i/>
          <w:lang w:val="en-US"/>
        </w:rPr>
        <w:t>et al.</w:t>
      </w:r>
      <w:r>
        <w:rPr>
          <w:lang w:val="en-US"/>
        </w:rPr>
        <w:t>, Order 10 at ¶ 1</w:t>
      </w:r>
      <w:r w:rsidRPr="005E2555">
        <w:rPr>
          <w:lang w:val="en-US"/>
        </w:rPr>
        <w:t xml:space="preserve"> (Oct. 8, 2014)</w:t>
      </w:r>
      <w:r>
        <w:rPr>
          <w:lang w:val="en-US"/>
        </w:rPr>
        <w:t>.</w:t>
      </w:r>
      <w:r>
        <w:t xml:space="preserve"> </w:t>
      </w:r>
    </w:p>
  </w:footnote>
  <w:footnote w:id="8">
    <w:p w:rsidR="004E5FC6" w:rsidRPr="003318BF" w:rsidRDefault="004E5FC6" w:rsidP="005E2555">
      <w:pPr>
        <w:pStyle w:val="FootnoteText"/>
        <w:rPr>
          <w:lang w:val="en-US"/>
        </w:rPr>
      </w:pPr>
      <w:r w:rsidRPr="003318BF">
        <w:rPr>
          <w:rStyle w:val="FootnoteReference"/>
          <w:u w:val="single"/>
        </w:rPr>
        <w:footnoteRef/>
      </w:r>
      <w:r>
        <w:rPr>
          <w:vertAlign w:val="superscript"/>
          <w:lang w:val="en-US"/>
        </w:rPr>
        <w:t>/</w:t>
      </w:r>
      <w:r>
        <w:rPr>
          <w:lang w:val="en-US"/>
        </w:rPr>
        <w:tab/>
      </w:r>
      <w:r w:rsidRPr="00D267A7">
        <w:rPr>
          <w:u w:val="single"/>
          <w:lang w:val="en-US"/>
        </w:rPr>
        <w:t>Id.</w:t>
      </w:r>
      <w:r>
        <w:rPr>
          <w:lang w:val="en-US"/>
        </w:rPr>
        <w:t xml:space="preserve"> at ¶ 2.</w:t>
      </w:r>
      <w:r>
        <w:t xml:space="preserve"> </w:t>
      </w:r>
    </w:p>
  </w:footnote>
  <w:footnote w:id="9">
    <w:p w:rsidR="004E5FC6" w:rsidRPr="003318BF" w:rsidRDefault="004E5FC6" w:rsidP="005E2555">
      <w:pPr>
        <w:pStyle w:val="FootnoteText"/>
        <w:rPr>
          <w:lang w:val="en-US"/>
        </w:rPr>
      </w:pPr>
      <w:r w:rsidRPr="003318BF">
        <w:rPr>
          <w:rStyle w:val="FootnoteReference"/>
          <w:u w:val="single"/>
        </w:rPr>
        <w:footnoteRef/>
      </w:r>
      <w:r>
        <w:rPr>
          <w:vertAlign w:val="superscript"/>
          <w:lang w:val="en-US"/>
        </w:rPr>
        <w:t>/</w:t>
      </w:r>
      <w:r>
        <w:rPr>
          <w:lang w:val="en-US"/>
        </w:rPr>
        <w:tab/>
      </w:r>
      <w:r w:rsidRPr="00D267A7">
        <w:rPr>
          <w:u w:val="single"/>
          <w:lang w:val="en-US"/>
        </w:rPr>
        <w:t>Id.</w:t>
      </w:r>
      <w:r>
        <w:rPr>
          <w:lang w:val="en-US"/>
        </w:rPr>
        <w:t xml:space="preserve"> at ¶ 3 (emphasis added).</w:t>
      </w:r>
      <w:r>
        <w:t xml:space="preserve"> </w:t>
      </w:r>
    </w:p>
  </w:footnote>
  <w:footnote w:id="10">
    <w:p w:rsidR="004E5FC6" w:rsidRPr="003318BF" w:rsidRDefault="004E5FC6" w:rsidP="0034023A">
      <w:pPr>
        <w:pStyle w:val="FootnoteText"/>
        <w:rPr>
          <w:lang w:val="en-US"/>
        </w:rPr>
      </w:pPr>
      <w:r w:rsidRPr="003318BF">
        <w:rPr>
          <w:rStyle w:val="FootnoteReference"/>
          <w:u w:val="single"/>
        </w:rPr>
        <w:footnoteRef/>
      </w:r>
      <w:r>
        <w:rPr>
          <w:vertAlign w:val="superscript"/>
          <w:lang w:val="en-US"/>
        </w:rPr>
        <w:t>/</w:t>
      </w:r>
      <w:r>
        <w:rPr>
          <w:lang w:val="en-US"/>
        </w:rPr>
        <w:tab/>
      </w:r>
      <w:r w:rsidRPr="00D267A7">
        <w:rPr>
          <w:u w:val="single"/>
          <w:lang w:val="en-US"/>
        </w:rPr>
        <w:t>Id.</w:t>
      </w:r>
      <w:r>
        <w:rPr>
          <w:lang w:val="en-US"/>
        </w:rPr>
        <w:t xml:space="preserve"> (emphasis added).</w:t>
      </w:r>
      <w:r>
        <w:t xml:space="preserve"> </w:t>
      </w:r>
    </w:p>
  </w:footnote>
  <w:footnote w:id="11">
    <w:p w:rsidR="004E5FC6" w:rsidRPr="003318BF" w:rsidRDefault="004E5FC6" w:rsidP="00A37346">
      <w:pPr>
        <w:pStyle w:val="FootnoteText"/>
        <w:rPr>
          <w:lang w:val="en-US"/>
        </w:rPr>
      </w:pPr>
      <w:r w:rsidRPr="003318BF">
        <w:rPr>
          <w:rStyle w:val="FootnoteReference"/>
          <w:u w:val="single"/>
        </w:rPr>
        <w:footnoteRef/>
      </w:r>
      <w:r>
        <w:rPr>
          <w:vertAlign w:val="superscript"/>
          <w:lang w:val="en-US"/>
        </w:rPr>
        <w:t>/</w:t>
      </w:r>
      <w:r>
        <w:rPr>
          <w:lang w:val="en-US"/>
        </w:rPr>
        <w:tab/>
        <w:t>WAC § 480-07-380(1</w:t>
      </w:r>
      <w:proofErr w:type="gramStart"/>
      <w:r>
        <w:rPr>
          <w:lang w:val="en-US"/>
        </w:rPr>
        <w:t>)(</w:t>
      </w:r>
      <w:proofErr w:type="gramEnd"/>
      <w:r>
        <w:rPr>
          <w:lang w:val="en-US"/>
        </w:rPr>
        <w:t>a).</w:t>
      </w:r>
      <w:r>
        <w:t xml:space="preserve"> </w:t>
      </w:r>
    </w:p>
  </w:footnote>
  <w:footnote w:id="12">
    <w:p w:rsidR="004E5FC6" w:rsidRPr="003318BF" w:rsidRDefault="004E5FC6" w:rsidP="0000190F">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746675">
        <w:rPr>
          <w:u w:val="single"/>
          <w:lang w:val="en-US"/>
        </w:rPr>
        <w:t xml:space="preserve">WUTC v. </w:t>
      </w:r>
      <w:r>
        <w:rPr>
          <w:u w:val="single"/>
          <w:lang w:val="en-US"/>
        </w:rPr>
        <w:t>Waste Control, Inc.</w:t>
      </w:r>
      <w:r>
        <w:rPr>
          <w:lang w:val="en-US"/>
        </w:rPr>
        <w:t>, Docket TG-131794, Order 05 at ¶ 14 (Mar. 25, 2014) (</w:t>
      </w:r>
      <w:r w:rsidRPr="0000190F">
        <w:rPr>
          <w:u w:val="single"/>
          <w:lang w:val="en-US"/>
        </w:rPr>
        <w:t>quoting</w:t>
      </w:r>
      <w:r>
        <w:rPr>
          <w:lang w:val="en-US"/>
        </w:rPr>
        <w:t xml:space="preserve"> </w:t>
      </w:r>
      <w:r w:rsidRPr="0000190F">
        <w:rPr>
          <w:u w:val="single"/>
          <w:lang w:val="en-US"/>
        </w:rPr>
        <w:t xml:space="preserve">WUTC v. </w:t>
      </w:r>
      <w:r>
        <w:rPr>
          <w:u w:val="single"/>
          <w:lang w:val="en-US"/>
        </w:rPr>
        <w:t>PSE</w:t>
      </w:r>
      <w:r>
        <w:rPr>
          <w:lang w:val="en-US"/>
        </w:rPr>
        <w:t>, Dockets UE-011163 and UE-011170, Sixth Suppl. Order at ¶ 15 (Oct. 4, 2001)).</w:t>
      </w:r>
      <w:r>
        <w:t xml:space="preserve"> </w:t>
      </w:r>
    </w:p>
  </w:footnote>
  <w:footnote w:id="13">
    <w:p w:rsidR="004E5FC6" w:rsidRPr="003318BF" w:rsidRDefault="004E5FC6" w:rsidP="001D6FB8">
      <w:pPr>
        <w:pStyle w:val="FootnoteText"/>
        <w:rPr>
          <w:lang w:val="en-US"/>
        </w:rPr>
      </w:pPr>
      <w:r w:rsidRPr="003318BF">
        <w:rPr>
          <w:rStyle w:val="FootnoteReference"/>
          <w:u w:val="single"/>
        </w:rPr>
        <w:footnoteRef/>
      </w:r>
      <w:r>
        <w:rPr>
          <w:vertAlign w:val="superscript"/>
          <w:lang w:val="en-US"/>
        </w:rPr>
        <w:t>/</w:t>
      </w:r>
      <w:r>
        <w:rPr>
          <w:lang w:val="en-US"/>
        </w:rPr>
        <w:tab/>
      </w:r>
      <w:r w:rsidRPr="00D267A7">
        <w:rPr>
          <w:u w:val="single"/>
          <w:lang w:val="en-US"/>
        </w:rPr>
        <w:t>Id.</w:t>
      </w:r>
      <w:r>
        <w:rPr>
          <w:lang w:val="en-US"/>
        </w:rPr>
        <w:t xml:space="preserve"> at ¶ 18.</w:t>
      </w:r>
      <w:r>
        <w:t xml:space="preserve"> </w:t>
      </w:r>
    </w:p>
  </w:footnote>
  <w:footnote w:id="14">
    <w:p w:rsidR="004E5FC6" w:rsidRPr="003318BF" w:rsidRDefault="004E5FC6" w:rsidP="00C66AF5">
      <w:pPr>
        <w:pStyle w:val="FootnoteText"/>
        <w:rPr>
          <w:lang w:val="en-US"/>
        </w:rPr>
      </w:pPr>
      <w:r w:rsidRPr="003318BF">
        <w:rPr>
          <w:rStyle w:val="FootnoteReference"/>
          <w:u w:val="single"/>
        </w:rPr>
        <w:footnoteRef/>
      </w:r>
      <w:r>
        <w:rPr>
          <w:vertAlign w:val="superscript"/>
          <w:lang w:val="en-US"/>
        </w:rPr>
        <w:t>/</w:t>
      </w:r>
      <w:r>
        <w:rPr>
          <w:lang w:val="en-US"/>
        </w:rPr>
        <w:tab/>
      </w:r>
      <w:r w:rsidRPr="00D267A7">
        <w:rPr>
          <w:u w:val="single"/>
          <w:lang w:val="en-US"/>
        </w:rPr>
        <w:t>Id.</w:t>
      </w:r>
      <w:r w:rsidR="00184099">
        <w:rPr>
          <w:lang w:val="en-US"/>
        </w:rPr>
        <w:t xml:space="preserve"> at ¶¶ 14, 18</w:t>
      </w:r>
      <w:r>
        <w:rPr>
          <w:lang w:val="en-US"/>
        </w:rPr>
        <w:t>.</w:t>
      </w:r>
      <w:r>
        <w:t xml:space="preserve"> </w:t>
      </w:r>
    </w:p>
  </w:footnote>
  <w:footnote w:id="15">
    <w:p w:rsidR="004E5FC6" w:rsidRPr="0053734A" w:rsidRDefault="004E5FC6" w:rsidP="006F3F68">
      <w:pPr>
        <w:pStyle w:val="FootnoteText"/>
        <w:ind w:left="720" w:hanging="720"/>
        <w:rPr>
          <w:lang w:val="en-US"/>
        </w:rPr>
      </w:pPr>
      <w:r w:rsidRPr="003318BF">
        <w:rPr>
          <w:rStyle w:val="FootnoteReference"/>
          <w:u w:val="single"/>
        </w:rPr>
        <w:footnoteRef/>
      </w:r>
      <w:r>
        <w:rPr>
          <w:vertAlign w:val="superscript"/>
          <w:lang w:val="en-US"/>
        </w:rPr>
        <w:t>/</w:t>
      </w:r>
      <w:r>
        <w:rPr>
          <w:lang w:val="en-US"/>
        </w:rPr>
        <w:tab/>
        <w:t xml:space="preserve">WUTC Online Records Center, available at:  </w:t>
      </w:r>
      <w:hyperlink r:id="rId1" w:history="1">
        <w:r w:rsidRPr="005E29F8">
          <w:rPr>
            <w:rStyle w:val="Hyperlink"/>
            <w:lang w:val="en-US"/>
          </w:rPr>
          <w:t>http://www.utc.wa.gov/docs/Pages/DocketLookup.aspx?FilingID=152253</w:t>
        </w:r>
      </w:hyperlink>
      <w:r w:rsidR="00EA4010">
        <w:rPr>
          <w:lang w:val="en-US"/>
        </w:rPr>
        <w:t xml:space="preserve"> (last visited Dec. 10, 2015).</w:t>
      </w:r>
    </w:p>
  </w:footnote>
  <w:footnote w:id="16">
    <w:p w:rsidR="004E5FC6" w:rsidRPr="003318BF" w:rsidRDefault="004E5FC6" w:rsidP="008666E8">
      <w:pPr>
        <w:pStyle w:val="FootnoteText"/>
        <w:rPr>
          <w:lang w:val="en-US"/>
        </w:rPr>
      </w:pPr>
      <w:r w:rsidRPr="003318BF">
        <w:rPr>
          <w:rStyle w:val="FootnoteReference"/>
          <w:u w:val="single"/>
        </w:rPr>
        <w:footnoteRef/>
      </w:r>
      <w:r>
        <w:rPr>
          <w:vertAlign w:val="superscript"/>
          <w:lang w:val="en-US"/>
        </w:rPr>
        <w:t>/</w:t>
      </w:r>
      <w:r>
        <w:rPr>
          <w:lang w:val="en-US"/>
        </w:rPr>
        <w:tab/>
      </w:r>
      <w:r w:rsidRPr="008666E8">
        <w:rPr>
          <w:u w:val="single"/>
          <w:lang w:val="en-US"/>
        </w:rPr>
        <w:t>E.g.</w:t>
      </w:r>
      <w:r>
        <w:rPr>
          <w:lang w:val="en-US"/>
        </w:rPr>
        <w:t xml:space="preserve">, Petition at ¶ 8; </w:t>
      </w:r>
      <w:r w:rsidRPr="008666E8">
        <w:rPr>
          <w:u w:val="single"/>
          <w:lang w:val="en-US"/>
        </w:rPr>
        <w:t>id.</w:t>
      </w:r>
      <w:r>
        <w:rPr>
          <w:lang w:val="en-US"/>
        </w:rPr>
        <w:t xml:space="preserve"> </w:t>
      </w:r>
      <w:proofErr w:type="gramStart"/>
      <w:r>
        <w:rPr>
          <w:lang w:val="en-US"/>
        </w:rPr>
        <w:t>at</w:t>
      </w:r>
      <w:proofErr w:type="gramEnd"/>
      <w:r>
        <w:rPr>
          <w:lang w:val="en-US"/>
        </w:rPr>
        <w:t xml:space="preserve"> ¶ 24, n.41.</w:t>
      </w:r>
      <w:r>
        <w:t xml:space="preserve"> </w:t>
      </w:r>
    </w:p>
  </w:footnote>
  <w:footnote w:id="17">
    <w:p w:rsidR="004E5FC6" w:rsidRPr="003318BF" w:rsidRDefault="004E5FC6" w:rsidP="00205674">
      <w:pPr>
        <w:pStyle w:val="FootnoteText"/>
        <w:rPr>
          <w:lang w:val="en-US"/>
        </w:rPr>
      </w:pPr>
      <w:r w:rsidRPr="003318BF">
        <w:rPr>
          <w:rStyle w:val="FootnoteReference"/>
          <w:u w:val="single"/>
        </w:rPr>
        <w:footnoteRef/>
      </w:r>
      <w:r>
        <w:rPr>
          <w:vertAlign w:val="superscript"/>
          <w:lang w:val="en-US"/>
        </w:rPr>
        <w:t>/</w:t>
      </w:r>
      <w:r>
        <w:rPr>
          <w:lang w:val="en-US"/>
        </w:rPr>
        <w:tab/>
      </w:r>
      <w:r w:rsidRPr="00205674">
        <w:rPr>
          <w:u w:val="single"/>
          <w:lang w:val="en-US"/>
        </w:rPr>
        <w:t>Id.</w:t>
      </w:r>
      <w:r>
        <w:rPr>
          <w:lang w:val="en-US"/>
        </w:rPr>
        <w:t xml:space="preserve"> at ¶ 24, n.41 (emphasis added).</w:t>
      </w:r>
      <w:r>
        <w:t xml:space="preserve"> </w:t>
      </w:r>
    </w:p>
  </w:footnote>
  <w:footnote w:id="18">
    <w:p w:rsidR="00A34EC4" w:rsidRPr="003318BF" w:rsidRDefault="00A34EC4" w:rsidP="00A34EC4">
      <w:pPr>
        <w:pStyle w:val="FootnoteText"/>
        <w:rPr>
          <w:lang w:val="en-US"/>
        </w:rPr>
      </w:pPr>
      <w:r w:rsidRPr="003318BF">
        <w:rPr>
          <w:rStyle w:val="FootnoteReference"/>
          <w:u w:val="single"/>
        </w:rPr>
        <w:footnoteRef/>
      </w:r>
      <w:r>
        <w:rPr>
          <w:vertAlign w:val="superscript"/>
          <w:lang w:val="en-US"/>
        </w:rPr>
        <w:t>/</w:t>
      </w:r>
      <w:r>
        <w:rPr>
          <w:lang w:val="en-US"/>
        </w:rPr>
        <w:tab/>
      </w:r>
      <w:r w:rsidRPr="00205674">
        <w:rPr>
          <w:u w:val="single"/>
          <w:lang w:val="en-US"/>
        </w:rPr>
        <w:t>Id.</w:t>
      </w:r>
      <w:r>
        <w:rPr>
          <w:lang w:val="en-US"/>
        </w:rPr>
        <w:t xml:space="preserve"> at ¶ 9.</w:t>
      </w:r>
      <w:r>
        <w:t xml:space="preserve"> </w:t>
      </w:r>
    </w:p>
  </w:footnote>
  <w:footnote w:id="19">
    <w:p w:rsidR="004E5FC6" w:rsidRPr="003318BF" w:rsidRDefault="004E5FC6" w:rsidP="00601916">
      <w:pPr>
        <w:pStyle w:val="FootnoteText"/>
        <w:rPr>
          <w:lang w:val="en-US"/>
        </w:rPr>
      </w:pPr>
      <w:r w:rsidRPr="003318BF">
        <w:rPr>
          <w:rStyle w:val="FootnoteReference"/>
          <w:u w:val="single"/>
        </w:rPr>
        <w:footnoteRef/>
      </w:r>
      <w:r>
        <w:rPr>
          <w:vertAlign w:val="superscript"/>
          <w:lang w:val="en-US"/>
        </w:rPr>
        <w:t>/</w:t>
      </w:r>
      <w:r>
        <w:rPr>
          <w:lang w:val="en-US"/>
        </w:rPr>
        <w:tab/>
      </w:r>
      <w:proofErr w:type="spellStart"/>
      <w:r>
        <w:rPr>
          <w:lang w:val="en-US"/>
        </w:rPr>
        <w:t>Exh</w:t>
      </w:r>
      <w:proofErr w:type="spellEnd"/>
      <w:r>
        <w:rPr>
          <w:lang w:val="en-US"/>
        </w:rPr>
        <w:t>. No. KGS-1T at 3:17-18.</w:t>
      </w:r>
      <w:r>
        <w:t xml:space="preserve"> </w:t>
      </w:r>
    </w:p>
  </w:footnote>
  <w:footnote w:id="20">
    <w:p w:rsidR="004E5FC6" w:rsidRPr="003318BF" w:rsidRDefault="004E5FC6" w:rsidP="002B50A5">
      <w:pPr>
        <w:pStyle w:val="FootnoteText"/>
        <w:rPr>
          <w:lang w:val="en-US"/>
        </w:rPr>
      </w:pPr>
      <w:r w:rsidRPr="003318BF">
        <w:rPr>
          <w:rStyle w:val="FootnoteReference"/>
          <w:u w:val="single"/>
        </w:rPr>
        <w:footnoteRef/>
      </w:r>
      <w:r>
        <w:rPr>
          <w:vertAlign w:val="superscript"/>
          <w:lang w:val="en-US"/>
        </w:rPr>
        <w:t>/</w:t>
      </w:r>
      <w:r>
        <w:rPr>
          <w:lang w:val="en-US"/>
        </w:rPr>
        <w:tab/>
      </w:r>
      <w:r w:rsidRPr="005E2555">
        <w:rPr>
          <w:lang w:val="en-US"/>
        </w:rPr>
        <w:t xml:space="preserve">Dockets UE-130137 </w:t>
      </w:r>
      <w:r w:rsidRPr="005E2555">
        <w:rPr>
          <w:i/>
          <w:lang w:val="en-US"/>
        </w:rPr>
        <w:t>et al.</w:t>
      </w:r>
      <w:r>
        <w:rPr>
          <w:lang w:val="en-US"/>
        </w:rPr>
        <w:t>, Order 10 at ¶ 3 (emphasis added</w:t>
      </w:r>
      <w:r w:rsidRPr="005E2555">
        <w:rPr>
          <w:lang w:val="en-US"/>
        </w:rPr>
        <w:t>)</w:t>
      </w:r>
      <w:r>
        <w:rPr>
          <w:lang w:val="en-US"/>
        </w:rPr>
        <w:t>.</w:t>
      </w:r>
      <w:r>
        <w:t xml:space="preserve"> </w:t>
      </w:r>
    </w:p>
  </w:footnote>
  <w:footnote w:id="21">
    <w:p w:rsidR="004E5FC6" w:rsidRPr="003318BF" w:rsidRDefault="004E5FC6" w:rsidP="00C84E28">
      <w:pPr>
        <w:pStyle w:val="FootnoteText"/>
        <w:rPr>
          <w:lang w:val="en-US"/>
        </w:rPr>
      </w:pPr>
      <w:r w:rsidRPr="003318BF">
        <w:rPr>
          <w:rStyle w:val="FootnoteReference"/>
          <w:u w:val="single"/>
        </w:rPr>
        <w:footnoteRef/>
      </w:r>
      <w:r>
        <w:rPr>
          <w:vertAlign w:val="superscript"/>
          <w:lang w:val="en-US"/>
        </w:rPr>
        <w:t>/</w:t>
      </w:r>
      <w:r>
        <w:rPr>
          <w:lang w:val="en-US"/>
        </w:rPr>
        <w:tab/>
        <w:t>WAC § 480-07-505(1</w:t>
      </w:r>
      <w:proofErr w:type="gramStart"/>
      <w:r>
        <w:rPr>
          <w:lang w:val="en-US"/>
        </w:rPr>
        <w:t>)(</w:t>
      </w:r>
      <w:proofErr w:type="gramEnd"/>
      <w:r>
        <w:rPr>
          <w:lang w:val="en-US"/>
        </w:rPr>
        <w:t>c).</w:t>
      </w:r>
      <w:r>
        <w:t xml:space="preserve"> </w:t>
      </w:r>
    </w:p>
  </w:footnote>
  <w:footnote w:id="22">
    <w:p w:rsidR="00C2161B" w:rsidRPr="003318BF" w:rsidRDefault="00C2161B" w:rsidP="00C2161B">
      <w:pPr>
        <w:pStyle w:val="FootnoteText"/>
        <w:rPr>
          <w:lang w:val="en-US"/>
        </w:rPr>
      </w:pPr>
      <w:r w:rsidRPr="003318BF">
        <w:rPr>
          <w:rStyle w:val="FootnoteReference"/>
          <w:u w:val="single"/>
        </w:rPr>
        <w:footnoteRef/>
      </w:r>
      <w:r>
        <w:rPr>
          <w:vertAlign w:val="superscript"/>
          <w:lang w:val="en-US"/>
        </w:rPr>
        <w:t>/</w:t>
      </w:r>
      <w:r>
        <w:rPr>
          <w:lang w:val="en-US"/>
        </w:rPr>
        <w:tab/>
        <w:t>WAC § 480-07-505(1</w:t>
      </w:r>
      <w:proofErr w:type="gramStart"/>
      <w:r>
        <w:rPr>
          <w:lang w:val="en-US"/>
        </w:rPr>
        <w:t>)(</w:t>
      </w:r>
      <w:proofErr w:type="gramEnd"/>
      <w:r>
        <w:rPr>
          <w:lang w:val="en-US"/>
        </w:rPr>
        <w:t>a).</w:t>
      </w:r>
      <w:r>
        <w:t xml:space="preserve"> </w:t>
      </w:r>
    </w:p>
  </w:footnote>
  <w:footnote w:id="23">
    <w:p w:rsidR="004E5FC6" w:rsidRPr="003318BF" w:rsidRDefault="004E5FC6" w:rsidP="00FA09D5">
      <w:pPr>
        <w:pStyle w:val="FootnoteText"/>
        <w:rPr>
          <w:lang w:val="en-US"/>
        </w:rPr>
      </w:pPr>
      <w:r w:rsidRPr="003318BF">
        <w:rPr>
          <w:rStyle w:val="FootnoteReference"/>
          <w:u w:val="single"/>
        </w:rPr>
        <w:footnoteRef/>
      </w:r>
      <w:r>
        <w:rPr>
          <w:vertAlign w:val="superscript"/>
          <w:lang w:val="en-US"/>
        </w:rPr>
        <w:t>/</w:t>
      </w:r>
      <w:r>
        <w:rPr>
          <w:lang w:val="en-US"/>
        </w:rPr>
        <w:tab/>
      </w:r>
      <w:r w:rsidRPr="005E2555">
        <w:rPr>
          <w:lang w:val="en-US"/>
        </w:rPr>
        <w:t xml:space="preserve">Dockets UE-130137 </w:t>
      </w:r>
      <w:r w:rsidRPr="005E2555">
        <w:rPr>
          <w:i/>
          <w:lang w:val="en-US"/>
        </w:rPr>
        <w:t>et al.</w:t>
      </w:r>
      <w:r>
        <w:rPr>
          <w:lang w:val="en-US"/>
        </w:rPr>
        <w:t>, Order 07 at ¶ 188</w:t>
      </w:r>
      <w:r w:rsidR="006270BC">
        <w:rPr>
          <w:lang w:val="en-US"/>
        </w:rPr>
        <w:t xml:space="preserve"> (June 25, 2013)</w:t>
      </w:r>
      <w:r>
        <w:rPr>
          <w:lang w:val="en-US"/>
        </w:rPr>
        <w:t>.</w:t>
      </w:r>
      <w:r>
        <w:t xml:space="preserve"> </w:t>
      </w:r>
    </w:p>
  </w:footnote>
  <w:footnote w:id="24">
    <w:p w:rsidR="004E5FC6" w:rsidRPr="003318BF" w:rsidRDefault="004E5FC6" w:rsidP="00FA09D5">
      <w:pPr>
        <w:pStyle w:val="FootnoteText"/>
        <w:rPr>
          <w:lang w:val="en-US"/>
        </w:rPr>
      </w:pPr>
      <w:r w:rsidRPr="003318BF">
        <w:rPr>
          <w:rStyle w:val="FootnoteReference"/>
          <w:u w:val="single"/>
        </w:rPr>
        <w:footnoteRef/>
      </w:r>
      <w:r>
        <w:rPr>
          <w:vertAlign w:val="superscript"/>
          <w:lang w:val="en-US"/>
        </w:rPr>
        <w:t>/</w:t>
      </w:r>
      <w:r>
        <w:rPr>
          <w:lang w:val="en-US"/>
        </w:rPr>
        <w:tab/>
      </w:r>
      <w:r w:rsidRPr="00033023">
        <w:rPr>
          <w:u w:val="single"/>
          <w:lang w:val="en-US"/>
        </w:rPr>
        <w:t>Id.</w:t>
      </w:r>
      <w:r>
        <w:rPr>
          <w:lang w:val="en-US"/>
        </w:rPr>
        <w:t xml:space="preserve"> at ¶ 187.</w:t>
      </w:r>
      <w:r>
        <w:t xml:space="preserve"> </w:t>
      </w:r>
    </w:p>
  </w:footnote>
  <w:footnote w:id="25">
    <w:p w:rsidR="004E5FC6" w:rsidRPr="003318BF" w:rsidRDefault="004E5FC6" w:rsidP="00033023">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033023">
        <w:rPr>
          <w:u w:val="single"/>
          <w:lang w:val="en-US"/>
        </w:rPr>
        <w:t>Id.</w:t>
      </w:r>
      <w:r>
        <w:rPr>
          <w:lang w:val="en-US"/>
        </w:rPr>
        <w:t xml:space="preserve"> at ¶ 186 (</w:t>
      </w:r>
      <w:r w:rsidRPr="00033023">
        <w:rPr>
          <w:u w:val="single"/>
          <w:lang w:val="en-US"/>
        </w:rPr>
        <w:t>quoting</w:t>
      </w:r>
      <w:r>
        <w:rPr>
          <w:lang w:val="en-US"/>
        </w:rPr>
        <w:t xml:space="preserve"> </w:t>
      </w:r>
      <w:r w:rsidRPr="00033023">
        <w:rPr>
          <w:u w:val="single"/>
          <w:lang w:val="en-US"/>
        </w:rPr>
        <w:t>WUTC v. PSE</w:t>
      </w:r>
      <w:r>
        <w:rPr>
          <w:lang w:val="en-US"/>
        </w:rPr>
        <w:t>, Dockets UE-111048 and UG-111049 (</w:t>
      </w:r>
      <w:r w:rsidRPr="00033023">
        <w:rPr>
          <w:i/>
          <w:lang w:val="en-US"/>
        </w:rPr>
        <w:t>consolidated</w:t>
      </w:r>
      <w:r>
        <w:rPr>
          <w:lang w:val="en-US"/>
        </w:rPr>
        <w:t>), Order 08 at ¶ 507 (May 7, 2012)).</w:t>
      </w:r>
      <w:r>
        <w:t xml:space="preserve"> </w:t>
      </w:r>
    </w:p>
  </w:footnote>
  <w:footnote w:id="26">
    <w:p w:rsidR="004E5FC6" w:rsidRPr="003318BF" w:rsidRDefault="004E5FC6" w:rsidP="001406A9">
      <w:pPr>
        <w:pStyle w:val="FootnoteText"/>
        <w:rPr>
          <w:lang w:val="en-US"/>
        </w:rPr>
      </w:pPr>
      <w:r w:rsidRPr="003318BF">
        <w:rPr>
          <w:rStyle w:val="FootnoteReference"/>
          <w:u w:val="single"/>
        </w:rPr>
        <w:footnoteRef/>
      </w:r>
      <w:r>
        <w:rPr>
          <w:vertAlign w:val="superscript"/>
          <w:lang w:val="en-US"/>
        </w:rPr>
        <w:t>/</w:t>
      </w:r>
      <w:r>
        <w:rPr>
          <w:lang w:val="en-US"/>
        </w:rPr>
        <w:tab/>
        <w:t>Petition at ¶ 2.</w:t>
      </w:r>
      <w:r>
        <w:t xml:space="preserve"> </w:t>
      </w:r>
    </w:p>
  </w:footnote>
  <w:footnote w:id="27">
    <w:p w:rsidR="004E5FC6" w:rsidRPr="003318BF" w:rsidRDefault="004E5FC6" w:rsidP="00825285">
      <w:pPr>
        <w:pStyle w:val="FootnoteText"/>
        <w:rPr>
          <w:lang w:val="en-US"/>
        </w:rPr>
      </w:pPr>
      <w:r w:rsidRPr="003318BF">
        <w:rPr>
          <w:rStyle w:val="FootnoteReference"/>
          <w:u w:val="single"/>
        </w:rPr>
        <w:footnoteRef/>
      </w:r>
      <w:r>
        <w:rPr>
          <w:vertAlign w:val="superscript"/>
          <w:lang w:val="en-US"/>
        </w:rPr>
        <w:t>/</w:t>
      </w:r>
      <w:r>
        <w:rPr>
          <w:lang w:val="en-US"/>
        </w:rPr>
        <w:tab/>
      </w:r>
      <w:r w:rsidRPr="005E2555">
        <w:rPr>
          <w:lang w:val="en-US"/>
        </w:rPr>
        <w:t xml:space="preserve">Dockets UE-130137 </w:t>
      </w:r>
      <w:r w:rsidRPr="005E2555">
        <w:rPr>
          <w:i/>
          <w:lang w:val="en-US"/>
        </w:rPr>
        <w:t>et al.</w:t>
      </w:r>
      <w:r>
        <w:rPr>
          <w:lang w:val="en-US"/>
        </w:rPr>
        <w:t>, Order 07 at ¶ 186.</w:t>
      </w:r>
      <w:r>
        <w:t xml:space="preserve"> </w:t>
      </w:r>
    </w:p>
  </w:footnote>
  <w:footnote w:id="28">
    <w:p w:rsidR="001876A2" w:rsidRPr="003318BF" w:rsidRDefault="001876A2" w:rsidP="001876A2">
      <w:pPr>
        <w:pStyle w:val="FootnoteText"/>
        <w:rPr>
          <w:lang w:val="en-US"/>
        </w:rPr>
      </w:pPr>
      <w:r w:rsidRPr="003318BF">
        <w:rPr>
          <w:rStyle w:val="FootnoteReference"/>
          <w:u w:val="single"/>
        </w:rPr>
        <w:footnoteRef/>
      </w:r>
      <w:r>
        <w:rPr>
          <w:vertAlign w:val="superscript"/>
          <w:lang w:val="en-US"/>
        </w:rPr>
        <w:t>/</w:t>
      </w:r>
      <w:r>
        <w:rPr>
          <w:lang w:val="en-US"/>
        </w:rPr>
        <w:tab/>
      </w:r>
      <w:r w:rsidRPr="004E5FC6">
        <w:rPr>
          <w:lang w:val="en-US"/>
        </w:rPr>
        <w:t xml:space="preserve">Petition </w:t>
      </w:r>
      <w:r>
        <w:rPr>
          <w:lang w:val="en-US"/>
        </w:rPr>
        <w:t>at ¶ 1.</w:t>
      </w:r>
      <w:r>
        <w:t xml:space="preserve"> </w:t>
      </w:r>
    </w:p>
  </w:footnote>
  <w:footnote w:id="29">
    <w:p w:rsidR="001876A2" w:rsidRPr="003318BF" w:rsidRDefault="001876A2" w:rsidP="001876A2">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00D831BC" w:rsidRPr="00D831BC">
        <w:rPr>
          <w:u w:val="single"/>
          <w:lang w:val="en-US"/>
        </w:rPr>
        <w:t>WUTC v. Pacific Power</w:t>
      </w:r>
      <w:r w:rsidR="00D831BC">
        <w:rPr>
          <w:lang w:val="en-US"/>
        </w:rPr>
        <w:t xml:space="preserve">, </w:t>
      </w:r>
      <w:r>
        <w:rPr>
          <w:lang w:val="en-US"/>
        </w:rPr>
        <w:t xml:space="preserve">Dockets UE-140762 </w:t>
      </w:r>
      <w:r w:rsidRPr="001876A2">
        <w:rPr>
          <w:i/>
          <w:lang w:val="en-US"/>
        </w:rPr>
        <w:t>et al.</w:t>
      </w:r>
      <w:r>
        <w:rPr>
          <w:lang w:val="en-US"/>
        </w:rPr>
        <w:t xml:space="preserve">, </w:t>
      </w:r>
      <w:r w:rsidR="00DD78AF">
        <w:rPr>
          <w:lang w:val="en-US"/>
        </w:rPr>
        <w:t xml:space="preserve">Order 08 at </w:t>
      </w:r>
      <w:proofErr w:type="spellStart"/>
      <w:r w:rsidR="00DD78AF">
        <w:rPr>
          <w:lang w:val="en-US"/>
        </w:rPr>
        <w:t>p.ii</w:t>
      </w:r>
      <w:proofErr w:type="spellEnd"/>
      <w:r w:rsidR="00D831BC">
        <w:rPr>
          <w:lang w:val="en-US"/>
        </w:rPr>
        <w:t xml:space="preserve"> (Mar. 25, 2015)</w:t>
      </w:r>
      <w:r>
        <w:rPr>
          <w:lang w:val="en-US"/>
        </w:rPr>
        <w:t xml:space="preserve">; </w:t>
      </w:r>
      <w:r w:rsidRPr="001876A2">
        <w:rPr>
          <w:lang w:val="en-US"/>
        </w:rPr>
        <w:t xml:space="preserve">Dockets UE-140762 </w:t>
      </w:r>
      <w:r w:rsidRPr="001876A2">
        <w:rPr>
          <w:i/>
          <w:lang w:val="en-US"/>
        </w:rPr>
        <w:t>et al.</w:t>
      </w:r>
      <w:r w:rsidRPr="001876A2">
        <w:rPr>
          <w:lang w:val="en-US"/>
        </w:rPr>
        <w:t xml:space="preserve">, </w:t>
      </w:r>
      <w:r>
        <w:rPr>
          <w:lang w:val="en-US"/>
        </w:rPr>
        <w:t xml:space="preserve">Errata Correcting </w:t>
      </w:r>
      <w:r w:rsidRPr="001876A2">
        <w:rPr>
          <w:lang w:val="en-US"/>
        </w:rPr>
        <w:t>Order 08</w:t>
      </w:r>
      <w:r>
        <w:rPr>
          <w:lang w:val="en-US"/>
        </w:rPr>
        <w:t xml:space="preserve"> (Mar. 26, 2015).</w:t>
      </w:r>
      <w:r>
        <w:t xml:space="preserve"> </w:t>
      </w:r>
    </w:p>
  </w:footnote>
  <w:footnote w:id="30">
    <w:p w:rsidR="004E5FC6" w:rsidRPr="003318BF" w:rsidRDefault="004E5FC6" w:rsidP="004E5FC6">
      <w:pPr>
        <w:pStyle w:val="FootnoteText"/>
        <w:rPr>
          <w:lang w:val="en-US"/>
        </w:rPr>
      </w:pPr>
      <w:r w:rsidRPr="003318BF">
        <w:rPr>
          <w:rStyle w:val="FootnoteReference"/>
          <w:u w:val="single"/>
        </w:rPr>
        <w:footnoteRef/>
      </w:r>
      <w:r>
        <w:rPr>
          <w:vertAlign w:val="superscript"/>
          <w:lang w:val="en-US"/>
        </w:rPr>
        <w:t>/</w:t>
      </w:r>
      <w:r>
        <w:rPr>
          <w:lang w:val="en-US"/>
        </w:rPr>
        <w:tab/>
      </w:r>
      <w:r w:rsidRPr="004E5FC6">
        <w:rPr>
          <w:lang w:val="en-US"/>
        </w:rPr>
        <w:t xml:space="preserve">Petition </w:t>
      </w:r>
      <w:r>
        <w:rPr>
          <w:lang w:val="en-US"/>
        </w:rPr>
        <w:t>at ¶ 1.</w:t>
      </w:r>
      <w:r>
        <w:t xml:space="preserve"> </w:t>
      </w:r>
    </w:p>
  </w:footnote>
  <w:footnote w:id="31">
    <w:p w:rsidR="00F66144" w:rsidRPr="003318BF" w:rsidRDefault="00F66144" w:rsidP="00F66144">
      <w:pPr>
        <w:pStyle w:val="FootnoteText"/>
        <w:ind w:left="720" w:hanging="720"/>
        <w:rPr>
          <w:lang w:val="en-US"/>
        </w:rPr>
      </w:pPr>
      <w:r w:rsidRPr="003318BF">
        <w:rPr>
          <w:rStyle w:val="FootnoteReference"/>
          <w:u w:val="single"/>
        </w:rPr>
        <w:footnoteRef/>
      </w:r>
      <w:r>
        <w:rPr>
          <w:vertAlign w:val="superscript"/>
          <w:lang w:val="en-US"/>
        </w:rPr>
        <w:t>/</w:t>
      </w:r>
      <w:r>
        <w:rPr>
          <w:lang w:val="en-US"/>
        </w:rPr>
        <w:tab/>
        <w:t xml:space="preserve">Dockets UE-140762 </w:t>
      </w:r>
      <w:r w:rsidRPr="001876A2">
        <w:rPr>
          <w:i/>
          <w:lang w:val="en-US"/>
        </w:rPr>
        <w:t>et al.</w:t>
      </w:r>
      <w:r>
        <w:rPr>
          <w:lang w:val="en-US"/>
        </w:rPr>
        <w:t xml:space="preserve">, Order 08 at </w:t>
      </w:r>
      <w:proofErr w:type="spellStart"/>
      <w:r>
        <w:rPr>
          <w:lang w:val="en-US"/>
        </w:rPr>
        <w:t>p.ii</w:t>
      </w:r>
      <w:proofErr w:type="spellEnd"/>
      <w:r>
        <w:rPr>
          <w:lang w:val="en-US"/>
        </w:rPr>
        <w:t>, ¶¶ 1 and 6.</w:t>
      </w:r>
    </w:p>
  </w:footnote>
  <w:footnote w:id="32">
    <w:p w:rsidR="00020FB2" w:rsidRPr="003318BF" w:rsidRDefault="00020FB2" w:rsidP="00020FB2">
      <w:pPr>
        <w:pStyle w:val="FootnoteText"/>
        <w:rPr>
          <w:lang w:val="en-US"/>
        </w:rPr>
      </w:pPr>
      <w:r w:rsidRPr="003318BF">
        <w:rPr>
          <w:rStyle w:val="FootnoteReference"/>
          <w:u w:val="single"/>
        </w:rPr>
        <w:footnoteRef/>
      </w:r>
      <w:r>
        <w:rPr>
          <w:vertAlign w:val="superscript"/>
          <w:lang w:val="en-US"/>
        </w:rPr>
        <w:t>/</w:t>
      </w:r>
      <w:r>
        <w:rPr>
          <w:lang w:val="en-US"/>
        </w:rPr>
        <w:tab/>
      </w:r>
      <w:r w:rsidRPr="00020FB2">
        <w:rPr>
          <w:lang w:val="en-US"/>
        </w:rPr>
        <w:t xml:space="preserve">Petition </w:t>
      </w:r>
      <w:r>
        <w:rPr>
          <w:lang w:val="en-US"/>
        </w:rPr>
        <w:t>at ¶ 9.</w:t>
      </w:r>
      <w:r>
        <w:t xml:space="preserve"> </w:t>
      </w:r>
    </w:p>
  </w:footnote>
  <w:footnote w:id="33">
    <w:p w:rsidR="00382E6E" w:rsidRPr="003318BF" w:rsidRDefault="00382E6E" w:rsidP="00382E6E">
      <w:pPr>
        <w:pStyle w:val="FootnoteText"/>
        <w:rPr>
          <w:lang w:val="en-US"/>
        </w:rPr>
      </w:pPr>
      <w:r w:rsidRPr="003318BF">
        <w:rPr>
          <w:rStyle w:val="FootnoteReference"/>
          <w:u w:val="single"/>
        </w:rPr>
        <w:footnoteRef/>
      </w:r>
      <w:r>
        <w:rPr>
          <w:vertAlign w:val="superscript"/>
          <w:lang w:val="en-US"/>
        </w:rPr>
        <w:t>/</w:t>
      </w:r>
      <w:r>
        <w:rPr>
          <w:lang w:val="en-US"/>
        </w:rPr>
        <w:tab/>
      </w:r>
      <w:proofErr w:type="spellStart"/>
      <w:r>
        <w:rPr>
          <w:lang w:val="en-US"/>
        </w:rPr>
        <w:t>Exh</w:t>
      </w:r>
      <w:proofErr w:type="spellEnd"/>
      <w:r>
        <w:rPr>
          <w:lang w:val="en-US"/>
        </w:rPr>
        <w:t>. No. RBD-1T at 3:11-13.</w:t>
      </w:r>
      <w:r>
        <w:t xml:space="preserve"> </w:t>
      </w:r>
    </w:p>
  </w:footnote>
  <w:footnote w:id="34">
    <w:p w:rsidR="00382E6E" w:rsidRPr="003318BF" w:rsidRDefault="00382E6E" w:rsidP="00382E6E">
      <w:pPr>
        <w:pStyle w:val="FootnoteText"/>
        <w:rPr>
          <w:lang w:val="en-US"/>
        </w:rPr>
      </w:pPr>
      <w:r w:rsidRPr="003318BF">
        <w:rPr>
          <w:rStyle w:val="FootnoteReference"/>
          <w:u w:val="single"/>
        </w:rPr>
        <w:footnoteRef/>
      </w:r>
      <w:r>
        <w:rPr>
          <w:vertAlign w:val="superscript"/>
          <w:lang w:val="en-US"/>
        </w:rPr>
        <w:t>/</w:t>
      </w:r>
      <w:r>
        <w:rPr>
          <w:lang w:val="en-US"/>
        </w:rPr>
        <w:tab/>
      </w:r>
      <w:proofErr w:type="spellStart"/>
      <w:r>
        <w:rPr>
          <w:lang w:val="en-US"/>
        </w:rPr>
        <w:t>Exh</w:t>
      </w:r>
      <w:proofErr w:type="spellEnd"/>
      <w:r>
        <w:rPr>
          <w:lang w:val="en-US"/>
        </w:rPr>
        <w:t>. No. SEM-1T at 6:10-14, 30:14-20.</w:t>
      </w:r>
      <w:r>
        <w:t xml:space="preserve"> </w:t>
      </w:r>
    </w:p>
  </w:footnote>
  <w:footnote w:id="35">
    <w:p w:rsidR="00020FB2" w:rsidRPr="003318BF" w:rsidRDefault="00020FB2" w:rsidP="00020FB2">
      <w:pPr>
        <w:pStyle w:val="FootnoteText"/>
        <w:rPr>
          <w:lang w:val="en-US"/>
        </w:rPr>
      </w:pPr>
      <w:r w:rsidRPr="003318BF">
        <w:rPr>
          <w:rStyle w:val="FootnoteReference"/>
          <w:u w:val="single"/>
        </w:rPr>
        <w:footnoteRef/>
      </w:r>
      <w:r>
        <w:rPr>
          <w:vertAlign w:val="superscript"/>
          <w:lang w:val="en-US"/>
        </w:rPr>
        <w:t>/</w:t>
      </w:r>
      <w:r>
        <w:rPr>
          <w:lang w:val="en-US"/>
        </w:rPr>
        <w:tab/>
      </w:r>
      <w:proofErr w:type="spellStart"/>
      <w:r>
        <w:rPr>
          <w:lang w:val="en-US"/>
        </w:rPr>
        <w:t>Exh</w:t>
      </w:r>
      <w:proofErr w:type="spellEnd"/>
      <w:r>
        <w:rPr>
          <w:lang w:val="en-US"/>
        </w:rPr>
        <w:t>. No. KGS-1T at 16:8-9.</w:t>
      </w:r>
      <w:r>
        <w:t xml:space="preserve"> </w:t>
      </w:r>
    </w:p>
  </w:footnote>
  <w:footnote w:id="36">
    <w:p w:rsidR="00865AD8" w:rsidRPr="003318BF" w:rsidRDefault="00865AD8" w:rsidP="00E1553A">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865AD8">
        <w:rPr>
          <w:u w:val="single"/>
          <w:lang w:val="en-US"/>
        </w:rPr>
        <w:t>See, e.g.</w:t>
      </w:r>
      <w:r>
        <w:rPr>
          <w:lang w:val="en-US"/>
        </w:rPr>
        <w:t xml:space="preserve">, </w:t>
      </w:r>
      <w:r w:rsidRPr="00865AD8">
        <w:rPr>
          <w:lang w:val="en-US"/>
        </w:rPr>
        <w:t xml:space="preserve">Dockets UE-140762 </w:t>
      </w:r>
      <w:r>
        <w:rPr>
          <w:i/>
          <w:lang w:val="en-US"/>
        </w:rPr>
        <w:t>et al.</w:t>
      </w:r>
      <w:r>
        <w:rPr>
          <w:lang w:val="en-US"/>
        </w:rPr>
        <w:t xml:space="preserve"> (</w:t>
      </w:r>
      <w:r w:rsidR="00CA14BC">
        <w:rPr>
          <w:lang w:val="en-US"/>
        </w:rPr>
        <w:t xml:space="preserve">spanning </w:t>
      </w:r>
      <w:r w:rsidR="00E1553A">
        <w:rPr>
          <w:lang w:val="en-US"/>
        </w:rPr>
        <w:t xml:space="preserve">nearly eleven months between initial tariff filing and final order); </w:t>
      </w:r>
      <w:r w:rsidR="000204AE" w:rsidRPr="0085221D">
        <w:rPr>
          <w:u w:val="single"/>
          <w:lang w:val="en-US"/>
        </w:rPr>
        <w:t xml:space="preserve">WUTC v. </w:t>
      </w:r>
      <w:r w:rsidR="0085221D" w:rsidRPr="0085221D">
        <w:rPr>
          <w:u w:val="single"/>
          <w:lang w:val="en-US"/>
        </w:rPr>
        <w:t>PacifiCorp</w:t>
      </w:r>
      <w:r w:rsidR="0085221D">
        <w:rPr>
          <w:lang w:val="en-US"/>
        </w:rPr>
        <w:t xml:space="preserve">, </w:t>
      </w:r>
      <w:r w:rsidR="00E1553A">
        <w:rPr>
          <w:lang w:val="en-US"/>
        </w:rPr>
        <w:t>Docket UE-130043 (spanning</w:t>
      </w:r>
      <w:r w:rsidR="00E1553A" w:rsidRPr="00E1553A">
        <w:rPr>
          <w:sz w:val="24"/>
          <w:lang w:val="en-US" w:eastAsia="en-US"/>
        </w:rPr>
        <w:t xml:space="preserve"> </w:t>
      </w:r>
      <w:r w:rsidR="00E1553A" w:rsidRPr="00E1553A">
        <w:rPr>
          <w:lang w:val="en-US"/>
        </w:rPr>
        <w:t>nearly eleven months between initial tariff filing and final order</w:t>
      </w:r>
      <w:r w:rsidR="00E1553A">
        <w:rPr>
          <w:lang w:val="en-US"/>
        </w:rPr>
        <w:t>)</w:t>
      </w:r>
      <w:r>
        <w:rPr>
          <w:lang w:val="en-US"/>
        </w:rPr>
        <w:t>.</w:t>
      </w:r>
      <w:r>
        <w:t xml:space="preserve"> </w:t>
      </w:r>
    </w:p>
  </w:footnote>
  <w:footnote w:id="37">
    <w:p w:rsidR="00382E6E" w:rsidRPr="003318BF" w:rsidRDefault="00382E6E" w:rsidP="00382E6E">
      <w:pPr>
        <w:pStyle w:val="FootnoteText"/>
        <w:rPr>
          <w:lang w:val="en-US"/>
        </w:rPr>
      </w:pPr>
      <w:r w:rsidRPr="003318BF">
        <w:rPr>
          <w:rStyle w:val="FootnoteReference"/>
          <w:u w:val="single"/>
        </w:rPr>
        <w:footnoteRef/>
      </w:r>
      <w:r>
        <w:rPr>
          <w:vertAlign w:val="superscript"/>
          <w:lang w:val="en-US"/>
        </w:rPr>
        <w:t>/</w:t>
      </w:r>
      <w:r>
        <w:rPr>
          <w:lang w:val="en-US"/>
        </w:rPr>
        <w:tab/>
      </w:r>
      <w:proofErr w:type="spellStart"/>
      <w:r>
        <w:rPr>
          <w:lang w:val="en-US"/>
        </w:rPr>
        <w:t>Exh</w:t>
      </w:r>
      <w:proofErr w:type="spellEnd"/>
      <w:r>
        <w:rPr>
          <w:lang w:val="en-US"/>
        </w:rPr>
        <w:t>. No. SEM-1T at 6:12, 30:17.</w:t>
      </w:r>
      <w:r>
        <w:t xml:space="preserve"> </w:t>
      </w:r>
    </w:p>
  </w:footnote>
  <w:footnote w:id="38">
    <w:p w:rsidR="00382E6E" w:rsidRPr="00B00A6B" w:rsidRDefault="00382E6E" w:rsidP="00382E6E">
      <w:pPr>
        <w:pStyle w:val="FootnoteText"/>
        <w:rPr>
          <w:lang w:val="en-US"/>
        </w:rPr>
      </w:pPr>
      <w:r w:rsidRPr="003318BF">
        <w:rPr>
          <w:rStyle w:val="FootnoteReference"/>
          <w:u w:val="single"/>
        </w:rPr>
        <w:footnoteRef/>
      </w:r>
      <w:r>
        <w:rPr>
          <w:vertAlign w:val="superscript"/>
          <w:lang w:val="en-US"/>
        </w:rPr>
        <w:t>/</w:t>
      </w:r>
      <w:r>
        <w:rPr>
          <w:lang w:val="en-US"/>
        </w:rPr>
        <w:tab/>
      </w:r>
      <w:r w:rsidRPr="00D267A7">
        <w:rPr>
          <w:u w:val="single"/>
          <w:lang w:val="en-US"/>
        </w:rPr>
        <w:t>Id.</w:t>
      </w:r>
      <w:r>
        <w:rPr>
          <w:lang w:val="en-US"/>
        </w:rPr>
        <w:t xml:space="preserve"> at 10:7-8</w:t>
      </w:r>
      <w:r w:rsidR="00B00A6B">
        <w:rPr>
          <w:lang w:val="en-US"/>
        </w:rPr>
        <w:t>.</w:t>
      </w:r>
    </w:p>
  </w:footnote>
  <w:footnote w:id="39">
    <w:p w:rsidR="00A1025D" w:rsidRPr="003318BF" w:rsidRDefault="00A1025D" w:rsidP="00A1025D">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B00A6B">
        <w:rPr>
          <w:lang w:val="en-US"/>
        </w:rPr>
        <w:t xml:space="preserve">Dockets UE-130137 </w:t>
      </w:r>
      <w:r w:rsidRPr="00B00A6B">
        <w:rPr>
          <w:i/>
          <w:lang w:val="en-US"/>
        </w:rPr>
        <w:t>et al.</w:t>
      </w:r>
      <w:r>
        <w:rPr>
          <w:lang w:val="en-US"/>
        </w:rPr>
        <w:t>, Order 15/14 at ¶ 10 (</w:t>
      </w:r>
      <w:r w:rsidRPr="00A1025D">
        <w:rPr>
          <w:u w:val="single"/>
          <w:lang w:val="en-US"/>
        </w:rPr>
        <w:t>quoting</w:t>
      </w:r>
      <w:r>
        <w:rPr>
          <w:lang w:val="en-US"/>
        </w:rPr>
        <w:t xml:space="preserve"> Dockets UE-111048 and UG-111049 (</w:t>
      </w:r>
      <w:r w:rsidRPr="00A1025D">
        <w:rPr>
          <w:i/>
          <w:lang w:val="en-US"/>
        </w:rPr>
        <w:t>consolidated</w:t>
      </w:r>
      <w:r>
        <w:rPr>
          <w:lang w:val="en-US"/>
        </w:rPr>
        <w:t>), Order 08 at ¶ 496)</w:t>
      </w:r>
      <w:r w:rsidR="009D2E73">
        <w:rPr>
          <w:lang w:val="en-US"/>
        </w:rPr>
        <w:t xml:space="preserve"> (emphasis added)</w:t>
      </w:r>
      <w:r>
        <w:rPr>
          <w:lang w:val="en-US"/>
        </w:rPr>
        <w:t>.</w:t>
      </w:r>
    </w:p>
  </w:footnote>
  <w:footnote w:id="40">
    <w:p w:rsidR="00B00A6B" w:rsidRPr="003318BF" w:rsidRDefault="00B00A6B" w:rsidP="00B00A6B">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B00A6B">
        <w:rPr>
          <w:lang w:val="en-US"/>
        </w:rPr>
        <w:t xml:space="preserve">Dockets UE-130137 </w:t>
      </w:r>
      <w:r w:rsidRPr="00B00A6B">
        <w:rPr>
          <w:i/>
          <w:lang w:val="en-US"/>
        </w:rPr>
        <w:t>et al.</w:t>
      </w:r>
      <w:r>
        <w:rPr>
          <w:lang w:val="en-US"/>
        </w:rPr>
        <w:t>, Order 07 at ¶¶ 185-86.</w:t>
      </w:r>
    </w:p>
  </w:footnote>
  <w:footnote w:id="41">
    <w:p w:rsidR="00B00A6B" w:rsidRPr="003318BF" w:rsidRDefault="00B00A6B" w:rsidP="00B00A6B">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00D831BC" w:rsidRPr="00D831BC">
        <w:rPr>
          <w:u w:val="single"/>
          <w:lang w:val="en-US"/>
        </w:rPr>
        <w:t>Id.</w:t>
      </w:r>
      <w:r>
        <w:rPr>
          <w:lang w:val="en-US"/>
        </w:rPr>
        <w:t xml:space="preserve"> at ¶ 186.</w:t>
      </w:r>
    </w:p>
  </w:footnote>
  <w:footnote w:id="42">
    <w:p w:rsidR="005701A3" w:rsidRPr="003318BF" w:rsidRDefault="005701A3" w:rsidP="005701A3">
      <w:pPr>
        <w:pStyle w:val="FootnoteText"/>
        <w:rPr>
          <w:lang w:val="en-US"/>
        </w:rPr>
      </w:pPr>
      <w:r w:rsidRPr="003318BF">
        <w:rPr>
          <w:rStyle w:val="FootnoteReference"/>
          <w:u w:val="single"/>
        </w:rPr>
        <w:footnoteRef/>
      </w:r>
      <w:r>
        <w:rPr>
          <w:vertAlign w:val="superscript"/>
          <w:lang w:val="en-US"/>
        </w:rPr>
        <w:t>/</w:t>
      </w:r>
      <w:r>
        <w:rPr>
          <w:lang w:val="en-US"/>
        </w:rPr>
        <w:tab/>
      </w:r>
      <w:proofErr w:type="spellStart"/>
      <w:r>
        <w:rPr>
          <w:lang w:val="en-US"/>
        </w:rPr>
        <w:t>Exh</w:t>
      </w:r>
      <w:proofErr w:type="spellEnd"/>
      <w:r>
        <w:rPr>
          <w:lang w:val="en-US"/>
        </w:rPr>
        <w:t>. No. RBD-1T at 9:8-9; 16:11-17:1.</w:t>
      </w:r>
      <w:r>
        <w:t xml:space="preserve"> </w:t>
      </w:r>
    </w:p>
  </w:footnote>
  <w:footnote w:id="43">
    <w:p w:rsidR="00011D1B" w:rsidRPr="003318BF" w:rsidRDefault="00011D1B" w:rsidP="00011D1B">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865AD8">
        <w:rPr>
          <w:lang w:val="en-US"/>
        </w:rPr>
        <w:t xml:space="preserve">Dockets UE-140762 </w:t>
      </w:r>
      <w:r>
        <w:rPr>
          <w:i/>
          <w:lang w:val="en-US"/>
        </w:rPr>
        <w:t>et al.</w:t>
      </w:r>
      <w:r>
        <w:rPr>
          <w:lang w:val="en-US"/>
        </w:rPr>
        <w:t>, Order 08 at ¶ 171.</w:t>
      </w:r>
    </w:p>
  </w:footnote>
  <w:footnote w:id="44">
    <w:p w:rsidR="00676EF9" w:rsidRPr="003318BF" w:rsidRDefault="00676EF9" w:rsidP="00676EF9">
      <w:pPr>
        <w:pStyle w:val="FootnoteText"/>
        <w:ind w:left="720" w:hanging="720"/>
        <w:rPr>
          <w:lang w:val="en-US"/>
        </w:rPr>
      </w:pPr>
      <w:r w:rsidRPr="003318BF">
        <w:rPr>
          <w:rStyle w:val="FootnoteReference"/>
          <w:u w:val="single"/>
        </w:rPr>
        <w:footnoteRef/>
      </w:r>
      <w:r>
        <w:rPr>
          <w:vertAlign w:val="superscript"/>
          <w:lang w:val="en-US"/>
        </w:rPr>
        <w:t>/</w:t>
      </w:r>
      <w:r>
        <w:rPr>
          <w:lang w:val="en-US"/>
        </w:rPr>
        <w:tab/>
        <w:t>Sierra Club Petition to Intervene at ¶ 8.</w:t>
      </w:r>
    </w:p>
  </w:footnote>
  <w:footnote w:id="45">
    <w:p w:rsidR="00676EF9" w:rsidRPr="003318BF" w:rsidRDefault="00676EF9" w:rsidP="00676EF9">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676EF9">
        <w:rPr>
          <w:u w:val="single"/>
          <w:lang w:val="en-US"/>
        </w:rPr>
        <w:t>Id.</w:t>
      </w:r>
    </w:p>
  </w:footnote>
  <w:footnote w:id="46">
    <w:p w:rsidR="00EC39E7" w:rsidRPr="003318BF" w:rsidRDefault="00EC39E7" w:rsidP="00EC39E7">
      <w:pPr>
        <w:pStyle w:val="FootnoteText"/>
        <w:rPr>
          <w:lang w:val="en-US"/>
        </w:rPr>
      </w:pPr>
      <w:r w:rsidRPr="003318BF">
        <w:rPr>
          <w:rStyle w:val="FootnoteReference"/>
          <w:u w:val="single"/>
        </w:rPr>
        <w:footnoteRef/>
      </w:r>
      <w:r>
        <w:rPr>
          <w:vertAlign w:val="superscript"/>
          <w:lang w:val="en-US"/>
        </w:rPr>
        <w:t>/</w:t>
      </w:r>
      <w:r>
        <w:rPr>
          <w:lang w:val="en-US"/>
        </w:rPr>
        <w:tab/>
      </w:r>
      <w:proofErr w:type="spellStart"/>
      <w:r>
        <w:rPr>
          <w:lang w:val="en-US"/>
        </w:rPr>
        <w:t>Exh</w:t>
      </w:r>
      <w:proofErr w:type="spellEnd"/>
      <w:r>
        <w:rPr>
          <w:lang w:val="en-US"/>
        </w:rPr>
        <w:t>. No. JRS-1T at 7:17-23.</w:t>
      </w:r>
      <w:r>
        <w:t xml:space="preserve"> </w:t>
      </w:r>
    </w:p>
  </w:footnote>
  <w:footnote w:id="47">
    <w:p w:rsidR="003A74C4" w:rsidRPr="003318BF" w:rsidRDefault="003A74C4" w:rsidP="003A74C4">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865AD8">
        <w:rPr>
          <w:lang w:val="en-US"/>
        </w:rPr>
        <w:t xml:space="preserve">Dockets UE-140762 </w:t>
      </w:r>
      <w:r>
        <w:rPr>
          <w:i/>
          <w:lang w:val="en-US"/>
        </w:rPr>
        <w:t>et al.</w:t>
      </w:r>
      <w:r>
        <w:rPr>
          <w:lang w:val="en-US"/>
        </w:rPr>
        <w:t>, Order 08 at ¶ 150.</w:t>
      </w:r>
    </w:p>
  </w:footnote>
  <w:footnote w:id="48">
    <w:p w:rsidR="00D756E1" w:rsidRPr="003318BF" w:rsidRDefault="00D756E1" w:rsidP="00D756E1">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D756E1">
        <w:rPr>
          <w:u w:val="single"/>
          <w:lang w:val="en-US"/>
        </w:rPr>
        <w:t>E.g.</w:t>
      </w:r>
      <w:r>
        <w:rPr>
          <w:lang w:val="en-US"/>
        </w:rPr>
        <w:t xml:space="preserve">, Petition at ¶¶ 32, 38; </w:t>
      </w:r>
      <w:proofErr w:type="spellStart"/>
      <w:r>
        <w:rPr>
          <w:lang w:val="en-US"/>
        </w:rPr>
        <w:t>Exh</w:t>
      </w:r>
      <w:proofErr w:type="spellEnd"/>
      <w:r>
        <w:rPr>
          <w:lang w:val="en-US"/>
        </w:rPr>
        <w:t xml:space="preserve">. No. </w:t>
      </w:r>
      <w:proofErr w:type="gramStart"/>
      <w:r>
        <w:rPr>
          <w:lang w:val="en-US"/>
        </w:rPr>
        <w:t>RBD-1T at 8:14.</w:t>
      </w:r>
      <w:proofErr w:type="gramEnd"/>
    </w:p>
  </w:footnote>
  <w:footnote w:id="49">
    <w:p w:rsidR="0085221D" w:rsidRPr="003318BF" w:rsidRDefault="0085221D" w:rsidP="0085221D">
      <w:pPr>
        <w:pStyle w:val="FootnoteText"/>
        <w:ind w:left="720" w:hanging="720"/>
        <w:rPr>
          <w:lang w:val="en-US"/>
        </w:rPr>
      </w:pPr>
      <w:r w:rsidRPr="003318BF">
        <w:rPr>
          <w:rStyle w:val="FootnoteReference"/>
          <w:u w:val="single"/>
        </w:rPr>
        <w:footnoteRef/>
      </w:r>
      <w:r>
        <w:rPr>
          <w:vertAlign w:val="superscript"/>
          <w:lang w:val="en-US"/>
        </w:rPr>
        <w:t>/</w:t>
      </w:r>
      <w:r>
        <w:rPr>
          <w:lang w:val="en-US"/>
        </w:rPr>
        <w:tab/>
        <w:t>Docket UE-130043, Order 05 at ¶ 172 (Dec. 4, 2013).</w:t>
      </w:r>
    </w:p>
  </w:footnote>
  <w:footnote w:id="50">
    <w:p w:rsidR="000204AE" w:rsidRPr="003318BF" w:rsidRDefault="000204AE" w:rsidP="000204AE">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Pr="00865AD8">
        <w:rPr>
          <w:lang w:val="en-US"/>
        </w:rPr>
        <w:t xml:space="preserve">Dockets UE-140762 </w:t>
      </w:r>
      <w:r>
        <w:rPr>
          <w:i/>
          <w:lang w:val="en-US"/>
        </w:rPr>
        <w:t>et al.</w:t>
      </w:r>
      <w:r>
        <w:rPr>
          <w:lang w:val="en-US"/>
        </w:rPr>
        <w:t>, Order 08 at ¶ 146.</w:t>
      </w:r>
    </w:p>
  </w:footnote>
  <w:footnote w:id="51">
    <w:p w:rsidR="000204AE" w:rsidRPr="003318BF" w:rsidRDefault="000204AE" w:rsidP="000204AE">
      <w:pPr>
        <w:pStyle w:val="FootnoteText"/>
        <w:ind w:left="720" w:hanging="720"/>
        <w:rPr>
          <w:lang w:val="en-US"/>
        </w:rPr>
      </w:pPr>
      <w:r w:rsidRPr="003318BF">
        <w:rPr>
          <w:rStyle w:val="FootnoteReference"/>
          <w:u w:val="single"/>
        </w:rPr>
        <w:footnoteRef/>
      </w:r>
      <w:r>
        <w:rPr>
          <w:vertAlign w:val="superscript"/>
          <w:lang w:val="en-US"/>
        </w:rPr>
        <w:t>/</w:t>
      </w:r>
      <w:r>
        <w:rPr>
          <w:lang w:val="en-US"/>
        </w:rPr>
        <w:tab/>
        <w:t>Petition at ¶ 32 (emphasis added).</w:t>
      </w:r>
    </w:p>
  </w:footnote>
  <w:footnote w:id="52">
    <w:p w:rsidR="00177A76" w:rsidRPr="003318BF" w:rsidRDefault="00177A76" w:rsidP="00177A76">
      <w:pPr>
        <w:pStyle w:val="FootnoteText"/>
        <w:rPr>
          <w:lang w:val="en-US"/>
        </w:rPr>
      </w:pPr>
      <w:r w:rsidRPr="003318BF">
        <w:rPr>
          <w:rStyle w:val="FootnoteReference"/>
          <w:u w:val="single"/>
        </w:rPr>
        <w:footnoteRef/>
      </w:r>
      <w:r>
        <w:rPr>
          <w:vertAlign w:val="superscript"/>
          <w:lang w:val="en-US"/>
        </w:rPr>
        <w:t>/</w:t>
      </w:r>
      <w:r>
        <w:rPr>
          <w:lang w:val="en-US"/>
        </w:rPr>
        <w:tab/>
      </w:r>
      <w:r w:rsidRPr="005E2555">
        <w:rPr>
          <w:lang w:val="en-US"/>
        </w:rPr>
        <w:t xml:space="preserve">Dockets UE-130137 </w:t>
      </w:r>
      <w:r w:rsidRPr="005E2555">
        <w:rPr>
          <w:i/>
          <w:lang w:val="en-US"/>
        </w:rPr>
        <w:t>et al.</w:t>
      </w:r>
      <w:r>
        <w:rPr>
          <w:lang w:val="en-US"/>
        </w:rPr>
        <w:t>, Order 07 at ¶ </w:t>
      </w:r>
      <w:r w:rsidR="00184099">
        <w:rPr>
          <w:lang w:val="en-US"/>
        </w:rPr>
        <w:t>189</w:t>
      </w:r>
      <w:r>
        <w:rPr>
          <w:lang w:val="en-US"/>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4E" w:rsidRDefault="00150D4E" w:rsidP="00150D4E">
    <w:pPr>
      <w:pStyle w:val="Header"/>
      <w:tabs>
        <w:tab w:val="clear" w:pos="4320"/>
        <w:tab w:val="clear" w:pos="8640"/>
        <w:tab w:val="left" w:pos="403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4E" w:rsidRPr="00150D4E" w:rsidRDefault="00150D4E" w:rsidP="00150D4E">
    <w:pPr>
      <w:pStyle w:val="Header"/>
      <w:jc w:val="center"/>
      <w:rPr>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
    <w:nsid w:val="09CF0696"/>
    <w:multiLevelType w:val="hybridMultilevel"/>
    <w:tmpl w:val="173E28C4"/>
    <w:lvl w:ilvl="0" w:tplc="7972A44C">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nsid w:val="110C2A33"/>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22520B"/>
    <w:multiLevelType w:val="hybridMultilevel"/>
    <w:tmpl w:val="0F825414"/>
    <w:lvl w:ilvl="0" w:tplc="98FED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
    <w:nsid w:val="2EF244F4"/>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037247"/>
    <w:multiLevelType w:val="hybridMultilevel"/>
    <w:tmpl w:val="03AC1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A13FC"/>
    <w:multiLevelType w:val="hybridMultilevel"/>
    <w:tmpl w:val="1DC6B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76208EB"/>
    <w:multiLevelType w:val="hybridMultilevel"/>
    <w:tmpl w:val="269459B6"/>
    <w:lvl w:ilvl="0" w:tplc="65F6F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F531D8"/>
    <w:multiLevelType w:val="hybridMultilevel"/>
    <w:tmpl w:val="07103A76"/>
    <w:lvl w:ilvl="0" w:tplc="CBF4EB2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725F5E"/>
    <w:multiLevelType w:val="multilevel"/>
    <w:tmpl w:val="AE660E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8931D5B"/>
    <w:multiLevelType w:val="hybridMultilevel"/>
    <w:tmpl w:val="75C8E4A0"/>
    <w:lvl w:ilvl="0" w:tplc="7A36E4A2">
      <w:start w:val="1"/>
      <w:numFmt w:val="decimal"/>
      <w:pStyle w:val="WUTCParagraph"/>
      <w:lvlText w:val="%1"/>
      <w:lvlJc w:val="left"/>
      <w:pPr>
        <w:tabs>
          <w:tab w:val="num" w:pos="0"/>
        </w:tabs>
        <w:ind w:left="0" w:hanging="720"/>
      </w:pPr>
      <w:rPr>
        <w:rFonts w:ascii="Palatino Linotype" w:hAnsi="Palatino Linotype"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665E1A"/>
    <w:multiLevelType w:val="hybridMultilevel"/>
    <w:tmpl w:val="CFA8DF48"/>
    <w:lvl w:ilvl="0" w:tplc="8886FF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4"/>
  </w:num>
  <w:num w:numId="4">
    <w:abstractNumId w:val="12"/>
  </w:num>
  <w:num w:numId="5">
    <w:abstractNumId w:val="4"/>
  </w:num>
  <w:num w:numId="6">
    <w:abstractNumId w:val="0"/>
  </w:num>
  <w:num w:numId="7">
    <w:abstractNumId w:val="14"/>
  </w:num>
  <w:num w:numId="8">
    <w:abstractNumId w:val="13"/>
  </w:num>
  <w:num w:numId="9">
    <w:abstractNumId w:val="2"/>
  </w:num>
  <w:num w:numId="10">
    <w:abstractNumId w:val="5"/>
  </w:num>
  <w:num w:numId="11">
    <w:abstractNumId w:val="1"/>
  </w:num>
  <w:num w:numId="12">
    <w:abstractNumId w:val="11"/>
  </w:num>
  <w:num w:numId="13">
    <w:abstractNumId w:val="10"/>
  </w:num>
  <w:num w:numId="14">
    <w:abstractNumId w:val="3"/>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716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FA"/>
    <w:rsid w:val="0000190F"/>
    <w:rsid w:val="00005F65"/>
    <w:rsid w:val="00011D1B"/>
    <w:rsid w:val="000204AE"/>
    <w:rsid w:val="00020FB2"/>
    <w:rsid w:val="0002655B"/>
    <w:rsid w:val="00033023"/>
    <w:rsid w:val="00041633"/>
    <w:rsid w:val="00044148"/>
    <w:rsid w:val="00044FC3"/>
    <w:rsid w:val="0004552C"/>
    <w:rsid w:val="00045980"/>
    <w:rsid w:val="00047EB5"/>
    <w:rsid w:val="0005698B"/>
    <w:rsid w:val="00057B08"/>
    <w:rsid w:val="00062363"/>
    <w:rsid w:val="00063393"/>
    <w:rsid w:val="000635B7"/>
    <w:rsid w:val="000702FE"/>
    <w:rsid w:val="0007547E"/>
    <w:rsid w:val="000755EB"/>
    <w:rsid w:val="00077850"/>
    <w:rsid w:val="000815E0"/>
    <w:rsid w:val="00083409"/>
    <w:rsid w:val="00086CC1"/>
    <w:rsid w:val="000962AB"/>
    <w:rsid w:val="000A2FAF"/>
    <w:rsid w:val="000B4E7E"/>
    <w:rsid w:val="000B5BE8"/>
    <w:rsid w:val="000B73FE"/>
    <w:rsid w:val="000C5734"/>
    <w:rsid w:val="000C5A07"/>
    <w:rsid w:val="000D70BD"/>
    <w:rsid w:val="000E0836"/>
    <w:rsid w:val="000E169C"/>
    <w:rsid w:val="00101E1B"/>
    <w:rsid w:val="0010511B"/>
    <w:rsid w:val="00107B40"/>
    <w:rsid w:val="00121003"/>
    <w:rsid w:val="00126007"/>
    <w:rsid w:val="001311CA"/>
    <w:rsid w:val="001316D2"/>
    <w:rsid w:val="0013254D"/>
    <w:rsid w:val="00134560"/>
    <w:rsid w:val="001406A9"/>
    <w:rsid w:val="00143195"/>
    <w:rsid w:val="00150D4E"/>
    <w:rsid w:val="001511C1"/>
    <w:rsid w:val="00152B1C"/>
    <w:rsid w:val="001548B2"/>
    <w:rsid w:val="00154A62"/>
    <w:rsid w:val="0015594E"/>
    <w:rsid w:val="001605BE"/>
    <w:rsid w:val="00161B7A"/>
    <w:rsid w:val="001760A1"/>
    <w:rsid w:val="00177A76"/>
    <w:rsid w:val="00180C18"/>
    <w:rsid w:val="00184099"/>
    <w:rsid w:val="00185E17"/>
    <w:rsid w:val="001876A2"/>
    <w:rsid w:val="00195E40"/>
    <w:rsid w:val="001A2538"/>
    <w:rsid w:val="001A6AC7"/>
    <w:rsid w:val="001B2DDE"/>
    <w:rsid w:val="001B6DBD"/>
    <w:rsid w:val="001C4537"/>
    <w:rsid w:val="001C5E77"/>
    <w:rsid w:val="001C7628"/>
    <w:rsid w:val="001D6FB8"/>
    <w:rsid w:val="001D7CD1"/>
    <w:rsid w:val="001F3B27"/>
    <w:rsid w:val="00201EBD"/>
    <w:rsid w:val="002044F8"/>
    <w:rsid w:val="00205640"/>
    <w:rsid w:val="00205674"/>
    <w:rsid w:val="002075BF"/>
    <w:rsid w:val="00214551"/>
    <w:rsid w:val="00215785"/>
    <w:rsid w:val="00216C15"/>
    <w:rsid w:val="002420EC"/>
    <w:rsid w:val="00263B12"/>
    <w:rsid w:val="00265EB2"/>
    <w:rsid w:val="002679BD"/>
    <w:rsid w:val="002732AF"/>
    <w:rsid w:val="00282C0D"/>
    <w:rsid w:val="00286AC1"/>
    <w:rsid w:val="00287573"/>
    <w:rsid w:val="00296A44"/>
    <w:rsid w:val="002A4DD6"/>
    <w:rsid w:val="002B50A5"/>
    <w:rsid w:val="002C0E95"/>
    <w:rsid w:val="002C59CC"/>
    <w:rsid w:val="002D533F"/>
    <w:rsid w:val="002D582E"/>
    <w:rsid w:val="002D725A"/>
    <w:rsid w:val="002E1CC0"/>
    <w:rsid w:val="002E20DB"/>
    <w:rsid w:val="002F1D22"/>
    <w:rsid w:val="002F6AE2"/>
    <w:rsid w:val="0030269D"/>
    <w:rsid w:val="003318BF"/>
    <w:rsid w:val="00332469"/>
    <w:rsid w:val="00332D36"/>
    <w:rsid w:val="00335A79"/>
    <w:rsid w:val="00335EF3"/>
    <w:rsid w:val="0034023A"/>
    <w:rsid w:val="003446DB"/>
    <w:rsid w:val="00347E2A"/>
    <w:rsid w:val="0036444E"/>
    <w:rsid w:val="00367DEC"/>
    <w:rsid w:val="00374E34"/>
    <w:rsid w:val="003817EE"/>
    <w:rsid w:val="00382E6E"/>
    <w:rsid w:val="00391D69"/>
    <w:rsid w:val="003A6E84"/>
    <w:rsid w:val="003A74C4"/>
    <w:rsid w:val="003B29D6"/>
    <w:rsid w:val="003B347E"/>
    <w:rsid w:val="003C42AE"/>
    <w:rsid w:val="003C4EA0"/>
    <w:rsid w:val="003C5886"/>
    <w:rsid w:val="003C749B"/>
    <w:rsid w:val="003D3D17"/>
    <w:rsid w:val="003D4919"/>
    <w:rsid w:val="003D68CD"/>
    <w:rsid w:val="003D7F6F"/>
    <w:rsid w:val="003E26A5"/>
    <w:rsid w:val="003E72FA"/>
    <w:rsid w:val="003E7BFF"/>
    <w:rsid w:val="003F6692"/>
    <w:rsid w:val="0040130A"/>
    <w:rsid w:val="0041629E"/>
    <w:rsid w:val="00424D4A"/>
    <w:rsid w:val="00433E31"/>
    <w:rsid w:val="00436BE7"/>
    <w:rsid w:val="004561E0"/>
    <w:rsid w:val="00457B06"/>
    <w:rsid w:val="00460CA9"/>
    <w:rsid w:val="004643EA"/>
    <w:rsid w:val="004738E8"/>
    <w:rsid w:val="00481540"/>
    <w:rsid w:val="00484B42"/>
    <w:rsid w:val="0048533B"/>
    <w:rsid w:val="00490ED3"/>
    <w:rsid w:val="00492D9A"/>
    <w:rsid w:val="00494C0E"/>
    <w:rsid w:val="004A58DA"/>
    <w:rsid w:val="004B042D"/>
    <w:rsid w:val="004B2558"/>
    <w:rsid w:val="004B5A86"/>
    <w:rsid w:val="004B6D52"/>
    <w:rsid w:val="004D4858"/>
    <w:rsid w:val="004E34AE"/>
    <w:rsid w:val="004E4DC2"/>
    <w:rsid w:val="004E5FC6"/>
    <w:rsid w:val="004F0B6C"/>
    <w:rsid w:val="004F1FE6"/>
    <w:rsid w:val="004F3E28"/>
    <w:rsid w:val="00504073"/>
    <w:rsid w:val="0050556C"/>
    <w:rsid w:val="005176D6"/>
    <w:rsid w:val="00523CC1"/>
    <w:rsid w:val="00526E3C"/>
    <w:rsid w:val="00532D63"/>
    <w:rsid w:val="0053734A"/>
    <w:rsid w:val="0054116A"/>
    <w:rsid w:val="00545CAD"/>
    <w:rsid w:val="005476F6"/>
    <w:rsid w:val="00554411"/>
    <w:rsid w:val="00555C43"/>
    <w:rsid w:val="005606D2"/>
    <w:rsid w:val="005639A9"/>
    <w:rsid w:val="005701A3"/>
    <w:rsid w:val="005709AC"/>
    <w:rsid w:val="005805E4"/>
    <w:rsid w:val="005825B3"/>
    <w:rsid w:val="00584110"/>
    <w:rsid w:val="00585594"/>
    <w:rsid w:val="005949A6"/>
    <w:rsid w:val="005B1561"/>
    <w:rsid w:val="005B1662"/>
    <w:rsid w:val="005B38D6"/>
    <w:rsid w:val="005B4712"/>
    <w:rsid w:val="005B582D"/>
    <w:rsid w:val="005C23E0"/>
    <w:rsid w:val="005C2DE8"/>
    <w:rsid w:val="005C3E1E"/>
    <w:rsid w:val="005D1B23"/>
    <w:rsid w:val="005D431E"/>
    <w:rsid w:val="005E2555"/>
    <w:rsid w:val="005E4432"/>
    <w:rsid w:val="005E6544"/>
    <w:rsid w:val="005E7241"/>
    <w:rsid w:val="005E7BCB"/>
    <w:rsid w:val="005F141D"/>
    <w:rsid w:val="005F37FD"/>
    <w:rsid w:val="00601916"/>
    <w:rsid w:val="0060221D"/>
    <w:rsid w:val="0060222D"/>
    <w:rsid w:val="00605A2F"/>
    <w:rsid w:val="006079AD"/>
    <w:rsid w:val="00610D1F"/>
    <w:rsid w:val="006136A2"/>
    <w:rsid w:val="00621B37"/>
    <w:rsid w:val="00626A31"/>
    <w:rsid w:val="006270BC"/>
    <w:rsid w:val="00630FC8"/>
    <w:rsid w:val="006462DD"/>
    <w:rsid w:val="006561A7"/>
    <w:rsid w:val="006615A7"/>
    <w:rsid w:val="00663EC4"/>
    <w:rsid w:val="00672EBB"/>
    <w:rsid w:val="006730EB"/>
    <w:rsid w:val="00674DB0"/>
    <w:rsid w:val="00676EF9"/>
    <w:rsid w:val="006830E8"/>
    <w:rsid w:val="00685021"/>
    <w:rsid w:val="00690BC2"/>
    <w:rsid w:val="0069410A"/>
    <w:rsid w:val="006950D6"/>
    <w:rsid w:val="00695384"/>
    <w:rsid w:val="006A1678"/>
    <w:rsid w:val="006A766B"/>
    <w:rsid w:val="006B206C"/>
    <w:rsid w:val="006B5DED"/>
    <w:rsid w:val="006B6569"/>
    <w:rsid w:val="006D12BD"/>
    <w:rsid w:val="006D240E"/>
    <w:rsid w:val="006D48C0"/>
    <w:rsid w:val="006E6622"/>
    <w:rsid w:val="006E7680"/>
    <w:rsid w:val="006F3F68"/>
    <w:rsid w:val="006F6A74"/>
    <w:rsid w:val="00714D4C"/>
    <w:rsid w:val="00717A3E"/>
    <w:rsid w:val="00721787"/>
    <w:rsid w:val="007326C0"/>
    <w:rsid w:val="00733AF1"/>
    <w:rsid w:val="00746675"/>
    <w:rsid w:val="0074685C"/>
    <w:rsid w:val="00754232"/>
    <w:rsid w:val="00772E8A"/>
    <w:rsid w:val="00784B46"/>
    <w:rsid w:val="007A04B4"/>
    <w:rsid w:val="007A1229"/>
    <w:rsid w:val="007A7AAB"/>
    <w:rsid w:val="007B1B70"/>
    <w:rsid w:val="007B1E35"/>
    <w:rsid w:val="007B63D3"/>
    <w:rsid w:val="007B6642"/>
    <w:rsid w:val="007C02D1"/>
    <w:rsid w:val="007D08E4"/>
    <w:rsid w:val="007D0FBA"/>
    <w:rsid w:val="007E053B"/>
    <w:rsid w:val="007F10C7"/>
    <w:rsid w:val="008023BF"/>
    <w:rsid w:val="0081717C"/>
    <w:rsid w:val="00825285"/>
    <w:rsid w:val="00830102"/>
    <w:rsid w:val="0084188C"/>
    <w:rsid w:val="008433DA"/>
    <w:rsid w:val="00845D07"/>
    <w:rsid w:val="0085221D"/>
    <w:rsid w:val="00857780"/>
    <w:rsid w:val="008607D7"/>
    <w:rsid w:val="0086120E"/>
    <w:rsid w:val="00864C5A"/>
    <w:rsid w:val="00865AD8"/>
    <w:rsid w:val="008666E8"/>
    <w:rsid w:val="00866D37"/>
    <w:rsid w:val="00870A8F"/>
    <w:rsid w:val="00890660"/>
    <w:rsid w:val="00897550"/>
    <w:rsid w:val="00897B28"/>
    <w:rsid w:val="008A3FF8"/>
    <w:rsid w:val="008A640B"/>
    <w:rsid w:val="008A654C"/>
    <w:rsid w:val="008A6924"/>
    <w:rsid w:val="008A6D09"/>
    <w:rsid w:val="008B719E"/>
    <w:rsid w:val="008C41C8"/>
    <w:rsid w:val="008C7D79"/>
    <w:rsid w:val="008D38D7"/>
    <w:rsid w:val="008D75CF"/>
    <w:rsid w:val="008E3F85"/>
    <w:rsid w:val="008E6874"/>
    <w:rsid w:val="008E6FE4"/>
    <w:rsid w:val="008F5396"/>
    <w:rsid w:val="008F57F0"/>
    <w:rsid w:val="00901F2C"/>
    <w:rsid w:val="00915610"/>
    <w:rsid w:val="0092177A"/>
    <w:rsid w:val="00925A70"/>
    <w:rsid w:val="00941444"/>
    <w:rsid w:val="00946CF7"/>
    <w:rsid w:val="00952395"/>
    <w:rsid w:val="0095323B"/>
    <w:rsid w:val="00953702"/>
    <w:rsid w:val="009556C6"/>
    <w:rsid w:val="0096425B"/>
    <w:rsid w:val="009654D1"/>
    <w:rsid w:val="00972C3D"/>
    <w:rsid w:val="00976E8B"/>
    <w:rsid w:val="009835A9"/>
    <w:rsid w:val="0098702B"/>
    <w:rsid w:val="009938B1"/>
    <w:rsid w:val="009B0170"/>
    <w:rsid w:val="009B30BB"/>
    <w:rsid w:val="009B4B98"/>
    <w:rsid w:val="009B4D40"/>
    <w:rsid w:val="009C092A"/>
    <w:rsid w:val="009D2E73"/>
    <w:rsid w:val="009D3506"/>
    <w:rsid w:val="009D431C"/>
    <w:rsid w:val="009F6613"/>
    <w:rsid w:val="009F6D60"/>
    <w:rsid w:val="00A01590"/>
    <w:rsid w:val="00A10021"/>
    <w:rsid w:val="00A1025D"/>
    <w:rsid w:val="00A1500C"/>
    <w:rsid w:val="00A3175C"/>
    <w:rsid w:val="00A3200C"/>
    <w:rsid w:val="00A34EC4"/>
    <w:rsid w:val="00A359A1"/>
    <w:rsid w:val="00A37346"/>
    <w:rsid w:val="00A44E68"/>
    <w:rsid w:val="00A54390"/>
    <w:rsid w:val="00A62ED2"/>
    <w:rsid w:val="00A64377"/>
    <w:rsid w:val="00A65439"/>
    <w:rsid w:val="00A664E1"/>
    <w:rsid w:val="00A73491"/>
    <w:rsid w:val="00A901E8"/>
    <w:rsid w:val="00A92B1C"/>
    <w:rsid w:val="00AB5BB3"/>
    <w:rsid w:val="00AC0634"/>
    <w:rsid w:val="00AC4992"/>
    <w:rsid w:val="00AC73A8"/>
    <w:rsid w:val="00AD5289"/>
    <w:rsid w:val="00AE04C4"/>
    <w:rsid w:val="00AE23B9"/>
    <w:rsid w:val="00AE3B0C"/>
    <w:rsid w:val="00AE73A7"/>
    <w:rsid w:val="00AF0524"/>
    <w:rsid w:val="00AF052A"/>
    <w:rsid w:val="00AF2458"/>
    <w:rsid w:val="00AF5A03"/>
    <w:rsid w:val="00AF66E5"/>
    <w:rsid w:val="00B00A6B"/>
    <w:rsid w:val="00B12335"/>
    <w:rsid w:val="00B128F7"/>
    <w:rsid w:val="00B13683"/>
    <w:rsid w:val="00B15CAE"/>
    <w:rsid w:val="00B232D8"/>
    <w:rsid w:val="00B34EDA"/>
    <w:rsid w:val="00B35205"/>
    <w:rsid w:val="00B524D0"/>
    <w:rsid w:val="00B5405C"/>
    <w:rsid w:val="00B6137D"/>
    <w:rsid w:val="00B64D5C"/>
    <w:rsid w:val="00B6510F"/>
    <w:rsid w:val="00B6638D"/>
    <w:rsid w:val="00B67B21"/>
    <w:rsid w:val="00B71DDF"/>
    <w:rsid w:val="00B81108"/>
    <w:rsid w:val="00B836F3"/>
    <w:rsid w:val="00B8522A"/>
    <w:rsid w:val="00B91C9F"/>
    <w:rsid w:val="00B95606"/>
    <w:rsid w:val="00B977FE"/>
    <w:rsid w:val="00BB164E"/>
    <w:rsid w:val="00BB4362"/>
    <w:rsid w:val="00BC0083"/>
    <w:rsid w:val="00BF33A1"/>
    <w:rsid w:val="00BF6C42"/>
    <w:rsid w:val="00BF7FA6"/>
    <w:rsid w:val="00C07088"/>
    <w:rsid w:val="00C1239C"/>
    <w:rsid w:val="00C12F29"/>
    <w:rsid w:val="00C14C5B"/>
    <w:rsid w:val="00C17221"/>
    <w:rsid w:val="00C20ACD"/>
    <w:rsid w:val="00C2161B"/>
    <w:rsid w:val="00C23B38"/>
    <w:rsid w:val="00C33BC1"/>
    <w:rsid w:val="00C3628D"/>
    <w:rsid w:val="00C42330"/>
    <w:rsid w:val="00C4382E"/>
    <w:rsid w:val="00C51377"/>
    <w:rsid w:val="00C538F8"/>
    <w:rsid w:val="00C56BC4"/>
    <w:rsid w:val="00C638D8"/>
    <w:rsid w:val="00C66622"/>
    <w:rsid w:val="00C66AF5"/>
    <w:rsid w:val="00C71BE7"/>
    <w:rsid w:val="00C81E72"/>
    <w:rsid w:val="00C84E28"/>
    <w:rsid w:val="00C8592E"/>
    <w:rsid w:val="00C9166D"/>
    <w:rsid w:val="00C956CF"/>
    <w:rsid w:val="00CA14BC"/>
    <w:rsid w:val="00CB4F49"/>
    <w:rsid w:val="00CB548F"/>
    <w:rsid w:val="00CB67D0"/>
    <w:rsid w:val="00CE1363"/>
    <w:rsid w:val="00CE2F8D"/>
    <w:rsid w:val="00CE3C38"/>
    <w:rsid w:val="00D04D17"/>
    <w:rsid w:val="00D114EF"/>
    <w:rsid w:val="00D13C88"/>
    <w:rsid w:val="00D16A71"/>
    <w:rsid w:val="00D2528F"/>
    <w:rsid w:val="00D267A7"/>
    <w:rsid w:val="00D3061C"/>
    <w:rsid w:val="00D30BC8"/>
    <w:rsid w:val="00D3512A"/>
    <w:rsid w:val="00D362D3"/>
    <w:rsid w:val="00D417BD"/>
    <w:rsid w:val="00D42586"/>
    <w:rsid w:val="00D47FCC"/>
    <w:rsid w:val="00D50F74"/>
    <w:rsid w:val="00D70479"/>
    <w:rsid w:val="00D756E1"/>
    <w:rsid w:val="00D80740"/>
    <w:rsid w:val="00D831BC"/>
    <w:rsid w:val="00D85121"/>
    <w:rsid w:val="00D86C22"/>
    <w:rsid w:val="00D93602"/>
    <w:rsid w:val="00DA5990"/>
    <w:rsid w:val="00DB3458"/>
    <w:rsid w:val="00DC69D8"/>
    <w:rsid w:val="00DC7B75"/>
    <w:rsid w:val="00DD0E5F"/>
    <w:rsid w:val="00DD5438"/>
    <w:rsid w:val="00DD78AF"/>
    <w:rsid w:val="00DE29AC"/>
    <w:rsid w:val="00E1553A"/>
    <w:rsid w:val="00E23436"/>
    <w:rsid w:val="00E2662C"/>
    <w:rsid w:val="00E26B39"/>
    <w:rsid w:val="00E27B9A"/>
    <w:rsid w:val="00E32A71"/>
    <w:rsid w:val="00E364DB"/>
    <w:rsid w:val="00E36D11"/>
    <w:rsid w:val="00E41820"/>
    <w:rsid w:val="00E566A9"/>
    <w:rsid w:val="00E65229"/>
    <w:rsid w:val="00E664A2"/>
    <w:rsid w:val="00E71BAB"/>
    <w:rsid w:val="00E8044E"/>
    <w:rsid w:val="00E8087B"/>
    <w:rsid w:val="00E8386B"/>
    <w:rsid w:val="00E8439D"/>
    <w:rsid w:val="00E85E2D"/>
    <w:rsid w:val="00EA4010"/>
    <w:rsid w:val="00EB472B"/>
    <w:rsid w:val="00EC39E7"/>
    <w:rsid w:val="00EC506F"/>
    <w:rsid w:val="00EC6544"/>
    <w:rsid w:val="00ED089D"/>
    <w:rsid w:val="00ED30EA"/>
    <w:rsid w:val="00ED3613"/>
    <w:rsid w:val="00ED7C76"/>
    <w:rsid w:val="00EE2DF3"/>
    <w:rsid w:val="00EE5DF0"/>
    <w:rsid w:val="00EF0789"/>
    <w:rsid w:val="00F024FA"/>
    <w:rsid w:val="00F0419B"/>
    <w:rsid w:val="00F11E57"/>
    <w:rsid w:val="00F12D91"/>
    <w:rsid w:val="00F160E5"/>
    <w:rsid w:val="00F16F11"/>
    <w:rsid w:val="00F2511E"/>
    <w:rsid w:val="00F37BF9"/>
    <w:rsid w:val="00F43036"/>
    <w:rsid w:val="00F55F67"/>
    <w:rsid w:val="00F6423F"/>
    <w:rsid w:val="00F6602E"/>
    <w:rsid w:val="00F66144"/>
    <w:rsid w:val="00F66A8E"/>
    <w:rsid w:val="00F704C3"/>
    <w:rsid w:val="00F72EA9"/>
    <w:rsid w:val="00F740E3"/>
    <w:rsid w:val="00F74234"/>
    <w:rsid w:val="00F83BDA"/>
    <w:rsid w:val="00F9244F"/>
    <w:rsid w:val="00FA076D"/>
    <w:rsid w:val="00FA09D5"/>
    <w:rsid w:val="00FD028F"/>
    <w:rsid w:val="00FD21A5"/>
    <w:rsid w:val="00FE16DC"/>
    <w:rsid w:val="00FE2439"/>
    <w:rsid w:val="00FE5D91"/>
    <w:rsid w:val="00FF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qFormat="1"/>
    <w:lsdException w:name="page number" w:uiPriority="99"/>
    <w:lsdException w:name="endnote text" w:uiPriority="99"/>
    <w:lsdException w:name="table of authoriti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5E4"/>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rsid w:val="000C761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504368"/>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rsid w:val="00504368"/>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rsid w:val="00504368"/>
    <w:rPr>
      <w:vertAlign w:val="superscript"/>
    </w:rPr>
  </w:style>
  <w:style w:type="character" w:styleId="LineNumber">
    <w:name w:val="line number"/>
    <w:uiPriority w:val="99"/>
    <w:unhideWhenUsed/>
    <w:qFormat/>
    <w:rsid w:val="0090590F"/>
    <w:rPr>
      <w:rFonts w:ascii="Times New Roman" w:hAnsi="Times New Roman"/>
      <w:sz w:val="24"/>
      <w:szCs w:val="22"/>
    </w:rPr>
  </w:style>
  <w:style w:type="character" w:customStyle="1" w:styleId="WUTCParagraphChar">
    <w:name w:val="WUTC Paragraph Char"/>
    <w:link w:val="WUTCParagraph"/>
    <w:rsid w:val="0090590F"/>
    <w:rPr>
      <w:sz w:val="24"/>
      <w:szCs w:val="24"/>
    </w:rPr>
  </w:style>
  <w:style w:type="character" w:customStyle="1" w:styleId="BodyTextIndentChar">
    <w:name w:val="Body Text Indent Char"/>
    <w:link w:val="BodyTextIndent"/>
    <w:rsid w:val="0090590F"/>
    <w:rPr>
      <w:snapToGrid w:val="0"/>
      <w:sz w:val="24"/>
    </w:rPr>
  </w:style>
  <w:style w:type="paragraph" w:customStyle="1" w:styleId="draft">
    <w:name w:val="draft"/>
    <w:basedOn w:val="WUTCParagraph"/>
    <w:link w:val="draftChar"/>
    <w:qFormat/>
    <w:rsid w:val="0090590F"/>
    <w:pPr>
      <w:tabs>
        <w:tab w:val="num" w:pos="1440"/>
      </w:tabs>
      <w:spacing w:line="570" w:lineRule="exact"/>
    </w:pPr>
  </w:style>
  <w:style w:type="character" w:customStyle="1" w:styleId="draftChar">
    <w:name w:val="draft Char"/>
    <w:link w:val="draft"/>
    <w:rsid w:val="0090590F"/>
  </w:style>
  <w:style w:type="paragraph" w:styleId="TableofAuthorities">
    <w:name w:val="table of authorities"/>
    <w:basedOn w:val="Normal"/>
    <w:next w:val="Normal"/>
    <w:uiPriority w:val="99"/>
    <w:unhideWhenUsed/>
    <w:rsid w:val="0090590F"/>
    <w:pPr>
      <w:ind w:left="240" w:hanging="240"/>
    </w:pPr>
    <w:rPr>
      <w:color w:val="auto"/>
      <w:szCs w:val="24"/>
    </w:rPr>
  </w:style>
  <w:style w:type="paragraph" w:customStyle="1" w:styleId="UTCStyle">
    <w:name w:val="UTC Style"/>
    <w:basedOn w:val="BodyTextIndent"/>
    <w:link w:val="UTCStyleChar"/>
    <w:qFormat/>
    <w:rsid w:val="0090590F"/>
    <w:pPr>
      <w:tabs>
        <w:tab w:val="left" w:pos="720"/>
        <w:tab w:val="right" w:leader="dot" w:pos="8640"/>
      </w:tabs>
      <w:spacing w:line="240" w:lineRule="auto"/>
      <w:ind w:firstLine="0"/>
    </w:pPr>
    <w:rPr>
      <w:sz w:val="28"/>
    </w:rPr>
  </w:style>
  <w:style w:type="character" w:customStyle="1" w:styleId="UTCStyleChar">
    <w:name w:val="UTC Style Char"/>
    <w:link w:val="UTCStyle"/>
    <w:rsid w:val="0090590F"/>
    <w:rPr>
      <w:snapToGrid w:val="0"/>
      <w:sz w:val="28"/>
    </w:rPr>
  </w:style>
  <w:style w:type="paragraph" w:customStyle="1" w:styleId="IASFav">
    <w:name w:val="IAS Fav"/>
    <w:basedOn w:val="draft"/>
    <w:link w:val="IASFavChar"/>
    <w:qFormat/>
    <w:rsid w:val="0090590F"/>
    <w:rPr>
      <w:szCs w:val="22"/>
    </w:rPr>
  </w:style>
  <w:style w:type="paragraph" w:customStyle="1" w:styleId="IAS2">
    <w:name w:val="IAS 2"/>
    <w:basedOn w:val="Normal"/>
    <w:link w:val="IAS2Char"/>
    <w:qFormat/>
    <w:rsid w:val="0090590F"/>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sid w:val="0090590F"/>
    <w:rPr>
      <w:sz w:val="24"/>
      <w:szCs w:val="22"/>
    </w:rPr>
  </w:style>
  <w:style w:type="character" w:customStyle="1" w:styleId="IAS2Char">
    <w:name w:val="IAS 2 Char"/>
    <w:link w:val="IAS2"/>
    <w:rsid w:val="0090590F"/>
    <w:rPr>
      <w:sz w:val="24"/>
      <w:szCs w:val="24"/>
      <w:lang w:val="x-none" w:eastAsia="x-none"/>
    </w:rPr>
  </w:style>
  <w:style w:type="character" w:customStyle="1" w:styleId="Heading6Char">
    <w:name w:val="Heading 6 Char"/>
    <w:link w:val="Heading6"/>
    <w:semiHidden/>
    <w:rsid w:val="000C761D"/>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rsid w:val="007F1477"/>
    <w:pPr>
      <w:numPr>
        <w:ilvl w:val="0"/>
        <w:numId w:val="0"/>
      </w:numPr>
      <w:spacing w:after="0"/>
      <w:ind w:left="1440" w:hanging="720"/>
    </w:pPr>
    <w:rPr>
      <w:lang w:val="x-none" w:eastAsia="x-none"/>
    </w:rPr>
  </w:style>
  <w:style w:type="character" w:customStyle="1" w:styleId="draftheading2Char">
    <w:name w:val="draft heading 2 Char"/>
    <w:link w:val="draftheading2"/>
    <w:rsid w:val="007F1477"/>
    <w:rPr>
      <w:b/>
      <w:sz w:val="24"/>
      <w:szCs w:val="24"/>
    </w:rPr>
  </w:style>
  <w:style w:type="paragraph" w:customStyle="1" w:styleId="draftheading3">
    <w:name w:val="draft heading 3"/>
    <w:basedOn w:val="WUTCParagraph"/>
    <w:link w:val="draftheading3Char"/>
    <w:qFormat/>
    <w:rsid w:val="007F1477"/>
    <w:pPr>
      <w:keepNext/>
      <w:numPr>
        <w:numId w:val="0"/>
      </w:numPr>
      <w:spacing w:before="240" w:line="240" w:lineRule="auto"/>
      <w:ind w:left="1440" w:hanging="720"/>
    </w:pPr>
    <w:rPr>
      <w:b/>
    </w:rPr>
  </w:style>
  <w:style w:type="character" w:customStyle="1" w:styleId="draftheading3Char">
    <w:name w:val="draft heading 3 Char"/>
    <w:link w:val="draftheading3"/>
    <w:rsid w:val="007F1477"/>
    <w:rPr>
      <w:b/>
      <w:sz w:val="24"/>
      <w:szCs w:val="24"/>
    </w:rPr>
  </w:style>
  <w:style w:type="table" w:styleId="TableGrid">
    <w:name w:val="Table Grid"/>
    <w:basedOn w:val="TableNormal"/>
    <w:rsid w:val="006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840"/>
    <w:rPr>
      <w:rFonts w:ascii="Tahoma" w:hAnsi="Tahoma"/>
      <w:sz w:val="16"/>
      <w:szCs w:val="16"/>
      <w:lang w:val="x-none" w:eastAsia="x-none"/>
    </w:rPr>
  </w:style>
  <w:style w:type="character" w:customStyle="1" w:styleId="BalloonTextChar">
    <w:name w:val="Balloon Text Char"/>
    <w:link w:val="BalloonText"/>
    <w:rsid w:val="00497840"/>
    <w:rPr>
      <w:rFonts w:ascii="Tahoma" w:hAnsi="Tahoma" w:cs="Tahoma"/>
      <w:color w:val="000000"/>
      <w:sz w:val="16"/>
      <w:szCs w:val="16"/>
    </w:rPr>
  </w:style>
  <w:style w:type="paragraph" w:customStyle="1" w:styleId="MediumGrid1-Accent21">
    <w:name w:val="Medium Grid 1 - Accent 21"/>
    <w:basedOn w:val="Normal"/>
    <w:uiPriority w:val="34"/>
    <w:qFormat/>
    <w:rsid w:val="00826BB4"/>
    <w:pPr>
      <w:ind w:left="720"/>
    </w:pPr>
  </w:style>
  <w:style w:type="paragraph" w:customStyle="1" w:styleId="ColorfulList-Accent11">
    <w:name w:val="Colorful List - Accent 11"/>
    <w:basedOn w:val="Normal"/>
    <w:uiPriority w:val="34"/>
    <w:qFormat/>
    <w:rsid w:val="007055B2"/>
    <w:pPr>
      <w:ind w:left="720"/>
    </w:pPr>
  </w:style>
  <w:style w:type="paragraph" w:customStyle="1" w:styleId="130043Post-hearingBriefParagraph">
    <w:name w:val="130043 Post-hearing Brief Paragraph"/>
    <w:basedOn w:val="WUTCParagraph"/>
    <w:qFormat/>
    <w:rsid w:val="00E2225A"/>
  </w:style>
  <w:style w:type="paragraph" w:customStyle="1" w:styleId="UTCHeaderletter">
    <w:name w:val="UTC Header (letter)"/>
    <w:basedOn w:val="WUTCParagraph"/>
    <w:qFormat/>
    <w:rsid w:val="00E2225A"/>
    <w:pPr>
      <w:keepNext/>
      <w:numPr>
        <w:numId w:val="0"/>
      </w:numPr>
      <w:tabs>
        <w:tab w:val="left" w:pos="720"/>
      </w:tabs>
      <w:spacing w:line="570" w:lineRule="exact"/>
      <w:ind w:left="1440" w:hanging="720"/>
    </w:pPr>
    <w:rPr>
      <w:b/>
    </w:rPr>
  </w:style>
  <w:style w:type="paragraph" w:customStyle="1" w:styleId="answer">
    <w:name w:val="answer"/>
    <w:basedOn w:val="Normal"/>
    <w:link w:val="answerChar"/>
    <w:rsid w:val="00041B61"/>
    <w:pPr>
      <w:spacing w:before="120" w:after="120" w:line="480" w:lineRule="auto"/>
      <w:ind w:left="720" w:hanging="720"/>
    </w:pPr>
    <w:rPr>
      <w:color w:val="auto"/>
      <w:lang w:val="x-none" w:eastAsia="zh-CN"/>
    </w:rPr>
  </w:style>
  <w:style w:type="character" w:customStyle="1" w:styleId="answerChar">
    <w:name w:val="answer Char"/>
    <w:link w:val="answer"/>
    <w:rsid w:val="00041B61"/>
    <w:rPr>
      <w:sz w:val="24"/>
      <w:lang w:eastAsia="zh-CN"/>
    </w:rPr>
  </w:style>
  <w:style w:type="paragraph" w:customStyle="1" w:styleId="Default">
    <w:name w:val="Default"/>
    <w:rsid w:val="00041B61"/>
    <w:pPr>
      <w:autoSpaceDE w:val="0"/>
      <w:autoSpaceDN w:val="0"/>
      <w:adjustRightInd w:val="0"/>
    </w:pPr>
    <w:rPr>
      <w:rFonts w:eastAsia="Calibri"/>
      <w:color w:val="000000"/>
      <w:sz w:val="24"/>
      <w:szCs w:val="24"/>
    </w:rPr>
  </w:style>
  <w:style w:type="character" w:styleId="CommentReference">
    <w:name w:val="annotation reference"/>
    <w:rsid w:val="003A0E22"/>
    <w:rPr>
      <w:sz w:val="16"/>
      <w:szCs w:val="16"/>
    </w:rPr>
  </w:style>
  <w:style w:type="paragraph" w:styleId="CommentText">
    <w:name w:val="annotation text"/>
    <w:basedOn w:val="Normal"/>
    <w:link w:val="CommentTextChar"/>
    <w:rsid w:val="003A0E22"/>
    <w:rPr>
      <w:sz w:val="20"/>
      <w:lang w:val="x-none" w:eastAsia="x-none"/>
    </w:rPr>
  </w:style>
  <w:style w:type="character" w:customStyle="1" w:styleId="CommentTextChar">
    <w:name w:val="Comment Text Char"/>
    <w:link w:val="CommentText"/>
    <w:rsid w:val="003A0E22"/>
    <w:rPr>
      <w:color w:val="000000"/>
    </w:rPr>
  </w:style>
  <w:style w:type="paragraph" w:styleId="CommentSubject">
    <w:name w:val="annotation subject"/>
    <w:basedOn w:val="CommentText"/>
    <w:next w:val="CommentText"/>
    <w:link w:val="CommentSubjectChar"/>
    <w:rsid w:val="003A0E22"/>
    <w:rPr>
      <w:b/>
      <w:bCs/>
    </w:rPr>
  </w:style>
  <w:style w:type="character" w:customStyle="1" w:styleId="CommentSubjectChar">
    <w:name w:val="Comment Subject Char"/>
    <w:link w:val="CommentSubject"/>
    <w:rsid w:val="003A0E22"/>
    <w:rPr>
      <w:b/>
      <w:bCs/>
      <w:color w:val="000000"/>
    </w:rPr>
  </w:style>
  <w:style w:type="paragraph" w:customStyle="1" w:styleId="ColorfulShading-Accent11">
    <w:name w:val="Colorful Shading - Accent 11"/>
    <w:hidden/>
    <w:uiPriority w:val="99"/>
    <w:semiHidden/>
    <w:rsid w:val="003A0E22"/>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qFormat="1"/>
    <w:lsdException w:name="page number" w:uiPriority="99"/>
    <w:lsdException w:name="endnote text" w:uiPriority="99"/>
    <w:lsdException w:name="table of authoriti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5E4"/>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rsid w:val="000C761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504368"/>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rsid w:val="00504368"/>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rsid w:val="00504368"/>
    <w:rPr>
      <w:vertAlign w:val="superscript"/>
    </w:rPr>
  </w:style>
  <w:style w:type="character" w:styleId="LineNumber">
    <w:name w:val="line number"/>
    <w:uiPriority w:val="99"/>
    <w:unhideWhenUsed/>
    <w:qFormat/>
    <w:rsid w:val="0090590F"/>
    <w:rPr>
      <w:rFonts w:ascii="Times New Roman" w:hAnsi="Times New Roman"/>
      <w:sz w:val="24"/>
      <w:szCs w:val="22"/>
    </w:rPr>
  </w:style>
  <w:style w:type="character" w:customStyle="1" w:styleId="WUTCParagraphChar">
    <w:name w:val="WUTC Paragraph Char"/>
    <w:link w:val="WUTCParagraph"/>
    <w:rsid w:val="0090590F"/>
    <w:rPr>
      <w:sz w:val="24"/>
      <w:szCs w:val="24"/>
    </w:rPr>
  </w:style>
  <w:style w:type="character" w:customStyle="1" w:styleId="BodyTextIndentChar">
    <w:name w:val="Body Text Indent Char"/>
    <w:link w:val="BodyTextIndent"/>
    <w:rsid w:val="0090590F"/>
    <w:rPr>
      <w:snapToGrid w:val="0"/>
      <w:sz w:val="24"/>
    </w:rPr>
  </w:style>
  <w:style w:type="paragraph" w:customStyle="1" w:styleId="draft">
    <w:name w:val="draft"/>
    <w:basedOn w:val="WUTCParagraph"/>
    <w:link w:val="draftChar"/>
    <w:qFormat/>
    <w:rsid w:val="0090590F"/>
    <w:pPr>
      <w:tabs>
        <w:tab w:val="num" w:pos="1440"/>
      </w:tabs>
      <w:spacing w:line="570" w:lineRule="exact"/>
    </w:pPr>
  </w:style>
  <w:style w:type="character" w:customStyle="1" w:styleId="draftChar">
    <w:name w:val="draft Char"/>
    <w:link w:val="draft"/>
    <w:rsid w:val="0090590F"/>
  </w:style>
  <w:style w:type="paragraph" w:styleId="TableofAuthorities">
    <w:name w:val="table of authorities"/>
    <w:basedOn w:val="Normal"/>
    <w:next w:val="Normal"/>
    <w:uiPriority w:val="99"/>
    <w:unhideWhenUsed/>
    <w:rsid w:val="0090590F"/>
    <w:pPr>
      <w:ind w:left="240" w:hanging="240"/>
    </w:pPr>
    <w:rPr>
      <w:color w:val="auto"/>
      <w:szCs w:val="24"/>
    </w:rPr>
  </w:style>
  <w:style w:type="paragraph" w:customStyle="1" w:styleId="UTCStyle">
    <w:name w:val="UTC Style"/>
    <w:basedOn w:val="BodyTextIndent"/>
    <w:link w:val="UTCStyleChar"/>
    <w:qFormat/>
    <w:rsid w:val="0090590F"/>
    <w:pPr>
      <w:tabs>
        <w:tab w:val="left" w:pos="720"/>
        <w:tab w:val="right" w:leader="dot" w:pos="8640"/>
      </w:tabs>
      <w:spacing w:line="240" w:lineRule="auto"/>
      <w:ind w:firstLine="0"/>
    </w:pPr>
    <w:rPr>
      <w:sz w:val="28"/>
    </w:rPr>
  </w:style>
  <w:style w:type="character" w:customStyle="1" w:styleId="UTCStyleChar">
    <w:name w:val="UTC Style Char"/>
    <w:link w:val="UTCStyle"/>
    <w:rsid w:val="0090590F"/>
    <w:rPr>
      <w:snapToGrid w:val="0"/>
      <w:sz w:val="28"/>
    </w:rPr>
  </w:style>
  <w:style w:type="paragraph" w:customStyle="1" w:styleId="IASFav">
    <w:name w:val="IAS Fav"/>
    <w:basedOn w:val="draft"/>
    <w:link w:val="IASFavChar"/>
    <w:qFormat/>
    <w:rsid w:val="0090590F"/>
    <w:rPr>
      <w:szCs w:val="22"/>
    </w:rPr>
  </w:style>
  <w:style w:type="paragraph" w:customStyle="1" w:styleId="IAS2">
    <w:name w:val="IAS 2"/>
    <w:basedOn w:val="Normal"/>
    <w:link w:val="IAS2Char"/>
    <w:qFormat/>
    <w:rsid w:val="0090590F"/>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sid w:val="0090590F"/>
    <w:rPr>
      <w:sz w:val="24"/>
      <w:szCs w:val="22"/>
    </w:rPr>
  </w:style>
  <w:style w:type="character" w:customStyle="1" w:styleId="IAS2Char">
    <w:name w:val="IAS 2 Char"/>
    <w:link w:val="IAS2"/>
    <w:rsid w:val="0090590F"/>
    <w:rPr>
      <w:sz w:val="24"/>
      <w:szCs w:val="24"/>
      <w:lang w:val="x-none" w:eastAsia="x-none"/>
    </w:rPr>
  </w:style>
  <w:style w:type="character" w:customStyle="1" w:styleId="Heading6Char">
    <w:name w:val="Heading 6 Char"/>
    <w:link w:val="Heading6"/>
    <w:semiHidden/>
    <w:rsid w:val="000C761D"/>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rsid w:val="007F1477"/>
    <w:pPr>
      <w:numPr>
        <w:ilvl w:val="0"/>
        <w:numId w:val="0"/>
      </w:numPr>
      <w:spacing w:after="0"/>
      <w:ind w:left="1440" w:hanging="720"/>
    </w:pPr>
    <w:rPr>
      <w:lang w:val="x-none" w:eastAsia="x-none"/>
    </w:rPr>
  </w:style>
  <w:style w:type="character" w:customStyle="1" w:styleId="draftheading2Char">
    <w:name w:val="draft heading 2 Char"/>
    <w:link w:val="draftheading2"/>
    <w:rsid w:val="007F1477"/>
    <w:rPr>
      <w:b/>
      <w:sz w:val="24"/>
      <w:szCs w:val="24"/>
    </w:rPr>
  </w:style>
  <w:style w:type="paragraph" w:customStyle="1" w:styleId="draftheading3">
    <w:name w:val="draft heading 3"/>
    <w:basedOn w:val="WUTCParagraph"/>
    <w:link w:val="draftheading3Char"/>
    <w:qFormat/>
    <w:rsid w:val="007F1477"/>
    <w:pPr>
      <w:keepNext/>
      <w:numPr>
        <w:numId w:val="0"/>
      </w:numPr>
      <w:spacing w:before="240" w:line="240" w:lineRule="auto"/>
      <w:ind w:left="1440" w:hanging="720"/>
    </w:pPr>
    <w:rPr>
      <w:b/>
    </w:rPr>
  </w:style>
  <w:style w:type="character" w:customStyle="1" w:styleId="draftheading3Char">
    <w:name w:val="draft heading 3 Char"/>
    <w:link w:val="draftheading3"/>
    <w:rsid w:val="007F1477"/>
    <w:rPr>
      <w:b/>
      <w:sz w:val="24"/>
      <w:szCs w:val="24"/>
    </w:rPr>
  </w:style>
  <w:style w:type="table" w:styleId="TableGrid">
    <w:name w:val="Table Grid"/>
    <w:basedOn w:val="TableNormal"/>
    <w:rsid w:val="006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840"/>
    <w:rPr>
      <w:rFonts w:ascii="Tahoma" w:hAnsi="Tahoma"/>
      <w:sz w:val="16"/>
      <w:szCs w:val="16"/>
      <w:lang w:val="x-none" w:eastAsia="x-none"/>
    </w:rPr>
  </w:style>
  <w:style w:type="character" w:customStyle="1" w:styleId="BalloonTextChar">
    <w:name w:val="Balloon Text Char"/>
    <w:link w:val="BalloonText"/>
    <w:rsid w:val="00497840"/>
    <w:rPr>
      <w:rFonts w:ascii="Tahoma" w:hAnsi="Tahoma" w:cs="Tahoma"/>
      <w:color w:val="000000"/>
      <w:sz w:val="16"/>
      <w:szCs w:val="16"/>
    </w:rPr>
  </w:style>
  <w:style w:type="paragraph" w:customStyle="1" w:styleId="MediumGrid1-Accent21">
    <w:name w:val="Medium Grid 1 - Accent 21"/>
    <w:basedOn w:val="Normal"/>
    <w:uiPriority w:val="34"/>
    <w:qFormat/>
    <w:rsid w:val="00826BB4"/>
    <w:pPr>
      <w:ind w:left="720"/>
    </w:pPr>
  </w:style>
  <w:style w:type="paragraph" w:customStyle="1" w:styleId="ColorfulList-Accent11">
    <w:name w:val="Colorful List - Accent 11"/>
    <w:basedOn w:val="Normal"/>
    <w:uiPriority w:val="34"/>
    <w:qFormat/>
    <w:rsid w:val="007055B2"/>
    <w:pPr>
      <w:ind w:left="720"/>
    </w:pPr>
  </w:style>
  <w:style w:type="paragraph" w:customStyle="1" w:styleId="130043Post-hearingBriefParagraph">
    <w:name w:val="130043 Post-hearing Brief Paragraph"/>
    <w:basedOn w:val="WUTCParagraph"/>
    <w:qFormat/>
    <w:rsid w:val="00E2225A"/>
  </w:style>
  <w:style w:type="paragraph" w:customStyle="1" w:styleId="UTCHeaderletter">
    <w:name w:val="UTC Header (letter)"/>
    <w:basedOn w:val="WUTCParagraph"/>
    <w:qFormat/>
    <w:rsid w:val="00E2225A"/>
    <w:pPr>
      <w:keepNext/>
      <w:numPr>
        <w:numId w:val="0"/>
      </w:numPr>
      <w:tabs>
        <w:tab w:val="left" w:pos="720"/>
      </w:tabs>
      <w:spacing w:line="570" w:lineRule="exact"/>
      <w:ind w:left="1440" w:hanging="720"/>
    </w:pPr>
    <w:rPr>
      <w:b/>
    </w:rPr>
  </w:style>
  <w:style w:type="paragraph" w:customStyle="1" w:styleId="answer">
    <w:name w:val="answer"/>
    <w:basedOn w:val="Normal"/>
    <w:link w:val="answerChar"/>
    <w:rsid w:val="00041B61"/>
    <w:pPr>
      <w:spacing w:before="120" w:after="120" w:line="480" w:lineRule="auto"/>
      <w:ind w:left="720" w:hanging="720"/>
    </w:pPr>
    <w:rPr>
      <w:color w:val="auto"/>
      <w:lang w:val="x-none" w:eastAsia="zh-CN"/>
    </w:rPr>
  </w:style>
  <w:style w:type="character" w:customStyle="1" w:styleId="answerChar">
    <w:name w:val="answer Char"/>
    <w:link w:val="answer"/>
    <w:rsid w:val="00041B61"/>
    <w:rPr>
      <w:sz w:val="24"/>
      <w:lang w:eastAsia="zh-CN"/>
    </w:rPr>
  </w:style>
  <w:style w:type="paragraph" w:customStyle="1" w:styleId="Default">
    <w:name w:val="Default"/>
    <w:rsid w:val="00041B61"/>
    <w:pPr>
      <w:autoSpaceDE w:val="0"/>
      <w:autoSpaceDN w:val="0"/>
      <w:adjustRightInd w:val="0"/>
    </w:pPr>
    <w:rPr>
      <w:rFonts w:eastAsia="Calibri"/>
      <w:color w:val="000000"/>
      <w:sz w:val="24"/>
      <w:szCs w:val="24"/>
    </w:rPr>
  </w:style>
  <w:style w:type="character" w:styleId="CommentReference">
    <w:name w:val="annotation reference"/>
    <w:rsid w:val="003A0E22"/>
    <w:rPr>
      <w:sz w:val="16"/>
      <w:szCs w:val="16"/>
    </w:rPr>
  </w:style>
  <w:style w:type="paragraph" w:styleId="CommentText">
    <w:name w:val="annotation text"/>
    <w:basedOn w:val="Normal"/>
    <w:link w:val="CommentTextChar"/>
    <w:rsid w:val="003A0E22"/>
    <w:rPr>
      <w:sz w:val="20"/>
      <w:lang w:val="x-none" w:eastAsia="x-none"/>
    </w:rPr>
  </w:style>
  <w:style w:type="character" w:customStyle="1" w:styleId="CommentTextChar">
    <w:name w:val="Comment Text Char"/>
    <w:link w:val="CommentText"/>
    <w:rsid w:val="003A0E22"/>
    <w:rPr>
      <w:color w:val="000000"/>
    </w:rPr>
  </w:style>
  <w:style w:type="paragraph" w:styleId="CommentSubject">
    <w:name w:val="annotation subject"/>
    <w:basedOn w:val="CommentText"/>
    <w:next w:val="CommentText"/>
    <w:link w:val="CommentSubjectChar"/>
    <w:rsid w:val="003A0E22"/>
    <w:rPr>
      <w:b/>
      <w:bCs/>
    </w:rPr>
  </w:style>
  <w:style w:type="character" w:customStyle="1" w:styleId="CommentSubjectChar">
    <w:name w:val="Comment Subject Char"/>
    <w:link w:val="CommentSubject"/>
    <w:rsid w:val="003A0E22"/>
    <w:rPr>
      <w:b/>
      <w:bCs/>
      <w:color w:val="000000"/>
    </w:rPr>
  </w:style>
  <w:style w:type="paragraph" w:customStyle="1" w:styleId="ColorfulShading-Accent11">
    <w:name w:val="Colorful Shading - Accent 11"/>
    <w:hidden/>
    <w:uiPriority w:val="99"/>
    <w:semiHidden/>
    <w:rsid w:val="003A0E2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tc.wa.gov/docs/Pages/DocketLookup.aspx?FilingID=152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2015-12-10T08:00:00+00:00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498F72-AF8A-438C-8F4D-CF39DE8B1845}"/>
</file>

<file path=customXml/itemProps2.xml><?xml version="1.0" encoding="utf-8"?>
<ds:datastoreItem xmlns:ds="http://schemas.openxmlformats.org/officeDocument/2006/customXml" ds:itemID="{33F8867E-40EE-4E1A-BAE1-2D0B607A9573}"/>
</file>

<file path=customXml/itemProps3.xml><?xml version="1.0" encoding="utf-8"?>
<ds:datastoreItem xmlns:ds="http://schemas.openxmlformats.org/officeDocument/2006/customXml" ds:itemID="{44F70F69-2E37-48D3-B6F8-30D343000DD6}"/>
</file>

<file path=customXml/itemProps4.xml><?xml version="1.0" encoding="utf-8"?>
<ds:datastoreItem xmlns:ds="http://schemas.openxmlformats.org/officeDocument/2006/customXml" ds:itemID="{4DBE8FF1-9955-415E-9D41-DFAF3F4354B5}"/>
</file>

<file path=customXml/itemProps5.xml><?xml version="1.0" encoding="utf-8"?>
<ds:datastoreItem xmlns:ds="http://schemas.openxmlformats.org/officeDocument/2006/customXml" ds:itemID="{E7D4B473-FC7E-454A-AEFF-A0DEFC6D5229}"/>
</file>

<file path=docProps/app.xml><?xml version="1.0" encoding="utf-8"?>
<Properties xmlns="http://schemas.openxmlformats.org/officeDocument/2006/extended-properties" xmlns:vt="http://schemas.openxmlformats.org/officeDocument/2006/docPropsVTypes">
  <Template>Normal</Template>
  <TotalTime>0</TotalTime>
  <Pages>14</Pages>
  <Words>3638</Words>
  <Characters>19702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23294</CharactersWithSpaces>
  <SharedDoc>false</SharedDoc>
  <HLinks>
    <vt:vector size="6" baseType="variant">
      <vt:variant>
        <vt:i4>6881382</vt:i4>
      </vt:variant>
      <vt:variant>
        <vt:i4>0</vt:i4>
      </vt:variant>
      <vt:variant>
        <vt:i4>0</vt:i4>
      </vt:variant>
      <vt:variant>
        <vt:i4>5</vt:i4>
      </vt:variant>
      <vt:variant>
        <vt:lpwstr>http://www.utc.wa.gov/docs/Pages/DocketLookup.aspx?FilingID=152253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2015-12-10T18:49:00Z</dcterms:created>
  <dcterms:modified xsi:type="dcterms:W3CDTF">2015-12-10T19:19:00Z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