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DEC92" w14:textId="289E6910" w:rsidR="008101A1" w:rsidRPr="004268B2" w:rsidRDefault="00C70204" w:rsidP="00FA5BF5">
      <w:pPr>
        <w:spacing w:after="0"/>
        <w:jc w:val="center"/>
        <w:rPr>
          <w:rFonts w:ascii="Times New Roman" w:hAnsi="Times New Roman" w:cs="Times New Roman"/>
          <w:b/>
          <w:sz w:val="28"/>
          <w:szCs w:val="28"/>
        </w:rPr>
      </w:pPr>
      <w:r>
        <w:rPr>
          <w:rFonts w:ascii="Times New Roman" w:hAnsi="Times New Roman" w:cs="Times New Roman"/>
          <w:b/>
          <w:sz w:val="28"/>
          <w:szCs w:val="28"/>
        </w:rPr>
        <w:t>Appendix</w:t>
      </w:r>
      <w:r w:rsidR="008101A1" w:rsidRPr="004268B2">
        <w:rPr>
          <w:rFonts w:ascii="Times New Roman" w:hAnsi="Times New Roman" w:cs="Times New Roman"/>
          <w:b/>
          <w:sz w:val="28"/>
          <w:szCs w:val="28"/>
        </w:rPr>
        <w:t xml:space="preserve"> A: </w:t>
      </w:r>
      <w:r w:rsidR="006139DD">
        <w:rPr>
          <w:rFonts w:ascii="Times New Roman" w:hAnsi="Times New Roman" w:cs="Times New Roman"/>
          <w:b/>
          <w:sz w:val="28"/>
          <w:szCs w:val="28"/>
        </w:rPr>
        <w:t>Comment Summary and Commission Response</w:t>
      </w:r>
    </w:p>
    <w:p w14:paraId="78BF9B67" w14:textId="5272A9A0" w:rsidR="00FA5BF5" w:rsidRPr="004268B2" w:rsidRDefault="00FA5BF5" w:rsidP="008101A1">
      <w:pPr>
        <w:spacing w:after="0"/>
        <w:jc w:val="center"/>
        <w:rPr>
          <w:rFonts w:ascii="Times New Roman" w:hAnsi="Times New Roman" w:cs="Times New Roman"/>
          <w:b/>
          <w:sz w:val="28"/>
          <w:szCs w:val="28"/>
        </w:rPr>
      </w:pPr>
      <w:r w:rsidRPr="004268B2">
        <w:rPr>
          <w:rFonts w:ascii="Times New Roman" w:hAnsi="Times New Roman" w:cs="Times New Roman"/>
          <w:b/>
          <w:sz w:val="28"/>
          <w:szCs w:val="28"/>
        </w:rPr>
        <w:t>Energy Independence Act Rulemaking</w:t>
      </w:r>
      <w:r w:rsidR="004F7A49" w:rsidRPr="004268B2">
        <w:rPr>
          <w:rFonts w:ascii="Times New Roman" w:hAnsi="Times New Roman" w:cs="Times New Roman"/>
          <w:b/>
          <w:sz w:val="28"/>
          <w:szCs w:val="28"/>
        </w:rPr>
        <w:t>, Docket</w:t>
      </w:r>
      <w:r w:rsidRPr="004268B2">
        <w:rPr>
          <w:rFonts w:ascii="Times New Roman" w:hAnsi="Times New Roman" w:cs="Times New Roman"/>
          <w:b/>
          <w:sz w:val="28"/>
          <w:szCs w:val="28"/>
        </w:rPr>
        <w:t xml:space="preserve"> </w:t>
      </w:r>
      <w:r w:rsidR="004F7A49" w:rsidRPr="004268B2">
        <w:rPr>
          <w:rFonts w:ascii="Times New Roman" w:hAnsi="Times New Roman" w:cs="Times New Roman"/>
          <w:b/>
          <w:sz w:val="28"/>
          <w:szCs w:val="28"/>
        </w:rPr>
        <w:t>UE-131723</w:t>
      </w:r>
    </w:p>
    <w:tbl>
      <w:tblPr>
        <w:tblStyle w:val="TableGrid"/>
        <w:tblW w:w="5044" w:type="pct"/>
        <w:jc w:val="center"/>
        <w:tblLook w:val="04A0" w:firstRow="1" w:lastRow="0" w:firstColumn="1" w:lastColumn="0" w:noHBand="0" w:noVBand="1"/>
      </w:tblPr>
      <w:tblGrid>
        <w:gridCol w:w="1802"/>
        <w:gridCol w:w="1377"/>
        <w:gridCol w:w="5149"/>
        <w:gridCol w:w="4736"/>
      </w:tblGrid>
      <w:tr w:rsidR="003666FD" w:rsidRPr="004268B2" w14:paraId="78BF9B6C" w14:textId="77777777" w:rsidTr="008B3D4D">
        <w:trPr>
          <w:tblHeader/>
          <w:jc w:val="center"/>
        </w:trPr>
        <w:tc>
          <w:tcPr>
            <w:tcW w:w="1802" w:type="dxa"/>
          </w:tcPr>
          <w:p w14:paraId="78BF9B68" w14:textId="77777777" w:rsidR="00FA5BF5" w:rsidRPr="00050EFC" w:rsidRDefault="008F6940">
            <w:pPr>
              <w:rPr>
                <w:rFonts w:ascii="Times New Roman" w:hAnsi="Times New Roman" w:cs="Times New Roman"/>
                <w:b/>
              </w:rPr>
            </w:pPr>
            <w:r w:rsidRPr="00050EFC">
              <w:rPr>
                <w:rFonts w:ascii="Times New Roman" w:hAnsi="Times New Roman" w:cs="Times New Roman"/>
                <w:b/>
              </w:rPr>
              <w:t>Section</w:t>
            </w:r>
          </w:p>
        </w:tc>
        <w:tc>
          <w:tcPr>
            <w:tcW w:w="1377" w:type="dxa"/>
          </w:tcPr>
          <w:p w14:paraId="78BF9B69" w14:textId="77777777" w:rsidR="008F6940" w:rsidRPr="00050EFC" w:rsidRDefault="008F6940">
            <w:pPr>
              <w:rPr>
                <w:rFonts w:ascii="Times New Roman" w:hAnsi="Times New Roman" w:cs="Times New Roman"/>
                <w:b/>
              </w:rPr>
            </w:pPr>
            <w:r w:rsidRPr="00050EFC">
              <w:rPr>
                <w:rFonts w:ascii="Times New Roman" w:hAnsi="Times New Roman" w:cs="Times New Roman"/>
                <w:b/>
              </w:rPr>
              <w:t>Commenter</w:t>
            </w:r>
          </w:p>
        </w:tc>
        <w:tc>
          <w:tcPr>
            <w:tcW w:w="5149" w:type="dxa"/>
          </w:tcPr>
          <w:p w14:paraId="78BF9B6A" w14:textId="77777777" w:rsidR="008F6940" w:rsidRPr="00050EFC" w:rsidRDefault="008F6940">
            <w:pPr>
              <w:rPr>
                <w:rFonts w:ascii="Times New Roman" w:hAnsi="Times New Roman" w:cs="Times New Roman"/>
                <w:b/>
              </w:rPr>
            </w:pPr>
            <w:r w:rsidRPr="00050EFC">
              <w:rPr>
                <w:rFonts w:ascii="Times New Roman" w:hAnsi="Times New Roman" w:cs="Times New Roman"/>
                <w:b/>
              </w:rPr>
              <w:t>Comment</w:t>
            </w:r>
          </w:p>
        </w:tc>
        <w:tc>
          <w:tcPr>
            <w:tcW w:w="4736" w:type="dxa"/>
          </w:tcPr>
          <w:p w14:paraId="78BF9B6B" w14:textId="5BC31433" w:rsidR="008F6940" w:rsidRPr="00050EFC" w:rsidRDefault="00BD6A3D">
            <w:pPr>
              <w:rPr>
                <w:rFonts w:ascii="Times New Roman" w:hAnsi="Times New Roman" w:cs="Times New Roman"/>
                <w:b/>
              </w:rPr>
            </w:pPr>
            <w:r w:rsidRPr="00050EFC">
              <w:rPr>
                <w:rFonts w:ascii="Times New Roman" w:hAnsi="Times New Roman" w:cs="Times New Roman"/>
                <w:b/>
              </w:rPr>
              <w:t xml:space="preserve">Commission </w:t>
            </w:r>
            <w:r w:rsidR="008F6940" w:rsidRPr="00050EFC">
              <w:rPr>
                <w:rFonts w:ascii="Times New Roman" w:hAnsi="Times New Roman" w:cs="Times New Roman"/>
                <w:b/>
              </w:rPr>
              <w:t>Response</w:t>
            </w:r>
          </w:p>
        </w:tc>
      </w:tr>
      <w:tr w:rsidR="003666FD" w:rsidRPr="004268B2" w14:paraId="78BF9B72" w14:textId="77777777" w:rsidTr="008B3D4D">
        <w:trPr>
          <w:jc w:val="center"/>
        </w:trPr>
        <w:tc>
          <w:tcPr>
            <w:tcW w:w="1802" w:type="dxa"/>
          </w:tcPr>
          <w:p w14:paraId="78BF9B6D" w14:textId="77777777" w:rsidR="00793118" w:rsidRPr="004268B2" w:rsidRDefault="00AE6DEB">
            <w:pPr>
              <w:rPr>
                <w:rFonts w:ascii="Times New Roman" w:hAnsi="Times New Roman" w:cs="Times New Roman"/>
                <w:b/>
              </w:rPr>
            </w:pPr>
            <w:r w:rsidRPr="004268B2">
              <w:rPr>
                <w:rFonts w:ascii="Times New Roman" w:hAnsi="Times New Roman" w:cs="Times New Roman"/>
                <w:b/>
              </w:rPr>
              <w:t>“</w:t>
            </w:r>
            <w:r w:rsidR="00793118" w:rsidRPr="004268B2">
              <w:rPr>
                <w:rFonts w:ascii="Times New Roman" w:hAnsi="Times New Roman" w:cs="Times New Roman"/>
                <w:b/>
              </w:rPr>
              <w:t>Biomass energy</w:t>
            </w:r>
            <w:r w:rsidRPr="004268B2">
              <w:rPr>
                <w:rFonts w:ascii="Times New Roman" w:hAnsi="Times New Roman" w:cs="Times New Roman"/>
                <w:b/>
              </w:rPr>
              <w:t>”</w:t>
            </w:r>
          </w:p>
          <w:p w14:paraId="78BF9B6E" w14:textId="7B62793A" w:rsidR="00793118" w:rsidRPr="004268B2" w:rsidRDefault="00276F94">
            <w:pPr>
              <w:rPr>
                <w:rFonts w:ascii="Times New Roman" w:hAnsi="Times New Roman" w:cs="Times New Roman"/>
              </w:rPr>
            </w:pPr>
            <w:r>
              <w:rPr>
                <w:rFonts w:ascii="Times New Roman" w:hAnsi="Times New Roman" w:cs="Times New Roman"/>
              </w:rPr>
              <w:t>WAC 480-109-</w:t>
            </w:r>
            <w:r w:rsidR="00793118" w:rsidRPr="004268B2">
              <w:rPr>
                <w:rFonts w:ascii="Times New Roman" w:hAnsi="Times New Roman" w:cs="Times New Roman"/>
              </w:rPr>
              <w:t>060(2)(b)(ii)</w:t>
            </w:r>
          </w:p>
        </w:tc>
        <w:tc>
          <w:tcPr>
            <w:tcW w:w="1377" w:type="dxa"/>
          </w:tcPr>
          <w:p w14:paraId="78BF9B6F" w14:textId="77777777" w:rsidR="00793118" w:rsidRPr="004268B2" w:rsidRDefault="00793118">
            <w:pPr>
              <w:rPr>
                <w:rFonts w:ascii="Times New Roman" w:hAnsi="Times New Roman" w:cs="Times New Roman"/>
              </w:rPr>
            </w:pPr>
            <w:r w:rsidRPr="004268B2">
              <w:rPr>
                <w:rFonts w:ascii="Times New Roman" w:hAnsi="Times New Roman" w:cs="Times New Roman"/>
              </w:rPr>
              <w:t>Avista</w:t>
            </w:r>
          </w:p>
        </w:tc>
        <w:tc>
          <w:tcPr>
            <w:tcW w:w="5149" w:type="dxa"/>
          </w:tcPr>
          <w:p w14:paraId="78BF9B70" w14:textId="11F6C269" w:rsidR="00793118" w:rsidRPr="004268B2" w:rsidRDefault="00793118" w:rsidP="00BD6A3D">
            <w:pPr>
              <w:rPr>
                <w:rFonts w:ascii="Times New Roman" w:hAnsi="Times New Roman" w:cs="Times New Roman"/>
              </w:rPr>
            </w:pPr>
            <w:r w:rsidRPr="004268B2">
              <w:rPr>
                <w:rFonts w:ascii="Times New Roman" w:hAnsi="Times New Roman" w:cs="Times New Roman"/>
              </w:rPr>
              <w:t>“</w:t>
            </w:r>
            <w:r w:rsidR="004F7A49" w:rsidRPr="004268B2">
              <w:rPr>
                <w:rFonts w:ascii="Times New Roman" w:hAnsi="Times New Roman" w:cs="Times New Roman"/>
              </w:rPr>
              <w:t>O</w:t>
            </w:r>
            <w:r w:rsidRPr="004268B2">
              <w:rPr>
                <w:rFonts w:ascii="Times New Roman" w:hAnsi="Times New Roman" w:cs="Times New Roman"/>
              </w:rPr>
              <w:t xml:space="preserve">ld growth forests” are not defined in the rule.  Avista </w:t>
            </w:r>
            <w:r w:rsidR="00966F35" w:rsidRPr="004268B2">
              <w:rPr>
                <w:rFonts w:ascii="Times New Roman" w:hAnsi="Times New Roman" w:cs="Times New Roman"/>
              </w:rPr>
              <w:t>suggests t</w:t>
            </w:r>
            <w:r w:rsidRPr="004268B2">
              <w:rPr>
                <w:rFonts w:ascii="Times New Roman" w:hAnsi="Times New Roman" w:cs="Times New Roman"/>
              </w:rPr>
              <w:t>he Commission should hold a workshop on this issue so that a definition may be included in the rules by mid-2015.</w:t>
            </w:r>
          </w:p>
        </w:tc>
        <w:tc>
          <w:tcPr>
            <w:tcW w:w="4736" w:type="dxa"/>
          </w:tcPr>
          <w:p w14:paraId="78BF9B71" w14:textId="3AD96957" w:rsidR="00793118" w:rsidRPr="004268B2" w:rsidRDefault="00BD6A3D" w:rsidP="001C55B8">
            <w:pPr>
              <w:rPr>
                <w:rFonts w:ascii="Times New Roman" w:hAnsi="Times New Roman" w:cs="Times New Roman"/>
              </w:rPr>
            </w:pPr>
            <w:r w:rsidRPr="004268B2">
              <w:rPr>
                <w:rFonts w:ascii="Times New Roman" w:hAnsi="Times New Roman" w:cs="Times New Roman"/>
              </w:rPr>
              <w:t xml:space="preserve">The Commission believes that this issue is not ripe for </w:t>
            </w:r>
            <w:r w:rsidR="002E374F" w:rsidRPr="004268B2">
              <w:rPr>
                <w:rFonts w:ascii="Times New Roman" w:hAnsi="Times New Roman" w:cs="Times New Roman"/>
              </w:rPr>
              <w:t xml:space="preserve">inclusion in this </w:t>
            </w:r>
            <w:r w:rsidRPr="004268B2">
              <w:rPr>
                <w:rFonts w:ascii="Times New Roman" w:hAnsi="Times New Roman" w:cs="Times New Roman"/>
              </w:rPr>
              <w:t>rule</w:t>
            </w:r>
            <w:r w:rsidR="001C55B8" w:rsidRPr="004268B2">
              <w:rPr>
                <w:rFonts w:ascii="Times New Roman" w:hAnsi="Times New Roman" w:cs="Times New Roman"/>
              </w:rPr>
              <w:t>.</w:t>
            </w:r>
            <w:r w:rsidRPr="004268B2">
              <w:rPr>
                <w:rFonts w:ascii="Times New Roman" w:hAnsi="Times New Roman" w:cs="Times New Roman"/>
              </w:rPr>
              <w:t xml:space="preserve"> </w:t>
            </w:r>
            <w:r w:rsidR="001C55B8" w:rsidRPr="004268B2">
              <w:rPr>
                <w:rFonts w:ascii="Times New Roman" w:hAnsi="Times New Roman" w:cs="Times New Roman"/>
              </w:rPr>
              <w:t xml:space="preserve">The Commission </w:t>
            </w:r>
            <w:r w:rsidRPr="004268B2">
              <w:rPr>
                <w:rFonts w:ascii="Times New Roman" w:hAnsi="Times New Roman" w:cs="Times New Roman"/>
              </w:rPr>
              <w:t xml:space="preserve">prefers to address </w:t>
            </w:r>
            <w:r w:rsidR="001C55B8" w:rsidRPr="004268B2">
              <w:rPr>
                <w:rFonts w:ascii="Times New Roman" w:hAnsi="Times New Roman" w:cs="Times New Roman"/>
              </w:rPr>
              <w:t xml:space="preserve">this issue </w:t>
            </w:r>
            <w:r w:rsidRPr="004268B2">
              <w:rPr>
                <w:rFonts w:ascii="Times New Roman" w:hAnsi="Times New Roman" w:cs="Times New Roman"/>
              </w:rPr>
              <w:t>in the context of Avista’s 2015 and 2016 RPS reports</w:t>
            </w:r>
            <w:r w:rsidR="001C55B8" w:rsidRPr="004268B2">
              <w:rPr>
                <w:rFonts w:ascii="Times New Roman" w:hAnsi="Times New Roman" w:cs="Times New Roman"/>
              </w:rPr>
              <w:t>, as</w:t>
            </w:r>
            <w:r w:rsidR="003A6832" w:rsidRPr="004268B2">
              <w:rPr>
                <w:rFonts w:ascii="Times New Roman" w:hAnsi="Times New Roman" w:cs="Times New Roman"/>
              </w:rPr>
              <w:t xml:space="preserve"> Avista is the only utility planning to use biomass energy </w:t>
            </w:r>
            <w:r w:rsidR="00767995">
              <w:rPr>
                <w:rFonts w:ascii="Times New Roman" w:hAnsi="Times New Roman" w:cs="Times New Roman"/>
              </w:rPr>
              <w:t>at this time</w:t>
            </w:r>
            <w:r w:rsidR="003A6832" w:rsidRPr="004268B2">
              <w:rPr>
                <w:rFonts w:ascii="Times New Roman" w:hAnsi="Times New Roman" w:cs="Times New Roman"/>
              </w:rPr>
              <w:t xml:space="preserve">.  </w:t>
            </w:r>
          </w:p>
        </w:tc>
      </w:tr>
      <w:tr w:rsidR="003666FD" w:rsidRPr="004268B2" w14:paraId="78BF9B78" w14:textId="77777777" w:rsidTr="008B3D4D">
        <w:trPr>
          <w:jc w:val="center"/>
        </w:trPr>
        <w:tc>
          <w:tcPr>
            <w:tcW w:w="1802" w:type="dxa"/>
          </w:tcPr>
          <w:p w14:paraId="78BF9B73" w14:textId="77777777" w:rsidR="007179AC" w:rsidRPr="004268B2" w:rsidRDefault="00AE6DEB">
            <w:pPr>
              <w:rPr>
                <w:rFonts w:ascii="Times New Roman" w:hAnsi="Times New Roman" w:cs="Times New Roman"/>
                <w:b/>
              </w:rPr>
            </w:pPr>
            <w:r w:rsidRPr="004268B2">
              <w:rPr>
                <w:rFonts w:ascii="Times New Roman" w:hAnsi="Times New Roman" w:cs="Times New Roman"/>
                <w:b/>
              </w:rPr>
              <w:t>“</w:t>
            </w:r>
            <w:r w:rsidR="007179AC" w:rsidRPr="004268B2">
              <w:rPr>
                <w:rFonts w:ascii="Times New Roman" w:hAnsi="Times New Roman" w:cs="Times New Roman"/>
                <w:b/>
              </w:rPr>
              <w:t>Distributed generation</w:t>
            </w:r>
            <w:r w:rsidRPr="004268B2">
              <w:rPr>
                <w:rFonts w:ascii="Times New Roman" w:hAnsi="Times New Roman" w:cs="Times New Roman"/>
                <w:b/>
              </w:rPr>
              <w:t>”</w:t>
            </w:r>
          </w:p>
          <w:p w14:paraId="78BF9B74" w14:textId="59B7010B" w:rsidR="008F6940" w:rsidRPr="004268B2" w:rsidRDefault="00276F94" w:rsidP="001E1AF8">
            <w:pPr>
              <w:rPr>
                <w:rFonts w:ascii="Times New Roman" w:hAnsi="Times New Roman" w:cs="Times New Roman"/>
              </w:rPr>
            </w:pPr>
            <w:r>
              <w:rPr>
                <w:rFonts w:ascii="Times New Roman" w:hAnsi="Times New Roman" w:cs="Times New Roman"/>
              </w:rPr>
              <w:t>WAC 480-109-060</w:t>
            </w:r>
            <w:r w:rsidR="008F6940" w:rsidRPr="004268B2">
              <w:rPr>
                <w:rFonts w:ascii="Times New Roman" w:hAnsi="Times New Roman" w:cs="Times New Roman"/>
              </w:rPr>
              <w:t>(1</w:t>
            </w:r>
            <w:r w:rsidR="001E1AF8">
              <w:rPr>
                <w:rFonts w:ascii="Times New Roman" w:hAnsi="Times New Roman" w:cs="Times New Roman"/>
              </w:rPr>
              <w:t>1</w:t>
            </w:r>
            <w:r w:rsidR="008F6940" w:rsidRPr="004268B2">
              <w:rPr>
                <w:rFonts w:ascii="Times New Roman" w:hAnsi="Times New Roman" w:cs="Times New Roman"/>
              </w:rPr>
              <w:t>)</w:t>
            </w:r>
          </w:p>
        </w:tc>
        <w:tc>
          <w:tcPr>
            <w:tcW w:w="1377" w:type="dxa"/>
          </w:tcPr>
          <w:p w14:paraId="78BF9B75" w14:textId="03D2D0E7" w:rsidR="008F6940" w:rsidRPr="004268B2" w:rsidRDefault="008F6940">
            <w:pPr>
              <w:rPr>
                <w:rFonts w:ascii="Times New Roman" w:hAnsi="Times New Roman" w:cs="Times New Roman"/>
              </w:rPr>
            </w:pPr>
            <w:r w:rsidRPr="004268B2">
              <w:rPr>
                <w:rFonts w:ascii="Times New Roman" w:hAnsi="Times New Roman" w:cs="Times New Roman"/>
              </w:rPr>
              <w:t>P</w:t>
            </w:r>
            <w:r w:rsidR="004F7A49" w:rsidRPr="004268B2">
              <w:rPr>
                <w:rFonts w:ascii="Times New Roman" w:hAnsi="Times New Roman" w:cs="Times New Roman"/>
              </w:rPr>
              <w:t xml:space="preserve">uget </w:t>
            </w:r>
            <w:r w:rsidRPr="004268B2">
              <w:rPr>
                <w:rFonts w:ascii="Times New Roman" w:hAnsi="Times New Roman" w:cs="Times New Roman"/>
              </w:rPr>
              <w:t>S</w:t>
            </w:r>
            <w:r w:rsidR="004F7A49" w:rsidRPr="004268B2">
              <w:rPr>
                <w:rFonts w:ascii="Times New Roman" w:hAnsi="Times New Roman" w:cs="Times New Roman"/>
              </w:rPr>
              <w:t xml:space="preserve">ound </w:t>
            </w:r>
            <w:r w:rsidRPr="004268B2">
              <w:rPr>
                <w:rFonts w:ascii="Times New Roman" w:hAnsi="Times New Roman" w:cs="Times New Roman"/>
              </w:rPr>
              <w:t>E</w:t>
            </w:r>
            <w:r w:rsidR="004F7A49" w:rsidRPr="004268B2">
              <w:rPr>
                <w:rFonts w:ascii="Times New Roman" w:hAnsi="Times New Roman" w:cs="Times New Roman"/>
              </w:rPr>
              <w:t>nergy (PSE)</w:t>
            </w:r>
          </w:p>
        </w:tc>
        <w:tc>
          <w:tcPr>
            <w:tcW w:w="5149" w:type="dxa"/>
          </w:tcPr>
          <w:p w14:paraId="78BF9B76" w14:textId="77777777" w:rsidR="008F6940" w:rsidRPr="004268B2" w:rsidRDefault="008F6940">
            <w:pPr>
              <w:rPr>
                <w:rFonts w:ascii="Times New Roman" w:hAnsi="Times New Roman" w:cs="Times New Roman"/>
              </w:rPr>
            </w:pPr>
            <w:r w:rsidRPr="004268B2">
              <w:rPr>
                <w:rFonts w:ascii="Times New Roman" w:hAnsi="Times New Roman" w:cs="Times New Roman"/>
              </w:rPr>
              <w:t>Restore the definition of “distributed generation” used in RCW 19.285.030(11)</w:t>
            </w:r>
            <w:r w:rsidR="00966F35" w:rsidRPr="004268B2">
              <w:rPr>
                <w:rFonts w:ascii="Times New Roman" w:hAnsi="Times New Roman" w:cs="Times New Roman"/>
              </w:rPr>
              <w:t>.</w:t>
            </w:r>
          </w:p>
        </w:tc>
        <w:tc>
          <w:tcPr>
            <w:tcW w:w="4736" w:type="dxa"/>
          </w:tcPr>
          <w:p w14:paraId="78BF9B77" w14:textId="7B2541C6" w:rsidR="008F6940" w:rsidRPr="004268B2" w:rsidRDefault="003A6832" w:rsidP="008A4BF9">
            <w:pPr>
              <w:rPr>
                <w:rFonts w:ascii="Times New Roman" w:hAnsi="Times New Roman" w:cs="Times New Roman"/>
              </w:rPr>
            </w:pPr>
            <w:r w:rsidRPr="004268B2">
              <w:rPr>
                <w:rFonts w:ascii="Times New Roman" w:hAnsi="Times New Roman" w:cs="Times New Roman"/>
              </w:rPr>
              <w:t>The Commission</w:t>
            </w:r>
            <w:r w:rsidR="000D12A8">
              <w:rPr>
                <w:rFonts w:ascii="Times New Roman" w:hAnsi="Times New Roman" w:cs="Times New Roman"/>
              </w:rPr>
              <w:t xml:space="preserve"> declines </w:t>
            </w:r>
            <w:r w:rsidR="002B7C3C">
              <w:rPr>
                <w:rFonts w:ascii="Times New Roman" w:hAnsi="Times New Roman" w:cs="Times New Roman"/>
              </w:rPr>
              <w:t xml:space="preserve">PSE’s </w:t>
            </w:r>
            <w:r w:rsidR="000D12A8">
              <w:rPr>
                <w:rFonts w:ascii="Times New Roman" w:hAnsi="Times New Roman" w:cs="Times New Roman"/>
              </w:rPr>
              <w:t>suggest</w:t>
            </w:r>
            <w:r w:rsidR="002B7C3C">
              <w:rPr>
                <w:rFonts w:ascii="Times New Roman" w:hAnsi="Times New Roman" w:cs="Times New Roman"/>
              </w:rPr>
              <w:t xml:space="preserve">ed revision </w:t>
            </w:r>
            <w:r w:rsidR="000D12A8">
              <w:rPr>
                <w:rFonts w:ascii="Times New Roman" w:hAnsi="Times New Roman" w:cs="Times New Roman"/>
              </w:rPr>
              <w:t>and</w:t>
            </w:r>
            <w:r w:rsidRPr="004268B2">
              <w:rPr>
                <w:rFonts w:ascii="Times New Roman" w:hAnsi="Times New Roman" w:cs="Times New Roman"/>
              </w:rPr>
              <w:t xml:space="preserve"> </w:t>
            </w:r>
            <w:r w:rsidR="00EC0C2C" w:rsidRPr="004268B2">
              <w:rPr>
                <w:rFonts w:ascii="Times New Roman" w:hAnsi="Times New Roman" w:cs="Times New Roman"/>
              </w:rPr>
              <w:t>adopts</w:t>
            </w:r>
            <w:r w:rsidRPr="004268B2">
              <w:rPr>
                <w:rFonts w:ascii="Times New Roman" w:hAnsi="Times New Roman" w:cs="Times New Roman"/>
              </w:rPr>
              <w:t xml:space="preserve"> </w:t>
            </w:r>
            <w:r w:rsidR="000D12A8">
              <w:rPr>
                <w:rFonts w:ascii="Times New Roman" w:hAnsi="Times New Roman" w:cs="Times New Roman"/>
              </w:rPr>
              <w:t>the</w:t>
            </w:r>
            <w:r w:rsidRPr="004268B2">
              <w:rPr>
                <w:rFonts w:ascii="Times New Roman" w:hAnsi="Times New Roman" w:cs="Times New Roman"/>
              </w:rPr>
              <w:t xml:space="preserve"> </w:t>
            </w:r>
            <w:r w:rsidR="00EC0C2C" w:rsidRPr="004268B2">
              <w:rPr>
                <w:rFonts w:ascii="Times New Roman" w:hAnsi="Times New Roman" w:cs="Times New Roman"/>
              </w:rPr>
              <w:t>defini</w:t>
            </w:r>
            <w:r w:rsidRPr="004268B2">
              <w:rPr>
                <w:rFonts w:ascii="Times New Roman" w:hAnsi="Times New Roman" w:cs="Times New Roman"/>
              </w:rPr>
              <w:t>tion</w:t>
            </w:r>
            <w:r w:rsidR="00EC0C2C" w:rsidRPr="004268B2">
              <w:rPr>
                <w:rFonts w:ascii="Times New Roman" w:hAnsi="Times New Roman" w:cs="Times New Roman"/>
              </w:rPr>
              <w:t xml:space="preserve"> of “distributed generation” used in the proposed rule</w:t>
            </w:r>
            <w:r w:rsidR="00C0007C" w:rsidRPr="004268B2">
              <w:rPr>
                <w:rFonts w:ascii="Times New Roman" w:hAnsi="Times New Roman" w:cs="Times New Roman"/>
              </w:rPr>
              <w:t xml:space="preserve"> because it r</w:t>
            </w:r>
            <w:r w:rsidR="007A1BD3" w:rsidRPr="004268B2">
              <w:rPr>
                <w:rFonts w:ascii="Times New Roman" w:hAnsi="Times New Roman" w:cs="Times New Roman"/>
              </w:rPr>
              <w:t>estrict</w:t>
            </w:r>
            <w:r w:rsidR="00523F7F" w:rsidRPr="004268B2">
              <w:rPr>
                <w:rFonts w:ascii="Times New Roman" w:hAnsi="Times New Roman" w:cs="Times New Roman"/>
              </w:rPr>
              <w:t>s</w:t>
            </w:r>
            <w:r w:rsidR="007A1BD3" w:rsidRPr="004268B2">
              <w:rPr>
                <w:rFonts w:ascii="Times New Roman" w:hAnsi="Times New Roman" w:cs="Times New Roman"/>
              </w:rPr>
              <w:t xml:space="preserve"> the </w:t>
            </w:r>
            <w:r w:rsidR="003E7680" w:rsidRPr="004268B2">
              <w:rPr>
                <w:rFonts w:ascii="Times New Roman" w:hAnsi="Times New Roman" w:cs="Times New Roman"/>
              </w:rPr>
              <w:t>use</w:t>
            </w:r>
            <w:r w:rsidR="007A1BD3" w:rsidRPr="004268B2">
              <w:rPr>
                <w:rFonts w:ascii="Times New Roman" w:hAnsi="Times New Roman" w:cs="Times New Roman"/>
              </w:rPr>
              <w:t xml:space="preserve"> of the distributed generation multiplier to appropriate situations</w:t>
            </w:r>
            <w:r w:rsidR="003E7680" w:rsidRPr="004268B2">
              <w:rPr>
                <w:rFonts w:ascii="Times New Roman" w:hAnsi="Times New Roman" w:cs="Times New Roman"/>
              </w:rPr>
              <w:t>.</w:t>
            </w:r>
            <w:r w:rsidR="00EC0C2C" w:rsidRPr="004268B2">
              <w:rPr>
                <w:rFonts w:ascii="Times New Roman" w:hAnsi="Times New Roman" w:cs="Times New Roman"/>
              </w:rPr>
              <w:t xml:space="preserve">  </w:t>
            </w:r>
            <w:r w:rsidR="001C55B8" w:rsidRPr="004268B2">
              <w:rPr>
                <w:rFonts w:ascii="Times New Roman" w:hAnsi="Times New Roman" w:cs="Times New Roman"/>
              </w:rPr>
              <w:t xml:space="preserve">This definition </w:t>
            </w:r>
            <w:r w:rsidR="00EC0C2C" w:rsidRPr="004268B2">
              <w:rPr>
                <w:rFonts w:ascii="Times New Roman" w:hAnsi="Times New Roman" w:cs="Times New Roman"/>
              </w:rPr>
              <w:t xml:space="preserve">is consistent with the Department of Commerce’s </w:t>
            </w:r>
            <w:r w:rsidR="008A4BF9">
              <w:rPr>
                <w:rFonts w:ascii="Times New Roman" w:hAnsi="Times New Roman" w:cs="Times New Roman"/>
              </w:rPr>
              <w:t>proposed rule WAC 194-37-136</w:t>
            </w:r>
            <w:r w:rsidR="00EC0C2C" w:rsidRPr="004268B2">
              <w:rPr>
                <w:rFonts w:ascii="Times New Roman" w:hAnsi="Times New Roman" w:cs="Times New Roman"/>
              </w:rPr>
              <w:t xml:space="preserve">, which </w:t>
            </w:r>
            <w:r w:rsidR="001C55B8" w:rsidRPr="004268B2">
              <w:rPr>
                <w:rFonts w:ascii="Times New Roman" w:hAnsi="Times New Roman" w:cs="Times New Roman"/>
              </w:rPr>
              <w:t xml:space="preserve">if adopted </w:t>
            </w:r>
            <w:r w:rsidR="00EC0C2C" w:rsidRPr="004268B2">
              <w:rPr>
                <w:rFonts w:ascii="Times New Roman" w:hAnsi="Times New Roman" w:cs="Times New Roman"/>
              </w:rPr>
              <w:t xml:space="preserve">will </w:t>
            </w:r>
            <w:r w:rsidR="001C55B8" w:rsidRPr="004268B2">
              <w:rPr>
                <w:rFonts w:ascii="Times New Roman" w:hAnsi="Times New Roman" w:cs="Times New Roman"/>
              </w:rPr>
              <w:t xml:space="preserve">result in a uniform state </w:t>
            </w:r>
            <w:r w:rsidR="00EC0C2C" w:rsidRPr="004268B2">
              <w:rPr>
                <w:rFonts w:ascii="Times New Roman" w:hAnsi="Times New Roman" w:cs="Times New Roman"/>
              </w:rPr>
              <w:t>policy.</w:t>
            </w:r>
            <w:r w:rsidR="00260395" w:rsidRPr="004268B2">
              <w:rPr>
                <w:rFonts w:ascii="Times New Roman" w:hAnsi="Times New Roman" w:cs="Times New Roman"/>
              </w:rPr>
              <w:t xml:space="preserve">  </w:t>
            </w:r>
            <w:r w:rsidR="00767995">
              <w:rPr>
                <w:rFonts w:ascii="Times New Roman" w:hAnsi="Times New Roman" w:cs="Times New Roman"/>
              </w:rPr>
              <w:t>(</w:t>
            </w:r>
            <w:r w:rsidR="008A4BF9">
              <w:rPr>
                <w:rFonts w:ascii="Times New Roman" w:hAnsi="Times New Roman" w:cs="Times New Roman"/>
              </w:rPr>
              <w:t>WSR 15-02-076, filed January 7, 2015.</w:t>
            </w:r>
            <w:r w:rsidR="00767995">
              <w:rPr>
                <w:rFonts w:ascii="Times New Roman" w:hAnsi="Times New Roman" w:cs="Times New Roman"/>
              </w:rPr>
              <w:t xml:space="preserve">) </w:t>
            </w:r>
          </w:p>
        </w:tc>
      </w:tr>
      <w:tr w:rsidR="003666FD" w:rsidRPr="004268B2" w14:paraId="78EC6A60" w14:textId="77777777" w:rsidTr="00401F45">
        <w:trPr>
          <w:trHeight w:val="89"/>
          <w:jc w:val="center"/>
        </w:trPr>
        <w:tc>
          <w:tcPr>
            <w:tcW w:w="1802" w:type="dxa"/>
          </w:tcPr>
          <w:p w14:paraId="793C606E" w14:textId="77777777" w:rsidR="0022029F" w:rsidRPr="004268B2" w:rsidRDefault="0022029F">
            <w:pPr>
              <w:rPr>
                <w:rFonts w:ascii="Times New Roman" w:hAnsi="Times New Roman" w:cs="Times New Roman"/>
                <w:b/>
              </w:rPr>
            </w:pPr>
            <w:r w:rsidRPr="004268B2">
              <w:rPr>
                <w:rFonts w:ascii="Times New Roman" w:hAnsi="Times New Roman" w:cs="Times New Roman"/>
                <w:b/>
              </w:rPr>
              <w:t>“Pro rata”</w:t>
            </w:r>
          </w:p>
          <w:p w14:paraId="6EDB5A3F" w14:textId="7FB67B0A" w:rsidR="0022029F" w:rsidRPr="004268B2" w:rsidRDefault="0022029F" w:rsidP="001E1AF8">
            <w:pPr>
              <w:rPr>
                <w:rFonts w:ascii="Times New Roman" w:hAnsi="Times New Roman" w:cs="Times New Roman"/>
                <w:b/>
              </w:rPr>
            </w:pPr>
            <w:r w:rsidRPr="004268B2">
              <w:rPr>
                <w:rFonts w:ascii="Times New Roman" w:hAnsi="Times New Roman" w:cs="Times New Roman"/>
              </w:rPr>
              <w:t>WAC 480-109-060(1</w:t>
            </w:r>
            <w:r w:rsidR="001E1AF8">
              <w:rPr>
                <w:rFonts w:ascii="Times New Roman" w:hAnsi="Times New Roman" w:cs="Times New Roman"/>
              </w:rPr>
              <w:t>9</w:t>
            </w:r>
            <w:r w:rsidRPr="004268B2">
              <w:rPr>
                <w:rFonts w:ascii="Times New Roman" w:hAnsi="Times New Roman" w:cs="Times New Roman"/>
              </w:rPr>
              <w:t>)</w:t>
            </w:r>
          </w:p>
        </w:tc>
        <w:tc>
          <w:tcPr>
            <w:tcW w:w="1373" w:type="dxa"/>
          </w:tcPr>
          <w:p w14:paraId="05FB4425" w14:textId="77777777" w:rsidR="005C1A10" w:rsidRDefault="005C1A10" w:rsidP="004F7A49">
            <w:pPr>
              <w:rPr>
                <w:rFonts w:ascii="Times New Roman" w:hAnsi="Times New Roman" w:cs="Times New Roman"/>
              </w:rPr>
            </w:pPr>
            <w:r>
              <w:rPr>
                <w:rFonts w:ascii="Times New Roman" w:hAnsi="Times New Roman" w:cs="Times New Roman"/>
              </w:rPr>
              <w:t>PSE,</w:t>
            </w:r>
          </w:p>
          <w:p w14:paraId="2D0C761C" w14:textId="1371E98E" w:rsidR="0022029F" w:rsidRPr="004268B2" w:rsidRDefault="0022029F" w:rsidP="004F7A49">
            <w:pPr>
              <w:rPr>
                <w:rFonts w:ascii="Times New Roman" w:hAnsi="Times New Roman" w:cs="Times New Roman"/>
              </w:rPr>
            </w:pPr>
            <w:r w:rsidRPr="004268B2">
              <w:rPr>
                <w:rFonts w:ascii="Times New Roman" w:hAnsi="Times New Roman" w:cs="Times New Roman"/>
              </w:rPr>
              <w:t>Pacific Power</w:t>
            </w:r>
          </w:p>
          <w:p w14:paraId="70222230" w14:textId="77777777" w:rsidR="0022029F" w:rsidRPr="004268B2" w:rsidRDefault="0022029F">
            <w:pPr>
              <w:rPr>
                <w:rFonts w:ascii="Times New Roman" w:hAnsi="Times New Roman" w:cs="Times New Roman"/>
              </w:rPr>
            </w:pPr>
          </w:p>
        </w:tc>
        <w:tc>
          <w:tcPr>
            <w:tcW w:w="5150" w:type="dxa"/>
          </w:tcPr>
          <w:p w14:paraId="12CA84D4" w14:textId="47FEF086" w:rsidR="0022029F" w:rsidRPr="004268B2" w:rsidRDefault="0022029F" w:rsidP="009D2142">
            <w:pPr>
              <w:rPr>
                <w:rFonts w:ascii="Times New Roman" w:hAnsi="Times New Roman" w:cs="Times New Roman"/>
              </w:rPr>
            </w:pPr>
            <w:r w:rsidRPr="004268B2">
              <w:rPr>
                <w:rFonts w:ascii="Times New Roman" w:hAnsi="Times New Roman" w:cs="Times New Roman"/>
              </w:rPr>
              <w:t>Restore the existing WAC definition of “pro rata.”  The proposed definition is inconsistent with the methodologies used by the Council in development of the 6</w:t>
            </w:r>
            <w:r w:rsidRPr="004268B2">
              <w:rPr>
                <w:rFonts w:ascii="Times New Roman" w:hAnsi="Times New Roman" w:cs="Times New Roman"/>
                <w:vertAlign w:val="superscript"/>
              </w:rPr>
              <w:t>th</w:t>
            </w:r>
            <w:r w:rsidRPr="004268B2">
              <w:rPr>
                <w:rFonts w:ascii="Times New Roman" w:hAnsi="Times New Roman" w:cs="Times New Roman"/>
              </w:rPr>
              <w:t xml:space="preserve"> Power Plan, and does not recognize the differences in availability of resource potential within the forecast period, the rate at which emerging technologies become available in the market, or the barriers to ramping up in hard-to-reach markets. (PSE and Pacific Power)</w:t>
            </w:r>
          </w:p>
          <w:p w14:paraId="55DA6071" w14:textId="77777777" w:rsidR="0022029F" w:rsidRPr="004268B2" w:rsidRDefault="0022029F" w:rsidP="009D2142">
            <w:pPr>
              <w:rPr>
                <w:rFonts w:ascii="Times New Roman" w:hAnsi="Times New Roman" w:cs="Times New Roman"/>
              </w:rPr>
            </w:pPr>
          </w:p>
          <w:p w14:paraId="68867CA7" w14:textId="0C888C60" w:rsidR="0022029F" w:rsidRPr="004268B2" w:rsidRDefault="00DB0642" w:rsidP="00DB0642">
            <w:pPr>
              <w:rPr>
                <w:rFonts w:ascii="Times New Roman" w:hAnsi="Times New Roman" w:cs="Times New Roman"/>
              </w:rPr>
            </w:pPr>
            <w:r w:rsidRPr="004268B2">
              <w:rPr>
                <w:rFonts w:ascii="Times New Roman" w:hAnsi="Times New Roman" w:cs="Times New Roman"/>
              </w:rPr>
              <w:t xml:space="preserve">Restore existing </w:t>
            </w:r>
            <w:r w:rsidR="0022029F" w:rsidRPr="004268B2">
              <w:rPr>
                <w:rFonts w:ascii="Times New Roman" w:hAnsi="Times New Roman" w:cs="Times New Roman"/>
              </w:rPr>
              <w:t>WAC 480-109-</w:t>
            </w:r>
            <w:r w:rsidRPr="004268B2">
              <w:rPr>
                <w:rFonts w:ascii="Times New Roman" w:hAnsi="Times New Roman" w:cs="Times New Roman"/>
              </w:rPr>
              <w:t>0</w:t>
            </w:r>
            <w:r w:rsidR="0022029F" w:rsidRPr="004268B2">
              <w:rPr>
                <w:rFonts w:ascii="Times New Roman" w:hAnsi="Times New Roman" w:cs="Times New Roman"/>
              </w:rPr>
              <w:t>10(</w:t>
            </w:r>
            <w:r w:rsidRPr="004268B2">
              <w:rPr>
                <w:rFonts w:ascii="Times New Roman" w:hAnsi="Times New Roman" w:cs="Times New Roman"/>
              </w:rPr>
              <w:t>2</w:t>
            </w:r>
            <w:r w:rsidR="0022029F" w:rsidRPr="004268B2">
              <w:rPr>
                <w:rFonts w:ascii="Times New Roman" w:hAnsi="Times New Roman" w:cs="Times New Roman"/>
              </w:rPr>
              <w:t>)(b): “each utility must fully document how it prorated its ten-year potential to determine the minimum level for its biennial conservation target.” (Pacific Power)</w:t>
            </w:r>
          </w:p>
        </w:tc>
        <w:tc>
          <w:tcPr>
            <w:tcW w:w="4738" w:type="dxa"/>
          </w:tcPr>
          <w:p w14:paraId="0A68FE32" w14:textId="4FD70F11" w:rsidR="0022029F" w:rsidRPr="004268B2" w:rsidRDefault="003A6832" w:rsidP="00642E2D">
            <w:pPr>
              <w:rPr>
                <w:rFonts w:ascii="Times New Roman" w:hAnsi="Times New Roman" w:cs="Times New Roman"/>
              </w:rPr>
            </w:pPr>
            <w:r w:rsidRPr="004268B2">
              <w:rPr>
                <w:rFonts w:ascii="Times New Roman" w:hAnsi="Times New Roman" w:cs="Times New Roman"/>
              </w:rPr>
              <w:t xml:space="preserve">The Commission </w:t>
            </w:r>
            <w:r w:rsidR="00EC0C2C" w:rsidRPr="004268B2">
              <w:rPr>
                <w:rFonts w:ascii="Times New Roman" w:hAnsi="Times New Roman" w:cs="Times New Roman"/>
              </w:rPr>
              <w:t>adopts</w:t>
            </w:r>
            <w:r w:rsidRPr="004268B2">
              <w:rPr>
                <w:rFonts w:ascii="Times New Roman" w:hAnsi="Times New Roman" w:cs="Times New Roman"/>
              </w:rPr>
              <w:t xml:space="preserve"> the definition of “pro rata” used in the proposed rule.  </w:t>
            </w:r>
            <w:r w:rsidR="00B34B29" w:rsidRPr="004268B2">
              <w:rPr>
                <w:rFonts w:ascii="Times New Roman" w:hAnsi="Times New Roman" w:cs="Times New Roman"/>
              </w:rPr>
              <w:t>As discussed in the adoption order, t</w:t>
            </w:r>
            <w:r w:rsidRPr="004268B2">
              <w:rPr>
                <w:rFonts w:ascii="Times New Roman" w:hAnsi="Times New Roman" w:cs="Times New Roman"/>
              </w:rPr>
              <w:t xml:space="preserve">he existing rule language allowed more flexibility for utilities to ramp up conservation acquisition to the levels required by the </w:t>
            </w:r>
            <w:r w:rsidR="00B34B29" w:rsidRPr="004268B2">
              <w:rPr>
                <w:rFonts w:ascii="Times New Roman" w:hAnsi="Times New Roman" w:cs="Times New Roman"/>
              </w:rPr>
              <w:t>EIA</w:t>
            </w:r>
            <w:r w:rsidRPr="004268B2">
              <w:rPr>
                <w:rFonts w:ascii="Times New Roman" w:hAnsi="Times New Roman" w:cs="Times New Roman"/>
              </w:rPr>
              <w:t xml:space="preserve">.  Now that the </w:t>
            </w:r>
            <w:r w:rsidR="00EC0C2C" w:rsidRPr="004268B2">
              <w:rPr>
                <w:rFonts w:ascii="Times New Roman" w:hAnsi="Times New Roman" w:cs="Times New Roman"/>
              </w:rPr>
              <w:t xml:space="preserve">conservation </w:t>
            </w:r>
            <w:r w:rsidRPr="004268B2">
              <w:rPr>
                <w:rFonts w:ascii="Times New Roman" w:hAnsi="Times New Roman" w:cs="Times New Roman"/>
              </w:rPr>
              <w:t xml:space="preserve">programs are more mature, this flexibility is no longer appropriate.  </w:t>
            </w:r>
            <w:r w:rsidR="0022029F" w:rsidRPr="004268B2">
              <w:rPr>
                <w:rFonts w:ascii="Times New Roman" w:hAnsi="Times New Roman" w:cs="Times New Roman"/>
              </w:rPr>
              <w:t>The proposed language is consistent with the plain meaning of the term “pro rata</w:t>
            </w:r>
            <w:r w:rsidR="00B34B29" w:rsidRPr="004268B2">
              <w:rPr>
                <w:rFonts w:ascii="Times New Roman" w:hAnsi="Times New Roman" w:cs="Times New Roman"/>
              </w:rPr>
              <w:t>.</w:t>
            </w:r>
            <w:r w:rsidR="0022029F" w:rsidRPr="004268B2">
              <w:rPr>
                <w:rFonts w:ascii="Times New Roman" w:hAnsi="Times New Roman" w:cs="Times New Roman"/>
              </w:rPr>
              <w:t>”</w:t>
            </w:r>
          </w:p>
        </w:tc>
      </w:tr>
      <w:tr w:rsidR="003666FD" w:rsidRPr="004268B2" w14:paraId="0BBCCEF0" w14:textId="77777777" w:rsidTr="00401F45">
        <w:trPr>
          <w:jc w:val="center"/>
        </w:trPr>
        <w:tc>
          <w:tcPr>
            <w:tcW w:w="1802" w:type="dxa"/>
            <w:vMerge w:val="restart"/>
          </w:tcPr>
          <w:p w14:paraId="0D7DB14C" w14:textId="77777777" w:rsidR="0069288B" w:rsidRPr="004268B2" w:rsidRDefault="0069288B">
            <w:pPr>
              <w:rPr>
                <w:rFonts w:ascii="Times New Roman" w:hAnsi="Times New Roman" w:cs="Times New Roman"/>
                <w:b/>
              </w:rPr>
            </w:pPr>
            <w:r w:rsidRPr="004268B2">
              <w:rPr>
                <w:rFonts w:ascii="Times New Roman" w:hAnsi="Times New Roman" w:cs="Times New Roman"/>
                <w:b/>
              </w:rPr>
              <w:t>“Pursue all”</w:t>
            </w:r>
          </w:p>
          <w:p w14:paraId="3905F71C" w14:textId="560C42A9" w:rsidR="0069288B" w:rsidRPr="004268B2" w:rsidRDefault="0069288B" w:rsidP="001E1AF8">
            <w:pPr>
              <w:rPr>
                <w:rFonts w:ascii="Times New Roman" w:hAnsi="Times New Roman" w:cs="Times New Roman"/>
                <w:b/>
              </w:rPr>
            </w:pPr>
            <w:r w:rsidRPr="004268B2">
              <w:rPr>
                <w:rFonts w:ascii="Times New Roman" w:hAnsi="Times New Roman" w:cs="Times New Roman"/>
              </w:rPr>
              <w:t>WAC 480-109-060(2</w:t>
            </w:r>
            <w:r w:rsidR="001E1AF8">
              <w:rPr>
                <w:rFonts w:ascii="Times New Roman" w:hAnsi="Times New Roman" w:cs="Times New Roman"/>
              </w:rPr>
              <w:t>1</w:t>
            </w:r>
            <w:r w:rsidRPr="004268B2">
              <w:rPr>
                <w:rFonts w:ascii="Times New Roman" w:hAnsi="Times New Roman" w:cs="Times New Roman"/>
              </w:rPr>
              <w:t>)</w:t>
            </w:r>
          </w:p>
        </w:tc>
        <w:tc>
          <w:tcPr>
            <w:tcW w:w="1373" w:type="dxa"/>
          </w:tcPr>
          <w:p w14:paraId="7B2F8DF9" w14:textId="77777777" w:rsidR="0069288B" w:rsidRPr="004268B2" w:rsidRDefault="0069288B" w:rsidP="00DF7AC1">
            <w:pPr>
              <w:rPr>
                <w:rFonts w:ascii="Times New Roman" w:hAnsi="Times New Roman" w:cs="Times New Roman"/>
              </w:rPr>
            </w:pPr>
            <w:r w:rsidRPr="004268B2">
              <w:rPr>
                <w:rFonts w:ascii="Times New Roman" w:hAnsi="Times New Roman" w:cs="Times New Roman"/>
              </w:rPr>
              <w:t>PSE</w:t>
            </w:r>
          </w:p>
          <w:p w14:paraId="34E5BE3F" w14:textId="77777777" w:rsidR="0069288B" w:rsidRPr="004268B2" w:rsidRDefault="0069288B">
            <w:pPr>
              <w:rPr>
                <w:rFonts w:ascii="Times New Roman" w:hAnsi="Times New Roman" w:cs="Times New Roman"/>
              </w:rPr>
            </w:pPr>
          </w:p>
        </w:tc>
        <w:tc>
          <w:tcPr>
            <w:tcW w:w="5150" w:type="dxa"/>
          </w:tcPr>
          <w:p w14:paraId="6CC03EE4" w14:textId="62223F38" w:rsidR="0069288B" w:rsidRPr="004268B2" w:rsidRDefault="0069288B" w:rsidP="00DF7AC1">
            <w:pPr>
              <w:rPr>
                <w:rFonts w:ascii="Times New Roman" w:hAnsi="Times New Roman" w:cs="Times New Roman"/>
              </w:rPr>
            </w:pPr>
            <w:r w:rsidRPr="004268B2">
              <w:rPr>
                <w:rFonts w:ascii="Times New Roman" w:hAnsi="Times New Roman" w:cs="Times New Roman"/>
              </w:rPr>
              <w:t>Remove definition of “pursue all.”  RCW 19.285.040 clearly describes what utilities are required to do to demonstrate that they are pursuing all conservation.  This definition redefines those requirements.</w:t>
            </w:r>
          </w:p>
        </w:tc>
        <w:tc>
          <w:tcPr>
            <w:tcW w:w="4738" w:type="dxa"/>
            <w:vMerge w:val="restart"/>
          </w:tcPr>
          <w:p w14:paraId="2639A006" w14:textId="1C455AE5" w:rsidR="0069288B" w:rsidRPr="004268B2" w:rsidRDefault="0069288B" w:rsidP="00DB0642">
            <w:pPr>
              <w:rPr>
                <w:rFonts w:ascii="Times New Roman" w:hAnsi="Times New Roman" w:cs="Times New Roman"/>
              </w:rPr>
            </w:pPr>
            <w:r w:rsidRPr="004268B2">
              <w:rPr>
                <w:rFonts w:ascii="Times New Roman" w:hAnsi="Times New Roman" w:cs="Times New Roman"/>
              </w:rPr>
              <w:t xml:space="preserve">The Commission retains the definition in the proposed rule, and </w:t>
            </w:r>
            <w:r w:rsidR="00DB0642" w:rsidRPr="004268B2">
              <w:rPr>
                <w:rFonts w:ascii="Times New Roman" w:hAnsi="Times New Roman" w:cs="Times New Roman"/>
              </w:rPr>
              <w:t>which</w:t>
            </w:r>
            <w:r w:rsidRPr="004268B2">
              <w:rPr>
                <w:rFonts w:ascii="Times New Roman" w:hAnsi="Times New Roman" w:cs="Times New Roman"/>
              </w:rPr>
              <w:t xml:space="preserve"> is consistent with the </w:t>
            </w:r>
            <w:r w:rsidR="00DB0642" w:rsidRPr="004268B2">
              <w:rPr>
                <w:rFonts w:ascii="Times New Roman" w:hAnsi="Times New Roman" w:cs="Times New Roman"/>
              </w:rPr>
              <w:t>EIA</w:t>
            </w:r>
            <w:r w:rsidRPr="004268B2">
              <w:rPr>
                <w:rFonts w:ascii="Times New Roman" w:hAnsi="Times New Roman" w:cs="Times New Roman"/>
              </w:rPr>
              <w:t>.</w:t>
            </w:r>
            <w:r w:rsidR="002B7C3C">
              <w:rPr>
                <w:rFonts w:ascii="Times New Roman" w:hAnsi="Times New Roman" w:cs="Times New Roman"/>
              </w:rPr>
              <w:t xml:space="preserve"> See the adoption order for additional discussion.</w:t>
            </w:r>
          </w:p>
        </w:tc>
      </w:tr>
      <w:tr w:rsidR="003666FD" w:rsidRPr="004268B2" w14:paraId="78BF9B88" w14:textId="77777777" w:rsidTr="00401F45">
        <w:trPr>
          <w:jc w:val="center"/>
        </w:trPr>
        <w:tc>
          <w:tcPr>
            <w:tcW w:w="1802" w:type="dxa"/>
            <w:vMerge/>
          </w:tcPr>
          <w:p w14:paraId="78BF9B82" w14:textId="61E446D1" w:rsidR="0069288B" w:rsidRPr="004268B2" w:rsidRDefault="0069288B">
            <w:pPr>
              <w:rPr>
                <w:rFonts w:ascii="Times New Roman" w:hAnsi="Times New Roman" w:cs="Times New Roman"/>
              </w:rPr>
            </w:pPr>
          </w:p>
        </w:tc>
        <w:tc>
          <w:tcPr>
            <w:tcW w:w="1373" w:type="dxa"/>
          </w:tcPr>
          <w:p w14:paraId="78BF9B84" w14:textId="77777777" w:rsidR="0069288B" w:rsidRPr="004268B2" w:rsidRDefault="0069288B">
            <w:pPr>
              <w:rPr>
                <w:rFonts w:ascii="Times New Roman" w:hAnsi="Times New Roman" w:cs="Times New Roman"/>
              </w:rPr>
            </w:pPr>
            <w:r w:rsidRPr="004268B2">
              <w:rPr>
                <w:rFonts w:ascii="Times New Roman" w:hAnsi="Times New Roman" w:cs="Times New Roman"/>
              </w:rPr>
              <w:t>Public Counsel</w:t>
            </w:r>
          </w:p>
        </w:tc>
        <w:tc>
          <w:tcPr>
            <w:tcW w:w="5150" w:type="dxa"/>
          </w:tcPr>
          <w:p w14:paraId="78BF9B86" w14:textId="550FA408" w:rsidR="0069288B" w:rsidRPr="004268B2" w:rsidRDefault="0069288B" w:rsidP="0069288B">
            <w:pPr>
              <w:rPr>
                <w:rFonts w:ascii="Times New Roman" w:hAnsi="Times New Roman" w:cs="Times New Roman"/>
              </w:rPr>
            </w:pPr>
            <w:r w:rsidRPr="004268B2">
              <w:rPr>
                <w:rFonts w:ascii="Times New Roman" w:hAnsi="Times New Roman" w:cs="Times New Roman"/>
              </w:rPr>
              <w:t>Public Counsel supports the definition in the proposed rule, and does not believe that it establishes a separate requirement outside of the biennial conservation target.</w:t>
            </w:r>
          </w:p>
        </w:tc>
        <w:tc>
          <w:tcPr>
            <w:tcW w:w="4738" w:type="dxa"/>
            <w:vMerge/>
          </w:tcPr>
          <w:p w14:paraId="78BF9B87" w14:textId="026F1B86" w:rsidR="0069288B" w:rsidRPr="004268B2" w:rsidRDefault="0069288B">
            <w:pPr>
              <w:rPr>
                <w:rFonts w:ascii="Times New Roman" w:hAnsi="Times New Roman" w:cs="Times New Roman"/>
              </w:rPr>
            </w:pPr>
          </w:p>
        </w:tc>
      </w:tr>
      <w:tr w:rsidR="003666FD" w:rsidRPr="004268B2" w14:paraId="78BF9B8E" w14:textId="77777777" w:rsidTr="00401F45">
        <w:trPr>
          <w:jc w:val="center"/>
        </w:trPr>
        <w:tc>
          <w:tcPr>
            <w:tcW w:w="1802" w:type="dxa"/>
          </w:tcPr>
          <w:p w14:paraId="78BF9B89" w14:textId="3A09AA7F" w:rsidR="00EC6212" w:rsidRPr="004268B2" w:rsidRDefault="00EC6212">
            <w:pPr>
              <w:rPr>
                <w:rFonts w:ascii="Times New Roman" w:hAnsi="Times New Roman" w:cs="Times New Roman"/>
                <w:b/>
              </w:rPr>
            </w:pPr>
            <w:r w:rsidRPr="004268B2">
              <w:rPr>
                <w:rFonts w:ascii="Times New Roman" w:hAnsi="Times New Roman" w:cs="Times New Roman"/>
                <w:b/>
              </w:rPr>
              <w:t>Co-firing</w:t>
            </w:r>
          </w:p>
          <w:p w14:paraId="78BF9B8A" w14:textId="72F034E3" w:rsidR="00EC6212" w:rsidRPr="004268B2" w:rsidRDefault="00EC6212" w:rsidP="001E1AF8">
            <w:pPr>
              <w:rPr>
                <w:rFonts w:ascii="Times New Roman" w:hAnsi="Times New Roman" w:cs="Times New Roman"/>
              </w:rPr>
            </w:pPr>
            <w:r w:rsidRPr="004268B2">
              <w:rPr>
                <w:rFonts w:ascii="Times New Roman" w:hAnsi="Times New Roman" w:cs="Times New Roman"/>
              </w:rPr>
              <w:t>WAC 480-109-060(2</w:t>
            </w:r>
            <w:r w:rsidR="001E1AF8">
              <w:rPr>
                <w:rFonts w:ascii="Times New Roman" w:hAnsi="Times New Roman" w:cs="Times New Roman"/>
              </w:rPr>
              <w:t>5</w:t>
            </w:r>
            <w:r w:rsidRPr="004268B2">
              <w:rPr>
                <w:rFonts w:ascii="Times New Roman" w:hAnsi="Times New Roman" w:cs="Times New Roman"/>
              </w:rPr>
              <w:t>)(i)</w:t>
            </w:r>
          </w:p>
        </w:tc>
        <w:tc>
          <w:tcPr>
            <w:tcW w:w="1373" w:type="dxa"/>
          </w:tcPr>
          <w:p w14:paraId="78BF9B8B" w14:textId="495AAD81" w:rsidR="00EC6212" w:rsidRPr="004268B2" w:rsidRDefault="00EC6212" w:rsidP="000A389B">
            <w:pPr>
              <w:rPr>
                <w:rFonts w:ascii="Times New Roman" w:hAnsi="Times New Roman" w:cs="Times New Roman"/>
              </w:rPr>
            </w:pPr>
            <w:r w:rsidRPr="004268B2">
              <w:rPr>
                <w:rFonts w:ascii="Times New Roman" w:hAnsi="Times New Roman" w:cs="Times New Roman"/>
              </w:rPr>
              <w:t>N</w:t>
            </w:r>
            <w:r w:rsidR="000A389B" w:rsidRPr="004268B2">
              <w:rPr>
                <w:rFonts w:ascii="Times New Roman" w:hAnsi="Times New Roman" w:cs="Times New Roman"/>
              </w:rPr>
              <w:t xml:space="preserve">orthwest </w:t>
            </w:r>
            <w:r w:rsidRPr="004268B2">
              <w:rPr>
                <w:rFonts w:ascii="Times New Roman" w:hAnsi="Times New Roman" w:cs="Times New Roman"/>
              </w:rPr>
              <w:t>E</w:t>
            </w:r>
            <w:r w:rsidR="000A389B" w:rsidRPr="004268B2">
              <w:rPr>
                <w:rFonts w:ascii="Times New Roman" w:hAnsi="Times New Roman" w:cs="Times New Roman"/>
              </w:rPr>
              <w:t xml:space="preserve">nergy </w:t>
            </w:r>
            <w:r w:rsidRPr="004268B2">
              <w:rPr>
                <w:rFonts w:ascii="Times New Roman" w:hAnsi="Times New Roman" w:cs="Times New Roman"/>
              </w:rPr>
              <w:t>C</w:t>
            </w:r>
            <w:r w:rsidR="000A389B" w:rsidRPr="004268B2">
              <w:rPr>
                <w:rFonts w:ascii="Times New Roman" w:hAnsi="Times New Roman" w:cs="Times New Roman"/>
              </w:rPr>
              <w:t>oalition (NWEC)</w:t>
            </w:r>
          </w:p>
        </w:tc>
        <w:tc>
          <w:tcPr>
            <w:tcW w:w="5150" w:type="dxa"/>
          </w:tcPr>
          <w:p w14:paraId="78BF9B8C" w14:textId="77777777" w:rsidR="00EC6212" w:rsidRPr="004268B2" w:rsidRDefault="00EC6212">
            <w:pPr>
              <w:rPr>
                <w:rFonts w:ascii="Times New Roman" w:hAnsi="Times New Roman" w:cs="Times New Roman"/>
              </w:rPr>
            </w:pPr>
            <w:r w:rsidRPr="004268B2">
              <w:rPr>
                <w:rFonts w:ascii="Times New Roman" w:hAnsi="Times New Roman" w:cs="Times New Roman"/>
              </w:rPr>
              <w:t>Remove co-firing.  Co-firing is a process, not a resource.</w:t>
            </w:r>
          </w:p>
        </w:tc>
        <w:tc>
          <w:tcPr>
            <w:tcW w:w="4738" w:type="dxa"/>
          </w:tcPr>
          <w:p w14:paraId="78BF9B8D" w14:textId="680849A3" w:rsidR="00EC6212" w:rsidRPr="004268B2" w:rsidRDefault="0069288B" w:rsidP="00DB0642">
            <w:pPr>
              <w:rPr>
                <w:rFonts w:ascii="Times New Roman" w:hAnsi="Times New Roman" w:cs="Times New Roman"/>
              </w:rPr>
            </w:pPr>
            <w:r w:rsidRPr="004268B2">
              <w:rPr>
                <w:rFonts w:ascii="Times New Roman" w:hAnsi="Times New Roman" w:cs="Times New Roman"/>
              </w:rPr>
              <w:t xml:space="preserve">The Commission </w:t>
            </w:r>
            <w:r w:rsidR="00D233CB" w:rsidRPr="004268B2">
              <w:rPr>
                <w:rFonts w:ascii="Times New Roman" w:hAnsi="Times New Roman" w:cs="Times New Roman"/>
              </w:rPr>
              <w:t xml:space="preserve">agrees that co-firing is a process, but it is appropriate </w:t>
            </w:r>
            <w:r w:rsidR="00DB0642" w:rsidRPr="004268B2">
              <w:rPr>
                <w:rFonts w:ascii="Times New Roman" w:hAnsi="Times New Roman" w:cs="Times New Roman"/>
              </w:rPr>
              <w:t xml:space="preserve">include co-firing </w:t>
            </w:r>
            <w:r w:rsidRPr="004268B2">
              <w:rPr>
                <w:rFonts w:ascii="Times New Roman" w:hAnsi="Times New Roman" w:cs="Times New Roman"/>
              </w:rPr>
              <w:t>in the definition of “renewable resource</w:t>
            </w:r>
            <w:r w:rsidR="00D233CB" w:rsidRPr="004268B2">
              <w:rPr>
                <w:rFonts w:ascii="Times New Roman" w:hAnsi="Times New Roman" w:cs="Times New Roman"/>
              </w:rPr>
              <w:t xml:space="preserve">” </w:t>
            </w:r>
            <w:r w:rsidR="00DB0642" w:rsidRPr="004268B2">
              <w:rPr>
                <w:rFonts w:ascii="Times New Roman" w:hAnsi="Times New Roman" w:cs="Times New Roman"/>
              </w:rPr>
              <w:t>to show that co-firing may be used to meet renewable resource targets</w:t>
            </w:r>
            <w:r w:rsidR="00D233CB" w:rsidRPr="004268B2">
              <w:rPr>
                <w:rFonts w:ascii="Times New Roman" w:hAnsi="Times New Roman" w:cs="Times New Roman"/>
              </w:rPr>
              <w:t>.</w:t>
            </w:r>
          </w:p>
        </w:tc>
      </w:tr>
      <w:tr w:rsidR="003666FD" w:rsidRPr="004268B2" w14:paraId="78BF9B94" w14:textId="77777777" w:rsidTr="00401F45">
        <w:trPr>
          <w:jc w:val="center"/>
        </w:trPr>
        <w:tc>
          <w:tcPr>
            <w:tcW w:w="1802" w:type="dxa"/>
          </w:tcPr>
          <w:p w14:paraId="78BF9B8F" w14:textId="77777777" w:rsidR="009A7DA1" w:rsidRPr="004268B2" w:rsidRDefault="009A7DA1">
            <w:pPr>
              <w:rPr>
                <w:rFonts w:ascii="Times New Roman" w:hAnsi="Times New Roman" w:cs="Times New Roman"/>
                <w:b/>
              </w:rPr>
            </w:pPr>
            <w:r w:rsidRPr="004268B2">
              <w:rPr>
                <w:rFonts w:ascii="Times New Roman" w:hAnsi="Times New Roman" w:cs="Times New Roman"/>
                <w:b/>
              </w:rPr>
              <w:t xml:space="preserve">Single large facility </w:t>
            </w:r>
          </w:p>
          <w:p w14:paraId="78BF9B90" w14:textId="37332D13" w:rsidR="008F6940" w:rsidRPr="004268B2" w:rsidRDefault="00040BBA" w:rsidP="001E1AF8">
            <w:pPr>
              <w:rPr>
                <w:rFonts w:ascii="Times New Roman" w:hAnsi="Times New Roman" w:cs="Times New Roman"/>
              </w:rPr>
            </w:pPr>
            <w:r w:rsidRPr="004268B2">
              <w:rPr>
                <w:rFonts w:ascii="Times New Roman" w:hAnsi="Times New Roman" w:cs="Times New Roman"/>
              </w:rPr>
              <w:t>WAC 480-109-060(2</w:t>
            </w:r>
            <w:r w:rsidR="001E1AF8">
              <w:rPr>
                <w:rFonts w:ascii="Times New Roman" w:hAnsi="Times New Roman" w:cs="Times New Roman"/>
              </w:rPr>
              <w:t>8</w:t>
            </w:r>
            <w:r w:rsidRPr="004268B2">
              <w:rPr>
                <w:rFonts w:ascii="Times New Roman" w:hAnsi="Times New Roman" w:cs="Times New Roman"/>
              </w:rPr>
              <w:t>)</w:t>
            </w:r>
          </w:p>
        </w:tc>
        <w:tc>
          <w:tcPr>
            <w:tcW w:w="1373" w:type="dxa"/>
          </w:tcPr>
          <w:p w14:paraId="78BF9B91" w14:textId="77777777" w:rsidR="008F6940" w:rsidRPr="004268B2" w:rsidRDefault="00040BBA">
            <w:pPr>
              <w:rPr>
                <w:rFonts w:ascii="Times New Roman" w:hAnsi="Times New Roman" w:cs="Times New Roman"/>
              </w:rPr>
            </w:pPr>
            <w:r w:rsidRPr="004268B2">
              <w:rPr>
                <w:rFonts w:ascii="Times New Roman" w:hAnsi="Times New Roman" w:cs="Times New Roman"/>
              </w:rPr>
              <w:t>PSE</w:t>
            </w:r>
          </w:p>
        </w:tc>
        <w:tc>
          <w:tcPr>
            <w:tcW w:w="5150" w:type="dxa"/>
          </w:tcPr>
          <w:p w14:paraId="78BF9B92" w14:textId="77777777" w:rsidR="008F6940" w:rsidRPr="004268B2" w:rsidRDefault="009A7DA1" w:rsidP="009A7DA1">
            <w:pPr>
              <w:rPr>
                <w:rFonts w:ascii="Times New Roman" w:hAnsi="Times New Roman" w:cs="Times New Roman"/>
              </w:rPr>
            </w:pPr>
            <w:r w:rsidRPr="004268B2">
              <w:rPr>
                <w:rFonts w:ascii="Times New Roman" w:hAnsi="Times New Roman" w:cs="Times New Roman"/>
              </w:rPr>
              <w:t xml:space="preserve">Restore definition </w:t>
            </w:r>
            <w:r w:rsidR="00040BBA" w:rsidRPr="004268B2">
              <w:rPr>
                <w:rFonts w:ascii="Times New Roman" w:hAnsi="Times New Roman" w:cs="Times New Roman"/>
              </w:rPr>
              <w:t xml:space="preserve">in RCW 19.285.040(1)(c)(ii).  </w:t>
            </w:r>
            <w:r w:rsidR="00593AAD" w:rsidRPr="004268B2">
              <w:rPr>
                <w:rFonts w:ascii="Times New Roman" w:hAnsi="Times New Roman" w:cs="Times New Roman"/>
              </w:rPr>
              <w:t xml:space="preserve">To add clarity, PSE proposes adding: “…premises of a single customer </w:t>
            </w:r>
            <w:r w:rsidR="00593AAD" w:rsidRPr="004268B2">
              <w:rPr>
                <w:rFonts w:ascii="Times New Roman" w:hAnsi="Times New Roman" w:cs="Times New Roman"/>
                <w:u w:val="single"/>
              </w:rPr>
              <w:t>who participated in a utility conservation program</w:t>
            </w:r>
            <w:r w:rsidR="00593AAD" w:rsidRPr="004268B2">
              <w:rPr>
                <w:rFonts w:ascii="Times New Roman" w:hAnsi="Times New Roman" w:cs="Times New Roman"/>
              </w:rPr>
              <w:t xml:space="preserve"> and whose annual…”</w:t>
            </w:r>
          </w:p>
        </w:tc>
        <w:tc>
          <w:tcPr>
            <w:tcW w:w="4738" w:type="dxa"/>
          </w:tcPr>
          <w:p w14:paraId="78BF9B93" w14:textId="683479E5" w:rsidR="008F6940" w:rsidRPr="004268B2" w:rsidRDefault="006B7D9C" w:rsidP="00A74A9C">
            <w:pPr>
              <w:rPr>
                <w:rFonts w:ascii="Times New Roman" w:hAnsi="Times New Roman" w:cs="Times New Roman"/>
              </w:rPr>
            </w:pPr>
            <w:r w:rsidRPr="004268B2">
              <w:rPr>
                <w:rFonts w:ascii="Times New Roman" w:hAnsi="Times New Roman" w:cs="Times New Roman"/>
              </w:rPr>
              <w:t xml:space="preserve">While Staff agreed with this revision, the Commission declines to adopt it.  RCW 19.285.040(1)(c) is a new statutory provision, </w:t>
            </w:r>
            <w:r w:rsidR="00A74A9C" w:rsidRPr="004268B2">
              <w:rPr>
                <w:rFonts w:ascii="Times New Roman" w:hAnsi="Times New Roman" w:cs="Times New Roman"/>
              </w:rPr>
              <w:t xml:space="preserve">therefore </w:t>
            </w:r>
            <w:r w:rsidRPr="004268B2">
              <w:rPr>
                <w:rFonts w:ascii="Times New Roman" w:hAnsi="Times New Roman" w:cs="Times New Roman"/>
              </w:rPr>
              <w:t xml:space="preserve">the Commission prefers to </w:t>
            </w:r>
            <w:r w:rsidR="00DB0642" w:rsidRPr="004268B2">
              <w:rPr>
                <w:rFonts w:ascii="Times New Roman" w:hAnsi="Times New Roman" w:cs="Times New Roman"/>
              </w:rPr>
              <w:t xml:space="preserve">use </w:t>
            </w:r>
            <w:r w:rsidR="00A74A9C" w:rsidRPr="004268B2">
              <w:rPr>
                <w:rFonts w:ascii="Times New Roman" w:hAnsi="Times New Roman" w:cs="Times New Roman"/>
              </w:rPr>
              <w:t xml:space="preserve">a definition that does not add to </w:t>
            </w:r>
            <w:r w:rsidR="002E5FC9" w:rsidRPr="004268B2">
              <w:rPr>
                <w:rFonts w:ascii="Times New Roman" w:hAnsi="Times New Roman" w:cs="Times New Roman"/>
              </w:rPr>
              <w:t>the statutory language.</w:t>
            </w:r>
          </w:p>
        </w:tc>
      </w:tr>
      <w:tr w:rsidR="003666FD" w:rsidRPr="004268B2" w14:paraId="78BF9B9B" w14:textId="77777777" w:rsidTr="00401F45">
        <w:trPr>
          <w:jc w:val="center"/>
        </w:trPr>
        <w:tc>
          <w:tcPr>
            <w:tcW w:w="1802" w:type="dxa"/>
          </w:tcPr>
          <w:p w14:paraId="78BF9B95" w14:textId="77777777" w:rsidR="009A7DA1" w:rsidRPr="004268B2" w:rsidRDefault="009A7DA1">
            <w:pPr>
              <w:rPr>
                <w:rFonts w:ascii="Times New Roman" w:hAnsi="Times New Roman" w:cs="Times New Roman"/>
                <w:b/>
              </w:rPr>
            </w:pPr>
            <w:r w:rsidRPr="004268B2">
              <w:rPr>
                <w:rFonts w:ascii="Times New Roman" w:hAnsi="Times New Roman" w:cs="Times New Roman"/>
                <w:b/>
              </w:rPr>
              <w:t>“Transmission voltage”</w:t>
            </w:r>
          </w:p>
          <w:p w14:paraId="78BF9B96" w14:textId="77777777" w:rsidR="008F6940" w:rsidRPr="004268B2" w:rsidRDefault="00593AAD">
            <w:pPr>
              <w:rPr>
                <w:rFonts w:ascii="Times New Roman" w:hAnsi="Times New Roman" w:cs="Times New Roman"/>
              </w:rPr>
            </w:pPr>
            <w:r w:rsidRPr="004268B2">
              <w:rPr>
                <w:rFonts w:ascii="Times New Roman" w:hAnsi="Times New Roman" w:cs="Times New Roman"/>
              </w:rPr>
              <w:t>WAC 480-109-060(30)</w:t>
            </w:r>
          </w:p>
        </w:tc>
        <w:tc>
          <w:tcPr>
            <w:tcW w:w="1373" w:type="dxa"/>
          </w:tcPr>
          <w:p w14:paraId="78BF9B97" w14:textId="36BF1005" w:rsidR="008F6940" w:rsidRPr="004268B2" w:rsidRDefault="00593AAD">
            <w:pPr>
              <w:rPr>
                <w:rFonts w:ascii="Times New Roman" w:hAnsi="Times New Roman" w:cs="Times New Roman"/>
              </w:rPr>
            </w:pPr>
            <w:r w:rsidRPr="004268B2">
              <w:rPr>
                <w:rFonts w:ascii="Times New Roman" w:hAnsi="Times New Roman" w:cs="Times New Roman"/>
              </w:rPr>
              <w:t>PSE</w:t>
            </w:r>
            <w:r w:rsidR="000A389B" w:rsidRPr="004268B2">
              <w:rPr>
                <w:rFonts w:ascii="Times New Roman" w:hAnsi="Times New Roman" w:cs="Times New Roman"/>
              </w:rPr>
              <w:t xml:space="preserve"> and</w:t>
            </w:r>
          </w:p>
          <w:p w14:paraId="78BF9B98" w14:textId="77777777" w:rsidR="007179AC" w:rsidRPr="004268B2" w:rsidRDefault="007179AC">
            <w:pPr>
              <w:rPr>
                <w:rFonts w:ascii="Times New Roman" w:hAnsi="Times New Roman" w:cs="Times New Roman"/>
              </w:rPr>
            </w:pPr>
            <w:r w:rsidRPr="004268B2">
              <w:rPr>
                <w:rFonts w:ascii="Times New Roman" w:hAnsi="Times New Roman" w:cs="Times New Roman"/>
              </w:rPr>
              <w:t>Pacific Power</w:t>
            </w:r>
          </w:p>
        </w:tc>
        <w:tc>
          <w:tcPr>
            <w:tcW w:w="5150" w:type="dxa"/>
          </w:tcPr>
          <w:p w14:paraId="78BF9B99" w14:textId="5FCA2AFE" w:rsidR="008F6940" w:rsidRPr="004268B2" w:rsidRDefault="00593AAD" w:rsidP="000B405B">
            <w:pPr>
              <w:rPr>
                <w:rFonts w:ascii="Times New Roman" w:hAnsi="Times New Roman" w:cs="Times New Roman"/>
              </w:rPr>
            </w:pPr>
            <w:r w:rsidRPr="004268B2">
              <w:rPr>
                <w:rFonts w:ascii="Times New Roman" w:hAnsi="Times New Roman" w:cs="Times New Roman"/>
              </w:rPr>
              <w:t xml:space="preserve">Remove </w:t>
            </w:r>
            <w:r w:rsidR="00ED48AF" w:rsidRPr="004268B2">
              <w:rPr>
                <w:rFonts w:ascii="Times New Roman" w:hAnsi="Times New Roman" w:cs="Times New Roman"/>
              </w:rPr>
              <w:t xml:space="preserve">the </w:t>
            </w:r>
            <w:r w:rsidRPr="004268B2">
              <w:rPr>
                <w:rFonts w:ascii="Times New Roman" w:hAnsi="Times New Roman" w:cs="Times New Roman"/>
              </w:rPr>
              <w:t>definition of “transmission voltage.”  This definition may be inconsistent with classification of transmission voltage used for FERC rates</w:t>
            </w:r>
            <w:r w:rsidR="000B405B" w:rsidRPr="004268B2">
              <w:rPr>
                <w:rFonts w:ascii="Times New Roman" w:hAnsi="Times New Roman" w:cs="Times New Roman"/>
              </w:rPr>
              <w:t>.</w:t>
            </w:r>
            <w:r w:rsidRPr="004268B2">
              <w:rPr>
                <w:rFonts w:ascii="Times New Roman" w:hAnsi="Times New Roman" w:cs="Times New Roman"/>
              </w:rPr>
              <w:t xml:space="preserve"> PSE classifie</w:t>
            </w:r>
            <w:r w:rsidR="000B405B" w:rsidRPr="004268B2">
              <w:rPr>
                <w:rFonts w:ascii="Times New Roman" w:hAnsi="Times New Roman" w:cs="Times New Roman"/>
              </w:rPr>
              <w:t>s</w:t>
            </w:r>
            <w:r w:rsidRPr="004268B2">
              <w:rPr>
                <w:rFonts w:ascii="Times New Roman" w:hAnsi="Times New Roman" w:cs="Times New Roman"/>
              </w:rPr>
              <w:t xml:space="preserve"> </w:t>
            </w:r>
            <w:r w:rsidR="000B405B" w:rsidRPr="004268B2">
              <w:rPr>
                <w:rFonts w:ascii="Times New Roman" w:hAnsi="Times New Roman" w:cs="Times New Roman"/>
              </w:rPr>
              <w:t xml:space="preserve">transmission </w:t>
            </w:r>
            <w:r w:rsidR="00DF7AC1" w:rsidRPr="004268B2">
              <w:rPr>
                <w:rFonts w:ascii="Times New Roman" w:hAnsi="Times New Roman" w:cs="Times New Roman"/>
              </w:rPr>
              <w:t>voltage</w:t>
            </w:r>
            <w:r w:rsidR="000B405B" w:rsidRPr="004268B2">
              <w:rPr>
                <w:rFonts w:ascii="Times New Roman" w:hAnsi="Times New Roman" w:cs="Times New Roman"/>
              </w:rPr>
              <w:t xml:space="preserve"> </w:t>
            </w:r>
            <w:r w:rsidRPr="004268B2">
              <w:rPr>
                <w:rFonts w:ascii="Times New Roman" w:hAnsi="Times New Roman" w:cs="Times New Roman"/>
              </w:rPr>
              <w:t>as 55kV and above.</w:t>
            </w:r>
          </w:p>
        </w:tc>
        <w:tc>
          <w:tcPr>
            <w:tcW w:w="4738" w:type="dxa"/>
          </w:tcPr>
          <w:p w14:paraId="78BF9B9A" w14:textId="53089C00" w:rsidR="008F6940" w:rsidRPr="004268B2" w:rsidRDefault="00ED48AF" w:rsidP="00ED48AF">
            <w:pPr>
              <w:rPr>
                <w:rFonts w:ascii="Times New Roman" w:hAnsi="Times New Roman" w:cs="Times New Roman"/>
              </w:rPr>
            </w:pPr>
            <w:r w:rsidRPr="004268B2">
              <w:rPr>
                <w:rFonts w:ascii="Times New Roman" w:hAnsi="Times New Roman" w:cs="Times New Roman"/>
              </w:rPr>
              <w:t xml:space="preserve">To address this concern, we remove the definition and add “For the purposes of this subsection, transmission voltage is 100,000 volts or higher,” to WAC 480-109-100(3)(c)(iii) and </w:t>
            </w:r>
            <w:r w:rsidR="00041E3A" w:rsidRPr="004268B2">
              <w:rPr>
                <w:rFonts w:ascii="Times New Roman" w:hAnsi="Times New Roman" w:cs="Times New Roman"/>
              </w:rPr>
              <w:t xml:space="preserve">WAC </w:t>
            </w:r>
            <w:r w:rsidR="00BC0D39" w:rsidRPr="004268B2">
              <w:rPr>
                <w:rFonts w:ascii="Times New Roman" w:hAnsi="Times New Roman" w:cs="Times New Roman"/>
              </w:rPr>
              <w:t>480-109-200(8)</w:t>
            </w:r>
            <w:r w:rsidR="00D233CB" w:rsidRPr="004268B2">
              <w:rPr>
                <w:rFonts w:ascii="Times New Roman" w:hAnsi="Times New Roman" w:cs="Times New Roman"/>
              </w:rPr>
              <w:t>(b)</w:t>
            </w:r>
            <w:r w:rsidR="00BC0D39" w:rsidRPr="004268B2">
              <w:rPr>
                <w:rFonts w:ascii="Times New Roman" w:hAnsi="Times New Roman" w:cs="Times New Roman"/>
              </w:rPr>
              <w:t>.</w:t>
            </w:r>
          </w:p>
        </w:tc>
      </w:tr>
      <w:tr w:rsidR="003666FD" w:rsidRPr="004268B2" w14:paraId="1F4CCD95" w14:textId="77777777" w:rsidTr="00401F45">
        <w:trPr>
          <w:jc w:val="center"/>
        </w:trPr>
        <w:tc>
          <w:tcPr>
            <w:tcW w:w="1802" w:type="dxa"/>
          </w:tcPr>
          <w:p w14:paraId="58F20387" w14:textId="77AF1657" w:rsidR="00DE1FA6" w:rsidRPr="004268B2" w:rsidRDefault="00DE1FA6" w:rsidP="00DE1FA6">
            <w:pPr>
              <w:rPr>
                <w:rFonts w:ascii="Times New Roman" w:hAnsi="Times New Roman" w:cs="Times New Roman"/>
                <w:b/>
              </w:rPr>
            </w:pPr>
            <w:r w:rsidRPr="004268B2">
              <w:rPr>
                <w:rFonts w:ascii="Times New Roman" w:hAnsi="Times New Roman" w:cs="Times New Roman"/>
                <w:b/>
              </w:rPr>
              <w:t>Process for pursuing all conservation – Identify potential</w:t>
            </w:r>
          </w:p>
          <w:p w14:paraId="6E97792F" w14:textId="2193CA2D" w:rsidR="00DE1FA6" w:rsidRPr="004268B2" w:rsidRDefault="00DE1FA6" w:rsidP="00DE1FA6">
            <w:pPr>
              <w:rPr>
                <w:rFonts w:ascii="Times New Roman" w:hAnsi="Times New Roman" w:cs="Times New Roman"/>
                <w:b/>
              </w:rPr>
            </w:pPr>
            <w:r w:rsidRPr="004268B2">
              <w:rPr>
                <w:rFonts w:ascii="Times New Roman" w:hAnsi="Times New Roman" w:cs="Times New Roman"/>
              </w:rPr>
              <w:t>WAC 480-109-100(1)(a)(i)</w:t>
            </w:r>
          </w:p>
        </w:tc>
        <w:tc>
          <w:tcPr>
            <w:tcW w:w="1373" w:type="dxa"/>
          </w:tcPr>
          <w:p w14:paraId="1AD47D97" w14:textId="77777777" w:rsidR="00DE1FA6" w:rsidRPr="004268B2" w:rsidRDefault="00DE1FA6" w:rsidP="00DE1FA6">
            <w:pPr>
              <w:rPr>
                <w:rFonts w:ascii="Times New Roman" w:hAnsi="Times New Roman" w:cs="Times New Roman"/>
              </w:rPr>
            </w:pPr>
            <w:r w:rsidRPr="004268B2">
              <w:rPr>
                <w:rFonts w:ascii="Times New Roman" w:hAnsi="Times New Roman" w:cs="Times New Roman"/>
              </w:rPr>
              <w:t>Pacific Power</w:t>
            </w:r>
          </w:p>
          <w:p w14:paraId="4410F051" w14:textId="77777777" w:rsidR="00DE1FA6" w:rsidRPr="004268B2" w:rsidRDefault="00DE1FA6" w:rsidP="00DE1FA6">
            <w:pPr>
              <w:rPr>
                <w:rFonts w:ascii="Times New Roman" w:hAnsi="Times New Roman" w:cs="Times New Roman"/>
              </w:rPr>
            </w:pPr>
          </w:p>
        </w:tc>
        <w:tc>
          <w:tcPr>
            <w:tcW w:w="5150" w:type="dxa"/>
          </w:tcPr>
          <w:p w14:paraId="17627807" w14:textId="7E030BF3" w:rsidR="008D1F13" w:rsidRPr="00D5485E" w:rsidRDefault="00DE1FA6" w:rsidP="008D1F13">
            <w:pPr>
              <w:rPr>
                <w:rFonts w:ascii="Times New Roman" w:hAnsi="Times New Roman" w:cs="Times New Roman"/>
              </w:rPr>
            </w:pPr>
            <w:r w:rsidRPr="004268B2">
              <w:rPr>
                <w:rFonts w:ascii="Times New Roman" w:hAnsi="Times New Roman" w:cs="Times New Roman"/>
              </w:rPr>
              <w:t>Replace “potential of possible technologies and conservation programs and measures” with “conservation potential</w:t>
            </w:r>
            <w:r w:rsidR="00D61808">
              <w:rPr>
                <w:rFonts w:ascii="Times New Roman" w:hAnsi="Times New Roman" w:cs="Times New Roman"/>
              </w:rPr>
              <w:t>,</w:t>
            </w:r>
            <w:r w:rsidRPr="004268B2">
              <w:rPr>
                <w:rFonts w:ascii="Times New Roman" w:hAnsi="Times New Roman" w:cs="Times New Roman"/>
              </w:rPr>
              <w:t>”</w:t>
            </w:r>
            <w:r w:rsidR="00D61808">
              <w:rPr>
                <w:rFonts w:ascii="Times New Roman" w:hAnsi="Times New Roman" w:cs="Times New Roman"/>
              </w:rPr>
              <w:t xml:space="preserve"> as they are separate concepts.</w:t>
            </w:r>
            <w:r w:rsidR="00481638" w:rsidRPr="004268B2">
              <w:rPr>
                <w:rFonts w:ascii="Times New Roman" w:hAnsi="Times New Roman" w:cs="Times New Roman"/>
              </w:rPr>
              <w:t xml:space="preserve">  </w:t>
            </w:r>
          </w:p>
          <w:p w14:paraId="58E03129" w14:textId="68551F09" w:rsidR="00DE1FA6" w:rsidRPr="004268B2" w:rsidRDefault="00DE1FA6" w:rsidP="008D1F13">
            <w:pPr>
              <w:rPr>
                <w:rFonts w:ascii="Times New Roman" w:hAnsi="Times New Roman" w:cs="Times New Roman"/>
              </w:rPr>
            </w:pPr>
          </w:p>
        </w:tc>
        <w:tc>
          <w:tcPr>
            <w:tcW w:w="4738" w:type="dxa"/>
          </w:tcPr>
          <w:p w14:paraId="2BCAD4A7" w14:textId="38B031EB" w:rsidR="00DE1FA6" w:rsidRPr="004268B2" w:rsidRDefault="00FD742A" w:rsidP="00D61808">
            <w:pPr>
              <w:rPr>
                <w:rFonts w:ascii="Times New Roman" w:hAnsi="Times New Roman" w:cs="Times New Roman"/>
              </w:rPr>
            </w:pPr>
            <w:r>
              <w:rPr>
                <w:rFonts w:ascii="Times New Roman" w:hAnsi="Times New Roman" w:cs="Times New Roman"/>
              </w:rPr>
              <w:t xml:space="preserve">This subsection describes the </w:t>
            </w:r>
            <w:r w:rsidR="00D61808">
              <w:rPr>
                <w:rFonts w:ascii="Times New Roman" w:hAnsi="Times New Roman" w:cs="Times New Roman"/>
              </w:rPr>
              <w:t xml:space="preserve">entire </w:t>
            </w:r>
            <w:r>
              <w:rPr>
                <w:rFonts w:ascii="Times New Roman" w:hAnsi="Times New Roman" w:cs="Times New Roman"/>
              </w:rPr>
              <w:t xml:space="preserve">process for identifying “conservation potential.” We </w:t>
            </w:r>
            <w:r w:rsidR="00D61808">
              <w:rPr>
                <w:rFonts w:ascii="Times New Roman" w:hAnsi="Times New Roman" w:cs="Times New Roman"/>
              </w:rPr>
              <w:t xml:space="preserve">reject Pacific Power’s request and </w:t>
            </w:r>
            <w:r w:rsidR="00BA3DA5" w:rsidRPr="004268B2">
              <w:rPr>
                <w:rFonts w:ascii="Times New Roman" w:hAnsi="Times New Roman" w:cs="Times New Roman"/>
              </w:rPr>
              <w:t xml:space="preserve">retain this </w:t>
            </w:r>
            <w:r>
              <w:rPr>
                <w:rFonts w:ascii="Times New Roman" w:hAnsi="Times New Roman" w:cs="Times New Roman"/>
              </w:rPr>
              <w:t>longer</w:t>
            </w:r>
            <w:r w:rsidRPr="004268B2">
              <w:rPr>
                <w:rFonts w:ascii="Times New Roman" w:hAnsi="Times New Roman" w:cs="Times New Roman"/>
              </w:rPr>
              <w:t xml:space="preserve"> </w:t>
            </w:r>
            <w:r w:rsidR="00BA3DA5" w:rsidRPr="004268B2">
              <w:rPr>
                <w:rFonts w:ascii="Times New Roman" w:hAnsi="Times New Roman" w:cs="Times New Roman"/>
              </w:rPr>
              <w:t>descri</w:t>
            </w:r>
            <w:r>
              <w:rPr>
                <w:rFonts w:ascii="Times New Roman" w:hAnsi="Times New Roman" w:cs="Times New Roman"/>
              </w:rPr>
              <w:t>ption of</w:t>
            </w:r>
            <w:r w:rsidR="00BA3DA5" w:rsidRPr="004268B2">
              <w:rPr>
                <w:rFonts w:ascii="Times New Roman" w:hAnsi="Times New Roman" w:cs="Times New Roman"/>
              </w:rPr>
              <w:t xml:space="preserve"> the </w:t>
            </w:r>
            <w:r w:rsidR="00D61808">
              <w:rPr>
                <w:rFonts w:ascii="Times New Roman" w:hAnsi="Times New Roman" w:cs="Times New Roman"/>
              </w:rPr>
              <w:t xml:space="preserve">entire </w:t>
            </w:r>
            <w:r w:rsidR="00BA3DA5" w:rsidRPr="004268B2">
              <w:rPr>
                <w:rFonts w:ascii="Times New Roman" w:hAnsi="Times New Roman" w:cs="Times New Roman"/>
              </w:rPr>
              <w:t xml:space="preserve">process utilities must use to identify </w:t>
            </w:r>
            <w:r>
              <w:rPr>
                <w:rFonts w:ascii="Times New Roman" w:hAnsi="Times New Roman" w:cs="Times New Roman"/>
              </w:rPr>
              <w:t xml:space="preserve">their </w:t>
            </w:r>
            <w:r w:rsidR="00BA3DA5" w:rsidRPr="004268B2">
              <w:rPr>
                <w:rFonts w:ascii="Times New Roman" w:hAnsi="Times New Roman" w:cs="Times New Roman"/>
              </w:rPr>
              <w:t>cost-effective, reliable and feasible conservation potential</w:t>
            </w:r>
            <w:r>
              <w:rPr>
                <w:rFonts w:ascii="Times New Roman" w:hAnsi="Times New Roman" w:cs="Times New Roman"/>
              </w:rPr>
              <w:t>.</w:t>
            </w:r>
            <w:r w:rsidR="00D61808">
              <w:rPr>
                <w:rFonts w:ascii="Times New Roman" w:hAnsi="Times New Roman" w:cs="Times New Roman"/>
              </w:rPr>
              <w:t xml:space="preserve">  To clarify that this identification takes place at the measure level, we delete “programs and.”</w:t>
            </w:r>
          </w:p>
        </w:tc>
      </w:tr>
      <w:tr w:rsidR="003666FD" w:rsidRPr="004268B2" w14:paraId="5B36DCED" w14:textId="77777777" w:rsidTr="00401F45">
        <w:trPr>
          <w:jc w:val="center"/>
        </w:trPr>
        <w:tc>
          <w:tcPr>
            <w:tcW w:w="1802" w:type="dxa"/>
          </w:tcPr>
          <w:p w14:paraId="74452F5C" w14:textId="536438BE" w:rsidR="00DE1FA6" w:rsidRPr="004268B2" w:rsidRDefault="00DE1FA6" w:rsidP="00DE1FA6">
            <w:pPr>
              <w:rPr>
                <w:rFonts w:ascii="Times New Roman" w:hAnsi="Times New Roman" w:cs="Times New Roman"/>
                <w:b/>
              </w:rPr>
            </w:pPr>
            <w:r w:rsidRPr="004268B2">
              <w:rPr>
                <w:rFonts w:ascii="Times New Roman" w:hAnsi="Times New Roman" w:cs="Times New Roman"/>
                <w:b/>
              </w:rPr>
              <w:t>Process for pursuing all conservation – Develop portfolio</w:t>
            </w:r>
          </w:p>
          <w:p w14:paraId="177AFFFE" w14:textId="2AA40AE5" w:rsidR="00DE1FA6" w:rsidRPr="004268B2" w:rsidRDefault="00DE1FA6" w:rsidP="00DE1FA6">
            <w:pPr>
              <w:rPr>
                <w:rFonts w:ascii="Times New Roman" w:hAnsi="Times New Roman" w:cs="Times New Roman"/>
                <w:b/>
              </w:rPr>
            </w:pPr>
            <w:r w:rsidRPr="004268B2">
              <w:rPr>
                <w:rFonts w:ascii="Times New Roman" w:hAnsi="Times New Roman" w:cs="Times New Roman"/>
              </w:rPr>
              <w:t>WAC 480-109-100(1)(a)(ii)</w:t>
            </w:r>
          </w:p>
        </w:tc>
        <w:tc>
          <w:tcPr>
            <w:tcW w:w="1373" w:type="dxa"/>
          </w:tcPr>
          <w:p w14:paraId="798DF6A4" w14:textId="77777777" w:rsidR="00DE1FA6" w:rsidRPr="004268B2" w:rsidRDefault="00DE1FA6" w:rsidP="00DE1FA6">
            <w:pPr>
              <w:rPr>
                <w:rFonts w:ascii="Times New Roman" w:hAnsi="Times New Roman" w:cs="Times New Roman"/>
              </w:rPr>
            </w:pPr>
            <w:r w:rsidRPr="004268B2">
              <w:rPr>
                <w:rFonts w:ascii="Times New Roman" w:hAnsi="Times New Roman" w:cs="Times New Roman"/>
              </w:rPr>
              <w:t>NWEC</w:t>
            </w:r>
          </w:p>
          <w:p w14:paraId="64BB60AE" w14:textId="77777777" w:rsidR="00DE1FA6" w:rsidRPr="004268B2" w:rsidRDefault="00DE1FA6" w:rsidP="00DE1FA6">
            <w:pPr>
              <w:rPr>
                <w:rFonts w:ascii="Times New Roman" w:hAnsi="Times New Roman" w:cs="Times New Roman"/>
              </w:rPr>
            </w:pPr>
          </w:p>
        </w:tc>
        <w:tc>
          <w:tcPr>
            <w:tcW w:w="5150" w:type="dxa"/>
          </w:tcPr>
          <w:p w14:paraId="0378CFE7" w14:textId="7FCE0EE7" w:rsidR="00D61808" w:rsidRPr="004268B2" w:rsidRDefault="00DE1FA6" w:rsidP="00D5485E">
            <w:pPr>
              <w:rPr>
                <w:rFonts w:ascii="Times New Roman" w:hAnsi="Times New Roman" w:cs="Times New Roman"/>
              </w:rPr>
            </w:pPr>
            <w:r w:rsidRPr="004268B2">
              <w:rPr>
                <w:rFonts w:ascii="Times New Roman" w:hAnsi="Times New Roman" w:cs="Times New Roman"/>
              </w:rPr>
              <w:t>Add a sentence or clause saying the utility would need to provide supporting materials or documentation to demonstrate that no cost-effective, reliable and feasible conservation was available from one of the sources listed.</w:t>
            </w:r>
          </w:p>
        </w:tc>
        <w:tc>
          <w:tcPr>
            <w:tcW w:w="4738" w:type="dxa"/>
          </w:tcPr>
          <w:p w14:paraId="4CCC787B" w14:textId="1DFAD26F" w:rsidR="00DE1FA6" w:rsidRPr="004268B2" w:rsidRDefault="00BA3DA5" w:rsidP="001E1AF8">
            <w:pPr>
              <w:rPr>
                <w:rFonts w:ascii="Times New Roman" w:hAnsi="Times New Roman" w:cs="Times New Roman"/>
              </w:rPr>
            </w:pPr>
            <w:r w:rsidRPr="004268B2">
              <w:rPr>
                <w:rFonts w:ascii="Times New Roman" w:hAnsi="Times New Roman" w:cs="Times New Roman"/>
              </w:rPr>
              <w:t xml:space="preserve">The </w:t>
            </w:r>
            <w:r w:rsidR="00F35438" w:rsidRPr="004268B2">
              <w:rPr>
                <w:rFonts w:ascii="Times New Roman" w:hAnsi="Times New Roman" w:cs="Times New Roman"/>
              </w:rPr>
              <w:t>C</w:t>
            </w:r>
            <w:r w:rsidRPr="004268B2">
              <w:rPr>
                <w:rFonts w:ascii="Times New Roman" w:hAnsi="Times New Roman" w:cs="Times New Roman"/>
              </w:rPr>
              <w:t>ommission rejects this suggestion</w:t>
            </w:r>
            <w:r w:rsidR="00D61808">
              <w:rPr>
                <w:rFonts w:ascii="Times New Roman" w:hAnsi="Times New Roman" w:cs="Times New Roman"/>
              </w:rPr>
              <w:t>, as the requirement to provide this documentation is encompassed in the rule</w:t>
            </w:r>
            <w:r w:rsidR="00F35438" w:rsidRPr="004268B2">
              <w:rPr>
                <w:rFonts w:ascii="Times New Roman" w:hAnsi="Times New Roman" w:cs="Times New Roman"/>
              </w:rPr>
              <w:t xml:space="preserve">. </w:t>
            </w:r>
            <w:r w:rsidR="00D61808">
              <w:rPr>
                <w:rFonts w:ascii="Times New Roman" w:hAnsi="Times New Roman" w:cs="Times New Roman"/>
              </w:rPr>
              <w:t xml:space="preserve">The rule </w:t>
            </w:r>
            <w:r w:rsidR="009B57BD" w:rsidRPr="004268B2">
              <w:rPr>
                <w:rFonts w:ascii="Times New Roman" w:hAnsi="Times New Roman" w:cs="Times New Roman"/>
              </w:rPr>
              <w:t>approp</w:t>
            </w:r>
            <w:r w:rsidR="005320FB" w:rsidRPr="004268B2">
              <w:rPr>
                <w:rFonts w:ascii="Times New Roman" w:hAnsi="Times New Roman" w:cs="Times New Roman"/>
              </w:rPr>
              <w:t>ri</w:t>
            </w:r>
            <w:r w:rsidR="009B57BD" w:rsidRPr="004268B2">
              <w:rPr>
                <w:rFonts w:ascii="Times New Roman" w:hAnsi="Times New Roman" w:cs="Times New Roman"/>
              </w:rPr>
              <w:t>ately</w:t>
            </w:r>
            <w:r w:rsidR="00DE1FA6" w:rsidRPr="004268B2">
              <w:rPr>
                <w:rFonts w:ascii="Times New Roman" w:hAnsi="Times New Roman" w:cs="Times New Roman"/>
              </w:rPr>
              <w:t xml:space="preserve"> </w:t>
            </w:r>
            <w:r w:rsidR="00362359" w:rsidRPr="004268B2">
              <w:rPr>
                <w:rFonts w:ascii="Times New Roman" w:hAnsi="Times New Roman" w:cs="Times New Roman"/>
              </w:rPr>
              <w:t xml:space="preserve">requires </w:t>
            </w:r>
            <w:r w:rsidR="00DE1FA6" w:rsidRPr="004268B2">
              <w:rPr>
                <w:rFonts w:ascii="Times New Roman" w:hAnsi="Times New Roman" w:cs="Times New Roman"/>
              </w:rPr>
              <w:t>utilities</w:t>
            </w:r>
            <w:r w:rsidR="005320FB" w:rsidRPr="004268B2">
              <w:rPr>
                <w:rFonts w:ascii="Times New Roman" w:hAnsi="Times New Roman" w:cs="Times New Roman"/>
              </w:rPr>
              <w:t xml:space="preserve"> to</w:t>
            </w:r>
            <w:r w:rsidR="00DE1FA6" w:rsidRPr="004268B2">
              <w:rPr>
                <w:rFonts w:ascii="Times New Roman" w:hAnsi="Times New Roman" w:cs="Times New Roman"/>
              </w:rPr>
              <w:t xml:space="preserve"> </w:t>
            </w:r>
            <w:r w:rsidR="00DF13BF" w:rsidRPr="004268B2">
              <w:rPr>
                <w:rFonts w:ascii="Times New Roman" w:hAnsi="Times New Roman" w:cs="Times New Roman"/>
              </w:rPr>
              <w:t>consult with their advisory groups regarding the development of conservation potential assessments in WAC 480-10</w:t>
            </w:r>
            <w:r w:rsidR="001E1AF8">
              <w:rPr>
                <w:rFonts w:ascii="Times New Roman" w:hAnsi="Times New Roman" w:cs="Times New Roman"/>
              </w:rPr>
              <w:t>9</w:t>
            </w:r>
            <w:r w:rsidR="00DF13BF" w:rsidRPr="004268B2">
              <w:rPr>
                <w:rFonts w:ascii="Times New Roman" w:hAnsi="Times New Roman" w:cs="Times New Roman"/>
              </w:rPr>
              <w:t>-110(1)(e) and provide documentation of the development of the biennial conservation plan in WAC 480-109-</w:t>
            </w:r>
            <w:r w:rsidR="00DF13BF" w:rsidRPr="004268B2">
              <w:rPr>
                <w:rFonts w:ascii="Times New Roman" w:hAnsi="Times New Roman" w:cs="Times New Roman"/>
              </w:rPr>
              <w:lastRenderedPageBreak/>
              <w:t>120(1)(b)(iv)</w:t>
            </w:r>
            <w:r w:rsidR="00F6667B">
              <w:rPr>
                <w:rFonts w:ascii="Times New Roman" w:hAnsi="Times New Roman" w:cs="Times New Roman"/>
              </w:rPr>
              <w:t xml:space="preserve">.  Accordingly, utilities must </w:t>
            </w:r>
            <w:r w:rsidR="00FF35F5" w:rsidRPr="004268B2">
              <w:rPr>
                <w:rFonts w:ascii="Times New Roman" w:hAnsi="Times New Roman" w:cs="Times New Roman"/>
              </w:rPr>
              <w:t xml:space="preserve">provide supporting evidence to their advisory groups when </w:t>
            </w:r>
            <w:r w:rsidR="00DE1FA6" w:rsidRPr="004268B2">
              <w:rPr>
                <w:rFonts w:ascii="Times New Roman" w:hAnsi="Times New Roman" w:cs="Times New Roman"/>
              </w:rPr>
              <w:t>certain types of</w:t>
            </w:r>
            <w:r w:rsidR="00FF35F5" w:rsidRPr="004268B2">
              <w:rPr>
                <w:rFonts w:ascii="Times New Roman" w:hAnsi="Times New Roman" w:cs="Times New Roman"/>
              </w:rPr>
              <w:t xml:space="preserve"> conservation are not available</w:t>
            </w:r>
            <w:r w:rsidR="00DE1FA6" w:rsidRPr="004268B2">
              <w:rPr>
                <w:rFonts w:ascii="Times New Roman" w:hAnsi="Times New Roman" w:cs="Times New Roman"/>
              </w:rPr>
              <w:t>.</w:t>
            </w:r>
          </w:p>
        </w:tc>
      </w:tr>
      <w:tr w:rsidR="003666FD" w:rsidRPr="004268B2" w14:paraId="16C63AA3" w14:textId="77777777" w:rsidTr="00401F45">
        <w:trPr>
          <w:trHeight w:val="1682"/>
          <w:jc w:val="center"/>
        </w:trPr>
        <w:tc>
          <w:tcPr>
            <w:tcW w:w="1802" w:type="dxa"/>
          </w:tcPr>
          <w:p w14:paraId="65CA2488" w14:textId="1F1EC129" w:rsidR="00F07B8C" w:rsidRPr="004268B2" w:rsidRDefault="00F07B8C" w:rsidP="00DE1FA6">
            <w:pPr>
              <w:rPr>
                <w:rFonts w:ascii="Times New Roman" w:hAnsi="Times New Roman" w:cs="Times New Roman"/>
                <w:b/>
              </w:rPr>
            </w:pPr>
            <w:r w:rsidRPr="004268B2">
              <w:rPr>
                <w:rFonts w:ascii="Times New Roman" w:hAnsi="Times New Roman" w:cs="Times New Roman"/>
                <w:b/>
              </w:rPr>
              <w:lastRenderedPageBreak/>
              <w:t>Process for pursuing all conservation – emerging technologies</w:t>
            </w:r>
          </w:p>
          <w:p w14:paraId="44461C41" w14:textId="16E86221" w:rsidR="00F07B8C" w:rsidRPr="004268B2" w:rsidRDefault="00F07B8C" w:rsidP="00DE1FA6">
            <w:pPr>
              <w:rPr>
                <w:rFonts w:ascii="Times New Roman" w:hAnsi="Times New Roman" w:cs="Times New Roman"/>
                <w:b/>
              </w:rPr>
            </w:pPr>
            <w:r w:rsidRPr="004268B2">
              <w:rPr>
                <w:rFonts w:ascii="Times New Roman" w:hAnsi="Times New Roman" w:cs="Times New Roman"/>
              </w:rPr>
              <w:t>WAC 480-109-100(1)(a)</w:t>
            </w:r>
          </w:p>
        </w:tc>
        <w:tc>
          <w:tcPr>
            <w:tcW w:w="1373" w:type="dxa"/>
          </w:tcPr>
          <w:p w14:paraId="50B6C2A1" w14:textId="48C1387B" w:rsidR="00F07B8C" w:rsidRPr="004268B2" w:rsidRDefault="00F07B8C" w:rsidP="00DE1FA6">
            <w:pPr>
              <w:rPr>
                <w:rFonts w:ascii="Times New Roman" w:hAnsi="Times New Roman" w:cs="Times New Roman"/>
              </w:rPr>
            </w:pPr>
            <w:r w:rsidRPr="004268B2">
              <w:rPr>
                <w:rFonts w:ascii="Times New Roman" w:hAnsi="Times New Roman" w:cs="Times New Roman"/>
              </w:rPr>
              <w:t>PSE</w:t>
            </w:r>
          </w:p>
        </w:tc>
        <w:tc>
          <w:tcPr>
            <w:tcW w:w="5150" w:type="dxa"/>
          </w:tcPr>
          <w:p w14:paraId="0E556C3D" w14:textId="3959793F" w:rsidR="00F07B8C" w:rsidRPr="004268B2" w:rsidRDefault="00F07B8C" w:rsidP="00F07B8C">
            <w:pPr>
              <w:rPr>
                <w:rFonts w:ascii="Times New Roman" w:hAnsi="Times New Roman" w:cs="Times New Roman"/>
              </w:rPr>
            </w:pPr>
            <w:r w:rsidRPr="004268B2">
              <w:rPr>
                <w:rFonts w:ascii="Times New Roman" w:hAnsi="Times New Roman" w:cs="Times New Roman"/>
              </w:rPr>
              <w:t>The term “emerging” is misleading.  Remove “a utility must research emerging conservation technologies, and assess the potential…”  The proposed language is ambiguous and may lead to misinterpretations and stakeholder disagreements.  For example, PSE is unclear whether this research would be required in the IRP or as a part of the conservation process.</w:t>
            </w:r>
          </w:p>
        </w:tc>
        <w:tc>
          <w:tcPr>
            <w:tcW w:w="4738" w:type="dxa"/>
          </w:tcPr>
          <w:p w14:paraId="7E261A27" w14:textId="6483BF31" w:rsidR="00F07B8C" w:rsidRPr="004268B2" w:rsidRDefault="002E5FC9" w:rsidP="00AD2CE6">
            <w:pPr>
              <w:rPr>
                <w:rFonts w:ascii="Times New Roman" w:hAnsi="Times New Roman" w:cs="Times New Roman"/>
              </w:rPr>
            </w:pPr>
            <w:r w:rsidRPr="004268B2">
              <w:rPr>
                <w:rFonts w:ascii="Times New Roman" w:hAnsi="Times New Roman" w:cs="Times New Roman"/>
              </w:rPr>
              <w:t>The Commission retains the language in the proposed rule</w:t>
            </w:r>
            <w:r w:rsidR="00AD2CE6" w:rsidRPr="004268B2">
              <w:rPr>
                <w:rFonts w:ascii="Times New Roman" w:hAnsi="Times New Roman" w:cs="Times New Roman"/>
              </w:rPr>
              <w:t xml:space="preserve">.  </w:t>
            </w:r>
            <w:r w:rsidR="00AD2CE6" w:rsidRPr="00D5485E">
              <w:rPr>
                <w:rFonts w:ascii="Times New Roman" w:hAnsi="Times New Roman" w:cs="Times New Roman"/>
              </w:rPr>
              <w:t>As discussed in the adoption order,</w:t>
            </w:r>
            <w:r w:rsidR="00AD2CE6" w:rsidRPr="004268B2">
              <w:rPr>
                <w:rFonts w:ascii="Times New Roman" w:hAnsi="Times New Roman" w:cs="Times New Roman"/>
              </w:rPr>
              <w:t xml:space="preserve"> it is necessary for utilities to research emerging technolo</w:t>
            </w:r>
            <w:r w:rsidR="001054E4" w:rsidRPr="004268B2">
              <w:rPr>
                <w:rFonts w:ascii="Times New Roman" w:hAnsi="Times New Roman" w:cs="Times New Roman"/>
              </w:rPr>
              <w:t>g</w:t>
            </w:r>
            <w:r w:rsidR="00AD2CE6" w:rsidRPr="004268B2">
              <w:rPr>
                <w:rFonts w:ascii="Times New Roman" w:hAnsi="Times New Roman" w:cs="Times New Roman"/>
              </w:rPr>
              <w:t>ies</w:t>
            </w:r>
            <w:r w:rsidR="00F35438" w:rsidRPr="004268B2">
              <w:rPr>
                <w:rFonts w:ascii="Times New Roman" w:hAnsi="Times New Roman" w:cs="Times New Roman"/>
              </w:rPr>
              <w:t xml:space="preserve"> </w:t>
            </w:r>
            <w:r w:rsidR="00AD2CE6" w:rsidRPr="004268B2">
              <w:rPr>
                <w:rFonts w:ascii="Times New Roman" w:hAnsi="Times New Roman" w:cs="Times New Roman"/>
              </w:rPr>
              <w:t xml:space="preserve">as part of an effective adaptive management strategy. </w:t>
            </w:r>
            <w:r w:rsidR="00F35438" w:rsidRPr="004268B2">
              <w:rPr>
                <w:rFonts w:ascii="Times New Roman" w:hAnsi="Times New Roman" w:cs="Times New Roman"/>
              </w:rPr>
              <w:t xml:space="preserve"> </w:t>
            </w:r>
          </w:p>
        </w:tc>
      </w:tr>
      <w:tr w:rsidR="003666FD" w:rsidRPr="004268B2" w14:paraId="78BF9BAB" w14:textId="77777777" w:rsidTr="00401F45">
        <w:trPr>
          <w:jc w:val="center"/>
        </w:trPr>
        <w:tc>
          <w:tcPr>
            <w:tcW w:w="1802" w:type="dxa"/>
          </w:tcPr>
          <w:p w14:paraId="78BF9BA6" w14:textId="59CA32CE" w:rsidR="00DE1FA6" w:rsidRPr="004268B2" w:rsidRDefault="00DE1FA6" w:rsidP="00DE1FA6">
            <w:pPr>
              <w:rPr>
                <w:rFonts w:ascii="Times New Roman" w:hAnsi="Times New Roman" w:cs="Times New Roman"/>
                <w:b/>
              </w:rPr>
            </w:pPr>
            <w:r w:rsidRPr="004268B2">
              <w:rPr>
                <w:rFonts w:ascii="Times New Roman" w:hAnsi="Times New Roman" w:cs="Times New Roman"/>
                <w:b/>
              </w:rPr>
              <w:t>Pilots</w:t>
            </w:r>
          </w:p>
          <w:p w14:paraId="78BF9BA7" w14:textId="77777777" w:rsidR="00DE1FA6" w:rsidRPr="004268B2" w:rsidRDefault="00DE1FA6" w:rsidP="00DE1FA6">
            <w:pPr>
              <w:rPr>
                <w:rFonts w:ascii="Times New Roman" w:hAnsi="Times New Roman" w:cs="Times New Roman"/>
              </w:rPr>
            </w:pPr>
            <w:r w:rsidRPr="004268B2">
              <w:rPr>
                <w:rFonts w:ascii="Times New Roman" w:hAnsi="Times New Roman" w:cs="Times New Roman"/>
              </w:rPr>
              <w:t>WAC 480-109-100(1)(c)</w:t>
            </w:r>
          </w:p>
        </w:tc>
        <w:tc>
          <w:tcPr>
            <w:tcW w:w="1373" w:type="dxa"/>
          </w:tcPr>
          <w:p w14:paraId="78BF9BA8" w14:textId="77777777" w:rsidR="00DE1FA6" w:rsidRPr="004268B2" w:rsidRDefault="00DE1FA6" w:rsidP="00DE1FA6">
            <w:pPr>
              <w:rPr>
                <w:rFonts w:ascii="Times New Roman" w:hAnsi="Times New Roman" w:cs="Times New Roman"/>
              </w:rPr>
            </w:pPr>
            <w:r w:rsidRPr="004268B2">
              <w:rPr>
                <w:rFonts w:ascii="Times New Roman" w:hAnsi="Times New Roman" w:cs="Times New Roman"/>
              </w:rPr>
              <w:t>PSE</w:t>
            </w:r>
          </w:p>
        </w:tc>
        <w:tc>
          <w:tcPr>
            <w:tcW w:w="5150" w:type="dxa"/>
          </w:tcPr>
          <w:p w14:paraId="78BF9BA9" w14:textId="1E99B349" w:rsidR="00DE1FA6" w:rsidRPr="004268B2" w:rsidRDefault="00DE1FA6" w:rsidP="008B43E1">
            <w:pPr>
              <w:rPr>
                <w:rFonts w:ascii="Times New Roman" w:hAnsi="Times New Roman" w:cs="Times New Roman"/>
              </w:rPr>
            </w:pPr>
            <w:r w:rsidRPr="004268B2">
              <w:rPr>
                <w:rFonts w:ascii="Times New Roman" w:hAnsi="Times New Roman" w:cs="Times New Roman"/>
              </w:rPr>
              <w:t xml:space="preserve">The proposed language is ambiguous.  PSE proposes: “A utility may implement pilot projects when </w:t>
            </w:r>
            <w:r w:rsidR="008B43E1" w:rsidRPr="004268B2">
              <w:rPr>
                <w:rFonts w:ascii="Times New Roman" w:hAnsi="Times New Roman" w:cs="Times New Roman"/>
              </w:rPr>
              <w:t>appropriate and</w:t>
            </w:r>
            <w:r w:rsidRPr="004268B2">
              <w:rPr>
                <w:rFonts w:ascii="Times New Roman" w:hAnsi="Times New Roman" w:cs="Times New Roman"/>
              </w:rPr>
              <w:t xml:space="preserve"> expected to produce cost-effective savings </w:t>
            </w:r>
            <w:r w:rsidRPr="004268B2">
              <w:rPr>
                <w:rFonts w:ascii="Times New Roman" w:hAnsi="Times New Roman" w:cs="Times New Roman"/>
                <w:i/>
              </w:rPr>
              <w:t>within the current or immediately subsequent biennium</w:t>
            </w:r>
            <w:r w:rsidRPr="004268B2">
              <w:rPr>
                <w:rFonts w:ascii="Times New Roman" w:hAnsi="Times New Roman" w:cs="Times New Roman"/>
              </w:rPr>
              <w:t xml:space="preserve">, as long as the overall portfolio remains cost-effective.”  </w:t>
            </w:r>
          </w:p>
        </w:tc>
        <w:tc>
          <w:tcPr>
            <w:tcW w:w="4738" w:type="dxa"/>
          </w:tcPr>
          <w:p w14:paraId="78BF9BAA" w14:textId="2D4AB682" w:rsidR="00DE1FA6" w:rsidRPr="004268B2" w:rsidRDefault="00F35438" w:rsidP="00921B3D">
            <w:pPr>
              <w:rPr>
                <w:rFonts w:ascii="Times New Roman" w:hAnsi="Times New Roman" w:cs="Times New Roman"/>
              </w:rPr>
            </w:pPr>
            <w:r w:rsidRPr="004268B2">
              <w:rPr>
                <w:rFonts w:ascii="Times New Roman" w:hAnsi="Times New Roman" w:cs="Times New Roman"/>
              </w:rPr>
              <w:t>The Commission agrees</w:t>
            </w:r>
            <w:r w:rsidR="008B43E1" w:rsidRPr="004268B2">
              <w:rPr>
                <w:rFonts w:ascii="Times New Roman" w:hAnsi="Times New Roman" w:cs="Times New Roman"/>
              </w:rPr>
              <w:t xml:space="preserve"> that it is appropriate to provide a timeframe for implementing pilot projects</w:t>
            </w:r>
            <w:r w:rsidRPr="004268B2">
              <w:rPr>
                <w:rFonts w:ascii="Times New Roman" w:hAnsi="Times New Roman" w:cs="Times New Roman"/>
              </w:rPr>
              <w:t>, and adopted PSE’s proposed language in WAC 480-109-</w:t>
            </w:r>
            <w:r w:rsidR="008B43E1" w:rsidRPr="004268B2">
              <w:rPr>
                <w:rFonts w:ascii="Times New Roman" w:hAnsi="Times New Roman" w:cs="Times New Roman"/>
              </w:rPr>
              <w:t>100(1)(c).</w:t>
            </w:r>
          </w:p>
        </w:tc>
      </w:tr>
      <w:tr w:rsidR="003666FD" w:rsidRPr="004268B2" w14:paraId="78BF9BB4" w14:textId="77777777" w:rsidTr="00401F45">
        <w:trPr>
          <w:jc w:val="center"/>
        </w:trPr>
        <w:tc>
          <w:tcPr>
            <w:tcW w:w="1802" w:type="dxa"/>
          </w:tcPr>
          <w:p w14:paraId="78BF9BAC" w14:textId="77777777" w:rsidR="00DE1FA6" w:rsidRPr="004268B2" w:rsidRDefault="00DE1FA6" w:rsidP="00DE1FA6">
            <w:pPr>
              <w:rPr>
                <w:rFonts w:ascii="Times New Roman" w:hAnsi="Times New Roman" w:cs="Times New Roman"/>
                <w:b/>
              </w:rPr>
            </w:pPr>
            <w:r w:rsidRPr="004268B2">
              <w:rPr>
                <w:rFonts w:ascii="Times New Roman" w:hAnsi="Times New Roman" w:cs="Times New Roman"/>
                <w:b/>
              </w:rPr>
              <w:t xml:space="preserve">Conservation potential </w:t>
            </w:r>
          </w:p>
          <w:p w14:paraId="78BF9BAD" w14:textId="5215E775" w:rsidR="00DE1FA6" w:rsidRPr="004268B2" w:rsidRDefault="00DE1FA6" w:rsidP="00DE1FA6">
            <w:pPr>
              <w:rPr>
                <w:rFonts w:ascii="Times New Roman" w:hAnsi="Times New Roman" w:cs="Times New Roman"/>
              </w:rPr>
            </w:pPr>
            <w:r w:rsidRPr="004268B2">
              <w:rPr>
                <w:rFonts w:ascii="Times New Roman" w:hAnsi="Times New Roman" w:cs="Times New Roman"/>
              </w:rPr>
              <w:t>WAC 480-109-100(2)</w:t>
            </w:r>
            <w:r w:rsidR="00FE153A" w:rsidRPr="004268B2">
              <w:rPr>
                <w:rFonts w:ascii="Times New Roman" w:hAnsi="Times New Roman" w:cs="Times New Roman"/>
              </w:rPr>
              <w:t>(b)</w:t>
            </w:r>
          </w:p>
        </w:tc>
        <w:tc>
          <w:tcPr>
            <w:tcW w:w="1373" w:type="dxa"/>
          </w:tcPr>
          <w:p w14:paraId="78BF9BAF" w14:textId="6FCBD65F" w:rsidR="00DE1FA6" w:rsidRPr="004268B2" w:rsidRDefault="00FE153A" w:rsidP="00DE1FA6">
            <w:pPr>
              <w:rPr>
                <w:rFonts w:ascii="Times New Roman" w:hAnsi="Times New Roman" w:cs="Times New Roman"/>
              </w:rPr>
            </w:pPr>
            <w:r w:rsidRPr="004268B2">
              <w:rPr>
                <w:rFonts w:ascii="Times New Roman" w:hAnsi="Times New Roman" w:cs="Times New Roman"/>
              </w:rPr>
              <w:t>PSE</w:t>
            </w:r>
          </w:p>
        </w:tc>
        <w:tc>
          <w:tcPr>
            <w:tcW w:w="5150" w:type="dxa"/>
          </w:tcPr>
          <w:p w14:paraId="78BF9BB2" w14:textId="26486ECC" w:rsidR="00DE1FA6" w:rsidRPr="004268B2" w:rsidRDefault="00C95F2A" w:rsidP="00D23AFE">
            <w:pPr>
              <w:rPr>
                <w:rFonts w:ascii="Times New Roman" w:hAnsi="Times New Roman" w:cs="Times New Roman"/>
                <w:u w:val="single"/>
              </w:rPr>
            </w:pPr>
            <w:r w:rsidRPr="004268B2">
              <w:rPr>
                <w:rFonts w:ascii="Times New Roman" w:hAnsi="Times New Roman" w:cs="Times New Roman"/>
              </w:rPr>
              <w:t>100</w:t>
            </w:r>
            <w:r w:rsidR="00DE1FA6" w:rsidRPr="004268B2">
              <w:rPr>
                <w:rFonts w:ascii="Times New Roman" w:hAnsi="Times New Roman" w:cs="Times New Roman"/>
              </w:rPr>
              <w:t xml:space="preserve">(2)(b) Add:  “, </w:t>
            </w:r>
            <w:r w:rsidR="00DE1FA6" w:rsidRPr="004268B2">
              <w:rPr>
                <w:rFonts w:ascii="Times New Roman" w:hAnsi="Times New Roman" w:cs="Times New Roman"/>
                <w:u w:val="single"/>
              </w:rPr>
              <w:t>meaning specifically that utilities must utilize the following approach in developing the potential:  (i) Technical Potential:  An estimate of the amount of conservation potential available without regard to market barriers; (ii) Achievable Potential:  The subset of Technical Potential the utility could expect to achieve given market barriers; (iii) Economic Potential:  The subset of Technical Potential that is cost effective. (iv) Avoided energy portfolio costs must reflect the 10% credit from the Northwest Power Act.</w:t>
            </w:r>
          </w:p>
        </w:tc>
        <w:tc>
          <w:tcPr>
            <w:tcW w:w="4738" w:type="dxa"/>
          </w:tcPr>
          <w:p w14:paraId="78BF9BB3" w14:textId="2316F006" w:rsidR="00DE1FA6" w:rsidRPr="004268B2" w:rsidRDefault="008B43E1" w:rsidP="00216FB9">
            <w:pPr>
              <w:rPr>
                <w:rFonts w:ascii="Times New Roman" w:hAnsi="Times New Roman" w:cs="Times New Roman"/>
              </w:rPr>
            </w:pPr>
            <w:r w:rsidRPr="004268B2">
              <w:rPr>
                <w:rFonts w:ascii="Times New Roman" w:hAnsi="Times New Roman" w:cs="Times New Roman"/>
              </w:rPr>
              <w:t xml:space="preserve">The Commission </w:t>
            </w:r>
            <w:r w:rsidR="00216FB9">
              <w:rPr>
                <w:rFonts w:ascii="Times New Roman" w:hAnsi="Times New Roman" w:cs="Times New Roman"/>
              </w:rPr>
              <w:t>agrees with PSE’s comment</w:t>
            </w:r>
            <w:r w:rsidR="002B7C3C">
              <w:rPr>
                <w:rFonts w:ascii="Times New Roman" w:hAnsi="Times New Roman" w:cs="Times New Roman"/>
              </w:rPr>
              <w:t xml:space="preserve"> </w:t>
            </w:r>
            <w:r w:rsidR="00216FB9">
              <w:rPr>
                <w:rFonts w:ascii="Times New Roman" w:hAnsi="Times New Roman" w:cs="Times New Roman"/>
              </w:rPr>
              <w:t>but implements it by</w:t>
            </w:r>
            <w:r w:rsidRPr="004268B2">
              <w:rPr>
                <w:rFonts w:ascii="Times New Roman" w:hAnsi="Times New Roman" w:cs="Times New Roman"/>
              </w:rPr>
              <w:t xml:space="preserve"> </w:t>
            </w:r>
            <w:r w:rsidR="00216FB9" w:rsidRPr="004268B2">
              <w:rPr>
                <w:rFonts w:ascii="Times New Roman" w:hAnsi="Times New Roman" w:cs="Times New Roman"/>
              </w:rPr>
              <w:t>adopt</w:t>
            </w:r>
            <w:r w:rsidR="00216FB9">
              <w:rPr>
                <w:rFonts w:ascii="Times New Roman" w:hAnsi="Times New Roman" w:cs="Times New Roman"/>
              </w:rPr>
              <w:t>ing</w:t>
            </w:r>
            <w:r w:rsidR="00216FB9" w:rsidRPr="004268B2">
              <w:rPr>
                <w:rFonts w:ascii="Times New Roman" w:hAnsi="Times New Roman" w:cs="Times New Roman"/>
              </w:rPr>
              <w:t xml:space="preserve"> </w:t>
            </w:r>
            <w:r w:rsidRPr="004268B2">
              <w:rPr>
                <w:rFonts w:ascii="Times New Roman" w:hAnsi="Times New Roman" w:cs="Times New Roman"/>
              </w:rPr>
              <w:t>the Sixth Northwest Conservation and Electric Power Plan by reference in WAC 480-109-999.</w:t>
            </w:r>
          </w:p>
        </w:tc>
      </w:tr>
      <w:tr w:rsidR="003666FD" w:rsidRPr="004268B2" w14:paraId="55C77956" w14:textId="77777777" w:rsidTr="00401F45">
        <w:trPr>
          <w:jc w:val="center"/>
        </w:trPr>
        <w:tc>
          <w:tcPr>
            <w:tcW w:w="1802" w:type="dxa"/>
          </w:tcPr>
          <w:p w14:paraId="6389C290" w14:textId="77777777" w:rsidR="00FE153A" w:rsidRPr="004268B2" w:rsidRDefault="00FE153A" w:rsidP="00FE153A">
            <w:pPr>
              <w:rPr>
                <w:rFonts w:ascii="Times New Roman" w:hAnsi="Times New Roman" w:cs="Times New Roman"/>
                <w:b/>
              </w:rPr>
            </w:pPr>
            <w:r w:rsidRPr="004268B2">
              <w:rPr>
                <w:rFonts w:ascii="Times New Roman" w:hAnsi="Times New Roman" w:cs="Times New Roman"/>
                <w:b/>
              </w:rPr>
              <w:t xml:space="preserve">Conservation potential </w:t>
            </w:r>
          </w:p>
          <w:p w14:paraId="295EC46A" w14:textId="338A2A1F" w:rsidR="00FE153A" w:rsidRPr="004268B2" w:rsidRDefault="00FE153A" w:rsidP="00FE153A">
            <w:pPr>
              <w:rPr>
                <w:rFonts w:ascii="Times New Roman" w:hAnsi="Times New Roman" w:cs="Times New Roman"/>
                <w:b/>
              </w:rPr>
            </w:pPr>
            <w:r w:rsidRPr="004268B2">
              <w:rPr>
                <w:rFonts w:ascii="Times New Roman" w:hAnsi="Times New Roman" w:cs="Times New Roman"/>
              </w:rPr>
              <w:t>WAC 480-109-100(2)(c)</w:t>
            </w:r>
          </w:p>
        </w:tc>
        <w:tc>
          <w:tcPr>
            <w:tcW w:w="1373" w:type="dxa"/>
          </w:tcPr>
          <w:p w14:paraId="33A1E017" w14:textId="036C0C2B" w:rsidR="00FE153A" w:rsidRPr="004268B2" w:rsidRDefault="00FE153A" w:rsidP="00DE1FA6">
            <w:pPr>
              <w:rPr>
                <w:rFonts w:ascii="Times New Roman" w:hAnsi="Times New Roman" w:cs="Times New Roman"/>
              </w:rPr>
            </w:pPr>
            <w:r w:rsidRPr="004268B2">
              <w:rPr>
                <w:rFonts w:ascii="Times New Roman" w:hAnsi="Times New Roman" w:cs="Times New Roman"/>
              </w:rPr>
              <w:t>PSE and Pacific Power</w:t>
            </w:r>
          </w:p>
        </w:tc>
        <w:tc>
          <w:tcPr>
            <w:tcW w:w="5150" w:type="dxa"/>
          </w:tcPr>
          <w:p w14:paraId="69A30F41" w14:textId="567EC479" w:rsidR="00FE153A" w:rsidRPr="004268B2" w:rsidRDefault="00FE153A" w:rsidP="00FE153A">
            <w:pPr>
              <w:pStyle w:val="ListParagraph"/>
              <w:numPr>
                <w:ilvl w:val="0"/>
                <w:numId w:val="19"/>
              </w:numPr>
              <w:rPr>
                <w:rFonts w:ascii="Times New Roman" w:hAnsi="Times New Roman" w:cs="Times New Roman"/>
              </w:rPr>
            </w:pPr>
            <w:r w:rsidRPr="004268B2">
              <w:rPr>
                <w:rFonts w:ascii="Times New Roman" w:hAnsi="Times New Roman" w:cs="Times New Roman"/>
              </w:rPr>
              <w:t xml:space="preserve">Remove “its unit energy savings value, and the source of that value.”  UES values are documented in individual measure workbooks and are available when requested.  Providing this information in the report will result in addition of hundreds of pages.  UES values may not transfer easily from the CPA to program savings values because program savings </w:t>
            </w:r>
            <w:r w:rsidRPr="004268B2">
              <w:rPr>
                <w:rFonts w:ascii="Times New Roman" w:hAnsi="Times New Roman" w:cs="Times New Roman"/>
              </w:rPr>
              <w:lastRenderedPageBreak/>
              <w:t>are impacted by program delivery mechanisms. (PSE)</w:t>
            </w:r>
          </w:p>
          <w:p w14:paraId="641E9411" w14:textId="04EFC602" w:rsidR="00FE153A" w:rsidRPr="004268B2" w:rsidRDefault="00FE153A" w:rsidP="00FE153A">
            <w:pPr>
              <w:pStyle w:val="ListParagraph"/>
              <w:numPr>
                <w:ilvl w:val="0"/>
                <w:numId w:val="19"/>
              </w:numPr>
              <w:rPr>
                <w:rFonts w:ascii="Times New Roman" w:hAnsi="Times New Roman" w:cs="Times New Roman"/>
              </w:rPr>
            </w:pPr>
            <w:r w:rsidRPr="004268B2">
              <w:rPr>
                <w:rFonts w:ascii="Times New Roman" w:hAnsi="Times New Roman" w:cs="Times New Roman"/>
              </w:rPr>
              <w:t xml:space="preserve">Revise: “the projection must include a list of each measure </w:t>
            </w:r>
            <w:r w:rsidRPr="004268B2">
              <w:rPr>
                <w:rFonts w:ascii="Times New Roman" w:hAnsi="Times New Roman" w:cs="Times New Roman"/>
                <w:u w:val="single"/>
              </w:rPr>
              <w:t>category</w:t>
            </w:r>
            <w:r w:rsidRPr="004268B2">
              <w:rPr>
                <w:rFonts w:ascii="Times New Roman" w:hAnsi="Times New Roman" w:cs="Times New Roman"/>
              </w:rPr>
              <w:t xml:space="preserve"> used in the potential, </w:t>
            </w:r>
            <w:r w:rsidRPr="004268B2">
              <w:rPr>
                <w:rFonts w:ascii="Times New Roman" w:hAnsi="Times New Roman" w:cs="Times New Roman"/>
                <w:strike/>
              </w:rPr>
              <w:t>its unit energy savings value</w:t>
            </w:r>
            <w:r w:rsidRPr="004268B2">
              <w:rPr>
                <w:rFonts w:ascii="Times New Roman" w:hAnsi="Times New Roman" w:cs="Times New Roman"/>
              </w:rPr>
              <w:t>, and the source of that value.” (P</w:t>
            </w:r>
            <w:r w:rsidR="0083760F" w:rsidRPr="004268B2">
              <w:rPr>
                <w:rFonts w:ascii="Times New Roman" w:hAnsi="Times New Roman" w:cs="Times New Roman"/>
              </w:rPr>
              <w:t>acific Power</w:t>
            </w:r>
            <w:r w:rsidRPr="004268B2">
              <w:rPr>
                <w:rFonts w:ascii="Times New Roman" w:hAnsi="Times New Roman" w:cs="Times New Roman"/>
              </w:rPr>
              <w:t>)</w:t>
            </w:r>
          </w:p>
        </w:tc>
        <w:tc>
          <w:tcPr>
            <w:tcW w:w="4738" w:type="dxa"/>
          </w:tcPr>
          <w:p w14:paraId="0423357C" w14:textId="360CC466" w:rsidR="00FE153A" w:rsidRPr="004268B2" w:rsidRDefault="005A7171" w:rsidP="00D23AFE">
            <w:pPr>
              <w:rPr>
                <w:rFonts w:ascii="Times New Roman" w:hAnsi="Times New Roman" w:cs="Times New Roman"/>
              </w:rPr>
            </w:pPr>
            <w:r w:rsidRPr="004268B2">
              <w:rPr>
                <w:rFonts w:ascii="Times New Roman" w:hAnsi="Times New Roman" w:cs="Times New Roman"/>
              </w:rPr>
              <w:lastRenderedPageBreak/>
              <w:t xml:space="preserve">The Commission </w:t>
            </w:r>
            <w:r w:rsidR="00AD2CE6" w:rsidRPr="004268B2">
              <w:rPr>
                <w:rFonts w:ascii="Times New Roman" w:hAnsi="Times New Roman" w:cs="Times New Roman"/>
              </w:rPr>
              <w:t>declines to adopt</w:t>
            </w:r>
            <w:r w:rsidRPr="004268B2">
              <w:rPr>
                <w:rFonts w:ascii="Times New Roman" w:hAnsi="Times New Roman" w:cs="Times New Roman"/>
              </w:rPr>
              <w:t xml:space="preserve"> th</w:t>
            </w:r>
            <w:r w:rsidR="00AD2CE6" w:rsidRPr="004268B2">
              <w:rPr>
                <w:rFonts w:ascii="Times New Roman" w:hAnsi="Times New Roman" w:cs="Times New Roman"/>
              </w:rPr>
              <w:t>ese</w:t>
            </w:r>
            <w:r w:rsidRPr="004268B2">
              <w:rPr>
                <w:rFonts w:ascii="Times New Roman" w:hAnsi="Times New Roman" w:cs="Times New Roman"/>
              </w:rPr>
              <w:t xml:space="preserve"> </w:t>
            </w:r>
            <w:r w:rsidR="00AD2CE6" w:rsidRPr="004268B2">
              <w:rPr>
                <w:rFonts w:ascii="Times New Roman" w:hAnsi="Times New Roman" w:cs="Times New Roman"/>
              </w:rPr>
              <w:t>revis</w:t>
            </w:r>
            <w:r w:rsidRPr="004268B2">
              <w:rPr>
                <w:rFonts w:ascii="Times New Roman" w:hAnsi="Times New Roman" w:cs="Times New Roman"/>
              </w:rPr>
              <w:t>ion</w:t>
            </w:r>
            <w:r w:rsidR="00AD2CE6" w:rsidRPr="004268B2">
              <w:rPr>
                <w:rFonts w:ascii="Times New Roman" w:hAnsi="Times New Roman" w:cs="Times New Roman"/>
              </w:rPr>
              <w:t>s</w:t>
            </w:r>
            <w:r w:rsidRPr="004268B2">
              <w:rPr>
                <w:rFonts w:ascii="Times New Roman" w:hAnsi="Times New Roman" w:cs="Times New Roman"/>
              </w:rPr>
              <w:t>.  It</w:t>
            </w:r>
            <w:r w:rsidR="00FE153A" w:rsidRPr="004268B2">
              <w:rPr>
                <w:rFonts w:ascii="Times New Roman" w:hAnsi="Times New Roman" w:cs="Times New Roman"/>
              </w:rPr>
              <w:t xml:space="preserve"> is necessary </w:t>
            </w:r>
            <w:r w:rsidR="005B739F" w:rsidRPr="004268B2">
              <w:rPr>
                <w:rFonts w:ascii="Times New Roman" w:hAnsi="Times New Roman" w:cs="Times New Roman"/>
              </w:rPr>
              <w:t xml:space="preserve">for utilities </w:t>
            </w:r>
            <w:r w:rsidR="00FE153A" w:rsidRPr="004268B2">
              <w:rPr>
                <w:rFonts w:ascii="Times New Roman" w:hAnsi="Times New Roman" w:cs="Times New Roman"/>
              </w:rPr>
              <w:t xml:space="preserve">to file </w:t>
            </w:r>
            <w:r w:rsidR="005B739F" w:rsidRPr="004268B2">
              <w:rPr>
                <w:rFonts w:ascii="Times New Roman" w:hAnsi="Times New Roman" w:cs="Times New Roman"/>
              </w:rPr>
              <w:t>a</w:t>
            </w:r>
            <w:r w:rsidR="00FE153A" w:rsidRPr="004268B2">
              <w:rPr>
                <w:rFonts w:ascii="Times New Roman" w:hAnsi="Times New Roman" w:cs="Times New Roman"/>
              </w:rPr>
              <w:t xml:space="preserve"> list of </w:t>
            </w:r>
            <w:r w:rsidR="00AD2CE6" w:rsidRPr="004268B2">
              <w:rPr>
                <w:rFonts w:ascii="Times New Roman" w:hAnsi="Times New Roman" w:cs="Times New Roman"/>
              </w:rPr>
              <w:t xml:space="preserve">all </w:t>
            </w:r>
            <w:r w:rsidR="00FE153A" w:rsidRPr="004268B2">
              <w:rPr>
                <w:rFonts w:ascii="Times New Roman" w:hAnsi="Times New Roman" w:cs="Times New Roman"/>
              </w:rPr>
              <w:t xml:space="preserve">unit energy savings with </w:t>
            </w:r>
            <w:r w:rsidR="005B739F" w:rsidRPr="004268B2">
              <w:rPr>
                <w:rFonts w:ascii="Times New Roman" w:hAnsi="Times New Roman" w:cs="Times New Roman"/>
              </w:rPr>
              <w:t xml:space="preserve">their </w:t>
            </w:r>
            <w:r w:rsidR="00D23AFE">
              <w:rPr>
                <w:rFonts w:ascii="Times New Roman" w:hAnsi="Times New Roman" w:cs="Times New Roman"/>
              </w:rPr>
              <w:t xml:space="preserve">ten-year </w:t>
            </w:r>
            <w:r w:rsidR="00FE153A" w:rsidRPr="004268B2">
              <w:rPr>
                <w:rFonts w:ascii="Times New Roman" w:hAnsi="Times New Roman" w:cs="Times New Roman"/>
              </w:rPr>
              <w:t xml:space="preserve">conservation potential for stakeholders to </w:t>
            </w:r>
            <w:r w:rsidR="00DF13BF" w:rsidRPr="004268B2">
              <w:rPr>
                <w:rFonts w:ascii="Times New Roman" w:hAnsi="Times New Roman" w:cs="Times New Roman"/>
              </w:rPr>
              <w:t xml:space="preserve">conduct a thorough </w:t>
            </w:r>
            <w:r w:rsidR="00FE153A" w:rsidRPr="004268B2">
              <w:rPr>
                <w:rFonts w:ascii="Times New Roman" w:hAnsi="Times New Roman" w:cs="Times New Roman"/>
              </w:rPr>
              <w:t xml:space="preserve">review </w:t>
            </w:r>
            <w:r w:rsidR="00CE02AB">
              <w:rPr>
                <w:rFonts w:ascii="Times New Roman" w:hAnsi="Times New Roman" w:cs="Times New Roman"/>
              </w:rPr>
              <w:t xml:space="preserve">of </w:t>
            </w:r>
            <w:r w:rsidRPr="004268B2">
              <w:rPr>
                <w:rFonts w:ascii="Times New Roman" w:hAnsi="Times New Roman" w:cs="Times New Roman"/>
              </w:rPr>
              <w:t xml:space="preserve">this information </w:t>
            </w:r>
            <w:r w:rsidR="00FE153A" w:rsidRPr="004268B2">
              <w:rPr>
                <w:rFonts w:ascii="Times New Roman" w:hAnsi="Times New Roman" w:cs="Times New Roman"/>
              </w:rPr>
              <w:t>during the biennial cons</w:t>
            </w:r>
            <w:r w:rsidRPr="004268B2">
              <w:rPr>
                <w:rFonts w:ascii="Times New Roman" w:hAnsi="Times New Roman" w:cs="Times New Roman"/>
              </w:rPr>
              <w:t>ervation target setting process</w:t>
            </w:r>
            <w:r w:rsidR="005B739F" w:rsidRPr="004268B2">
              <w:rPr>
                <w:rFonts w:ascii="Times New Roman" w:hAnsi="Times New Roman" w:cs="Times New Roman"/>
              </w:rPr>
              <w:t>.</w:t>
            </w:r>
            <w:r w:rsidRPr="004268B2">
              <w:rPr>
                <w:rFonts w:ascii="Times New Roman" w:hAnsi="Times New Roman" w:cs="Times New Roman"/>
              </w:rPr>
              <w:t xml:space="preserve">  </w:t>
            </w:r>
          </w:p>
        </w:tc>
      </w:tr>
      <w:tr w:rsidR="003666FD" w:rsidRPr="004268B2" w14:paraId="78BF9BBA" w14:textId="77777777" w:rsidTr="00401F45">
        <w:trPr>
          <w:jc w:val="center"/>
        </w:trPr>
        <w:tc>
          <w:tcPr>
            <w:tcW w:w="1802" w:type="dxa"/>
          </w:tcPr>
          <w:p w14:paraId="78BF9BB5" w14:textId="23B2A691" w:rsidR="005B739F" w:rsidRPr="004268B2" w:rsidRDefault="005B739F" w:rsidP="005B739F">
            <w:pPr>
              <w:rPr>
                <w:rFonts w:ascii="Times New Roman" w:hAnsi="Times New Roman" w:cs="Times New Roman"/>
                <w:b/>
              </w:rPr>
            </w:pPr>
            <w:r w:rsidRPr="004268B2">
              <w:rPr>
                <w:rFonts w:ascii="Times New Roman" w:hAnsi="Times New Roman" w:cs="Times New Roman"/>
                <w:b/>
              </w:rPr>
              <w:lastRenderedPageBreak/>
              <w:t>Biennial conservation target</w:t>
            </w:r>
          </w:p>
          <w:p w14:paraId="78BF9BB6" w14:textId="77777777" w:rsidR="005B739F" w:rsidRPr="004268B2" w:rsidRDefault="005B739F" w:rsidP="005B739F">
            <w:pPr>
              <w:rPr>
                <w:rFonts w:ascii="Times New Roman" w:hAnsi="Times New Roman" w:cs="Times New Roman"/>
              </w:rPr>
            </w:pPr>
            <w:r w:rsidRPr="004268B2">
              <w:rPr>
                <w:rFonts w:ascii="Times New Roman" w:hAnsi="Times New Roman" w:cs="Times New Roman"/>
              </w:rPr>
              <w:t>WAC 480-109-100(3)</w:t>
            </w:r>
          </w:p>
        </w:tc>
        <w:tc>
          <w:tcPr>
            <w:tcW w:w="1373" w:type="dxa"/>
          </w:tcPr>
          <w:p w14:paraId="78BF9BB7" w14:textId="77777777" w:rsidR="005B739F" w:rsidRPr="004268B2" w:rsidRDefault="005B739F" w:rsidP="005B739F">
            <w:pPr>
              <w:rPr>
                <w:rFonts w:ascii="Times New Roman" w:hAnsi="Times New Roman" w:cs="Times New Roman"/>
              </w:rPr>
            </w:pPr>
            <w:r w:rsidRPr="004268B2">
              <w:rPr>
                <w:rFonts w:ascii="Times New Roman" w:hAnsi="Times New Roman" w:cs="Times New Roman"/>
              </w:rPr>
              <w:t>NWEC</w:t>
            </w:r>
          </w:p>
        </w:tc>
        <w:tc>
          <w:tcPr>
            <w:tcW w:w="5150" w:type="dxa"/>
          </w:tcPr>
          <w:p w14:paraId="78BF9BB8" w14:textId="77777777" w:rsidR="005B739F" w:rsidRPr="004268B2" w:rsidRDefault="005B739F" w:rsidP="005B739F">
            <w:pPr>
              <w:rPr>
                <w:rFonts w:ascii="Times New Roman" w:hAnsi="Times New Roman" w:cs="Times New Roman"/>
              </w:rPr>
            </w:pPr>
            <w:r w:rsidRPr="004268B2">
              <w:rPr>
                <w:rFonts w:ascii="Times New Roman" w:hAnsi="Times New Roman" w:cs="Times New Roman"/>
              </w:rPr>
              <w:t xml:space="preserve">(a) &amp; (b) should reference </w:t>
            </w:r>
            <w:r w:rsidRPr="004268B2">
              <w:rPr>
                <w:rFonts w:ascii="Times New Roman" w:hAnsi="Times New Roman" w:cs="Times New Roman"/>
                <w:u w:val="single"/>
              </w:rPr>
              <w:t>cost-effective</w:t>
            </w:r>
            <w:r w:rsidRPr="004268B2">
              <w:rPr>
                <w:rFonts w:ascii="Times New Roman" w:hAnsi="Times New Roman" w:cs="Times New Roman"/>
              </w:rPr>
              <w:t xml:space="preserve"> conservation.</w:t>
            </w:r>
          </w:p>
        </w:tc>
        <w:tc>
          <w:tcPr>
            <w:tcW w:w="4738" w:type="dxa"/>
          </w:tcPr>
          <w:p w14:paraId="78BF9BB9" w14:textId="22D7589F" w:rsidR="005B739F" w:rsidRPr="004268B2" w:rsidRDefault="00AD2CE6" w:rsidP="00D23AFE">
            <w:pPr>
              <w:rPr>
                <w:rFonts w:ascii="Times New Roman" w:hAnsi="Times New Roman" w:cs="Times New Roman"/>
              </w:rPr>
            </w:pPr>
            <w:r w:rsidRPr="00642E2D">
              <w:rPr>
                <w:rFonts w:ascii="Times New Roman" w:hAnsi="Times New Roman" w:cs="Times New Roman"/>
              </w:rPr>
              <w:t>As discussed in the adoption order</w:t>
            </w:r>
            <w:r w:rsidRPr="004268B2">
              <w:rPr>
                <w:rFonts w:ascii="Times New Roman" w:hAnsi="Times New Roman" w:cs="Times New Roman"/>
              </w:rPr>
              <w:t>, t</w:t>
            </w:r>
            <w:r w:rsidR="005A7171" w:rsidRPr="004268B2">
              <w:rPr>
                <w:rFonts w:ascii="Times New Roman" w:hAnsi="Times New Roman" w:cs="Times New Roman"/>
              </w:rPr>
              <w:t>he Commission has revised this section to refer to “available conservation that is cost-effective, reliable, and feasible.”</w:t>
            </w:r>
          </w:p>
        </w:tc>
      </w:tr>
      <w:tr w:rsidR="003666FD" w:rsidRPr="004268B2" w14:paraId="78BF9BC4" w14:textId="77777777" w:rsidTr="00401F45">
        <w:trPr>
          <w:jc w:val="center"/>
        </w:trPr>
        <w:tc>
          <w:tcPr>
            <w:tcW w:w="1802" w:type="dxa"/>
          </w:tcPr>
          <w:p w14:paraId="78BF9BBB" w14:textId="77777777" w:rsidR="005B739F" w:rsidRPr="004268B2" w:rsidRDefault="005B739F" w:rsidP="005B739F">
            <w:pPr>
              <w:rPr>
                <w:rFonts w:ascii="Times New Roman" w:hAnsi="Times New Roman" w:cs="Times New Roman"/>
                <w:b/>
              </w:rPr>
            </w:pPr>
            <w:r w:rsidRPr="004268B2">
              <w:rPr>
                <w:rFonts w:ascii="Times New Roman" w:hAnsi="Times New Roman" w:cs="Times New Roman"/>
                <w:b/>
              </w:rPr>
              <w:t>Excess Conservation</w:t>
            </w:r>
          </w:p>
          <w:p w14:paraId="78BF9BBC" w14:textId="77777777" w:rsidR="005B739F" w:rsidRPr="004268B2" w:rsidRDefault="005B739F" w:rsidP="005B739F">
            <w:pPr>
              <w:rPr>
                <w:rFonts w:ascii="Times New Roman" w:hAnsi="Times New Roman" w:cs="Times New Roman"/>
              </w:rPr>
            </w:pPr>
            <w:r w:rsidRPr="004268B2">
              <w:rPr>
                <w:rFonts w:ascii="Times New Roman" w:hAnsi="Times New Roman" w:cs="Times New Roman"/>
              </w:rPr>
              <w:t>WAC 480-109-100(3)(c)</w:t>
            </w:r>
          </w:p>
        </w:tc>
        <w:tc>
          <w:tcPr>
            <w:tcW w:w="1373" w:type="dxa"/>
          </w:tcPr>
          <w:p w14:paraId="78BF9BBD" w14:textId="77777777" w:rsidR="005B739F" w:rsidRPr="004268B2" w:rsidRDefault="005B739F" w:rsidP="005B739F">
            <w:pPr>
              <w:rPr>
                <w:rFonts w:ascii="Times New Roman" w:hAnsi="Times New Roman" w:cs="Times New Roman"/>
              </w:rPr>
            </w:pPr>
            <w:r w:rsidRPr="004268B2">
              <w:rPr>
                <w:rFonts w:ascii="Times New Roman" w:hAnsi="Times New Roman" w:cs="Times New Roman"/>
              </w:rPr>
              <w:t>PSE</w:t>
            </w:r>
          </w:p>
          <w:p w14:paraId="14C6466B" w14:textId="77777777" w:rsidR="005B739F" w:rsidRPr="004268B2" w:rsidRDefault="005B739F" w:rsidP="005B739F">
            <w:pPr>
              <w:rPr>
                <w:rFonts w:ascii="Times New Roman" w:hAnsi="Times New Roman" w:cs="Times New Roman"/>
              </w:rPr>
            </w:pPr>
          </w:p>
          <w:p w14:paraId="78BF9BBE" w14:textId="77777777" w:rsidR="005B739F" w:rsidRPr="004268B2" w:rsidRDefault="005B739F" w:rsidP="005B739F">
            <w:pPr>
              <w:rPr>
                <w:rFonts w:ascii="Times New Roman" w:hAnsi="Times New Roman" w:cs="Times New Roman"/>
              </w:rPr>
            </w:pPr>
            <w:r w:rsidRPr="004268B2">
              <w:rPr>
                <w:rFonts w:ascii="Times New Roman" w:hAnsi="Times New Roman" w:cs="Times New Roman"/>
              </w:rPr>
              <w:t>NWEC</w:t>
            </w:r>
          </w:p>
        </w:tc>
        <w:tc>
          <w:tcPr>
            <w:tcW w:w="5150" w:type="dxa"/>
          </w:tcPr>
          <w:p w14:paraId="78BF9BBF" w14:textId="77777777" w:rsidR="005B739F" w:rsidRPr="004268B2" w:rsidRDefault="005B739F" w:rsidP="005B739F">
            <w:pPr>
              <w:pStyle w:val="ListParagraph"/>
              <w:numPr>
                <w:ilvl w:val="0"/>
                <w:numId w:val="7"/>
              </w:numPr>
              <w:rPr>
                <w:rFonts w:ascii="Times New Roman" w:hAnsi="Times New Roman" w:cs="Times New Roman"/>
              </w:rPr>
            </w:pPr>
            <w:r w:rsidRPr="004268B2">
              <w:rPr>
                <w:rFonts w:ascii="Times New Roman" w:hAnsi="Times New Roman" w:cs="Times New Roman"/>
              </w:rPr>
              <w:t>(c): The proposed language is inconsistent with the RCW.  Use the language in RCW 19.285.040(1)(c)(i). (PSE)</w:t>
            </w:r>
          </w:p>
          <w:p w14:paraId="78BF9BC0" w14:textId="77777777" w:rsidR="005B739F" w:rsidRPr="004268B2" w:rsidRDefault="005B739F" w:rsidP="005B739F">
            <w:pPr>
              <w:pStyle w:val="ListParagraph"/>
              <w:numPr>
                <w:ilvl w:val="0"/>
                <w:numId w:val="7"/>
              </w:numPr>
              <w:rPr>
                <w:rFonts w:ascii="Times New Roman" w:hAnsi="Times New Roman" w:cs="Times New Roman"/>
              </w:rPr>
            </w:pPr>
            <w:r w:rsidRPr="004268B2">
              <w:rPr>
                <w:rFonts w:ascii="Times New Roman" w:hAnsi="Times New Roman" w:cs="Times New Roman"/>
              </w:rPr>
              <w:t>(c) should say “biennia” instead of “biennium.” (NWEC)</w:t>
            </w:r>
          </w:p>
          <w:p w14:paraId="78BF9BC1" w14:textId="77777777" w:rsidR="005B739F" w:rsidRPr="004268B2" w:rsidRDefault="005B739F" w:rsidP="005B739F">
            <w:pPr>
              <w:pStyle w:val="ListParagraph"/>
              <w:numPr>
                <w:ilvl w:val="0"/>
                <w:numId w:val="7"/>
              </w:numPr>
              <w:rPr>
                <w:rFonts w:ascii="Times New Roman" w:hAnsi="Times New Roman" w:cs="Times New Roman"/>
              </w:rPr>
            </w:pPr>
            <w:r w:rsidRPr="004268B2">
              <w:rPr>
                <w:rFonts w:ascii="Times New Roman" w:hAnsi="Times New Roman" w:cs="Times New Roman"/>
              </w:rPr>
              <w:t>This language provides appropriate guidance as to the use of excess conservation.  We believe that the legislative intent was for excess conservation to be used to mitigate a shortfall in future biennial periods. (NWEC)</w:t>
            </w:r>
          </w:p>
          <w:p w14:paraId="78BF9BC2" w14:textId="77777777" w:rsidR="005B739F" w:rsidRPr="004268B2" w:rsidRDefault="005B739F" w:rsidP="005B739F">
            <w:pPr>
              <w:pStyle w:val="ListParagraph"/>
              <w:numPr>
                <w:ilvl w:val="0"/>
                <w:numId w:val="7"/>
              </w:numPr>
              <w:rPr>
                <w:rFonts w:ascii="Times New Roman" w:hAnsi="Times New Roman" w:cs="Times New Roman"/>
              </w:rPr>
            </w:pPr>
            <w:r w:rsidRPr="004268B2">
              <w:rPr>
                <w:rFonts w:ascii="Times New Roman" w:hAnsi="Times New Roman" w:cs="Times New Roman"/>
              </w:rPr>
              <w:t>(i) &amp; (ii) should be written the same.  (i) “each of the subsequent two” vs. (ii) “each of the immediate two subsequent….” (NWEC)</w:t>
            </w:r>
          </w:p>
        </w:tc>
        <w:tc>
          <w:tcPr>
            <w:tcW w:w="4738" w:type="dxa"/>
          </w:tcPr>
          <w:p w14:paraId="78BF9BC3" w14:textId="51AFDD74" w:rsidR="005B739F" w:rsidRPr="004268B2" w:rsidRDefault="005A7171" w:rsidP="00AD2CE6">
            <w:pPr>
              <w:rPr>
                <w:rFonts w:ascii="Times New Roman" w:hAnsi="Times New Roman" w:cs="Times New Roman"/>
              </w:rPr>
            </w:pPr>
            <w:r w:rsidRPr="004268B2">
              <w:rPr>
                <w:rFonts w:ascii="Times New Roman" w:hAnsi="Times New Roman" w:cs="Times New Roman"/>
              </w:rPr>
              <w:t xml:space="preserve">The Commission rejects PSE’s </w:t>
            </w:r>
            <w:r w:rsidR="00AD2CE6" w:rsidRPr="004268B2">
              <w:rPr>
                <w:rFonts w:ascii="Times New Roman" w:hAnsi="Times New Roman" w:cs="Times New Roman"/>
              </w:rPr>
              <w:t>argument</w:t>
            </w:r>
            <w:r w:rsidRPr="004268B2">
              <w:rPr>
                <w:rFonts w:ascii="Times New Roman" w:hAnsi="Times New Roman" w:cs="Times New Roman"/>
              </w:rPr>
              <w:t xml:space="preserve"> that the</w:t>
            </w:r>
            <w:r w:rsidR="005B739F" w:rsidRPr="004268B2">
              <w:rPr>
                <w:rFonts w:ascii="Times New Roman" w:hAnsi="Times New Roman" w:cs="Times New Roman"/>
              </w:rPr>
              <w:t xml:space="preserve"> proposed language is inconsistent with the statute.  The proposed language allows for excess conservation to be used toward meeting targets, but specifies that it may not be used to adjust </w:t>
            </w:r>
            <w:r w:rsidR="00AD2CE6" w:rsidRPr="004268B2">
              <w:rPr>
                <w:rFonts w:ascii="Times New Roman" w:hAnsi="Times New Roman" w:cs="Times New Roman"/>
              </w:rPr>
              <w:t xml:space="preserve">conservation </w:t>
            </w:r>
            <w:r w:rsidR="005B739F" w:rsidRPr="004268B2">
              <w:rPr>
                <w:rFonts w:ascii="Times New Roman" w:hAnsi="Times New Roman" w:cs="Times New Roman"/>
              </w:rPr>
              <w:t xml:space="preserve">potential or targets.  </w:t>
            </w:r>
            <w:r w:rsidRPr="004268B2">
              <w:rPr>
                <w:rFonts w:ascii="Times New Roman" w:hAnsi="Times New Roman" w:cs="Times New Roman"/>
              </w:rPr>
              <w:t>Th</w:t>
            </w:r>
            <w:r w:rsidR="00E80BB0" w:rsidRPr="004268B2">
              <w:rPr>
                <w:rFonts w:ascii="Times New Roman" w:hAnsi="Times New Roman" w:cs="Times New Roman"/>
              </w:rPr>
              <w:t xml:space="preserve">is language </w:t>
            </w:r>
            <w:r w:rsidR="005B739F" w:rsidRPr="004268B2">
              <w:rPr>
                <w:rFonts w:ascii="Times New Roman" w:hAnsi="Times New Roman" w:cs="Times New Roman"/>
              </w:rPr>
              <w:t>is consistent with the intent of the statute.</w:t>
            </w:r>
            <w:r w:rsidR="00AD2CE6" w:rsidRPr="004268B2">
              <w:rPr>
                <w:rFonts w:ascii="Times New Roman" w:hAnsi="Times New Roman" w:cs="Times New Roman"/>
              </w:rPr>
              <w:t xml:space="preserve">  </w:t>
            </w:r>
            <w:r w:rsidRPr="004268B2">
              <w:rPr>
                <w:rFonts w:ascii="Times New Roman" w:hAnsi="Times New Roman" w:cs="Times New Roman"/>
              </w:rPr>
              <w:t>The Commission adopts</w:t>
            </w:r>
            <w:r w:rsidR="00E80BB0" w:rsidRPr="004268B2">
              <w:rPr>
                <w:rFonts w:ascii="Times New Roman" w:hAnsi="Times New Roman" w:cs="Times New Roman"/>
              </w:rPr>
              <w:t xml:space="preserve"> </w:t>
            </w:r>
            <w:r w:rsidR="00AD2CE6" w:rsidRPr="004268B2">
              <w:rPr>
                <w:rFonts w:ascii="Times New Roman" w:hAnsi="Times New Roman" w:cs="Times New Roman"/>
              </w:rPr>
              <w:t xml:space="preserve">NWEC’s proposed </w:t>
            </w:r>
            <w:r w:rsidR="00E80BB0" w:rsidRPr="004268B2">
              <w:rPr>
                <w:rFonts w:ascii="Times New Roman" w:hAnsi="Times New Roman" w:cs="Times New Roman"/>
              </w:rPr>
              <w:t>changes to WAC 480-109-100(3)(c)(i) and (ii) to clarify that excess conservation may be used to meet up to twenty percent of each of the “immediately subsequent two biennial targets.”</w:t>
            </w:r>
          </w:p>
        </w:tc>
      </w:tr>
      <w:tr w:rsidR="003666FD" w:rsidRPr="004268B2" w14:paraId="78BF9BCA" w14:textId="77777777" w:rsidTr="00401F45">
        <w:trPr>
          <w:jc w:val="center"/>
        </w:trPr>
        <w:tc>
          <w:tcPr>
            <w:tcW w:w="1802" w:type="dxa"/>
          </w:tcPr>
          <w:p w14:paraId="78BF9BC5" w14:textId="77777777" w:rsidR="005B739F" w:rsidRPr="004268B2" w:rsidRDefault="005B739F" w:rsidP="005B739F">
            <w:pPr>
              <w:rPr>
                <w:rFonts w:ascii="Times New Roman" w:hAnsi="Times New Roman" w:cs="Times New Roman"/>
                <w:b/>
              </w:rPr>
            </w:pPr>
            <w:r w:rsidRPr="004268B2">
              <w:rPr>
                <w:rFonts w:ascii="Times New Roman" w:hAnsi="Times New Roman" w:cs="Times New Roman"/>
                <w:b/>
              </w:rPr>
              <w:t>Prudence</w:t>
            </w:r>
          </w:p>
          <w:p w14:paraId="78BF9BC6" w14:textId="77777777" w:rsidR="005B739F" w:rsidRPr="004268B2" w:rsidRDefault="005B739F" w:rsidP="005B739F">
            <w:pPr>
              <w:rPr>
                <w:rFonts w:ascii="Times New Roman" w:hAnsi="Times New Roman" w:cs="Times New Roman"/>
              </w:rPr>
            </w:pPr>
            <w:r w:rsidRPr="004268B2">
              <w:rPr>
                <w:rFonts w:ascii="Times New Roman" w:hAnsi="Times New Roman" w:cs="Times New Roman"/>
              </w:rPr>
              <w:t>WAC 480-109-100(4)</w:t>
            </w:r>
          </w:p>
        </w:tc>
        <w:tc>
          <w:tcPr>
            <w:tcW w:w="1373" w:type="dxa"/>
          </w:tcPr>
          <w:p w14:paraId="78BF9BC7" w14:textId="77777777" w:rsidR="005B739F" w:rsidRPr="004268B2" w:rsidRDefault="005B739F" w:rsidP="005B739F">
            <w:pPr>
              <w:rPr>
                <w:rFonts w:ascii="Times New Roman" w:hAnsi="Times New Roman" w:cs="Times New Roman"/>
              </w:rPr>
            </w:pPr>
            <w:r w:rsidRPr="004268B2">
              <w:rPr>
                <w:rFonts w:ascii="Times New Roman" w:hAnsi="Times New Roman" w:cs="Times New Roman"/>
              </w:rPr>
              <w:t>PSE</w:t>
            </w:r>
          </w:p>
        </w:tc>
        <w:tc>
          <w:tcPr>
            <w:tcW w:w="5150" w:type="dxa"/>
          </w:tcPr>
          <w:p w14:paraId="78BF9BC8" w14:textId="77777777" w:rsidR="005B739F" w:rsidRPr="004268B2" w:rsidRDefault="005B739F" w:rsidP="005B739F">
            <w:pPr>
              <w:rPr>
                <w:rFonts w:ascii="Times New Roman" w:hAnsi="Times New Roman" w:cs="Times New Roman"/>
              </w:rPr>
            </w:pPr>
            <w:r w:rsidRPr="004268B2">
              <w:rPr>
                <w:rFonts w:ascii="Times New Roman" w:hAnsi="Times New Roman" w:cs="Times New Roman"/>
              </w:rPr>
              <w:t>Replace with:  “A utility must demonstrate the prudence and cost-effectiveness of its conservation programs to the Commission after the savings are achieved.”  This is an inaccurate citation to RCW 19.285.050(2), which says: “an investor-owned utility is entitled to recover all prudently incurred costs associated with compliance with this chapter.”</w:t>
            </w:r>
          </w:p>
        </w:tc>
        <w:tc>
          <w:tcPr>
            <w:tcW w:w="4738" w:type="dxa"/>
          </w:tcPr>
          <w:p w14:paraId="78BF9BC9" w14:textId="3A6F7DE4" w:rsidR="005B739F" w:rsidRPr="004268B2" w:rsidRDefault="00E80BB0" w:rsidP="00C36EF8">
            <w:pPr>
              <w:rPr>
                <w:rFonts w:ascii="Times New Roman" w:hAnsi="Times New Roman" w:cs="Times New Roman"/>
              </w:rPr>
            </w:pPr>
            <w:r w:rsidRPr="004268B2">
              <w:rPr>
                <w:rFonts w:ascii="Times New Roman" w:hAnsi="Times New Roman" w:cs="Times New Roman"/>
              </w:rPr>
              <w:t>The Commission declines</w:t>
            </w:r>
            <w:r w:rsidR="00D24CA8" w:rsidRPr="004268B2">
              <w:rPr>
                <w:rFonts w:ascii="Times New Roman" w:hAnsi="Times New Roman" w:cs="Times New Roman"/>
              </w:rPr>
              <w:t xml:space="preserve"> to </w:t>
            </w:r>
            <w:r w:rsidRPr="004268B2">
              <w:rPr>
                <w:rFonts w:ascii="Times New Roman" w:hAnsi="Times New Roman" w:cs="Times New Roman"/>
              </w:rPr>
              <w:t xml:space="preserve">adopt </w:t>
            </w:r>
            <w:r w:rsidR="00C36EF8">
              <w:rPr>
                <w:rFonts w:ascii="Times New Roman" w:hAnsi="Times New Roman" w:cs="Times New Roman"/>
              </w:rPr>
              <w:t xml:space="preserve">PSE’s </w:t>
            </w:r>
            <w:r w:rsidR="00DF13BF" w:rsidRPr="004268B2">
              <w:rPr>
                <w:rFonts w:ascii="Times New Roman" w:hAnsi="Times New Roman" w:cs="Times New Roman"/>
              </w:rPr>
              <w:t xml:space="preserve">suggested </w:t>
            </w:r>
            <w:r w:rsidRPr="004268B2">
              <w:rPr>
                <w:rFonts w:ascii="Times New Roman" w:hAnsi="Times New Roman" w:cs="Times New Roman"/>
              </w:rPr>
              <w:t>language because it fails to account for the</w:t>
            </w:r>
            <w:r w:rsidR="00D24CA8" w:rsidRPr="004268B2">
              <w:rPr>
                <w:rFonts w:ascii="Times New Roman" w:hAnsi="Times New Roman" w:cs="Times New Roman"/>
              </w:rPr>
              <w:t xml:space="preserve"> ongoing review </w:t>
            </w:r>
            <w:r w:rsidRPr="004268B2">
              <w:rPr>
                <w:rFonts w:ascii="Times New Roman" w:hAnsi="Times New Roman" w:cs="Times New Roman"/>
              </w:rPr>
              <w:t xml:space="preserve">of conservation savings occurring in the </w:t>
            </w:r>
            <w:r w:rsidR="00D24CA8" w:rsidRPr="004268B2">
              <w:rPr>
                <w:rFonts w:ascii="Times New Roman" w:hAnsi="Times New Roman" w:cs="Times New Roman"/>
              </w:rPr>
              <w:t>advisory groups before, during</w:t>
            </w:r>
            <w:r w:rsidR="00AD2CE6" w:rsidRPr="004268B2">
              <w:rPr>
                <w:rFonts w:ascii="Times New Roman" w:hAnsi="Times New Roman" w:cs="Times New Roman"/>
              </w:rPr>
              <w:t>,</w:t>
            </w:r>
            <w:r w:rsidR="00D24CA8" w:rsidRPr="004268B2">
              <w:rPr>
                <w:rFonts w:ascii="Times New Roman" w:hAnsi="Times New Roman" w:cs="Times New Roman"/>
              </w:rPr>
              <w:t xml:space="preserve"> and subsequent to conservation achievement.  To address PSE’s concern, </w:t>
            </w:r>
            <w:r w:rsidRPr="004268B2">
              <w:rPr>
                <w:rFonts w:ascii="Times New Roman" w:hAnsi="Times New Roman" w:cs="Times New Roman"/>
              </w:rPr>
              <w:t xml:space="preserve">the Commission adopts changes to clarify that a utility retains the responsibility to demonstrate the prudence of all conservation expenditures, </w:t>
            </w:r>
            <w:r w:rsidR="00D24CA8" w:rsidRPr="004268B2">
              <w:rPr>
                <w:rFonts w:ascii="Times New Roman" w:hAnsi="Times New Roman" w:cs="Times New Roman"/>
              </w:rPr>
              <w:t>“consistent with RCW 19.285.050(2).”</w:t>
            </w:r>
          </w:p>
        </w:tc>
      </w:tr>
      <w:tr w:rsidR="003666FD" w:rsidRPr="004268B2" w14:paraId="78BF9BD7" w14:textId="77777777" w:rsidTr="00401F45">
        <w:trPr>
          <w:trHeight w:val="3509"/>
          <w:jc w:val="center"/>
        </w:trPr>
        <w:tc>
          <w:tcPr>
            <w:tcW w:w="1802" w:type="dxa"/>
          </w:tcPr>
          <w:p w14:paraId="78BF9BCB" w14:textId="77777777" w:rsidR="005B739F" w:rsidRPr="004268B2" w:rsidRDefault="005B739F" w:rsidP="005B739F">
            <w:pPr>
              <w:rPr>
                <w:rFonts w:ascii="Times New Roman" w:hAnsi="Times New Roman" w:cs="Times New Roman"/>
                <w:b/>
              </w:rPr>
            </w:pPr>
            <w:r w:rsidRPr="004268B2">
              <w:rPr>
                <w:rFonts w:ascii="Times New Roman" w:hAnsi="Times New Roman" w:cs="Times New Roman"/>
                <w:b/>
              </w:rPr>
              <w:lastRenderedPageBreak/>
              <w:t>Energy savings</w:t>
            </w:r>
          </w:p>
          <w:p w14:paraId="78BF9BCC" w14:textId="664CA0A3" w:rsidR="005B739F" w:rsidRPr="004268B2" w:rsidRDefault="005B739F" w:rsidP="005B739F">
            <w:pPr>
              <w:rPr>
                <w:rFonts w:ascii="Times New Roman" w:hAnsi="Times New Roman" w:cs="Times New Roman"/>
              </w:rPr>
            </w:pPr>
            <w:r w:rsidRPr="004268B2">
              <w:rPr>
                <w:rFonts w:ascii="Times New Roman" w:hAnsi="Times New Roman" w:cs="Times New Roman"/>
              </w:rPr>
              <w:t>WAC 480-109-100(5)</w:t>
            </w:r>
          </w:p>
          <w:p w14:paraId="78BF9BCD" w14:textId="34B73632" w:rsidR="005B739F" w:rsidRPr="004268B2" w:rsidRDefault="005B739F" w:rsidP="005B739F">
            <w:pPr>
              <w:rPr>
                <w:rFonts w:ascii="Times New Roman" w:hAnsi="Times New Roman" w:cs="Times New Roman"/>
              </w:rPr>
            </w:pPr>
            <w:r w:rsidRPr="004268B2">
              <w:rPr>
                <w:rFonts w:ascii="Times New Roman" w:hAnsi="Times New Roman" w:cs="Times New Roman"/>
              </w:rPr>
              <w:t xml:space="preserve"> </w:t>
            </w:r>
          </w:p>
        </w:tc>
        <w:tc>
          <w:tcPr>
            <w:tcW w:w="1373" w:type="dxa"/>
          </w:tcPr>
          <w:p w14:paraId="219CF8E6" w14:textId="77777777" w:rsidR="00B67B94" w:rsidRPr="004268B2" w:rsidRDefault="00B67B94" w:rsidP="005B739F">
            <w:pPr>
              <w:rPr>
                <w:rFonts w:ascii="Times New Roman" w:hAnsi="Times New Roman" w:cs="Times New Roman"/>
              </w:rPr>
            </w:pPr>
            <w:r w:rsidRPr="004268B2">
              <w:rPr>
                <w:rFonts w:ascii="Times New Roman" w:hAnsi="Times New Roman" w:cs="Times New Roman"/>
              </w:rPr>
              <w:t xml:space="preserve">Public Counsel </w:t>
            </w:r>
          </w:p>
          <w:p w14:paraId="4D45006B" w14:textId="77777777" w:rsidR="00B67B94" w:rsidRPr="004268B2" w:rsidRDefault="00B67B94" w:rsidP="005B739F">
            <w:pPr>
              <w:rPr>
                <w:rFonts w:ascii="Times New Roman" w:hAnsi="Times New Roman" w:cs="Times New Roman"/>
              </w:rPr>
            </w:pPr>
          </w:p>
          <w:p w14:paraId="6B2DF331" w14:textId="77777777" w:rsidR="00B67B94" w:rsidRPr="004268B2" w:rsidRDefault="00B67B94" w:rsidP="005B739F">
            <w:pPr>
              <w:rPr>
                <w:rFonts w:ascii="Times New Roman" w:hAnsi="Times New Roman" w:cs="Times New Roman"/>
              </w:rPr>
            </w:pPr>
          </w:p>
          <w:p w14:paraId="5CD79556" w14:textId="77777777" w:rsidR="00B67B94" w:rsidRPr="004268B2" w:rsidRDefault="00B67B94" w:rsidP="005B739F">
            <w:pPr>
              <w:rPr>
                <w:rFonts w:ascii="Times New Roman" w:hAnsi="Times New Roman" w:cs="Times New Roman"/>
              </w:rPr>
            </w:pPr>
          </w:p>
          <w:p w14:paraId="5588EBDE" w14:textId="77777777" w:rsidR="00B67B94" w:rsidRPr="004268B2" w:rsidRDefault="00B67B94" w:rsidP="005B739F">
            <w:pPr>
              <w:rPr>
                <w:rFonts w:ascii="Times New Roman" w:hAnsi="Times New Roman" w:cs="Times New Roman"/>
              </w:rPr>
            </w:pPr>
          </w:p>
          <w:p w14:paraId="78BF9BCE" w14:textId="1E0552C5" w:rsidR="005B739F" w:rsidRPr="004268B2" w:rsidRDefault="005B739F" w:rsidP="005B739F">
            <w:pPr>
              <w:rPr>
                <w:rFonts w:ascii="Times New Roman" w:hAnsi="Times New Roman" w:cs="Times New Roman"/>
              </w:rPr>
            </w:pPr>
            <w:r w:rsidRPr="004268B2">
              <w:rPr>
                <w:rFonts w:ascii="Times New Roman" w:hAnsi="Times New Roman" w:cs="Times New Roman"/>
              </w:rPr>
              <w:t>PSE</w:t>
            </w:r>
          </w:p>
          <w:p w14:paraId="61DD23B8" w14:textId="77777777" w:rsidR="005B739F" w:rsidRPr="004268B2" w:rsidRDefault="005B739F" w:rsidP="005B739F">
            <w:pPr>
              <w:rPr>
                <w:rFonts w:ascii="Times New Roman" w:hAnsi="Times New Roman" w:cs="Times New Roman"/>
              </w:rPr>
            </w:pPr>
          </w:p>
          <w:p w14:paraId="7BB02374" w14:textId="77777777" w:rsidR="005B739F" w:rsidRPr="004268B2" w:rsidRDefault="005B739F" w:rsidP="005B739F">
            <w:pPr>
              <w:rPr>
                <w:rFonts w:ascii="Times New Roman" w:hAnsi="Times New Roman" w:cs="Times New Roman"/>
              </w:rPr>
            </w:pPr>
          </w:p>
          <w:p w14:paraId="2F4D22A3" w14:textId="77777777" w:rsidR="005B739F" w:rsidRPr="004268B2" w:rsidRDefault="005B739F" w:rsidP="005B739F">
            <w:pPr>
              <w:rPr>
                <w:rFonts w:ascii="Times New Roman" w:hAnsi="Times New Roman" w:cs="Times New Roman"/>
              </w:rPr>
            </w:pPr>
          </w:p>
          <w:p w14:paraId="78BF9BCF" w14:textId="77777777" w:rsidR="005B739F" w:rsidRPr="004268B2" w:rsidRDefault="005B739F" w:rsidP="005B739F">
            <w:pPr>
              <w:rPr>
                <w:rFonts w:ascii="Times New Roman" w:hAnsi="Times New Roman" w:cs="Times New Roman"/>
              </w:rPr>
            </w:pPr>
            <w:r w:rsidRPr="004268B2">
              <w:rPr>
                <w:rFonts w:ascii="Times New Roman" w:hAnsi="Times New Roman" w:cs="Times New Roman"/>
              </w:rPr>
              <w:t>Pacific Power</w:t>
            </w:r>
          </w:p>
          <w:p w14:paraId="3D3686AE" w14:textId="77777777" w:rsidR="005B739F" w:rsidRPr="004268B2" w:rsidRDefault="005B739F" w:rsidP="005B739F">
            <w:pPr>
              <w:rPr>
                <w:rFonts w:ascii="Times New Roman" w:hAnsi="Times New Roman" w:cs="Times New Roman"/>
              </w:rPr>
            </w:pPr>
          </w:p>
          <w:p w14:paraId="78BF9BD0" w14:textId="4777BD28" w:rsidR="005B739F" w:rsidRPr="004268B2" w:rsidRDefault="005B739F" w:rsidP="005B739F">
            <w:pPr>
              <w:rPr>
                <w:rFonts w:ascii="Times New Roman" w:hAnsi="Times New Roman" w:cs="Times New Roman"/>
              </w:rPr>
            </w:pPr>
          </w:p>
        </w:tc>
        <w:tc>
          <w:tcPr>
            <w:tcW w:w="5150" w:type="dxa"/>
          </w:tcPr>
          <w:p w14:paraId="36C25BF1" w14:textId="77777777" w:rsidR="00B67B94" w:rsidRPr="004268B2" w:rsidRDefault="00B67B94" w:rsidP="005B739F">
            <w:pPr>
              <w:pStyle w:val="ListParagraph"/>
              <w:numPr>
                <w:ilvl w:val="0"/>
                <w:numId w:val="2"/>
              </w:numPr>
              <w:rPr>
                <w:rFonts w:ascii="Times New Roman" w:hAnsi="Times New Roman" w:cs="Times New Roman"/>
              </w:rPr>
            </w:pPr>
            <w:r w:rsidRPr="004268B2">
              <w:rPr>
                <w:rFonts w:ascii="Times New Roman" w:hAnsi="Times New Roman" w:cs="Times New Roman"/>
              </w:rPr>
              <w:t>“By commission order” may cause confusion or create new burdensome processes.  Revise: “…by the regional technical forum</w:t>
            </w:r>
            <w:r w:rsidRPr="004268B2">
              <w:rPr>
                <w:rFonts w:ascii="Times New Roman" w:hAnsi="Times New Roman" w:cs="Times New Roman"/>
                <w:u w:val="single"/>
              </w:rPr>
              <w:t>, except as provided in this subsection.</w:t>
            </w:r>
            <w:r w:rsidRPr="004268B2">
              <w:rPr>
                <w:rFonts w:ascii="Times New Roman" w:hAnsi="Times New Roman" w:cs="Times New Roman"/>
                <w:strike/>
              </w:rPr>
              <w:t xml:space="preserve">  or by commission order.  The commission will consider a unit energy savings value or protocol that is</w:t>
            </w:r>
            <w:r w:rsidRPr="004268B2">
              <w:rPr>
                <w:rFonts w:ascii="Times New Roman" w:hAnsi="Times New Roman" w:cs="Times New Roman"/>
                <w:u w:val="single"/>
              </w:rPr>
              <w:t xml:space="preserve">  If a utility utilizes unit energy savings values or protocols other than those established by the regional technical forum such values or protocols must be:</w:t>
            </w:r>
            <w:r w:rsidRPr="004268B2">
              <w:rPr>
                <w:rFonts w:ascii="Times New Roman" w:hAnsi="Times New Roman" w:cs="Times New Roman"/>
              </w:rPr>
              <w:t>” (Public Counsel)</w:t>
            </w:r>
          </w:p>
          <w:p w14:paraId="78BF9BD1" w14:textId="6E131900" w:rsidR="005B739F" w:rsidRPr="004268B2" w:rsidRDefault="005B739F" w:rsidP="005B739F">
            <w:pPr>
              <w:pStyle w:val="ListParagraph"/>
              <w:numPr>
                <w:ilvl w:val="0"/>
                <w:numId w:val="2"/>
              </w:numPr>
              <w:rPr>
                <w:rFonts w:ascii="Times New Roman" w:hAnsi="Times New Roman" w:cs="Times New Roman"/>
              </w:rPr>
            </w:pPr>
            <w:r w:rsidRPr="004268B2">
              <w:rPr>
                <w:rFonts w:ascii="Times New Roman" w:hAnsi="Times New Roman" w:cs="Times New Roman"/>
              </w:rPr>
              <w:t xml:space="preserve">Revise to match </w:t>
            </w:r>
            <w:r w:rsidR="00B67B94" w:rsidRPr="004268B2">
              <w:rPr>
                <w:rFonts w:ascii="Times New Roman" w:hAnsi="Times New Roman" w:cs="Times New Roman"/>
              </w:rPr>
              <w:t>PSE’S</w:t>
            </w:r>
            <w:r w:rsidRPr="004268B2">
              <w:rPr>
                <w:rFonts w:ascii="Times New Roman" w:hAnsi="Times New Roman" w:cs="Times New Roman"/>
              </w:rPr>
              <w:t xml:space="preserve"> conditions in (6)(b) and (6)(c) in attachment A of Order 01, Docket UE-132043.  The proposed language implies that companies will need to seek approval from their advisory groups to implement new measures after the plan and target have been approved. (PSE)</w:t>
            </w:r>
          </w:p>
          <w:p w14:paraId="78BF9BD2" w14:textId="7A2D2A5B" w:rsidR="005B739F" w:rsidRPr="004268B2" w:rsidRDefault="005B739F" w:rsidP="005B739F">
            <w:pPr>
              <w:pStyle w:val="ListParagraph"/>
              <w:numPr>
                <w:ilvl w:val="0"/>
                <w:numId w:val="2"/>
              </w:numPr>
              <w:rPr>
                <w:rFonts w:ascii="Times New Roman" w:hAnsi="Times New Roman" w:cs="Times New Roman"/>
              </w:rPr>
            </w:pPr>
            <w:r w:rsidRPr="004268B2">
              <w:rPr>
                <w:rFonts w:ascii="Times New Roman" w:hAnsi="Times New Roman" w:cs="Times New Roman"/>
              </w:rPr>
              <w:t>Add “When making changes or proposing new measures,” and “</w:t>
            </w:r>
            <w:r w:rsidRPr="004268B2">
              <w:rPr>
                <w:rFonts w:ascii="Times New Roman" w:hAnsi="Times New Roman" w:cs="Times New Roman"/>
                <w:u w:val="single"/>
              </w:rPr>
              <w:t>standard</w:t>
            </w:r>
            <w:r w:rsidRPr="004268B2">
              <w:rPr>
                <w:rFonts w:ascii="Times New Roman" w:hAnsi="Times New Roman" w:cs="Times New Roman"/>
              </w:rPr>
              <w:t xml:space="preserve"> protocol </w:t>
            </w:r>
            <w:r w:rsidRPr="004268B2">
              <w:rPr>
                <w:rFonts w:ascii="Times New Roman" w:hAnsi="Times New Roman" w:cs="Times New Roman"/>
                <w:u w:val="single"/>
              </w:rPr>
              <w:t>savings estimation methodologies</w:t>
            </w:r>
            <w:r w:rsidRPr="004268B2">
              <w:rPr>
                <w:rFonts w:ascii="Times New Roman" w:hAnsi="Times New Roman" w:cs="Times New Roman"/>
              </w:rPr>
              <w:t xml:space="preserve"> approved… </w:t>
            </w:r>
            <w:r w:rsidRPr="004268B2">
              <w:rPr>
                <w:rFonts w:ascii="Times New Roman" w:hAnsi="Times New Roman" w:cs="Times New Roman"/>
                <w:u w:val="single"/>
              </w:rPr>
              <w:t>or provide an explanation for why not</w:t>
            </w:r>
            <w:r w:rsidRPr="004268B2">
              <w:rPr>
                <w:rFonts w:ascii="Times New Roman" w:hAnsi="Times New Roman" w:cs="Times New Roman"/>
              </w:rPr>
              <w:t xml:space="preserve">.” </w:t>
            </w:r>
            <w:r w:rsidR="00FB1A2C" w:rsidRPr="004268B2">
              <w:rPr>
                <w:rFonts w:ascii="Times New Roman" w:hAnsi="Times New Roman" w:cs="Times New Roman"/>
              </w:rPr>
              <w:t>(Pacific Power)</w:t>
            </w:r>
          </w:p>
          <w:p w14:paraId="78BF9BD5" w14:textId="31BEDBF9" w:rsidR="005B739F" w:rsidRPr="004268B2" w:rsidRDefault="005B739F" w:rsidP="00B67B94">
            <w:pPr>
              <w:pStyle w:val="ListParagraph"/>
              <w:numPr>
                <w:ilvl w:val="0"/>
                <w:numId w:val="2"/>
              </w:numPr>
              <w:rPr>
                <w:rFonts w:ascii="Times New Roman" w:hAnsi="Times New Roman" w:cs="Times New Roman"/>
              </w:rPr>
            </w:pPr>
            <w:r w:rsidRPr="004268B2">
              <w:rPr>
                <w:rFonts w:ascii="Times New Roman" w:hAnsi="Times New Roman" w:cs="Times New Roman"/>
              </w:rPr>
              <w:t xml:space="preserve">(5)(b) Replace “for this” with “or” </w:t>
            </w:r>
            <w:r w:rsidR="00FB1A2C" w:rsidRPr="004268B2">
              <w:rPr>
                <w:rFonts w:ascii="Times New Roman" w:hAnsi="Times New Roman" w:cs="Times New Roman"/>
              </w:rPr>
              <w:t>(Pacific Power)</w:t>
            </w:r>
          </w:p>
        </w:tc>
        <w:tc>
          <w:tcPr>
            <w:tcW w:w="4738" w:type="dxa"/>
          </w:tcPr>
          <w:p w14:paraId="78BF9BD6" w14:textId="30B1A8BD" w:rsidR="009B02BC" w:rsidRPr="004268B2" w:rsidRDefault="00E80BB0" w:rsidP="00E80BB0">
            <w:pPr>
              <w:rPr>
                <w:rFonts w:ascii="Times New Roman" w:hAnsi="Times New Roman" w:cs="Times New Roman"/>
              </w:rPr>
            </w:pPr>
            <w:r w:rsidRPr="004268B2">
              <w:rPr>
                <w:rFonts w:ascii="Times New Roman" w:hAnsi="Times New Roman" w:cs="Times New Roman"/>
              </w:rPr>
              <w:t>The Commission</w:t>
            </w:r>
            <w:r w:rsidR="005B739F" w:rsidRPr="004268B2">
              <w:rPr>
                <w:rFonts w:ascii="Times New Roman" w:hAnsi="Times New Roman" w:cs="Times New Roman"/>
              </w:rPr>
              <w:t xml:space="preserve"> </w:t>
            </w:r>
            <w:r w:rsidRPr="004268B2">
              <w:rPr>
                <w:rFonts w:ascii="Times New Roman" w:hAnsi="Times New Roman" w:cs="Times New Roman"/>
              </w:rPr>
              <w:t xml:space="preserve">believes that these concerns are addressed by </w:t>
            </w:r>
            <w:r w:rsidR="00B67B94" w:rsidRPr="004268B2">
              <w:rPr>
                <w:rFonts w:ascii="Times New Roman" w:hAnsi="Times New Roman" w:cs="Times New Roman"/>
              </w:rPr>
              <w:t>revert</w:t>
            </w:r>
            <w:r w:rsidRPr="004268B2">
              <w:rPr>
                <w:rFonts w:ascii="Times New Roman" w:hAnsi="Times New Roman" w:cs="Times New Roman"/>
              </w:rPr>
              <w:t>ing</w:t>
            </w:r>
            <w:r w:rsidR="00B67B94" w:rsidRPr="004268B2">
              <w:rPr>
                <w:rFonts w:ascii="Times New Roman" w:hAnsi="Times New Roman" w:cs="Times New Roman"/>
              </w:rPr>
              <w:t xml:space="preserve"> to the version of this section in the August 2014 draft rule, which does not mention “by Commission Order.”</w:t>
            </w:r>
          </w:p>
        </w:tc>
      </w:tr>
      <w:tr w:rsidR="003666FD" w:rsidRPr="004268B2" w14:paraId="78BF9BDF" w14:textId="77777777" w:rsidTr="00401F45">
        <w:trPr>
          <w:jc w:val="center"/>
        </w:trPr>
        <w:tc>
          <w:tcPr>
            <w:tcW w:w="1802" w:type="dxa"/>
          </w:tcPr>
          <w:p w14:paraId="78BF9BD8" w14:textId="77777777" w:rsidR="005B739F" w:rsidRPr="004268B2" w:rsidRDefault="005B739F" w:rsidP="005B739F">
            <w:pPr>
              <w:rPr>
                <w:rFonts w:ascii="Times New Roman" w:hAnsi="Times New Roman" w:cs="Times New Roman"/>
                <w:b/>
              </w:rPr>
            </w:pPr>
            <w:r w:rsidRPr="004268B2">
              <w:rPr>
                <w:rFonts w:ascii="Times New Roman" w:hAnsi="Times New Roman" w:cs="Times New Roman"/>
                <w:b/>
              </w:rPr>
              <w:t>High efficiency cogeneration</w:t>
            </w:r>
          </w:p>
          <w:p w14:paraId="78BF9BD9" w14:textId="77777777" w:rsidR="005B739F" w:rsidRPr="004268B2" w:rsidRDefault="005B739F" w:rsidP="005B739F">
            <w:pPr>
              <w:rPr>
                <w:rFonts w:ascii="Times New Roman" w:hAnsi="Times New Roman" w:cs="Times New Roman"/>
              </w:rPr>
            </w:pPr>
            <w:r w:rsidRPr="004268B2">
              <w:rPr>
                <w:rFonts w:ascii="Times New Roman" w:hAnsi="Times New Roman" w:cs="Times New Roman"/>
              </w:rPr>
              <w:t>WAC 480-109-100(6)</w:t>
            </w:r>
          </w:p>
        </w:tc>
        <w:tc>
          <w:tcPr>
            <w:tcW w:w="1373" w:type="dxa"/>
          </w:tcPr>
          <w:p w14:paraId="78BF9BDA" w14:textId="77777777" w:rsidR="005B739F" w:rsidRPr="004268B2" w:rsidRDefault="005B739F" w:rsidP="005B739F">
            <w:pPr>
              <w:rPr>
                <w:rFonts w:ascii="Times New Roman" w:hAnsi="Times New Roman" w:cs="Times New Roman"/>
              </w:rPr>
            </w:pPr>
            <w:r w:rsidRPr="004268B2">
              <w:rPr>
                <w:rFonts w:ascii="Times New Roman" w:hAnsi="Times New Roman" w:cs="Times New Roman"/>
              </w:rPr>
              <w:t>PSE</w:t>
            </w:r>
          </w:p>
          <w:p w14:paraId="78BF9BDB" w14:textId="77777777" w:rsidR="005B739F" w:rsidRPr="004268B2" w:rsidRDefault="005B739F" w:rsidP="005B739F">
            <w:pPr>
              <w:rPr>
                <w:rFonts w:ascii="Times New Roman" w:hAnsi="Times New Roman" w:cs="Times New Roman"/>
              </w:rPr>
            </w:pPr>
            <w:r w:rsidRPr="004268B2">
              <w:rPr>
                <w:rFonts w:ascii="Times New Roman" w:hAnsi="Times New Roman" w:cs="Times New Roman"/>
              </w:rPr>
              <w:t>NWEC</w:t>
            </w:r>
          </w:p>
        </w:tc>
        <w:tc>
          <w:tcPr>
            <w:tcW w:w="5150" w:type="dxa"/>
          </w:tcPr>
          <w:p w14:paraId="305B313F" w14:textId="56387418" w:rsidR="005B739F" w:rsidRPr="004268B2" w:rsidRDefault="005B739F" w:rsidP="005B739F">
            <w:pPr>
              <w:pStyle w:val="ListParagraph"/>
              <w:numPr>
                <w:ilvl w:val="0"/>
                <w:numId w:val="8"/>
              </w:numPr>
              <w:rPr>
                <w:rFonts w:ascii="Times New Roman" w:hAnsi="Times New Roman" w:cs="Times New Roman"/>
              </w:rPr>
            </w:pPr>
            <w:r w:rsidRPr="004268B2">
              <w:rPr>
                <w:rFonts w:ascii="Times New Roman" w:hAnsi="Times New Roman" w:cs="Times New Roman"/>
              </w:rPr>
              <w:t>Replace “certified” with “verified” by a professional engineer. (PSE)</w:t>
            </w:r>
          </w:p>
          <w:p w14:paraId="78BF9BDD" w14:textId="24BA42E4" w:rsidR="005B739F" w:rsidRPr="004268B2" w:rsidRDefault="005B739F" w:rsidP="00EB4BCA">
            <w:pPr>
              <w:pStyle w:val="ListParagraph"/>
              <w:numPr>
                <w:ilvl w:val="0"/>
                <w:numId w:val="8"/>
              </w:numPr>
              <w:rPr>
                <w:rFonts w:ascii="Times New Roman" w:hAnsi="Times New Roman" w:cs="Times New Roman"/>
              </w:rPr>
            </w:pPr>
            <w:r w:rsidRPr="004268B2">
              <w:rPr>
                <w:rFonts w:ascii="Times New Roman" w:hAnsi="Times New Roman" w:cs="Times New Roman"/>
              </w:rPr>
              <w:t>This should include the statutory language stating that high-efficiency cogeneration shall be “counted towards meeting the biennial conservation target in the same manner as other conservation savings.”  (RCW 19.285.040(1)(</w:t>
            </w:r>
            <w:r w:rsidR="00EB4BCA" w:rsidRPr="004268B2">
              <w:rPr>
                <w:rFonts w:ascii="Times New Roman" w:hAnsi="Times New Roman" w:cs="Times New Roman"/>
              </w:rPr>
              <w:t>d</w:t>
            </w:r>
            <w:r w:rsidRPr="004268B2">
              <w:rPr>
                <w:rFonts w:ascii="Times New Roman" w:hAnsi="Times New Roman" w:cs="Times New Roman"/>
              </w:rPr>
              <w:t>)(ii)) (NWEC)</w:t>
            </w:r>
          </w:p>
        </w:tc>
        <w:tc>
          <w:tcPr>
            <w:tcW w:w="4738" w:type="dxa"/>
          </w:tcPr>
          <w:p w14:paraId="78BF9BDE" w14:textId="3C7A3D54" w:rsidR="005B739F" w:rsidRPr="004268B2" w:rsidRDefault="0022087B" w:rsidP="005D6225">
            <w:pPr>
              <w:rPr>
                <w:rFonts w:ascii="Times New Roman" w:hAnsi="Times New Roman" w:cs="Times New Roman"/>
              </w:rPr>
            </w:pPr>
            <w:r w:rsidRPr="004268B2">
              <w:rPr>
                <w:rFonts w:ascii="Times New Roman" w:hAnsi="Times New Roman" w:cs="Times New Roman"/>
              </w:rPr>
              <w:t xml:space="preserve">The Commission </w:t>
            </w:r>
            <w:r w:rsidR="00AD2CE6" w:rsidRPr="004268B2">
              <w:rPr>
                <w:rFonts w:ascii="Times New Roman" w:hAnsi="Times New Roman" w:cs="Times New Roman"/>
              </w:rPr>
              <w:t>declines to adopt</w:t>
            </w:r>
            <w:r w:rsidRPr="004268B2">
              <w:rPr>
                <w:rFonts w:ascii="Times New Roman" w:hAnsi="Times New Roman" w:cs="Times New Roman"/>
              </w:rPr>
              <w:t xml:space="preserve"> these </w:t>
            </w:r>
            <w:r w:rsidR="00AD2CE6" w:rsidRPr="004268B2">
              <w:rPr>
                <w:rFonts w:ascii="Times New Roman" w:hAnsi="Times New Roman" w:cs="Times New Roman"/>
              </w:rPr>
              <w:t>changes</w:t>
            </w:r>
            <w:r w:rsidR="00C32F06">
              <w:rPr>
                <w:rFonts w:ascii="Times New Roman" w:hAnsi="Times New Roman" w:cs="Times New Roman"/>
              </w:rPr>
              <w:t xml:space="preserve">.  </w:t>
            </w:r>
            <w:r w:rsidR="003D6B8A">
              <w:rPr>
                <w:rFonts w:ascii="Times New Roman" w:hAnsi="Times New Roman" w:cs="Times New Roman"/>
              </w:rPr>
              <w:t>A professional engineer</w:t>
            </w:r>
            <w:r w:rsidR="008B29BA">
              <w:rPr>
                <w:rFonts w:ascii="Times New Roman" w:hAnsi="Times New Roman" w:cs="Times New Roman"/>
              </w:rPr>
              <w:t xml:space="preserve">’s training and experience qualifies her to </w:t>
            </w:r>
            <w:r w:rsidR="003D6B8A">
              <w:rPr>
                <w:rFonts w:ascii="Times New Roman" w:hAnsi="Times New Roman" w:cs="Times New Roman"/>
              </w:rPr>
              <w:t>design</w:t>
            </w:r>
            <w:r w:rsidR="00837E69">
              <w:rPr>
                <w:rFonts w:ascii="Times New Roman" w:hAnsi="Times New Roman" w:cs="Times New Roman"/>
              </w:rPr>
              <w:t xml:space="preserve"> and </w:t>
            </w:r>
            <w:r w:rsidR="005D6225">
              <w:rPr>
                <w:rFonts w:ascii="Times New Roman" w:hAnsi="Times New Roman" w:cs="Times New Roman"/>
              </w:rPr>
              <w:t xml:space="preserve">certify </w:t>
            </w:r>
            <w:r w:rsidR="003D6B8A">
              <w:rPr>
                <w:rFonts w:ascii="Times New Roman" w:hAnsi="Times New Roman" w:cs="Times New Roman"/>
              </w:rPr>
              <w:t xml:space="preserve">the performance of </w:t>
            </w:r>
            <w:r w:rsidR="008B29BA">
              <w:rPr>
                <w:rFonts w:ascii="Times New Roman" w:hAnsi="Times New Roman" w:cs="Times New Roman"/>
              </w:rPr>
              <w:t>c</w:t>
            </w:r>
            <w:r w:rsidR="003D6B8A">
              <w:rPr>
                <w:rFonts w:ascii="Times New Roman" w:hAnsi="Times New Roman" w:cs="Times New Roman"/>
              </w:rPr>
              <w:t>ogeneration plants</w:t>
            </w:r>
            <w:r w:rsidR="00675A39">
              <w:rPr>
                <w:rFonts w:ascii="Times New Roman" w:hAnsi="Times New Roman" w:cs="Times New Roman"/>
              </w:rPr>
              <w:t>.</w:t>
            </w:r>
            <w:r w:rsidR="00C7414A">
              <w:rPr>
                <w:rFonts w:ascii="Times New Roman" w:hAnsi="Times New Roman" w:cs="Times New Roman"/>
              </w:rPr>
              <w:t xml:space="preserve">  </w:t>
            </w:r>
            <w:r w:rsidR="00675A39">
              <w:rPr>
                <w:rFonts w:ascii="Times New Roman" w:hAnsi="Times New Roman" w:cs="Times New Roman"/>
              </w:rPr>
              <w:t xml:space="preserve">Thus, it is appropriate to require </w:t>
            </w:r>
            <w:r w:rsidR="0042030F">
              <w:rPr>
                <w:rFonts w:ascii="Times New Roman" w:hAnsi="Times New Roman" w:cs="Times New Roman"/>
              </w:rPr>
              <w:t xml:space="preserve">any technical </w:t>
            </w:r>
            <w:r w:rsidR="00837E69">
              <w:rPr>
                <w:rFonts w:ascii="Times New Roman" w:hAnsi="Times New Roman" w:cs="Times New Roman"/>
              </w:rPr>
              <w:t>reports regarding performance claims</w:t>
            </w:r>
            <w:r w:rsidR="0042030F">
              <w:rPr>
                <w:rFonts w:ascii="Times New Roman" w:hAnsi="Times New Roman" w:cs="Times New Roman"/>
              </w:rPr>
              <w:t xml:space="preserve"> </w:t>
            </w:r>
            <w:r w:rsidR="00837E69">
              <w:rPr>
                <w:rFonts w:ascii="Times New Roman" w:hAnsi="Times New Roman" w:cs="Times New Roman"/>
              </w:rPr>
              <w:t xml:space="preserve">of high-efficiency cogeneration </w:t>
            </w:r>
            <w:r w:rsidR="0042030F">
              <w:rPr>
                <w:rFonts w:ascii="Times New Roman" w:hAnsi="Times New Roman" w:cs="Times New Roman"/>
              </w:rPr>
              <w:t xml:space="preserve">to be </w:t>
            </w:r>
            <w:r w:rsidR="0042030F" w:rsidRPr="003D6B8A">
              <w:rPr>
                <w:rFonts w:ascii="Times New Roman" w:hAnsi="Times New Roman" w:cs="Times New Roman"/>
              </w:rPr>
              <w:t xml:space="preserve">certified by a </w:t>
            </w:r>
            <w:r w:rsidR="003D6B8A" w:rsidRPr="003D6B8A">
              <w:rPr>
                <w:rFonts w:ascii="Times New Roman" w:hAnsi="Times New Roman" w:cs="Times New Roman"/>
              </w:rPr>
              <w:t>p</w:t>
            </w:r>
            <w:r w:rsidR="0042030F" w:rsidRPr="003D6B8A">
              <w:rPr>
                <w:rFonts w:ascii="Times New Roman" w:hAnsi="Times New Roman" w:cs="Times New Roman"/>
              </w:rPr>
              <w:t xml:space="preserve">rofessional </w:t>
            </w:r>
            <w:r w:rsidR="003D6B8A" w:rsidRPr="003D6B8A">
              <w:rPr>
                <w:rFonts w:ascii="Times New Roman" w:hAnsi="Times New Roman" w:cs="Times New Roman"/>
              </w:rPr>
              <w:t>e</w:t>
            </w:r>
            <w:r w:rsidR="0042030F" w:rsidRPr="003D6B8A">
              <w:rPr>
                <w:rFonts w:ascii="Times New Roman" w:hAnsi="Times New Roman" w:cs="Times New Roman"/>
              </w:rPr>
              <w:t>ngineer in accordance with RCW 18.43.070, and WAC 196-23-020</w:t>
            </w:r>
            <w:r w:rsidR="00675A39" w:rsidRPr="003D6B8A">
              <w:rPr>
                <w:rFonts w:ascii="Times New Roman" w:hAnsi="Times New Roman" w:cs="Times New Roman"/>
              </w:rPr>
              <w:t xml:space="preserve">.  </w:t>
            </w:r>
            <w:r w:rsidR="00EB4BCA" w:rsidRPr="003D6B8A">
              <w:rPr>
                <w:rFonts w:ascii="Times New Roman" w:hAnsi="Times New Roman" w:cs="Times New Roman"/>
              </w:rPr>
              <w:t>The Commission declines to adopt NWEC’s</w:t>
            </w:r>
            <w:r w:rsidR="00EB4BCA" w:rsidRPr="004268B2">
              <w:rPr>
                <w:rFonts w:ascii="Times New Roman" w:hAnsi="Times New Roman" w:cs="Times New Roman"/>
              </w:rPr>
              <w:t xml:space="preserve"> revision because WAC 480-</w:t>
            </w:r>
            <w:r w:rsidR="000200D6">
              <w:rPr>
                <w:rFonts w:ascii="Times New Roman" w:hAnsi="Times New Roman" w:cs="Times New Roman"/>
              </w:rPr>
              <w:t>109-</w:t>
            </w:r>
            <w:r w:rsidR="00EB4BCA" w:rsidRPr="004268B2">
              <w:rPr>
                <w:rFonts w:ascii="Times New Roman" w:hAnsi="Times New Roman" w:cs="Times New Roman"/>
              </w:rPr>
              <w:t xml:space="preserve">100(6) </w:t>
            </w:r>
            <w:r w:rsidR="000200D6">
              <w:rPr>
                <w:rFonts w:ascii="Times New Roman" w:hAnsi="Times New Roman" w:cs="Times New Roman"/>
              </w:rPr>
              <w:t xml:space="preserve">states </w:t>
            </w:r>
            <w:r w:rsidR="00EB4BCA" w:rsidRPr="004268B2">
              <w:rPr>
                <w:rFonts w:ascii="Times New Roman" w:hAnsi="Times New Roman" w:cs="Times New Roman"/>
              </w:rPr>
              <w:t xml:space="preserve">“a utility may count as conservation savings” </w:t>
            </w:r>
            <w:r w:rsidR="000200D6">
              <w:rPr>
                <w:rFonts w:ascii="Times New Roman" w:hAnsi="Times New Roman" w:cs="Times New Roman"/>
              </w:rPr>
              <w:t xml:space="preserve">high efficiency cogeneration, which encompasses </w:t>
            </w:r>
            <w:r w:rsidR="00EB4BCA" w:rsidRPr="004268B2">
              <w:rPr>
                <w:rFonts w:ascii="Times New Roman" w:hAnsi="Times New Roman" w:cs="Times New Roman"/>
              </w:rPr>
              <w:t>the statutory language.</w:t>
            </w:r>
          </w:p>
        </w:tc>
      </w:tr>
      <w:tr w:rsidR="003666FD" w:rsidRPr="004268B2" w14:paraId="0AC56FAB" w14:textId="77777777" w:rsidTr="00401F45">
        <w:trPr>
          <w:jc w:val="center"/>
        </w:trPr>
        <w:tc>
          <w:tcPr>
            <w:tcW w:w="1802" w:type="dxa"/>
            <w:vMerge w:val="restart"/>
          </w:tcPr>
          <w:p w14:paraId="25A57AC5" w14:textId="77777777" w:rsidR="00BD7994" w:rsidRPr="004268B2" w:rsidRDefault="00BD7994" w:rsidP="00BD7994">
            <w:pPr>
              <w:rPr>
                <w:rFonts w:ascii="Times New Roman" w:hAnsi="Times New Roman" w:cs="Times New Roman"/>
                <w:b/>
              </w:rPr>
            </w:pPr>
            <w:r w:rsidRPr="004268B2">
              <w:rPr>
                <w:rFonts w:ascii="Times New Roman" w:hAnsi="Times New Roman" w:cs="Times New Roman"/>
                <w:b/>
              </w:rPr>
              <w:t xml:space="preserve">Cost-effectiveness </w:t>
            </w:r>
            <w:r w:rsidRPr="004268B2">
              <w:rPr>
                <w:rFonts w:ascii="Times New Roman" w:hAnsi="Times New Roman" w:cs="Times New Roman"/>
                <w:b/>
              </w:rPr>
              <w:lastRenderedPageBreak/>
              <w:t>evaluation and Low-income programs</w:t>
            </w:r>
          </w:p>
          <w:p w14:paraId="520FBBF0" w14:textId="2629E5A8" w:rsidR="00BD7994" w:rsidRPr="004268B2" w:rsidRDefault="00BD7994" w:rsidP="00BD7994">
            <w:pPr>
              <w:rPr>
                <w:rFonts w:ascii="Times New Roman" w:hAnsi="Times New Roman" w:cs="Times New Roman"/>
                <w:b/>
              </w:rPr>
            </w:pPr>
            <w:r w:rsidRPr="004268B2">
              <w:rPr>
                <w:rFonts w:ascii="Times New Roman" w:hAnsi="Times New Roman" w:cs="Times New Roman"/>
              </w:rPr>
              <w:t>WAC 480-109-100(8)(a)</w:t>
            </w:r>
          </w:p>
        </w:tc>
        <w:tc>
          <w:tcPr>
            <w:tcW w:w="1373" w:type="dxa"/>
          </w:tcPr>
          <w:p w14:paraId="36EFD994" w14:textId="3BD37992" w:rsidR="00BD7994" w:rsidRPr="004268B2" w:rsidRDefault="005C1A10" w:rsidP="00BD7994">
            <w:pPr>
              <w:rPr>
                <w:rFonts w:ascii="Times New Roman" w:hAnsi="Times New Roman" w:cs="Times New Roman"/>
              </w:rPr>
            </w:pPr>
            <w:r w:rsidRPr="004268B2">
              <w:rPr>
                <w:rFonts w:ascii="Times New Roman" w:hAnsi="Times New Roman" w:cs="Times New Roman"/>
              </w:rPr>
              <w:lastRenderedPageBreak/>
              <w:t>I</w:t>
            </w:r>
            <w:r>
              <w:rPr>
                <w:rFonts w:ascii="Times New Roman" w:hAnsi="Times New Roman" w:cs="Times New Roman"/>
              </w:rPr>
              <w:t xml:space="preserve">ndustrial </w:t>
            </w:r>
            <w:r w:rsidR="00BD7994" w:rsidRPr="004268B2">
              <w:rPr>
                <w:rFonts w:ascii="Times New Roman" w:hAnsi="Times New Roman" w:cs="Times New Roman"/>
              </w:rPr>
              <w:t>C</w:t>
            </w:r>
            <w:r>
              <w:rPr>
                <w:rFonts w:ascii="Times New Roman" w:hAnsi="Times New Roman" w:cs="Times New Roman"/>
              </w:rPr>
              <w:t xml:space="preserve">ustomers </w:t>
            </w:r>
            <w:r>
              <w:rPr>
                <w:rFonts w:ascii="Times New Roman" w:hAnsi="Times New Roman" w:cs="Times New Roman"/>
              </w:rPr>
              <w:lastRenderedPageBreak/>
              <w:t xml:space="preserve">of </w:t>
            </w:r>
            <w:r w:rsidR="00BD7994" w:rsidRPr="004268B2">
              <w:rPr>
                <w:rFonts w:ascii="Times New Roman" w:hAnsi="Times New Roman" w:cs="Times New Roman"/>
              </w:rPr>
              <w:t>N</w:t>
            </w:r>
            <w:r>
              <w:rPr>
                <w:rFonts w:ascii="Times New Roman" w:hAnsi="Times New Roman" w:cs="Times New Roman"/>
              </w:rPr>
              <w:t xml:space="preserve">orthwest </w:t>
            </w:r>
            <w:r w:rsidR="00BD7994" w:rsidRPr="004268B2">
              <w:rPr>
                <w:rFonts w:ascii="Times New Roman" w:hAnsi="Times New Roman" w:cs="Times New Roman"/>
              </w:rPr>
              <w:t>U</w:t>
            </w:r>
            <w:r>
              <w:rPr>
                <w:rFonts w:ascii="Times New Roman" w:hAnsi="Times New Roman" w:cs="Times New Roman"/>
              </w:rPr>
              <w:t>tilities</w:t>
            </w:r>
            <w:r w:rsidR="003666FD">
              <w:rPr>
                <w:rFonts w:ascii="Times New Roman" w:hAnsi="Times New Roman" w:cs="Times New Roman"/>
              </w:rPr>
              <w:t xml:space="preserve"> (ICNU)</w:t>
            </w:r>
          </w:p>
          <w:p w14:paraId="40A9B89C" w14:textId="77777777" w:rsidR="00BD7994" w:rsidRPr="004268B2" w:rsidRDefault="00BD7994" w:rsidP="00BD7994">
            <w:pPr>
              <w:rPr>
                <w:rFonts w:ascii="Times New Roman" w:hAnsi="Times New Roman" w:cs="Times New Roman"/>
              </w:rPr>
            </w:pPr>
          </w:p>
        </w:tc>
        <w:tc>
          <w:tcPr>
            <w:tcW w:w="5150" w:type="dxa"/>
          </w:tcPr>
          <w:p w14:paraId="4A1C0B05" w14:textId="287BAF04" w:rsidR="00BD7994" w:rsidRPr="004268B2" w:rsidRDefault="00BD7994" w:rsidP="00BD7994">
            <w:pPr>
              <w:rPr>
                <w:rFonts w:ascii="Times New Roman" w:hAnsi="Times New Roman" w:cs="Times New Roman"/>
              </w:rPr>
            </w:pPr>
            <w:r w:rsidRPr="004268B2">
              <w:rPr>
                <w:rFonts w:ascii="Times New Roman" w:hAnsi="Times New Roman" w:cs="Times New Roman"/>
              </w:rPr>
              <w:lastRenderedPageBreak/>
              <w:t>Add: “</w:t>
            </w:r>
            <w:r w:rsidRPr="004268B2">
              <w:rPr>
                <w:rFonts w:ascii="Times New Roman" w:hAnsi="Times New Roman" w:cs="Times New Roman"/>
                <w:u w:val="single"/>
              </w:rPr>
              <w:t>costs included in the portfolio level analysis include conservation-related administrative costs</w:t>
            </w:r>
            <w:r w:rsidRPr="004268B2">
              <w:rPr>
                <w:rFonts w:ascii="Times New Roman" w:hAnsi="Times New Roman" w:cs="Times New Roman"/>
              </w:rPr>
              <w:t xml:space="preserve">.”  </w:t>
            </w:r>
            <w:r w:rsidRPr="004268B2">
              <w:rPr>
                <w:rFonts w:ascii="Times New Roman" w:hAnsi="Times New Roman" w:cs="Times New Roman"/>
              </w:rPr>
              <w:lastRenderedPageBreak/>
              <w:t>Admin</w:t>
            </w:r>
            <w:r w:rsidR="000200D6">
              <w:rPr>
                <w:rFonts w:ascii="Times New Roman" w:hAnsi="Times New Roman" w:cs="Times New Roman"/>
              </w:rPr>
              <w:t>istrative</w:t>
            </w:r>
            <w:r w:rsidRPr="004268B2">
              <w:rPr>
                <w:rFonts w:ascii="Times New Roman" w:hAnsi="Times New Roman" w:cs="Times New Roman"/>
              </w:rPr>
              <w:t xml:space="preserve"> costs will be incurred </w:t>
            </w:r>
            <w:r w:rsidR="007A0E2F" w:rsidRPr="004268B2">
              <w:rPr>
                <w:rFonts w:ascii="Times New Roman" w:hAnsi="Times New Roman" w:cs="Times New Roman"/>
              </w:rPr>
              <w:t>if the proposed rule is adopted, particularly the carbon-intensity metric reporting.</w:t>
            </w:r>
          </w:p>
        </w:tc>
        <w:tc>
          <w:tcPr>
            <w:tcW w:w="4738" w:type="dxa"/>
          </w:tcPr>
          <w:p w14:paraId="30DF8A32" w14:textId="0491C452" w:rsidR="00BD7994" w:rsidRPr="004268B2" w:rsidRDefault="0022087B" w:rsidP="000200D6">
            <w:pPr>
              <w:rPr>
                <w:rFonts w:ascii="Times New Roman" w:hAnsi="Times New Roman" w:cs="Times New Roman"/>
              </w:rPr>
            </w:pPr>
            <w:r w:rsidRPr="004268B2">
              <w:rPr>
                <w:rFonts w:ascii="Times New Roman" w:hAnsi="Times New Roman" w:cs="Times New Roman"/>
              </w:rPr>
              <w:lastRenderedPageBreak/>
              <w:t xml:space="preserve">The Commission </w:t>
            </w:r>
            <w:r w:rsidR="00EB4BCA" w:rsidRPr="004268B2">
              <w:rPr>
                <w:rFonts w:ascii="Times New Roman" w:hAnsi="Times New Roman" w:cs="Times New Roman"/>
              </w:rPr>
              <w:t>declines to adopt ICNU’</w:t>
            </w:r>
            <w:r w:rsidR="007A0E2F" w:rsidRPr="004268B2">
              <w:rPr>
                <w:rFonts w:ascii="Times New Roman" w:hAnsi="Times New Roman" w:cs="Times New Roman"/>
              </w:rPr>
              <w:t xml:space="preserve">s proposed revision.  </w:t>
            </w:r>
            <w:r w:rsidR="007A0E2F" w:rsidRPr="00D5485E">
              <w:rPr>
                <w:rFonts w:ascii="Times New Roman" w:hAnsi="Times New Roman" w:cs="Times New Roman"/>
              </w:rPr>
              <w:t xml:space="preserve">As discussed in the adoption </w:t>
            </w:r>
            <w:r w:rsidR="007A0E2F" w:rsidRPr="00D5485E">
              <w:rPr>
                <w:rFonts w:ascii="Times New Roman" w:hAnsi="Times New Roman" w:cs="Times New Roman"/>
              </w:rPr>
              <w:lastRenderedPageBreak/>
              <w:t>order,</w:t>
            </w:r>
            <w:r w:rsidR="007A0E2F" w:rsidRPr="004268B2">
              <w:rPr>
                <w:rFonts w:ascii="Times New Roman" w:hAnsi="Times New Roman" w:cs="Times New Roman"/>
              </w:rPr>
              <w:t xml:space="preserve"> we believe that ICNU’s concerns </w:t>
            </w:r>
            <w:r w:rsidR="000200D6">
              <w:rPr>
                <w:rFonts w:ascii="Times New Roman" w:hAnsi="Times New Roman" w:cs="Times New Roman"/>
              </w:rPr>
              <w:t xml:space="preserve">regarding low-income programs </w:t>
            </w:r>
            <w:r w:rsidR="007A0E2F" w:rsidRPr="004268B2">
              <w:rPr>
                <w:rFonts w:ascii="Times New Roman" w:hAnsi="Times New Roman" w:cs="Times New Roman"/>
              </w:rPr>
              <w:t xml:space="preserve">are addressed by the </w:t>
            </w:r>
            <w:r w:rsidR="000200D6">
              <w:rPr>
                <w:rFonts w:ascii="Times New Roman" w:hAnsi="Times New Roman" w:cs="Times New Roman"/>
              </w:rPr>
              <w:t xml:space="preserve">addition of </w:t>
            </w:r>
            <w:r w:rsidR="007A0E2F" w:rsidRPr="004268B2">
              <w:rPr>
                <w:rFonts w:ascii="Times New Roman" w:hAnsi="Times New Roman" w:cs="Times New Roman"/>
              </w:rPr>
              <w:t>WAC 480-109-100(10).   Admin</w:t>
            </w:r>
            <w:r w:rsidR="000200D6">
              <w:rPr>
                <w:rFonts w:ascii="Times New Roman" w:hAnsi="Times New Roman" w:cs="Times New Roman"/>
              </w:rPr>
              <w:t>i</w:t>
            </w:r>
            <w:r w:rsidR="007A0E2F" w:rsidRPr="004268B2">
              <w:rPr>
                <w:rFonts w:ascii="Times New Roman" w:hAnsi="Times New Roman" w:cs="Times New Roman"/>
              </w:rPr>
              <w:t xml:space="preserve">strative costs associated with </w:t>
            </w:r>
            <w:r w:rsidR="000200D6" w:rsidRPr="004268B2">
              <w:rPr>
                <w:rFonts w:ascii="Times New Roman" w:hAnsi="Times New Roman" w:cs="Times New Roman"/>
              </w:rPr>
              <w:t xml:space="preserve">reporting </w:t>
            </w:r>
            <w:r w:rsidR="007A0E2F" w:rsidRPr="004268B2">
              <w:rPr>
                <w:rFonts w:ascii="Times New Roman" w:hAnsi="Times New Roman" w:cs="Times New Roman"/>
              </w:rPr>
              <w:t>carbon-intensity metrics are not conservation-related</w:t>
            </w:r>
            <w:r w:rsidR="000200D6">
              <w:rPr>
                <w:rFonts w:ascii="Times New Roman" w:hAnsi="Times New Roman" w:cs="Times New Roman"/>
              </w:rPr>
              <w:t>.</w:t>
            </w:r>
            <w:r w:rsidR="007A0E2F" w:rsidRPr="004268B2">
              <w:rPr>
                <w:rFonts w:ascii="Times New Roman" w:hAnsi="Times New Roman" w:cs="Times New Roman"/>
              </w:rPr>
              <w:t xml:space="preserve"> </w:t>
            </w:r>
            <w:r w:rsidR="000200D6">
              <w:rPr>
                <w:rFonts w:ascii="Times New Roman" w:hAnsi="Times New Roman" w:cs="Times New Roman"/>
              </w:rPr>
              <w:t xml:space="preserve"> Thus, utilities may</w:t>
            </w:r>
            <w:r w:rsidR="007A0E2F" w:rsidRPr="004268B2">
              <w:rPr>
                <w:rFonts w:ascii="Times New Roman" w:hAnsi="Times New Roman" w:cs="Times New Roman"/>
              </w:rPr>
              <w:t xml:space="preserve"> not collect </w:t>
            </w:r>
            <w:r w:rsidR="000200D6">
              <w:rPr>
                <w:rFonts w:ascii="Times New Roman" w:hAnsi="Times New Roman" w:cs="Times New Roman"/>
              </w:rPr>
              <w:t xml:space="preserve">these costs </w:t>
            </w:r>
            <w:r w:rsidR="007A0E2F" w:rsidRPr="004268B2">
              <w:rPr>
                <w:rFonts w:ascii="Times New Roman" w:hAnsi="Times New Roman" w:cs="Times New Roman"/>
              </w:rPr>
              <w:t xml:space="preserve">through the conservation </w:t>
            </w:r>
            <w:r w:rsidR="00CD61CE" w:rsidRPr="004268B2">
              <w:rPr>
                <w:rFonts w:ascii="Times New Roman" w:hAnsi="Times New Roman" w:cs="Times New Roman"/>
              </w:rPr>
              <w:t>recovery adjustment</w:t>
            </w:r>
            <w:r w:rsidR="007A0E2F" w:rsidRPr="004268B2">
              <w:rPr>
                <w:rFonts w:ascii="Times New Roman" w:hAnsi="Times New Roman" w:cs="Times New Roman"/>
              </w:rPr>
              <w:t xml:space="preserve">. </w:t>
            </w:r>
          </w:p>
        </w:tc>
      </w:tr>
      <w:tr w:rsidR="003666FD" w:rsidRPr="004268B2" w14:paraId="4D9E3D38" w14:textId="77777777" w:rsidTr="00401F45">
        <w:trPr>
          <w:jc w:val="center"/>
        </w:trPr>
        <w:tc>
          <w:tcPr>
            <w:tcW w:w="1802" w:type="dxa"/>
            <w:vMerge/>
          </w:tcPr>
          <w:p w14:paraId="57B14811" w14:textId="77777777" w:rsidR="00BD7994" w:rsidRPr="004268B2" w:rsidRDefault="00BD7994" w:rsidP="00BD7994">
            <w:pPr>
              <w:rPr>
                <w:rFonts w:ascii="Times New Roman" w:hAnsi="Times New Roman" w:cs="Times New Roman"/>
                <w:b/>
              </w:rPr>
            </w:pPr>
          </w:p>
        </w:tc>
        <w:tc>
          <w:tcPr>
            <w:tcW w:w="1373" w:type="dxa"/>
          </w:tcPr>
          <w:p w14:paraId="47268C5E" w14:textId="1DAE31BF" w:rsidR="00BD7994" w:rsidRPr="004268B2" w:rsidRDefault="00BD7994" w:rsidP="00BD7994">
            <w:pPr>
              <w:rPr>
                <w:rFonts w:ascii="Times New Roman" w:hAnsi="Times New Roman" w:cs="Times New Roman"/>
              </w:rPr>
            </w:pPr>
            <w:r w:rsidRPr="004268B2">
              <w:rPr>
                <w:rFonts w:ascii="Times New Roman" w:hAnsi="Times New Roman" w:cs="Times New Roman"/>
              </w:rPr>
              <w:t>Pacific Power</w:t>
            </w:r>
          </w:p>
        </w:tc>
        <w:tc>
          <w:tcPr>
            <w:tcW w:w="5150" w:type="dxa"/>
          </w:tcPr>
          <w:p w14:paraId="2CE3C3F9" w14:textId="24E6DE17" w:rsidR="00BD7994" w:rsidRPr="004268B2" w:rsidRDefault="00BD7994" w:rsidP="00BD7994">
            <w:pPr>
              <w:rPr>
                <w:rFonts w:ascii="Times New Roman" w:hAnsi="Times New Roman" w:cs="Times New Roman"/>
              </w:rPr>
            </w:pPr>
            <w:r w:rsidRPr="004268B2">
              <w:rPr>
                <w:rFonts w:ascii="Times New Roman" w:hAnsi="Times New Roman" w:cs="Times New Roman"/>
              </w:rPr>
              <w:t>Remove “except low-income conservation programs.”</w:t>
            </w:r>
          </w:p>
        </w:tc>
        <w:tc>
          <w:tcPr>
            <w:tcW w:w="4738" w:type="dxa"/>
          </w:tcPr>
          <w:p w14:paraId="38E1E86C" w14:textId="024C4932" w:rsidR="00BD7994" w:rsidRPr="004268B2" w:rsidRDefault="0022087B" w:rsidP="00216FB9">
            <w:pPr>
              <w:rPr>
                <w:rFonts w:ascii="Times New Roman" w:hAnsi="Times New Roman" w:cs="Times New Roman"/>
              </w:rPr>
            </w:pPr>
            <w:r w:rsidRPr="004268B2">
              <w:rPr>
                <w:rFonts w:ascii="Times New Roman" w:hAnsi="Times New Roman" w:cs="Times New Roman"/>
              </w:rPr>
              <w:t xml:space="preserve">The Commission </w:t>
            </w:r>
            <w:r w:rsidR="00216FB9">
              <w:rPr>
                <w:rFonts w:ascii="Times New Roman" w:hAnsi="Times New Roman" w:cs="Times New Roman"/>
              </w:rPr>
              <w:t>declines to remove the exception for low-income programs,</w:t>
            </w:r>
            <w:r w:rsidRPr="004268B2">
              <w:rPr>
                <w:rFonts w:ascii="Times New Roman" w:hAnsi="Times New Roman" w:cs="Times New Roman"/>
              </w:rPr>
              <w:t xml:space="preserve"> and modifies this section to state,</w:t>
            </w:r>
            <w:r w:rsidR="0015766B" w:rsidRPr="004268B2">
              <w:rPr>
                <w:rFonts w:ascii="Times New Roman" w:hAnsi="Times New Roman" w:cs="Times New Roman"/>
              </w:rPr>
              <w:t xml:space="preserve"> </w:t>
            </w:r>
            <w:r w:rsidR="00BD7994" w:rsidRPr="004268B2">
              <w:rPr>
                <w:rFonts w:ascii="Times New Roman" w:hAnsi="Times New Roman" w:cs="Times New Roman"/>
              </w:rPr>
              <w:t>“…except programs described in WAC 480-109-100(</w:t>
            </w:r>
            <w:r w:rsidR="000200D6">
              <w:rPr>
                <w:rFonts w:ascii="Times New Roman" w:hAnsi="Times New Roman" w:cs="Times New Roman"/>
              </w:rPr>
              <w:t>10</w:t>
            </w:r>
            <w:r w:rsidR="00BD7994" w:rsidRPr="004268B2">
              <w:rPr>
                <w:rFonts w:ascii="Times New Roman" w:hAnsi="Times New Roman" w:cs="Times New Roman"/>
              </w:rPr>
              <w:t>).”</w:t>
            </w:r>
            <w:r w:rsidR="00216FB9">
              <w:rPr>
                <w:rFonts w:ascii="Times New Roman" w:hAnsi="Times New Roman" w:cs="Times New Roman"/>
              </w:rPr>
              <w:t xml:space="preserve">  See the adoption order for additional discussion.</w:t>
            </w:r>
          </w:p>
        </w:tc>
      </w:tr>
      <w:tr w:rsidR="003666FD" w:rsidRPr="004268B2" w14:paraId="55449A6D" w14:textId="77777777" w:rsidTr="00401F45">
        <w:trPr>
          <w:trHeight w:val="1889"/>
          <w:jc w:val="center"/>
        </w:trPr>
        <w:tc>
          <w:tcPr>
            <w:tcW w:w="1802" w:type="dxa"/>
            <w:vMerge w:val="restart"/>
          </w:tcPr>
          <w:p w14:paraId="5B7CCFBF" w14:textId="5D92E16A" w:rsidR="00A54E8C" w:rsidRPr="004268B2" w:rsidRDefault="00A54E8C" w:rsidP="00BD7994">
            <w:pPr>
              <w:rPr>
                <w:rFonts w:ascii="Times New Roman" w:hAnsi="Times New Roman" w:cs="Times New Roman"/>
                <w:b/>
              </w:rPr>
            </w:pPr>
            <w:r w:rsidRPr="004268B2">
              <w:rPr>
                <w:rFonts w:ascii="Times New Roman" w:hAnsi="Times New Roman" w:cs="Times New Roman"/>
                <w:b/>
              </w:rPr>
              <w:t>Cost-effectiveness evaluation of Low-income programs</w:t>
            </w:r>
          </w:p>
          <w:p w14:paraId="7A32215F" w14:textId="12FB643B" w:rsidR="00A54E8C" w:rsidRPr="004268B2" w:rsidRDefault="00A54E8C" w:rsidP="00BD7994">
            <w:pPr>
              <w:rPr>
                <w:rFonts w:ascii="Times New Roman" w:hAnsi="Times New Roman" w:cs="Times New Roman"/>
              </w:rPr>
            </w:pPr>
            <w:r w:rsidRPr="004268B2">
              <w:rPr>
                <w:rFonts w:ascii="Times New Roman" w:hAnsi="Times New Roman" w:cs="Times New Roman"/>
              </w:rPr>
              <w:t>WAC 480-109-100(8)(b)*</w:t>
            </w:r>
          </w:p>
          <w:p w14:paraId="70374267" w14:textId="77777777" w:rsidR="00A54E8C" w:rsidRPr="004268B2" w:rsidRDefault="00A54E8C" w:rsidP="00BD7994">
            <w:pPr>
              <w:rPr>
                <w:rFonts w:ascii="Times New Roman" w:hAnsi="Times New Roman" w:cs="Times New Roman"/>
              </w:rPr>
            </w:pPr>
          </w:p>
          <w:p w14:paraId="6B6680FB" w14:textId="2360D0B2" w:rsidR="00A54E8C" w:rsidRPr="004268B2" w:rsidRDefault="00A54E8C" w:rsidP="00A54E8C">
            <w:pPr>
              <w:rPr>
                <w:rFonts w:ascii="Times New Roman" w:hAnsi="Times New Roman" w:cs="Times New Roman"/>
                <w:i/>
              </w:rPr>
            </w:pPr>
            <w:r w:rsidRPr="004268B2">
              <w:rPr>
                <w:rFonts w:ascii="Times New Roman" w:hAnsi="Times New Roman" w:cs="Times New Roman"/>
                <w:i/>
              </w:rPr>
              <w:t>* WAC 480-109-100(10) in the rule as adopted.</w:t>
            </w:r>
          </w:p>
        </w:tc>
        <w:tc>
          <w:tcPr>
            <w:tcW w:w="1373" w:type="dxa"/>
          </w:tcPr>
          <w:p w14:paraId="51C7196C" w14:textId="77777777" w:rsidR="00A54E8C" w:rsidRPr="004268B2" w:rsidRDefault="00A54E8C" w:rsidP="00BD7994">
            <w:pPr>
              <w:rPr>
                <w:rFonts w:ascii="Times New Roman" w:hAnsi="Times New Roman" w:cs="Times New Roman"/>
              </w:rPr>
            </w:pPr>
            <w:r w:rsidRPr="004268B2">
              <w:rPr>
                <w:rFonts w:ascii="Times New Roman" w:hAnsi="Times New Roman" w:cs="Times New Roman"/>
              </w:rPr>
              <w:t>Pacific Power</w:t>
            </w:r>
          </w:p>
          <w:p w14:paraId="566EFB4B" w14:textId="77777777" w:rsidR="00A54E8C" w:rsidRPr="004268B2" w:rsidRDefault="00A54E8C" w:rsidP="00BD7994">
            <w:pPr>
              <w:rPr>
                <w:rFonts w:ascii="Times New Roman" w:hAnsi="Times New Roman" w:cs="Times New Roman"/>
              </w:rPr>
            </w:pPr>
          </w:p>
        </w:tc>
        <w:tc>
          <w:tcPr>
            <w:tcW w:w="5150" w:type="dxa"/>
          </w:tcPr>
          <w:p w14:paraId="5FEB9A61" w14:textId="45DD9AE8" w:rsidR="00A54E8C" w:rsidRPr="004268B2" w:rsidRDefault="00A54E8C" w:rsidP="00BD7994">
            <w:pPr>
              <w:pStyle w:val="ListParagraph"/>
              <w:numPr>
                <w:ilvl w:val="0"/>
                <w:numId w:val="4"/>
              </w:numPr>
              <w:rPr>
                <w:rFonts w:ascii="Times New Roman" w:hAnsi="Times New Roman" w:cs="Times New Roman"/>
              </w:rPr>
            </w:pPr>
            <w:r w:rsidRPr="004268B2">
              <w:rPr>
                <w:rFonts w:ascii="Times New Roman" w:hAnsi="Times New Roman" w:cs="Times New Roman"/>
              </w:rPr>
              <w:t xml:space="preserve"> (8)(b): Delete entire subsection and subparts.  Until the ramifications of this proposed change have been reviewed, it is prudent to continue to apply the same cost-effectiveness tests to all programs.  It isn’t possible to use this screening for measures within the CPA and IRP planning phases.  Some measures might be cost-effective if installed in a low-income home, but not in a non-low-income home. (Pacific Power)</w:t>
            </w:r>
          </w:p>
          <w:p w14:paraId="7AAB4B7A" w14:textId="618C9EA8" w:rsidR="00A54E8C" w:rsidRPr="004268B2" w:rsidRDefault="00A54E8C" w:rsidP="00BD7994">
            <w:pPr>
              <w:pStyle w:val="ListParagraph"/>
              <w:numPr>
                <w:ilvl w:val="0"/>
                <w:numId w:val="4"/>
              </w:numPr>
              <w:rPr>
                <w:rFonts w:ascii="Times New Roman" w:hAnsi="Times New Roman" w:cs="Times New Roman"/>
              </w:rPr>
            </w:pPr>
            <w:r w:rsidRPr="004268B2">
              <w:rPr>
                <w:rFonts w:ascii="Times New Roman" w:hAnsi="Times New Roman" w:cs="Times New Roman"/>
              </w:rPr>
              <w:t>(8)(b)(i) Requires a utility to evaluate low-income conservation programs using the SIR or the Council’s method.  This suggests that a utility has the choice between the two methodologies. (Pacific Power)</w:t>
            </w:r>
          </w:p>
        </w:tc>
        <w:tc>
          <w:tcPr>
            <w:tcW w:w="4738" w:type="dxa"/>
            <w:vMerge w:val="restart"/>
          </w:tcPr>
          <w:p w14:paraId="187B825B" w14:textId="2D32955D" w:rsidR="00A54E8C" w:rsidRPr="004268B2" w:rsidRDefault="00A54E8C" w:rsidP="000200D6">
            <w:pPr>
              <w:rPr>
                <w:rFonts w:ascii="Times New Roman" w:hAnsi="Times New Roman" w:cs="Times New Roman"/>
              </w:rPr>
            </w:pPr>
            <w:r w:rsidRPr="004268B2">
              <w:rPr>
                <w:rFonts w:ascii="Times New Roman" w:hAnsi="Times New Roman" w:cs="Times New Roman"/>
              </w:rPr>
              <w:t>The Commission ad</w:t>
            </w:r>
            <w:r w:rsidR="000200D6">
              <w:rPr>
                <w:rFonts w:ascii="Times New Roman" w:hAnsi="Times New Roman" w:cs="Times New Roman"/>
              </w:rPr>
              <w:t>d</w:t>
            </w:r>
            <w:r w:rsidRPr="004268B2">
              <w:rPr>
                <w:rFonts w:ascii="Times New Roman" w:hAnsi="Times New Roman" w:cs="Times New Roman"/>
              </w:rPr>
              <w:t>s WAC 480-109-100(10)</w:t>
            </w:r>
            <w:r w:rsidR="000200D6">
              <w:rPr>
                <w:rFonts w:ascii="Times New Roman" w:hAnsi="Times New Roman" w:cs="Times New Roman"/>
              </w:rPr>
              <w:t xml:space="preserve"> to address</w:t>
            </w:r>
            <w:r w:rsidRPr="004268B2">
              <w:rPr>
                <w:rFonts w:ascii="Times New Roman" w:hAnsi="Times New Roman" w:cs="Times New Roman"/>
              </w:rPr>
              <w:t xml:space="preserve"> low-income conservation, </w:t>
            </w:r>
            <w:r w:rsidRPr="00D5485E">
              <w:rPr>
                <w:rFonts w:ascii="Times New Roman" w:hAnsi="Times New Roman" w:cs="Times New Roman"/>
              </w:rPr>
              <w:t xml:space="preserve">described in detail in the </w:t>
            </w:r>
            <w:r w:rsidR="00CD61CE" w:rsidRPr="00D5485E">
              <w:rPr>
                <w:rFonts w:ascii="Times New Roman" w:hAnsi="Times New Roman" w:cs="Times New Roman"/>
              </w:rPr>
              <w:t>a</w:t>
            </w:r>
            <w:r w:rsidRPr="00D5485E">
              <w:rPr>
                <w:rFonts w:ascii="Times New Roman" w:hAnsi="Times New Roman" w:cs="Times New Roman"/>
              </w:rPr>
              <w:t xml:space="preserve">doption </w:t>
            </w:r>
            <w:r w:rsidR="00CD61CE" w:rsidRPr="00D5485E">
              <w:rPr>
                <w:rFonts w:ascii="Times New Roman" w:hAnsi="Times New Roman" w:cs="Times New Roman"/>
              </w:rPr>
              <w:t>o</w:t>
            </w:r>
            <w:r w:rsidRPr="00D5485E">
              <w:rPr>
                <w:rFonts w:ascii="Times New Roman" w:hAnsi="Times New Roman" w:cs="Times New Roman"/>
              </w:rPr>
              <w:t>rder.</w:t>
            </w:r>
            <w:r w:rsidRPr="004268B2">
              <w:rPr>
                <w:rFonts w:ascii="Times New Roman" w:hAnsi="Times New Roman" w:cs="Times New Roman"/>
              </w:rPr>
              <w:t xml:space="preserve">  The Commission believes this new subsection addresses the concerns of all stakeholders.  The Commission appreciates the stakeholders’ contributions to the development of the revised language.  </w:t>
            </w:r>
          </w:p>
        </w:tc>
      </w:tr>
      <w:tr w:rsidR="003666FD" w:rsidRPr="004268B2" w14:paraId="31862DEF" w14:textId="77777777" w:rsidTr="00401F45">
        <w:trPr>
          <w:jc w:val="center"/>
        </w:trPr>
        <w:tc>
          <w:tcPr>
            <w:tcW w:w="1802" w:type="dxa"/>
            <w:vMerge/>
          </w:tcPr>
          <w:p w14:paraId="60AB26FA" w14:textId="5F69D5CC" w:rsidR="00A54E8C" w:rsidRPr="004268B2" w:rsidRDefault="00A54E8C" w:rsidP="00BD7994">
            <w:pPr>
              <w:rPr>
                <w:rFonts w:ascii="Times New Roman" w:hAnsi="Times New Roman" w:cs="Times New Roman"/>
              </w:rPr>
            </w:pPr>
          </w:p>
        </w:tc>
        <w:tc>
          <w:tcPr>
            <w:tcW w:w="1373" w:type="dxa"/>
          </w:tcPr>
          <w:p w14:paraId="210324F5" w14:textId="4FEE17DB" w:rsidR="00A54E8C" w:rsidRPr="004268B2" w:rsidRDefault="00A54E8C" w:rsidP="00BD7994">
            <w:pPr>
              <w:rPr>
                <w:rFonts w:ascii="Times New Roman" w:hAnsi="Times New Roman" w:cs="Times New Roman"/>
              </w:rPr>
            </w:pPr>
            <w:r w:rsidRPr="004268B2">
              <w:rPr>
                <w:rFonts w:ascii="Times New Roman" w:hAnsi="Times New Roman" w:cs="Times New Roman"/>
              </w:rPr>
              <w:t>PSE</w:t>
            </w:r>
          </w:p>
        </w:tc>
        <w:tc>
          <w:tcPr>
            <w:tcW w:w="5150" w:type="dxa"/>
          </w:tcPr>
          <w:p w14:paraId="26D26B2F" w14:textId="39AAFE40" w:rsidR="00A54E8C" w:rsidRPr="004268B2" w:rsidRDefault="00A54E8C" w:rsidP="00BD7994">
            <w:pPr>
              <w:pStyle w:val="ListParagraph"/>
              <w:numPr>
                <w:ilvl w:val="0"/>
                <w:numId w:val="4"/>
              </w:numPr>
              <w:rPr>
                <w:rFonts w:ascii="Times New Roman" w:hAnsi="Times New Roman" w:cs="Times New Roman"/>
              </w:rPr>
            </w:pPr>
            <w:r w:rsidRPr="004268B2">
              <w:rPr>
                <w:rFonts w:ascii="Times New Roman" w:hAnsi="Times New Roman" w:cs="Times New Roman"/>
              </w:rPr>
              <w:t xml:space="preserve">The proposed language would add layers of review and processing, and increase the administrative costs to the low-income program:  </w:t>
            </w:r>
          </w:p>
          <w:p w14:paraId="3059D743" w14:textId="59BF1CFC" w:rsidR="00A54E8C" w:rsidRPr="004268B2" w:rsidRDefault="00A54E8C" w:rsidP="00BD7994">
            <w:pPr>
              <w:pStyle w:val="ListParagraph"/>
              <w:numPr>
                <w:ilvl w:val="0"/>
                <w:numId w:val="29"/>
              </w:numPr>
              <w:rPr>
                <w:rFonts w:ascii="Times New Roman" w:hAnsi="Times New Roman" w:cs="Times New Roman"/>
              </w:rPr>
            </w:pPr>
            <w:r w:rsidRPr="004268B2">
              <w:rPr>
                <w:rFonts w:ascii="Times New Roman" w:hAnsi="Times New Roman" w:cs="Times New Roman"/>
              </w:rPr>
              <w:t xml:space="preserve">It would require an entirely new tracking and reporting system, cause the agency to have to track two sets of data.  </w:t>
            </w:r>
          </w:p>
          <w:p w14:paraId="2EF48A7B" w14:textId="13C7D8F9" w:rsidR="00A54E8C" w:rsidRPr="004268B2" w:rsidRDefault="00A54E8C" w:rsidP="00BD7994">
            <w:pPr>
              <w:pStyle w:val="ListParagraph"/>
              <w:numPr>
                <w:ilvl w:val="0"/>
                <w:numId w:val="29"/>
              </w:numPr>
              <w:rPr>
                <w:rFonts w:ascii="Times New Roman" w:hAnsi="Times New Roman" w:cs="Times New Roman"/>
              </w:rPr>
            </w:pPr>
            <w:r w:rsidRPr="004268B2">
              <w:rPr>
                <w:rFonts w:ascii="Times New Roman" w:hAnsi="Times New Roman" w:cs="Times New Roman"/>
              </w:rPr>
              <w:t xml:space="preserve">Commerce already verifies the application of the SIR model.  Requiring utilities to perform the test is redundant. </w:t>
            </w:r>
          </w:p>
          <w:p w14:paraId="522113D4" w14:textId="74DB91BC" w:rsidR="00A54E8C" w:rsidRPr="004268B2" w:rsidRDefault="00A54E8C" w:rsidP="00BD7994">
            <w:pPr>
              <w:pStyle w:val="ListParagraph"/>
              <w:numPr>
                <w:ilvl w:val="0"/>
                <w:numId w:val="29"/>
              </w:numPr>
              <w:rPr>
                <w:rFonts w:ascii="Times New Roman" w:hAnsi="Times New Roman" w:cs="Times New Roman"/>
              </w:rPr>
            </w:pPr>
            <w:r w:rsidRPr="004268B2">
              <w:rPr>
                <w:rFonts w:ascii="Times New Roman" w:hAnsi="Times New Roman" w:cs="Times New Roman"/>
              </w:rPr>
              <w:lastRenderedPageBreak/>
              <w:t xml:space="preserve">If the agencies were required to perform TREAT modeling for each project, the cost-effectiveness of the program would be at risk. </w:t>
            </w:r>
          </w:p>
          <w:p w14:paraId="10AD8035" w14:textId="03BDE3A2" w:rsidR="00A54E8C" w:rsidRPr="004268B2" w:rsidRDefault="00A54E8C" w:rsidP="00BD7994">
            <w:pPr>
              <w:pStyle w:val="ListParagraph"/>
              <w:numPr>
                <w:ilvl w:val="0"/>
                <w:numId w:val="4"/>
              </w:numPr>
              <w:rPr>
                <w:rFonts w:ascii="Times New Roman" w:hAnsi="Times New Roman" w:cs="Times New Roman"/>
              </w:rPr>
            </w:pPr>
            <w:r w:rsidRPr="004268B2">
              <w:rPr>
                <w:rFonts w:ascii="Times New Roman" w:hAnsi="Times New Roman" w:cs="Times New Roman"/>
              </w:rPr>
              <w:t>(8)(b)(i) Replace with:  “(i) A utility must base its low-income program cost-effectiveness reporting on data provided by low-income agencies.  This data may be based on the SIR method for priority matrix measures and measures recommended by TREAT models.”</w:t>
            </w:r>
          </w:p>
        </w:tc>
        <w:tc>
          <w:tcPr>
            <w:tcW w:w="4738" w:type="dxa"/>
            <w:vMerge/>
          </w:tcPr>
          <w:p w14:paraId="6B1C2361" w14:textId="32604AF3" w:rsidR="00A54E8C" w:rsidRPr="004268B2" w:rsidRDefault="00A54E8C" w:rsidP="00A54E8C">
            <w:pPr>
              <w:rPr>
                <w:rFonts w:ascii="Times New Roman" w:hAnsi="Times New Roman" w:cs="Times New Roman"/>
              </w:rPr>
            </w:pPr>
          </w:p>
        </w:tc>
      </w:tr>
      <w:tr w:rsidR="003666FD" w:rsidRPr="004268B2" w14:paraId="78BF9BF1" w14:textId="77777777" w:rsidTr="00401F45">
        <w:trPr>
          <w:trHeight w:val="1061"/>
          <w:jc w:val="center"/>
        </w:trPr>
        <w:tc>
          <w:tcPr>
            <w:tcW w:w="1802" w:type="dxa"/>
            <w:vMerge/>
          </w:tcPr>
          <w:p w14:paraId="78BF9BE1" w14:textId="3B26ED49" w:rsidR="00A54E8C" w:rsidRPr="004268B2" w:rsidRDefault="00A54E8C" w:rsidP="00BD7994">
            <w:pPr>
              <w:rPr>
                <w:rFonts w:ascii="Times New Roman" w:hAnsi="Times New Roman" w:cs="Times New Roman"/>
              </w:rPr>
            </w:pPr>
          </w:p>
        </w:tc>
        <w:tc>
          <w:tcPr>
            <w:tcW w:w="1373" w:type="dxa"/>
          </w:tcPr>
          <w:p w14:paraId="78BF9BE6" w14:textId="652442E3" w:rsidR="00A54E8C" w:rsidRPr="004268B2" w:rsidRDefault="00A54E8C" w:rsidP="00BD7994">
            <w:pPr>
              <w:rPr>
                <w:rFonts w:ascii="Times New Roman" w:hAnsi="Times New Roman" w:cs="Times New Roman"/>
              </w:rPr>
            </w:pPr>
            <w:r w:rsidRPr="004268B2">
              <w:rPr>
                <w:rFonts w:ascii="Times New Roman" w:hAnsi="Times New Roman" w:cs="Times New Roman"/>
              </w:rPr>
              <w:t>NWEC</w:t>
            </w:r>
          </w:p>
        </w:tc>
        <w:tc>
          <w:tcPr>
            <w:tcW w:w="5150" w:type="dxa"/>
          </w:tcPr>
          <w:p w14:paraId="78BF9BEF" w14:textId="059F4F24" w:rsidR="00A54E8C" w:rsidRPr="004268B2" w:rsidRDefault="00A54E8C" w:rsidP="00BD7994">
            <w:pPr>
              <w:rPr>
                <w:rFonts w:ascii="Times New Roman" w:hAnsi="Times New Roman" w:cs="Times New Roman"/>
              </w:rPr>
            </w:pPr>
            <w:r w:rsidRPr="004268B2">
              <w:rPr>
                <w:rFonts w:ascii="Times New Roman" w:hAnsi="Times New Roman" w:cs="Times New Roman"/>
              </w:rPr>
              <w:t>The rules should clarify that utilities should use the most current weatherization manual for the SIR.  The treatment of low-income programs is appropriate, and the emphasis on cost-effectiveness at the portfolio level is consistent with the “bundled” measure approach, and provides appropriate benefits to customers.</w:t>
            </w:r>
          </w:p>
        </w:tc>
        <w:tc>
          <w:tcPr>
            <w:tcW w:w="4738" w:type="dxa"/>
            <w:vMerge/>
          </w:tcPr>
          <w:p w14:paraId="78BF9BF0" w14:textId="7A6AAF1D" w:rsidR="00A54E8C" w:rsidRPr="004268B2" w:rsidRDefault="00A54E8C" w:rsidP="00A54E8C">
            <w:pPr>
              <w:rPr>
                <w:rFonts w:ascii="Times New Roman" w:hAnsi="Times New Roman" w:cs="Times New Roman"/>
              </w:rPr>
            </w:pPr>
          </w:p>
        </w:tc>
      </w:tr>
      <w:tr w:rsidR="003666FD" w:rsidRPr="004268B2" w14:paraId="623C302A" w14:textId="77777777" w:rsidTr="00401F45">
        <w:trPr>
          <w:jc w:val="center"/>
        </w:trPr>
        <w:tc>
          <w:tcPr>
            <w:tcW w:w="1802" w:type="dxa"/>
            <w:vMerge/>
          </w:tcPr>
          <w:p w14:paraId="18211FF8" w14:textId="77777777" w:rsidR="00A54E8C" w:rsidRPr="004268B2" w:rsidRDefault="00A54E8C" w:rsidP="00BD7994">
            <w:pPr>
              <w:rPr>
                <w:rFonts w:ascii="Times New Roman" w:hAnsi="Times New Roman" w:cs="Times New Roman"/>
                <w:b/>
              </w:rPr>
            </w:pPr>
          </w:p>
        </w:tc>
        <w:tc>
          <w:tcPr>
            <w:tcW w:w="1373" w:type="dxa"/>
          </w:tcPr>
          <w:p w14:paraId="49D43EC4" w14:textId="6F4551F8" w:rsidR="00A54E8C" w:rsidRPr="004268B2" w:rsidRDefault="00A54E8C" w:rsidP="00BD7994">
            <w:pPr>
              <w:rPr>
                <w:rFonts w:ascii="Times New Roman" w:hAnsi="Times New Roman" w:cs="Times New Roman"/>
              </w:rPr>
            </w:pPr>
            <w:r w:rsidRPr="004268B2">
              <w:rPr>
                <w:rFonts w:ascii="Times New Roman" w:hAnsi="Times New Roman" w:cs="Times New Roman"/>
              </w:rPr>
              <w:t>Energy Project</w:t>
            </w:r>
          </w:p>
        </w:tc>
        <w:tc>
          <w:tcPr>
            <w:tcW w:w="5150" w:type="dxa"/>
          </w:tcPr>
          <w:p w14:paraId="4107BFD5" w14:textId="2C439351" w:rsidR="00A54E8C" w:rsidRPr="004268B2" w:rsidRDefault="00D64298" w:rsidP="00D64298">
            <w:pPr>
              <w:rPr>
                <w:rFonts w:ascii="Times New Roman" w:hAnsi="Times New Roman" w:cs="Times New Roman"/>
              </w:rPr>
            </w:pPr>
            <w:r w:rsidRPr="004268B2">
              <w:rPr>
                <w:rFonts w:ascii="Times New Roman" w:hAnsi="Times New Roman" w:cs="Times New Roman"/>
              </w:rPr>
              <w:t xml:space="preserve">The title of </w:t>
            </w:r>
            <w:r w:rsidR="00A54E8C" w:rsidRPr="004268B2">
              <w:rPr>
                <w:rFonts w:ascii="Times New Roman" w:hAnsi="Times New Roman" w:cs="Times New Roman"/>
              </w:rPr>
              <w:t xml:space="preserve">the </w:t>
            </w:r>
            <w:r w:rsidR="00A54E8C" w:rsidRPr="004268B2">
              <w:rPr>
                <w:rFonts w:ascii="Times New Roman" w:hAnsi="Times New Roman" w:cs="Times New Roman"/>
                <w:i/>
              </w:rPr>
              <w:t xml:space="preserve">Weatherization Manual </w:t>
            </w:r>
            <w:r w:rsidRPr="004268B2">
              <w:rPr>
                <w:rFonts w:ascii="Times New Roman" w:hAnsi="Times New Roman" w:cs="Times New Roman"/>
              </w:rPr>
              <w:t xml:space="preserve">changed; include the new </w:t>
            </w:r>
            <w:r w:rsidR="00A54E8C" w:rsidRPr="004268B2">
              <w:rPr>
                <w:rFonts w:ascii="Times New Roman" w:hAnsi="Times New Roman" w:cs="Times New Roman"/>
              </w:rPr>
              <w:t xml:space="preserve">title in the </w:t>
            </w:r>
            <w:r w:rsidRPr="004268B2">
              <w:rPr>
                <w:rFonts w:ascii="Times New Roman" w:hAnsi="Times New Roman" w:cs="Times New Roman"/>
              </w:rPr>
              <w:t>rule</w:t>
            </w:r>
            <w:r w:rsidR="00A54E8C" w:rsidRPr="004268B2">
              <w:rPr>
                <w:rFonts w:ascii="Times New Roman" w:hAnsi="Times New Roman" w:cs="Times New Roman"/>
              </w:rPr>
              <w:t>.</w:t>
            </w:r>
            <w:r w:rsidR="00C138BF" w:rsidRPr="00C138BF">
              <w:rPr>
                <w:rFonts w:ascii="Times New Roman" w:hAnsi="Times New Roman" w:cs="Times New Roman"/>
              </w:rPr>
              <w:t xml:space="preserve">  Implicit in the adoption of the </w:t>
            </w:r>
            <w:r w:rsidR="00C138BF" w:rsidRPr="00C138BF">
              <w:rPr>
                <w:rFonts w:ascii="Times New Roman" w:hAnsi="Times New Roman" w:cs="Times New Roman"/>
                <w:i/>
              </w:rPr>
              <w:t>Weatherization Manual</w:t>
            </w:r>
            <w:r w:rsidR="00C138BF" w:rsidRPr="00C138BF">
              <w:rPr>
                <w:rFonts w:ascii="Times New Roman" w:hAnsi="Times New Roman" w:cs="Times New Roman"/>
              </w:rPr>
              <w:t xml:space="preserve"> is the acceptance of the use of a priority list of measures that agencies can install without running a computer program to develop a site specific calculation of an SIR.  </w:t>
            </w:r>
          </w:p>
          <w:p w14:paraId="6E78BE97" w14:textId="0F409DAF" w:rsidR="00A54E8C" w:rsidRPr="004268B2" w:rsidRDefault="00A54E8C" w:rsidP="00D64298">
            <w:pPr>
              <w:rPr>
                <w:rFonts w:ascii="Times New Roman" w:hAnsi="Times New Roman" w:cs="Times New Roman"/>
              </w:rPr>
            </w:pPr>
            <w:r w:rsidRPr="004268B2">
              <w:rPr>
                <w:rFonts w:ascii="Times New Roman" w:hAnsi="Times New Roman" w:cs="Times New Roman"/>
              </w:rPr>
              <w:t xml:space="preserve">The SIR calculation fails to recognize all of the benefits that accrue from the work while counting all the repair costs (life of the </w:t>
            </w:r>
            <w:r w:rsidR="00D64298" w:rsidRPr="004268B2">
              <w:rPr>
                <w:rFonts w:ascii="Times New Roman" w:hAnsi="Times New Roman" w:cs="Times New Roman"/>
              </w:rPr>
              <w:t>structure, health of occupants).</w:t>
            </w:r>
          </w:p>
        </w:tc>
        <w:tc>
          <w:tcPr>
            <w:tcW w:w="4738" w:type="dxa"/>
            <w:vMerge/>
          </w:tcPr>
          <w:p w14:paraId="29349B72" w14:textId="48500D6D" w:rsidR="00A54E8C" w:rsidRPr="004268B2" w:rsidRDefault="00A54E8C" w:rsidP="00A54E8C">
            <w:pPr>
              <w:rPr>
                <w:rFonts w:ascii="Times New Roman" w:hAnsi="Times New Roman" w:cs="Times New Roman"/>
              </w:rPr>
            </w:pPr>
          </w:p>
        </w:tc>
      </w:tr>
      <w:tr w:rsidR="003666FD" w:rsidRPr="004268B2" w14:paraId="78BF9BF7" w14:textId="77777777" w:rsidTr="00401F45">
        <w:trPr>
          <w:jc w:val="center"/>
        </w:trPr>
        <w:tc>
          <w:tcPr>
            <w:tcW w:w="1802" w:type="dxa"/>
          </w:tcPr>
          <w:p w14:paraId="78BF9BF2" w14:textId="24B93B34" w:rsidR="00BD7994" w:rsidRPr="004268B2" w:rsidRDefault="00BD7994" w:rsidP="00BD7994">
            <w:pPr>
              <w:rPr>
                <w:rFonts w:ascii="Times New Roman" w:hAnsi="Times New Roman" w:cs="Times New Roman"/>
                <w:b/>
              </w:rPr>
            </w:pPr>
            <w:r w:rsidRPr="004268B2">
              <w:rPr>
                <w:rFonts w:ascii="Times New Roman" w:hAnsi="Times New Roman" w:cs="Times New Roman"/>
                <w:b/>
              </w:rPr>
              <w:t>Incentives</w:t>
            </w:r>
          </w:p>
          <w:p w14:paraId="78BF9BF3" w14:textId="77777777" w:rsidR="00BD7994" w:rsidRPr="004268B2" w:rsidRDefault="00BD7994" w:rsidP="00BD7994">
            <w:pPr>
              <w:rPr>
                <w:rFonts w:ascii="Times New Roman" w:hAnsi="Times New Roman" w:cs="Times New Roman"/>
              </w:rPr>
            </w:pPr>
            <w:r w:rsidRPr="004268B2">
              <w:rPr>
                <w:rFonts w:ascii="Times New Roman" w:hAnsi="Times New Roman" w:cs="Times New Roman"/>
              </w:rPr>
              <w:t>WAC 480-109-100(9)</w:t>
            </w:r>
          </w:p>
        </w:tc>
        <w:tc>
          <w:tcPr>
            <w:tcW w:w="1373" w:type="dxa"/>
          </w:tcPr>
          <w:p w14:paraId="78BF9BF4" w14:textId="77777777" w:rsidR="00BD7994" w:rsidRPr="004268B2" w:rsidRDefault="00BD7994" w:rsidP="00BD7994">
            <w:pPr>
              <w:rPr>
                <w:rFonts w:ascii="Times New Roman" w:hAnsi="Times New Roman" w:cs="Times New Roman"/>
              </w:rPr>
            </w:pPr>
            <w:r w:rsidRPr="004268B2">
              <w:rPr>
                <w:rFonts w:ascii="Times New Roman" w:hAnsi="Times New Roman" w:cs="Times New Roman"/>
              </w:rPr>
              <w:t>NWEC</w:t>
            </w:r>
          </w:p>
        </w:tc>
        <w:tc>
          <w:tcPr>
            <w:tcW w:w="5150" w:type="dxa"/>
          </w:tcPr>
          <w:p w14:paraId="78BF9BF5" w14:textId="77777777" w:rsidR="00BD7994" w:rsidRPr="004268B2" w:rsidRDefault="00BD7994" w:rsidP="00BD7994">
            <w:pPr>
              <w:rPr>
                <w:rFonts w:ascii="Times New Roman" w:hAnsi="Times New Roman" w:cs="Times New Roman"/>
              </w:rPr>
            </w:pPr>
            <w:r w:rsidRPr="004268B2">
              <w:rPr>
                <w:rFonts w:ascii="Times New Roman" w:hAnsi="Times New Roman" w:cs="Times New Roman"/>
              </w:rPr>
              <w:t>Biennial conservation plan proceedings are comprehensive and an appropriate place for a discussion of the merits and impacts of a utility incentive.</w:t>
            </w:r>
          </w:p>
        </w:tc>
        <w:tc>
          <w:tcPr>
            <w:tcW w:w="4738" w:type="dxa"/>
          </w:tcPr>
          <w:p w14:paraId="78BF9BF6" w14:textId="787F8B31" w:rsidR="00BD7994" w:rsidRPr="004268B2" w:rsidRDefault="00F13C1E" w:rsidP="00F554DF">
            <w:pPr>
              <w:rPr>
                <w:rFonts w:ascii="Times New Roman" w:hAnsi="Times New Roman" w:cs="Times New Roman"/>
              </w:rPr>
            </w:pPr>
            <w:r w:rsidRPr="004268B2">
              <w:rPr>
                <w:rFonts w:ascii="Times New Roman" w:hAnsi="Times New Roman" w:cs="Times New Roman"/>
              </w:rPr>
              <w:t xml:space="preserve">We add the word “utility” to the title and the second sentence </w:t>
            </w:r>
            <w:r w:rsidR="00A54E8C" w:rsidRPr="004268B2">
              <w:rPr>
                <w:rFonts w:ascii="Times New Roman" w:hAnsi="Times New Roman" w:cs="Times New Roman"/>
              </w:rPr>
              <w:t>to clarify that this subsection refers to “utility in</w:t>
            </w:r>
            <w:r w:rsidR="00DF13BF" w:rsidRPr="004268B2">
              <w:rPr>
                <w:rFonts w:ascii="Times New Roman" w:hAnsi="Times New Roman" w:cs="Times New Roman"/>
              </w:rPr>
              <w:t>c</w:t>
            </w:r>
            <w:r w:rsidR="00A54E8C" w:rsidRPr="004268B2">
              <w:rPr>
                <w:rFonts w:ascii="Times New Roman" w:hAnsi="Times New Roman" w:cs="Times New Roman"/>
              </w:rPr>
              <w:t>entives.”</w:t>
            </w:r>
          </w:p>
        </w:tc>
      </w:tr>
      <w:tr w:rsidR="003666FD" w:rsidRPr="004268B2" w14:paraId="3A82A939" w14:textId="77777777" w:rsidTr="00401F45">
        <w:trPr>
          <w:trHeight w:val="1658"/>
          <w:jc w:val="center"/>
        </w:trPr>
        <w:tc>
          <w:tcPr>
            <w:tcW w:w="1802" w:type="dxa"/>
          </w:tcPr>
          <w:p w14:paraId="7FB77E5B" w14:textId="40FF7F1F" w:rsidR="00BD7994" w:rsidRPr="004268B2" w:rsidRDefault="00BD7994" w:rsidP="00BD7994">
            <w:pPr>
              <w:rPr>
                <w:rFonts w:ascii="Times New Roman" w:hAnsi="Times New Roman" w:cs="Times New Roman"/>
                <w:b/>
              </w:rPr>
            </w:pPr>
            <w:r w:rsidRPr="004268B2">
              <w:rPr>
                <w:rFonts w:ascii="Times New Roman" w:hAnsi="Times New Roman" w:cs="Times New Roman"/>
                <w:b/>
              </w:rPr>
              <w:t>Conservation advisory groups</w:t>
            </w:r>
          </w:p>
          <w:p w14:paraId="642DBD45" w14:textId="092C3344" w:rsidR="00BD7994" w:rsidRPr="004268B2" w:rsidRDefault="00BD7994" w:rsidP="00BD7994">
            <w:pPr>
              <w:rPr>
                <w:rFonts w:ascii="Times New Roman" w:hAnsi="Times New Roman" w:cs="Times New Roman"/>
              </w:rPr>
            </w:pPr>
            <w:r w:rsidRPr="004268B2">
              <w:rPr>
                <w:rFonts w:ascii="Times New Roman" w:hAnsi="Times New Roman" w:cs="Times New Roman"/>
              </w:rPr>
              <w:t>WAC 480-109-110(1)</w:t>
            </w:r>
          </w:p>
          <w:p w14:paraId="57CB558C" w14:textId="77777777" w:rsidR="00BD7994" w:rsidRPr="004268B2" w:rsidRDefault="00BD7994" w:rsidP="00BD7994">
            <w:pPr>
              <w:rPr>
                <w:rFonts w:ascii="Times New Roman" w:hAnsi="Times New Roman" w:cs="Times New Roman"/>
                <w:b/>
              </w:rPr>
            </w:pPr>
          </w:p>
        </w:tc>
        <w:tc>
          <w:tcPr>
            <w:tcW w:w="1373" w:type="dxa"/>
          </w:tcPr>
          <w:p w14:paraId="481C2A70" w14:textId="77777777" w:rsidR="00BD7994" w:rsidRPr="004268B2" w:rsidRDefault="00BD7994" w:rsidP="00BD7994">
            <w:pPr>
              <w:rPr>
                <w:rFonts w:ascii="Times New Roman" w:hAnsi="Times New Roman" w:cs="Times New Roman"/>
              </w:rPr>
            </w:pPr>
            <w:r w:rsidRPr="004268B2">
              <w:rPr>
                <w:rFonts w:ascii="Times New Roman" w:hAnsi="Times New Roman" w:cs="Times New Roman"/>
              </w:rPr>
              <w:t>PSE</w:t>
            </w:r>
          </w:p>
          <w:p w14:paraId="2E9DCAC1" w14:textId="77777777" w:rsidR="00BD7994" w:rsidRPr="004268B2" w:rsidRDefault="00BD7994" w:rsidP="00BD7994">
            <w:pPr>
              <w:rPr>
                <w:rFonts w:ascii="Times New Roman" w:hAnsi="Times New Roman" w:cs="Times New Roman"/>
              </w:rPr>
            </w:pPr>
          </w:p>
        </w:tc>
        <w:tc>
          <w:tcPr>
            <w:tcW w:w="5150" w:type="dxa"/>
          </w:tcPr>
          <w:p w14:paraId="31A91D49" w14:textId="6141E26F" w:rsidR="00BD7994" w:rsidRPr="004268B2" w:rsidRDefault="00BD7994" w:rsidP="00BD7994">
            <w:pPr>
              <w:pStyle w:val="ListParagraph"/>
              <w:numPr>
                <w:ilvl w:val="0"/>
                <w:numId w:val="20"/>
              </w:numPr>
              <w:rPr>
                <w:rFonts w:ascii="Times New Roman" w:hAnsi="Times New Roman" w:cs="Times New Roman"/>
              </w:rPr>
            </w:pPr>
            <w:r w:rsidRPr="004268B2">
              <w:rPr>
                <w:rFonts w:ascii="Times New Roman" w:hAnsi="Times New Roman" w:cs="Times New Roman"/>
              </w:rPr>
              <w:t>(1)(</w:t>
            </w:r>
            <w:r w:rsidR="001E1AF8">
              <w:rPr>
                <w:rFonts w:ascii="Times New Roman" w:hAnsi="Times New Roman" w:cs="Times New Roman"/>
              </w:rPr>
              <w:t>d</w:t>
            </w:r>
            <w:r w:rsidRPr="004268B2">
              <w:rPr>
                <w:rFonts w:ascii="Times New Roman" w:hAnsi="Times New Roman" w:cs="Times New Roman"/>
              </w:rPr>
              <w:t>) Replace “evaluation” with “review.”</w:t>
            </w:r>
          </w:p>
          <w:p w14:paraId="7678215B" w14:textId="5C80195A" w:rsidR="00BD7994" w:rsidRPr="004268B2" w:rsidRDefault="00BD7994" w:rsidP="001E1AF8">
            <w:pPr>
              <w:pStyle w:val="ListParagraph"/>
              <w:numPr>
                <w:ilvl w:val="0"/>
                <w:numId w:val="20"/>
              </w:numPr>
              <w:rPr>
                <w:rFonts w:ascii="Times New Roman" w:hAnsi="Times New Roman" w:cs="Times New Roman"/>
              </w:rPr>
            </w:pPr>
            <w:r w:rsidRPr="004268B2">
              <w:rPr>
                <w:rFonts w:ascii="Times New Roman" w:hAnsi="Times New Roman" w:cs="Times New Roman"/>
              </w:rPr>
              <w:t>(1)(</w:t>
            </w:r>
            <w:r w:rsidR="001E1AF8">
              <w:rPr>
                <w:rFonts w:ascii="Times New Roman" w:hAnsi="Times New Roman" w:cs="Times New Roman"/>
              </w:rPr>
              <w:t>e</w:t>
            </w:r>
            <w:r w:rsidRPr="004268B2">
              <w:rPr>
                <w:rFonts w:ascii="Times New Roman" w:hAnsi="Times New Roman" w:cs="Times New Roman"/>
              </w:rPr>
              <w:t>) &amp; (</w:t>
            </w:r>
            <w:r w:rsidR="001E1AF8">
              <w:rPr>
                <w:rFonts w:ascii="Times New Roman" w:hAnsi="Times New Roman" w:cs="Times New Roman"/>
              </w:rPr>
              <w:t>g</w:t>
            </w:r>
            <w:r w:rsidRPr="004268B2">
              <w:rPr>
                <w:rFonts w:ascii="Times New Roman" w:hAnsi="Times New Roman" w:cs="Times New Roman"/>
              </w:rPr>
              <w:t xml:space="preserve">) clarify that Advisory Group members “may” participate and review, if they elect to. </w:t>
            </w:r>
          </w:p>
        </w:tc>
        <w:tc>
          <w:tcPr>
            <w:tcW w:w="4738" w:type="dxa"/>
          </w:tcPr>
          <w:p w14:paraId="79A498B1" w14:textId="517D13CE" w:rsidR="00BD7994" w:rsidRPr="004268B2" w:rsidRDefault="00A54E8C" w:rsidP="001F0627">
            <w:pPr>
              <w:rPr>
                <w:rFonts w:ascii="Times New Roman" w:hAnsi="Times New Roman" w:cs="Times New Roman"/>
              </w:rPr>
            </w:pPr>
            <w:r w:rsidRPr="004268B2">
              <w:rPr>
                <w:rFonts w:ascii="Times New Roman" w:hAnsi="Times New Roman" w:cs="Times New Roman"/>
              </w:rPr>
              <w:t>The Commission r</w:t>
            </w:r>
            <w:r w:rsidR="00BD7994" w:rsidRPr="004268B2">
              <w:rPr>
                <w:rFonts w:ascii="Times New Roman" w:hAnsi="Times New Roman" w:cs="Times New Roman"/>
              </w:rPr>
              <w:t>eject</w:t>
            </w:r>
            <w:r w:rsidRPr="004268B2">
              <w:rPr>
                <w:rFonts w:ascii="Times New Roman" w:hAnsi="Times New Roman" w:cs="Times New Roman"/>
              </w:rPr>
              <w:t>s</w:t>
            </w:r>
            <w:r w:rsidR="00BD7994" w:rsidRPr="004268B2">
              <w:rPr>
                <w:rFonts w:ascii="Times New Roman" w:hAnsi="Times New Roman" w:cs="Times New Roman"/>
              </w:rPr>
              <w:t xml:space="preserve"> PSE’s </w:t>
            </w:r>
            <w:r w:rsidR="00CD61CE" w:rsidRPr="004268B2">
              <w:rPr>
                <w:rFonts w:ascii="Times New Roman" w:hAnsi="Times New Roman" w:cs="Times New Roman"/>
              </w:rPr>
              <w:t>proposed revisions</w:t>
            </w:r>
            <w:r w:rsidR="00BD7994" w:rsidRPr="004268B2">
              <w:rPr>
                <w:rFonts w:ascii="Times New Roman" w:hAnsi="Times New Roman" w:cs="Times New Roman"/>
              </w:rPr>
              <w:t xml:space="preserve">.  </w:t>
            </w:r>
            <w:r w:rsidR="00D32D7C" w:rsidRPr="004268B2">
              <w:rPr>
                <w:rFonts w:ascii="Times New Roman" w:hAnsi="Times New Roman" w:cs="Times New Roman"/>
              </w:rPr>
              <w:t>First, i</w:t>
            </w:r>
            <w:r w:rsidR="00BD7994" w:rsidRPr="004268B2">
              <w:rPr>
                <w:rFonts w:ascii="Times New Roman" w:hAnsi="Times New Roman" w:cs="Times New Roman"/>
              </w:rPr>
              <w:t xml:space="preserve">t is appropriate for advisory groups to determine what level of rigor is satisfactory for the biennial evaluation of conservation achievement. </w:t>
            </w:r>
            <w:r w:rsidR="00D32D7C" w:rsidRPr="004268B2">
              <w:rPr>
                <w:rFonts w:ascii="Times New Roman" w:hAnsi="Times New Roman" w:cs="Times New Roman"/>
              </w:rPr>
              <w:t>Second, b</w:t>
            </w:r>
            <w:r w:rsidR="00BD7994" w:rsidRPr="004268B2">
              <w:rPr>
                <w:rFonts w:ascii="Times New Roman" w:hAnsi="Times New Roman" w:cs="Times New Roman"/>
              </w:rPr>
              <w:t xml:space="preserve">oth conservation and IRP advisory groups have a role in conservation potential </w:t>
            </w:r>
            <w:r w:rsidR="00BD7994" w:rsidRPr="004268B2">
              <w:rPr>
                <w:rFonts w:ascii="Times New Roman" w:hAnsi="Times New Roman" w:cs="Times New Roman"/>
              </w:rPr>
              <w:lastRenderedPageBreak/>
              <w:t>assessments and developing supply curves.</w:t>
            </w:r>
            <w:r w:rsidR="00D32D7C" w:rsidRPr="004268B2">
              <w:rPr>
                <w:rFonts w:ascii="Times New Roman" w:hAnsi="Times New Roman" w:cs="Times New Roman"/>
              </w:rPr>
              <w:t xml:space="preserve"> </w:t>
            </w:r>
            <w:r w:rsidR="00BD7994" w:rsidRPr="004268B2">
              <w:rPr>
                <w:rFonts w:ascii="Times New Roman" w:hAnsi="Times New Roman" w:cs="Times New Roman"/>
              </w:rPr>
              <w:t xml:space="preserve"> </w:t>
            </w:r>
            <w:r w:rsidR="00D32D7C" w:rsidRPr="004268B2">
              <w:rPr>
                <w:rFonts w:ascii="Times New Roman" w:hAnsi="Times New Roman" w:cs="Times New Roman"/>
              </w:rPr>
              <w:t>Each utility is currently required</w:t>
            </w:r>
            <w:r w:rsidR="00BD7994" w:rsidRPr="004268B2">
              <w:rPr>
                <w:rFonts w:ascii="Times New Roman" w:hAnsi="Times New Roman" w:cs="Times New Roman"/>
              </w:rPr>
              <w:t xml:space="preserve"> </w:t>
            </w:r>
            <w:r w:rsidR="00D32D7C" w:rsidRPr="004268B2">
              <w:rPr>
                <w:rFonts w:ascii="Times New Roman" w:hAnsi="Times New Roman" w:cs="Times New Roman"/>
              </w:rPr>
              <w:t xml:space="preserve">by order </w:t>
            </w:r>
            <w:r w:rsidR="00BD7994" w:rsidRPr="004268B2">
              <w:rPr>
                <w:rFonts w:ascii="Times New Roman" w:hAnsi="Times New Roman" w:cs="Times New Roman"/>
              </w:rPr>
              <w:t xml:space="preserve">to engage its conservation advisory group </w:t>
            </w:r>
            <w:r w:rsidR="00D32D7C" w:rsidRPr="004268B2">
              <w:rPr>
                <w:rFonts w:ascii="Times New Roman" w:hAnsi="Times New Roman" w:cs="Times New Roman"/>
              </w:rPr>
              <w:t>i</w:t>
            </w:r>
            <w:r w:rsidR="00BD7994" w:rsidRPr="004268B2">
              <w:rPr>
                <w:rFonts w:ascii="Times New Roman" w:hAnsi="Times New Roman" w:cs="Times New Roman"/>
              </w:rPr>
              <w:t xml:space="preserve">n the development of the conservation potential assessment within the IRP.  </w:t>
            </w:r>
            <w:r w:rsidR="001F0627" w:rsidRPr="004268B2">
              <w:rPr>
                <w:rFonts w:ascii="Times New Roman" w:hAnsi="Times New Roman" w:cs="Times New Roman"/>
              </w:rPr>
              <w:t>I</w:t>
            </w:r>
            <w:r w:rsidR="00BD7994" w:rsidRPr="004268B2">
              <w:rPr>
                <w:rFonts w:ascii="Times New Roman" w:hAnsi="Times New Roman" w:cs="Times New Roman"/>
              </w:rPr>
              <w:t xml:space="preserve">t is appropriate to maintain </w:t>
            </w:r>
            <w:r w:rsidR="00D32D7C" w:rsidRPr="004268B2">
              <w:rPr>
                <w:rFonts w:ascii="Times New Roman" w:hAnsi="Times New Roman" w:cs="Times New Roman"/>
              </w:rPr>
              <w:t>this</w:t>
            </w:r>
            <w:r w:rsidR="00BD7994" w:rsidRPr="004268B2">
              <w:rPr>
                <w:rFonts w:ascii="Times New Roman" w:hAnsi="Times New Roman" w:cs="Times New Roman"/>
              </w:rPr>
              <w:t xml:space="preserve"> requirement</w:t>
            </w:r>
            <w:r w:rsidR="00D32D7C" w:rsidRPr="004268B2">
              <w:rPr>
                <w:rFonts w:ascii="Times New Roman" w:hAnsi="Times New Roman" w:cs="Times New Roman"/>
              </w:rPr>
              <w:t xml:space="preserve"> in the rule</w:t>
            </w:r>
            <w:r w:rsidR="00BD7994" w:rsidRPr="004268B2">
              <w:rPr>
                <w:rFonts w:ascii="Times New Roman" w:hAnsi="Times New Roman" w:cs="Times New Roman"/>
              </w:rPr>
              <w:t>.</w:t>
            </w:r>
          </w:p>
        </w:tc>
      </w:tr>
      <w:tr w:rsidR="003666FD" w:rsidRPr="004268B2" w14:paraId="78BF9C03" w14:textId="77777777" w:rsidTr="00401F45">
        <w:trPr>
          <w:trHeight w:val="458"/>
          <w:jc w:val="center"/>
        </w:trPr>
        <w:tc>
          <w:tcPr>
            <w:tcW w:w="1802" w:type="dxa"/>
          </w:tcPr>
          <w:p w14:paraId="78BF9BF8" w14:textId="17C4A95C" w:rsidR="00BD7994" w:rsidRPr="004268B2" w:rsidRDefault="00BD7994" w:rsidP="00BD7994">
            <w:pPr>
              <w:rPr>
                <w:rFonts w:ascii="Times New Roman" w:hAnsi="Times New Roman" w:cs="Times New Roman"/>
              </w:rPr>
            </w:pPr>
            <w:r w:rsidRPr="004268B2">
              <w:rPr>
                <w:rFonts w:ascii="Times New Roman" w:hAnsi="Times New Roman" w:cs="Times New Roman"/>
                <w:b/>
              </w:rPr>
              <w:lastRenderedPageBreak/>
              <w:t>Conservation advisory groups - meetings</w:t>
            </w:r>
          </w:p>
          <w:p w14:paraId="78BF9BFA" w14:textId="093413DF" w:rsidR="00BD7994" w:rsidRPr="004268B2" w:rsidRDefault="00BD7994" w:rsidP="00BD7994">
            <w:pPr>
              <w:rPr>
                <w:rFonts w:ascii="Times New Roman" w:hAnsi="Times New Roman" w:cs="Times New Roman"/>
              </w:rPr>
            </w:pPr>
            <w:r w:rsidRPr="004268B2">
              <w:rPr>
                <w:rFonts w:ascii="Times New Roman" w:hAnsi="Times New Roman" w:cs="Times New Roman"/>
              </w:rPr>
              <w:t>WAC 480-109-110(2)</w:t>
            </w:r>
          </w:p>
        </w:tc>
        <w:tc>
          <w:tcPr>
            <w:tcW w:w="1373" w:type="dxa"/>
          </w:tcPr>
          <w:p w14:paraId="78BF9BFD" w14:textId="3F3FAB0D" w:rsidR="00BD7994" w:rsidRPr="004268B2" w:rsidRDefault="00BD7994" w:rsidP="00BD7994">
            <w:pPr>
              <w:rPr>
                <w:rFonts w:ascii="Times New Roman" w:hAnsi="Times New Roman" w:cs="Times New Roman"/>
              </w:rPr>
            </w:pPr>
            <w:r w:rsidRPr="004268B2">
              <w:rPr>
                <w:rFonts w:ascii="Times New Roman" w:hAnsi="Times New Roman" w:cs="Times New Roman"/>
              </w:rPr>
              <w:t>NWEC</w:t>
            </w:r>
          </w:p>
        </w:tc>
        <w:tc>
          <w:tcPr>
            <w:tcW w:w="5150" w:type="dxa"/>
          </w:tcPr>
          <w:p w14:paraId="78BF9C01" w14:textId="75883BA5" w:rsidR="00BD7994" w:rsidRPr="004268B2" w:rsidRDefault="00BD7994" w:rsidP="00BD7994">
            <w:pPr>
              <w:rPr>
                <w:rFonts w:ascii="Times New Roman" w:hAnsi="Times New Roman" w:cs="Times New Roman"/>
              </w:rPr>
            </w:pPr>
            <w:r w:rsidRPr="004268B2">
              <w:rPr>
                <w:rFonts w:ascii="Times New Roman" w:hAnsi="Times New Roman" w:cs="Times New Roman"/>
              </w:rPr>
              <w:t xml:space="preserve">The meetings can be either in-person or telephonic. </w:t>
            </w:r>
          </w:p>
        </w:tc>
        <w:tc>
          <w:tcPr>
            <w:tcW w:w="4738" w:type="dxa"/>
          </w:tcPr>
          <w:p w14:paraId="78BF9C02" w14:textId="773FF9C2" w:rsidR="00BD7994" w:rsidRPr="004268B2" w:rsidRDefault="001F0627" w:rsidP="00CD61CE">
            <w:pPr>
              <w:rPr>
                <w:rFonts w:ascii="Times New Roman" w:hAnsi="Times New Roman" w:cs="Times New Roman"/>
              </w:rPr>
            </w:pPr>
            <w:r w:rsidRPr="004268B2">
              <w:rPr>
                <w:rFonts w:ascii="Times New Roman" w:hAnsi="Times New Roman" w:cs="Times New Roman"/>
              </w:rPr>
              <w:t>T</w:t>
            </w:r>
            <w:r w:rsidR="00BD7994" w:rsidRPr="004268B2">
              <w:rPr>
                <w:rFonts w:ascii="Times New Roman" w:hAnsi="Times New Roman" w:cs="Times New Roman"/>
              </w:rPr>
              <w:t xml:space="preserve">he rule </w:t>
            </w:r>
            <w:r w:rsidRPr="004268B2">
              <w:rPr>
                <w:rFonts w:ascii="Times New Roman" w:hAnsi="Times New Roman" w:cs="Times New Roman"/>
              </w:rPr>
              <w:t xml:space="preserve">does not specific the type of meeting, therefore it </w:t>
            </w:r>
            <w:r w:rsidR="00BD7994" w:rsidRPr="004268B2">
              <w:rPr>
                <w:rFonts w:ascii="Times New Roman" w:hAnsi="Times New Roman" w:cs="Times New Roman"/>
              </w:rPr>
              <w:t xml:space="preserve">is inclusive of telephonic or electronic meetings, and no change is </w:t>
            </w:r>
            <w:r w:rsidR="00CD61CE" w:rsidRPr="004268B2">
              <w:rPr>
                <w:rFonts w:ascii="Times New Roman" w:hAnsi="Times New Roman" w:cs="Times New Roman"/>
              </w:rPr>
              <w:t>necessary</w:t>
            </w:r>
            <w:r w:rsidR="00BD7994" w:rsidRPr="004268B2">
              <w:rPr>
                <w:rFonts w:ascii="Times New Roman" w:hAnsi="Times New Roman" w:cs="Times New Roman"/>
              </w:rPr>
              <w:t>.</w:t>
            </w:r>
          </w:p>
        </w:tc>
      </w:tr>
      <w:tr w:rsidR="003666FD" w:rsidRPr="004268B2" w14:paraId="64794DF3" w14:textId="77777777" w:rsidTr="00401F45">
        <w:trPr>
          <w:jc w:val="center"/>
        </w:trPr>
        <w:tc>
          <w:tcPr>
            <w:tcW w:w="1802" w:type="dxa"/>
          </w:tcPr>
          <w:p w14:paraId="4F56A1D3" w14:textId="77777777" w:rsidR="00BD7994" w:rsidRPr="004268B2" w:rsidRDefault="00BD7994" w:rsidP="00BD7994">
            <w:pPr>
              <w:rPr>
                <w:rFonts w:ascii="Times New Roman" w:hAnsi="Times New Roman" w:cs="Times New Roman"/>
                <w:b/>
              </w:rPr>
            </w:pPr>
            <w:r w:rsidRPr="004268B2">
              <w:rPr>
                <w:rFonts w:ascii="Times New Roman" w:hAnsi="Times New Roman" w:cs="Times New Roman"/>
                <w:b/>
              </w:rPr>
              <w:t>Advance notification of filings</w:t>
            </w:r>
          </w:p>
          <w:p w14:paraId="498B01DB" w14:textId="77777777" w:rsidR="00BD7994" w:rsidRPr="004268B2" w:rsidRDefault="00BD7994" w:rsidP="00BD7994">
            <w:pPr>
              <w:rPr>
                <w:rFonts w:ascii="Times New Roman" w:hAnsi="Times New Roman" w:cs="Times New Roman"/>
              </w:rPr>
            </w:pPr>
            <w:r w:rsidRPr="004268B2">
              <w:rPr>
                <w:rFonts w:ascii="Times New Roman" w:hAnsi="Times New Roman" w:cs="Times New Roman"/>
              </w:rPr>
              <w:t>WAC 480-109-110(3)</w:t>
            </w:r>
          </w:p>
        </w:tc>
        <w:tc>
          <w:tcPr>
            <w:tcW w:w="1373" w:type="dxa"/>
          </w:tcPr>
          <w:p w14:paraId="74D2FF1B" w14:textId="080F1F25" w:rsidR="00BD7994" w:rsidRPr="004268B2" w:rsidRDefault="00BD7994" w:rsidP="00BD7994">
            <w:pPr>
              <w:rPr>
                <w:rFonts w:ascii="Times New Roman" w:hAnsi="Times New Roman" w:cs="Times New Roman"/>
              </w:rPr>
            </w:pPr>
            <w:r w:rsidRPr="004268B2">
              <w:rPr>
                <w:rFonts w:ascii="Times New Roman" w:hAnsi="Times New Roman" w:cs="Times New Roman"/>
              </w:rPr>
              <w:t>PSE</w:t>
            </w:r>
            <w:r w:rsidR="005C1A10">
              <w:rPr>
                <w:rFonts w:ascii="Times New Roman" w:hAnsi="Times New Roman" w:cs="Times New Roman"/>
              </w:rPr>
              <w:t>,</w:t>
            </w:r>
          </w:p>
          <w:p w14:paraId="5D9192C3" w14:textId="77777777" w:rsidR="00BD7994" w:rsidRPr="004268B2" w:rsidRDefault="00BD7994" w:rsidP="00BD7994">
            <w:pPr>
              <w:rPr>
                <w:rFonts w:ascii="Times New Roman" w:hAnsi="Times New Roman" w:cs="Times New Roman"/>
              </w:rPr>
            </w:pPr>
            <w:r w:rsidRPr="004268B2">
              <w:rPr>
                <w:rFonts w:ascii="Times New Roman" w:hAnsi="Times New Roman" w:cs="Times New Roman"/>
              </w:rPr>
              <w:t>NWEC</w:t>
            </w:r>
          </w:p>
        </w:tc>
        <w:tc>
          <w:tcPr>
            <w:tcW w:w="5150" w:type="dxa"/>
          </w:tcPr>
          <w:p w14:paraId="34B828AB" w14:textId="77777777" w:rsidR="00BD7994" w:rsidRPr="004268B2" w:rsidRDefault="00BD7994" w:rsidP="00BD7994">
            <w:pPr>
              <w:pStyle w:val="ListParagraph"/>
              <w:numPr>
                <w:ilvl w:val="0"/>
                <w:numId w:val="10"/>
              </w:numPr>
              <w:rPr>
                <w:rFonts w:ascii="Times New Roman" w:hAnsi="Times New Roman" w:cs="Times New Roman"/>
              </w:rPr>
            </w:pPr>
            <w:r w:rsidRPr="004268B2">
              <w:rPr>
                <w:rFonts w:ascii="Times New Roman" w:hAnsi="Times New Roman" w:cs="Times New Roman"/>
              </w:rPr>
              <w:t>Replace with: “Except as provided in WAC 480-109-120 (reporting), and with the exception of conservation recovery filings, a utility will provide its advisory group an electronic copy of all conservation-related tariff filings that the utility intends to submit to the Commission at least two months prior to the requested effective date.  When extraordinary circumstances dictate, a utility may provide its advisory group with a copy of the filing concurrent with the Commission filing.” (PSE)</w:t>
            </w:r>
          </w:p>
          <w:p w14:paraId="17FCFC32" w14:textId="77777777" w:rsidR="00BD7994" w:rsidRPr="004268B2" w:rsidRDefault="00BD7994" w:rsidP="00BD7994">
            <w:pPr>
              <w:pStyle w:val="ListParagraph"/>
              <w:numPr>
                <w:ilvl w:val="0"/>
                <w:numId w:val="10"/>
              </w:numPr>
              <w:rPr>
                <w:rFonts w:ascii="Times New Roman" w:hAnsi="Times New Roman" w:cs="Times New Roman"/>
              </w:rPr>
            </w:pPr>
            <w:r w:rsidRPr="004268B2">
              <w:rPr>
                <w:rFonts w:ascii="Times New Roman" w:hAnsi="Times New Roman" w:cs="Times New Roman"/>
              </w:rPr>
              <w:t>It seems appropriate to provide the utilities an exemption from this requirement under certain circumstances (i.e. when speed is essential). (NWEC)</w:t>
            </w:r>
          </w:p>
        </w:tc>
        <w:tc>
          <w:tcPr>
            <w:tcW w:w="4738" w:type="dxa"/>
          </w:tcPr>
          <w:p w14:paraId="4D0C1B1F" w14:textId="6CF2CC4F" w:rsidR="00BD7994" w:rsidRPr="004268B2" w:rsidRDefault="00D32D7C" w:rsidP="00F554DF">
            <w:pPr>
              <w:rPr>
                <w:rFonts w:ascii="Times New Roman" w:hAnsi="Times New Roman" w:cs="Times New Roman"/>
              </w:rPr>
            </w:pPr>
            <w:r w:rsidRPr="004268B2">
              <w:rPr>
                <w:rFonts w:ascii="Times New Roman" w:hAnsi="Times New Roman" w:cs="Times New Roman"/>
              </w:rPr>
              <w:t>The Commission agrees that it is not necessary to require advance notification of conservation cost recovery adjustment filings, and adopts a</w:t>
            </w:r>
            <w:r w:rsidR="00F554DF" w:rsidRPr="004268B2">
              <w:rPr>
                <w:rFonts w:ascii="Times New Roman" w:hAnsi="Times New Roman" w:cs="Times New Roman"/>
              </w:rPr>
              <w:t>n</w:t>
            </w:r>
            <w:r w:rsidRPr="004268B2">
              <w:rPr>
                <w:rFonts w:ascii="Times New Roman" w:hAnsi="Times New Roman" w:cs="Times New Roman"/>
              </w:rPr>
              <w:t xml:space="preserve"> exempt</w:t>
            </w:r>
            <w:r w:rsidR="00F554DF" w:rsidRPr="004268B2">
              <w:rPr>
                <w:rFonts w:ascii="Times New Roman" w:hAnsi="Times New Roman" w:cs="Times New Roman"/>
              </w:rPr>
              <w:t>ion for</w:t>
            </w:r>
            <w:r w:rsidRPr="004268B2">
              <w:rPr>
                <w:rFonts w:ascii="Times New Roman" w:hAnsi="Times New Roman" w:cs="Times New Roman"/>
              </w:rPr>
              <w:t xml:space="preserve"> filings required by WAC 480-109-130.  The Commission a</w:t>
            </w:r>
            <w:r w:rsidR="00DF13BF" w:rsidRPr="004268B2">
              <w:rPr>
                <w:rFonts w:ascii="Times New Roman" w:hAnsi="Times New Roman" w:cs="Times New Roman"/>
              </w:rPr>
              <w:t>c</w:t>
            </w:r>
            <w:r w:rsidRPr="004268B2">
              <w:rPr>
                <w:rFonts w:ascii="Times New Roman" w:hAnsi="Times New Roman" w:cs="Times New Roman"/>
              </w:rPr>
              <w:t>knowledges</w:t>
            </w:r>
            <w:r w:rsidR="00BD7994" w:rsidRPr="004268B2">
              <w:rPr>
                <w:rFonts w:ascii="Times New Roman" w:hAnsi="Times New Roman" w:cs="Times New Roman"/>
              </w:rPr>
              <w:t xml:space="preserve"> the concern </w:t>
            </w:r>
            <w:r w:rsidR="00F554DF" w:rsidRPr="004268B2">
              <w:rPr>
                <w:rFonts w:ascii="Times New Roman" w:hAnsi="Times New Roman" w:cs="Times New Roman"/>
              </w:rPr>
              <w:t xml:space="preserve">regarding </w:t>
            </w:r>
            <w:r w:rsidR="00BD7994" w:rsidRPr="004268B2">
              <w:rPr>
                <w:rFonts w:ascii="Times New Roman" w:hAnsi="Times New Roman" w:cs="Times New Roman"/>
              </w:rPr>
              <w:t xml:space="preserve">extraordinary circumstances, but rejects the </w:t>
            </w:r>
            <w:r w:rsidR="00CD61CE" w:rsidRPr="004268B2">
              <w:rPr>
                <w:rFonts w:ascii="Times New Roman" w:hAnsi="Times New Roman" w:cs="Times New Roman"/>
              </w:rPr>
              <w:t>proposed</w:t>
            </w:r>
            <w:r w:rsidR="00BD7994" w:rsidRPr="004268B2">
              <w:rPr>
                <w:rFonts w:ascii="Times New Roman" w:hAnsi="Times New Roman" w:cs="Times New Roman"/>
              </w:rPr>
              <w:t xml:space="preserve"> </w:t>
            </w:r>
            <w:r w:rsidR="00CD61CE" w:rsidRPr="004268B2">
              <w:rPr>
                <w:rFonts w:ascii="Times New Roman" w:hAnsi="Times New Roman" w:cs="Times New Roman"/>
              </w:rPr>
              <w:t>revision</w:t>
            </w:r>
            <w:r w:rsidRPr="004268B2">
              <w:rPr>
                <w:rFonts w:ascii="Times New Roman" w:hAnsi="Times New Roman" w:cs="Times New Roman"/>
              </w:rPr>
              <w:t>.</w:t>
            </w:r>
            <w:r w:rsidR="00BD7994" w:rsidRPr="004268B2">
              <w:rPr>
                <w:rFonts w:ascii="Times New Roman" w:hAnsi="Times New Roman" w:cs="Times New Roman"/>
              </w:rPr>
              <w:t xml:space="preserve"> </w:t>
            </w:r>
            <w:r w:rsidRPr="004268B2">
              <w:rPr>
                <w:rFonts w:ascii="Times New Roman" w:hAnsi="Times New Roman" w:cs="Times New Roman"/>
              </w:rPr>
              <w:t xml:space="preserve"> In extraordinary circumstances, a</w:t>
            </w:r>
            <w:r w:rsidR="00BD7994" w:rsidRPr="004268B2">
              <w:rPr>
                <w:rFonts w:ascii="Times New Roman" w:hAnsi="Times New Roman" w:cs="Times New Roman"/>
              </w:rPr>
              <w:t xml:space="preserve"> utility may petition the Commission for an exception from the rule</w:t>
            </w:r>
            <w:r w:rsidRPr="004268B2">
              <w:rPr>
                <w:rFonts w:ascii="Times New Roman" w:hAnsi="Times New Roman" w:cs="Times New Roman"/>
              </w:rPr>
              <w:t>.</w:t>
            </w:r>
          </w:p>
        </w:tc>
      </w:tr>
      <w:tr w:rsidR="003666FD" w:rsidRPr="004268B2" w14:paraId="3B168527" w14:textId="77777777" w:rsidTr="00401F45">
        <w:trPr>
          <w:trHeight w:val="980"/>
          <w:jc w:val="center"/>
        </w:trPr>
        <w:tc>
          <w:tcPr>
            <w:tcW w:w="1802" w:type="dxa"/>
          </w:tcPr>
          <w:p w14:paraId="6C767C30" w14:textId="77777777" w:rsidR="00BD7994" w:rsidRPr="004268B2" w:rsidRDefault="00BD7994" w:rsidP="00BD7994">
            <w:pPr>
              <w:rPr>
                <w:rFonts w:ascii="Times New Roman" w:hAnsi="Times New Roman" w:cs="Times New Roman"/>
                <w:b/>
              </w:rPr>
            </w:pPr>
            <w:r w:rsidRPr="004268B2">
              <w:rPr>
                <w:rFonts w:ascii="Times New Roman" w:hAnsi="Times New Roman" w:cs="Times New Roman"/>
                <w:b/>
              </w:rPr>
              <w:t>Conservation advisory groups – advance notification of meetings</w:t>
            </w:r>
          </w:p>
          <w:p w14:paraId="3BB83547" w14:textId="18874091" w:rsidR="00BD7994" w:rsidRPr="004268B2" w:rsidRDefault="00BD7994" w:rsidP="00BD7994">
            <w:pPr>
              <w:rPr>
                <w:rFonts w:ascii="Times New Roman" w:hAnsi="Times New Roman" w:cs="Times New Roman"/>
                <w:b/>
              </w:rPr>
            </w:pPr>
            <w:r w:rsidRPr="004268B2">
              <w:rPr>
                <w:rFonts w:ascii="Times New Roman" w:hAnsi="Times New Roman" w:cs="Times New Roman"/>
              </w:rPr>
              <w:t>WAC 480-109-110(4)</w:t>
            </w:r>
          </w:p>
        </w:tc>
        <w:tc>
          <w:tcPr>
            <w:tcW w:w="1373" w:type="dxa"/>
          </w:tcPr>
          <w:p w14:paraId="24E0C72D" w14:textId="5523E696" w:rsidR="00BD7994" w:rsidRPr="004268B2" w:rsidRDefault="00BD7994" w:rsidP="00BD7994">
            <w:pPr>
              <w:rPr>
                <w:rFonts w:ascii="Times New Roman" w:hAnsi="Times New Roman" w:cs="Times New Roman"/>
              </w:rPr>
            </w:pPr>
            <w:r w:rsidRPr="004268B2">
              <w:rPr>
                <w:rFonts w:ascii="Times New Roman" w:hAnsi="Times New Roman" w:cs="Times New Roman"/>
              </w:rPr>
              <w:t>PSE</w:t>
            </w:r>
          </w:p>
        </w:tc>
        <w:tc>
          <w:tcPr>
            <w:tcW w:w="5150" w:type="dxa"/>
          </w:tcPr>
          <w:p w14:paraId="5E45DB3E" w14:textId="5D51F1FD" w:rsidR="00BD7994" w:rsidRPr="004268B2" w:rsidRDefault="00BD7994" w:rsidP="00BD7994">
            <w:pPr>
              <w:rPr>
                <w:rFonts w:ascii="Times New Roman" w:hAnsi="Times New Roman" w:cs="Times New Roman"/>
              </w:rPr>
            </w:pPr>
            <w:r w:rsidRPr="004268B2">
              <w:rPr>
                <w:rFonts w:ascii="Times New Roman" w:hAnsi="Times New Roman" w:cs="Times New Roman"/>
              </w:rPr>
              <w:t xml:space="preserve">“Public meetings” is too vague.  Replace with: “A utility will notify its conservation advisory group of public meetings that the utility schedules to discuss the development of its conservation potential assessment or integrated resource plan.”  </w:t>
            </w:r>
          </w:p>
        </w:tc>
        <w:tc>
          <w:tcPr>
            <w:tcW w:w="4738" w:type="dxa"/>
          </w:tcPr>
          <w:p w14:paraId="38F8C7D2" w14:textId="64E85D9F" w:rsidR="00BD7994" w:rsidRPr="004268B2" w:rsidRDefault="002B78FA" w:rsidP="00D51EFD">
            <w:pPr>
              <w:rPr>
                <w:rFonts w:ascii="Times New Roman" w:hAnsi="Times New Roman" w:cs="Times New Roman"/>
              </w:rPr>
            </w:pPr>
            <w:r w:rsidRPr="004268B2">
              <w:rPr>
                <w:rFonts w:ascii="Times New Roman" w:hAnsi="Times New Roman" w:cs="Times New Roman"/>
              </w:rPr>
              <w:t xml:space="preserve">The Commission adopts language to clarify </w:t>
            </w:r>
            <w:r w:rsidR="00BD7994" w:rsidRPr="004268B2">
              <w:rPr>
                <w:rFonts w:ascii="Times New Roman" w:hAnsi="Times New Roman" w:cs="Times New Roman"/>
              </w:rPr>
              <w:t xml:space="preserve">each utility </w:t>
            </w:r>
            <w:r w:rsidRPr="004268B2">
              <w:rPr>
                <w:rFonts w:ascii="Times New Roman" w:hAnsi="Times New Roman" w:cs="Times New Roman"/>
              </w:rPr>
              <w:t>must</w:t>
            </w:r>
            <w:r w:rsidR="00BD7994" w:rsidRPr="004268B2">
              <w:rPr>
                <w:rFonts w:ascii="Times New Roman" w:hAnsi="Times New Roman" w:cs="Times New Roman"/>
              </w:rPr>
              <w:t xml:space="preserve"> notify its advisory group of </w:t>
            </w:r>
            <w:r w:rsidRPr="004268B2">
              <w:rPr>
                <w:rFonts w:ascii="Times New Roman" w:hAnsi="Times New Roman" w:cs="Times New Roman"/>
              </w:rPr>
              <w:t xml:space="preserve">“company and commission” </w:t>
            </w:r>
            <w:r w:rsidR="00BD7994" w:rsidRPr="004268B2">
              <w:rPr>
                <w:rFonts w:ascii="Times New Roman" w:hAnsi="Times New Roman" w:cs="Times New Roman"/>
              </w:rPr>
              <w:t>meeting</w:t>
            </w:r>
            <w:r w:rsidR="0083760F" w:rsidRPr="004268B2">
              <w:rPr>
                <w:rFonts w:ascii="Times New Roman" w:hAnsi="Times New Roman" w:cs="Times New Roman"/>
              </w:rPr>
              <w:t>s</w:t>
            </w:r>
            <w:r w:rsidRPr="004268B2">
              <w:rPr>
                <w:rFonts w:ascii="Times New Roman" w:hAnsi="Times New Roman" w:cs="Times New Roman"/>
              </w:rPr>
              <w:t xml:space="preserve">.  This </w:t>
            </w:r>
            <w:r w:rsidR="00D51EFD" w:rsidRPr="004268B2">
              <w:rPr>
                <w:rFonts w:ascii="Times New Roman" w:hAnsi="Times New Roman" w:cs="Times New Roman"/>
              </w:rPr>
              <w:t xml:space="preserve">revision </w:t>
            </w:r>
            <w:r w:rsidRPr="004268B2">
              <w:rPr>
                <w:rFonts w:ascii="Times New Roman" w:hAnsi="Times New Roman" w:cs="Times New Roman"/>
              </w:rPr>
              <w:t>require</w:t>
            </w:r>
            <w:r w:rsidR="00D51EFD" w:rsidRPr="004268B2">
              <w:rPr>
                <w:rFonts w:ascii="Times New Roman" w:hAnsi="Times New Roman" w:cs="Times New Roman"/>
              </w:rPr>
              <w:t>s</w:t>
            </w:r>
            <w:r w:rsidRPr="004268B2">
              <w:rPr>
                <w:rFonts w:ascii="Times New Roman" w:hAnsi="Times New Roman" w:cs="Times New Roman"/>
              </w:rPr>
              <w:t xml:space="preserve"> the utility to notify its conservation advisory group of public meetings </w:t>
            </w:r>
            <w:r w:rsidR="00BD7994" w:rsidRPr="004268B2">
              <w:rPr>
                <w:rFonts w:ascii="Times New Roman" w:hAnsi="Times New Roman" w:cs="Times New Roman"/>
              </w:rPr>
              <w:t>held by the utility, and Commission open meetings regarding the utility’s conservation programs.</w:t>
            </w:r>
          </w:p>
        </w:tc>
      </w:tr>
      <w:tr w:rsidR="003666FD" w:rsidRPr="004268B2" w14:paraId="056BE2B2" w14:textId="77777777" w:rsidTr="00401F45">
        <w:trPr>
          <w:jc w:val="center"/>
        </w:trPr>
        <w:tc>
          <w:tcPr>
            <w:tcW w:w="1802" w:type="dxa"/>
            <w:vMerge w:val="restart"/>
          </w:tcPr>
          <w:p w14:paraId="1D53971F" w14:textId="77777777" w:rsidR="00BD7994" w:rsidRPr="004268B2" w:rsidRDefault="00BD7994" w:rsidP="00BD7994">
            <w:pPr>
              <w:rPr>
                <w:rFonts w:ascii="Times New Roman" w:hAnsi="Times New Roman" w:cs="Times New Roman"/>
                <w:b/>
              </w:rPr>
            </w:pPr>
            <w:r w:rsidRPr="004268B2">
              <w:rPr>
                <w:rFonts w:ascii="Times New Roman" w:hAnsi="Times New Roman" w:cs="Times New Roman"/>
                <w:b/>
              </w:rPr>
              <w:t>Biennial conservation plan</w:t>
            </w:r>
          </w:p>
          <w:p w14:paraId="64A4C4F0" w14:textId="70238CAA" w:rsidR="00BD7994" w:rsidRPr="004268B2" w:rsidRDefault="00BD7994" w:rsidP="00BD7994">
            <w:pPr>
              <w:rPr>
                <w:rFonts w:ascii="Times New Roman" w:hAnsi="Times New Roman" w:cs="Times New Roman"/>
                <w:b/>
              </w:rPr>
            </w:pPr>
            <w:r w:rsidRPr="004268B2">
              <w:rPr>
                <w:rFonts w:ascii="Times New Roman" w:hAnsi="Times New Roman" w:cs="Times New Roman"/>
              </w:rPr>
              <w:lastRenderedPageBreak/>
              <w:t>WAC 480-109-120</w:t>
            </w:r>
          </w:p>
        </w:tc>
        <w:tc>
          <w:tcPr>
            <w:tcW w:w="1373" w:type="dxa"/>
            <w:vMerge w:val="restart"/>
          </w:tcPr>
          <w:p w14:paraId="20241EE1" w14:textId="15B6B42D" w:rsidR="00BD7994" w:rsidRPr="004268B2" w:rsidRDefault="00BD7994" w:rsidP="00BD7994">
            <w:pPr>
              <w:rPr>
                <w:rFonts w:ascii="Times New Roman" w:hAnsi="Times New Roman" w:cs="Times New Roman"/>
              </w:rPr>
            </w:pPr>
            <w:r w:rsidRPr="004268B2">
              <w:rPr>
                <w:rFonts w:ascii="Times New Roman" w:hAnsi="Times New Roman" w:cs="Times New Roman"/>
              </w:rPr>
              <w:lastRenderedPageBreak/>
              <w:t>PSE</w:t>
            </w:r>
          </w:p>
        </w:tc>
        <w:tc>
          <w:tcPr>
            <w:tcW w:w="5150" w:type="dxa"/>
          </w:tcPr>
          <w:p w14:paraId="24C16299" w14:textId="6C53D4D1" w:rsidR="00BD7994" w:rsidRPr="004268B2" w:rsidRDefault="00FE212C" w:rsidP="00BD7994">
            <w:pPr>
              <w:rPr>
                <w:rFonts w:ascii="Times New Roman" w:hAnsi="Times New Roman" w:cs="Times New Roman"/>
              </w:rPr>
            </w:pPr>
            <w:r w:rsidRPr="004268B2">
              <w:rPr>
                <w:rFonts w:ascii="Times New Roman" w:hAnsi="Times New Roman" w:cs="Times New Roman"/>
              </w:rPr>
              <w:t>120</w:t>
            </w:r>
            <w:r w:rsidR="00BD7994" w:rsidRPr="004268B2">
              <w:rPr>
                <w:rFonts w:ascii="Times New Roman" w:hAnsi="Times New Roman" w:cs="Times New Roman"/>
              </w:rPr>
              <w:t xml:space="preserve">(1)(b)(i): replace “achievable” with “economic cost-effective.” </w:t>
            </w:r>
          </w:p>
        </w:tc>
        <w:tc>
          <w:tcPr>
            <w:tcW w:w="4738" w:type="dxa"/>
          </w:tcPr>
          <w:p w14:paraId="29F05EA6" w14:textId="37C9B4F2" w:rsidR="00BD7994" w:rsidRPr="004268B2" w:rsidRDefault="00901345" w:rsidP="00850C19">
            <w:pPr>
              <w:rPr>
                <w:rFonts w:ascii="Times New Roman" w:hAnsi="Times New Roman" w:cs="Times New Roman"/>
              </w:rPr>
            </w:pPr>
            <w:r w:rsidRPr="004268B2">
              <w:rPr>
                <w:rFonts w:ascii="Times New Roman" w:hAnsi="Times New Roman" w:cs="Times New Roman"/>
              </w:rPr>
              <w:t>We replace “</w:t>
            </w:r>
            <w:r w:rsidR="00850C19" w:rsidRPr="004268B2">
              <w:rPr>
                <w:rFonts w:ascii="Times New Roman" w:hAnsi="Times New Roman" w:cs="Times New Roman"/>
              </w:rPr>
              <w:t xml:space="preserve">ten-year achievable conservation potential” with </w:t>
            </w:r>
            <w:r w:rsidR="002B78FA" w:rsidRPr="004268B2">
              <w:rPr>
                <w:rFonts w:ascii="Times New Roman" w:hAnsi="Times New Roman" w:cs="Times New Roman"/>
              </w:rPr>
              <w:t xml:space="preserve">“ten-year conservation potential” to </w:t>
            </w:r>
            <w:r w:rsidR="00850C19" w:rsidRPr="004268B2">
              <w:rPr>
                <w:rFonts w:ascii="Times New Roman" w:hAnsi="Times New Roman" w:cs="Times New Roman"/>
              </w:rPr>
              <w:t xml:space="preserve">correspond </w:t>
            </w:r>
            <w:r w:rsidR="002B78FA" w:rsidRPr="004268B2">
              <w:rPr>
                <w:rFonts w:ascii="Times New Roman" w:hAnsi="Times New Roman" w:cs="Times New Roman"/>
              </w:rPr>
              <w:t xml:space="preserve">to the </w:t>
            </w:r>
            <w:r w:rsidR="00850C19" w:rsidRPr="004268B2">
              <w:rPr>
                <w:rFonts w:ascii="Times New Roman" w:hAnsi="Times New Roman" w:cs="Times New Roman"/>
              </w:rPr>
              <w:t xml:space="preserve">new title of </w:t>
            </w:r>
            <w:r w:rsidR="002B78FA" w:rsidRPr="004268B2">
              <w:rPr>
                <w:rFonts w:ascii="Times New Roman" w:hAnsi="Times New Roman" w:cs="Times New Roman"/>
              </w:rPr>
              <w:t>WAC 480-109-</w:t>
            </w:r>
            <w:r w:rsidR="002B78FA" w:rsidRPr="004268B2">
              <w:rPr>
                <w:rFonts w:ascii="Times New Roman" w:hAnsi="Times New Roman" w:cs="Times New Roman"/>
              </w:rPr>
              <w:lastRenderedPageBreak/>
              <w:t>100(2).</w:t>
            </w:r>
            <w:r w:rsidR="00850C19" w:rsidRPr="004268B2">
              <w:rPr>
                <w:rFonts w:ascii="Times New Roman" w:hAnsi="Times New Roman" w:cs="Times New Roman"/>
              </w:rPr>
              <w:t xml:space="preserve">  We also add WAC 480-109-120(1)(c) to clarify that the ten-year conservation potential in this section is the same as that in WAC 480-109-100(2).</w:t>
            </w:r>
          </w:p>
        </w:tc>
      </w:tr>
      <w:tr w:rsidR="003666FD" w:rsidRPr="004268B2" w14:paraId="49F4ACBB" w14:textId="77777777" w:rsidTr="00401F45">
        <w:trPr>
          <w:jc w:val="center"/>
        </w:trPr>
        <w:tc>
          <w:tcPr>
            <w:tcW w:w="1802" w:type="dxa"/>
            <w:vMerge/>
          </w:tcPr>
          <w:p w14:paraId="4575657D" w14:textId="1ED8403C" w:rsidR="00BD7994" w:rsidRPr="004268B2" w:rsidRDefault="00BD7994" w:rsidP="00BD7994">
            <w:pPr>
              <w:rPr>
                <w:rFonts w:ascii="Times New Roman" w:hAnsi="Times New Roman" w:cs="Times New Roman"/>
                <w:b/>
              </w:rPr>
            </w:pPr>
          </w:p>
        </w:tc>
        <w:tc>
          <w:tcPr>
            <w:tcW w:w="1373" w:type="dxa"/>
            <w:vMerge/>
          </w:tcPr>
          <w:p w14:paraId="43C358AE" w14:textId="007DE363" w:rsidR="00BD7994" w:rsidRPr="004268B2" w:rsidRDefault="00BD7994" w:rsidP="00BD7994">
            <w:pPr>
              <w:rPr>
                <w:rFonts w:ascii="Times New Roman" w:hAnsi="Times New Roman" w:cs="Times New Roman"/>
              </w:rPr>
            </w:pPr>
          </w:p>
        </w:tc>
        <w:tc>
          <w:tcPr>
            <w:tcW w:w="5150" w:type="dxa"/>
          </w:tcPr>
          <w:p w14:paraId="382DF71C" w14:textId="6718530E" w:rsidR="00BD7994" w:rsidRPr="004268B2" w:rsidRDefault="00FE212C" w:rsidP="00BD7994">
            <w:pPr>
              <w:rPr>
                <w:rFonts w:ascii="Times New Roman" w:hAnsi="Times New Roman" w:cs="Times New Roman"/>
              </w:rPr>
            </w:pPr>
            <w:r w:rsidRPr="004268B2">
              <w:rPr>
                <w:rFonts w:ascii="Times New Roman" w:hAnsi="Times New Roman" w:cs="Times New Roman"/>
              </w:rPr>
              <w:t>120</w:t>
            </w:r>
            <w:r w:rsidR="00BD7994" w:rsidRPr="004268B2">
              <w:rPr>
                <w:rFonts w:ascii="Times New Roman" w:hAnsi="Times New Roman" w:cs="Times New Roman"/>
              </w:rPr>
              <w:t>(1)(b)(iv): replace “description” with “summary overview.”</w:t>
            </w:r>
          </w:p>
        </w:tc>
        <w:tc>
          <w:tcPr>
            <w:tcW w:w="4738" w:type="dxa"/>
          </w:tcPr>
          <w:p w14:paraId="566DB63A" w14:textId="502F8AE5" w:rsidR="00BD7994" w:rsidRPr="004268B2" w:rsidRDefault="002B78FA" w:rsidP="00FE212C">
            <w:pPr>
              <w:rPr>
                <w:rFonts w:ascii="Times New Roman" w:hAnsi="Times New Roman" w:cs="Times New Roman"/>
              </w:rPr>
            </w:pPr>
            <w:r w:rsidRPr="004268B2">
              <w:rPr>
                <w:rFonts w:ascii="Times New Roman" w:hAnsi="Times New Roman" w:cs="Times New Roman"/>
              </w:rPr>
              <w:t>The Commission</w:t>
            </w:r>
            <w:r w:rsidR="0083760F" w:rsidRPr="004268B2">
              <w:rPr>
                <w:rFonts w:ascii="Times New Roman" w:hAnsi="Times New Roman" w:cs="Times New Roman"/>
              </w:rPr>
              <w:t xml:space="preserve"> </w:t>
            </w:r>
            <w:r w:rsidRPr="004268B2">
              <w:rPr>
                <w:rFonts w:ascii="Times New Roman" w:hAnsi="Times New Roman" w:cs="Times New Roman"/>
              </w:rPr>
              <w:t>declines to adopt this change, which would weaken the</w:t>
            </w:r>
            <w:r w:rsidR="00BD7994" w:rsidRPr="004268B2">
              <w:rPr>
                <w:rFonts w:ascii="Times New Roman" w:hAnsi="Times New Roman" w:cs="Times New Roman"/>
              </w:rPr>
              <w:t xml:space="preserve"> requirement.</w:t>
            </w:r>
          </w:p>
        </w:tc>
      </w:tr>
      <w:tr w:rsidR="003666FD" w:rsidRPr="004268B2" w14:paraId="3C08BA4E" w14:textId="77777777" w:rsidTr="00401F45">
        <w:trPr>
          <w:jc w:val="center"/>
        </w:trPr>
        <w:tc>
          <w:tcPr>
            <w:tcW w:w="1802" w:type="dxa"/>
            <w:vMerge/>
          </w:tcPr>
          <w:p w14:paraId="7512C20B" w14:textId="77777777" w:rsidR="00BD7994" w:rsidRPr="004268B2" w:rsidRDefault="00BD7994" w:rsidP="00BD7994">
            <w:pPr>
              <w:rPr>
                <w:rFonts w:ascii="Times New Roman" w:hAnsi="Times New Roman" w:cs="Times New Roman"/>
                <w:b/>
              </w:rPr>
            </w:pPr>
          </w:p>
        </w:tc>
        <w:tc>
          <w:tcPr>
            <w:tcW w:w="1373" w:type="dxa"/>
            <w:vMerge/>
          </w:tcPr>
          <w:p w14:paraId="6BAB1EB3" w14:textId="77777777" w:rsidR="00BD7994" w:rsidRPr="004268B2" w:rsidRDefault="00BD7994" w:rsidP="00BD7994">
            <w:pPr>
              <w:rPr>
                <w:rFonts w:ascii="Times New Roman" w:hAnsi="Times New Roman" w:cs="Times New Roman"/>
              </w:rPr>
            </w:pPr>
          </w:p>
        </w:tc>
        <w:tc>
          <w:tcPr>
            <w:tcW w:w="5150" w:type="dxa"/>
          </w:tcPr>
          <w:p w14:paraId="1EC598DD" w14:textId="2B37271D" w:rsidR="00BD7994" w:rsidRPr="004268B2" w:rsidRDefault="00FE212C" w:rsidP="00BD7994">
            <w:pPr>
              <w:rPr>
                <w:rFonts w:ascii="Times New Roman" w:hAnsi="Times New Roman" w:cs="Times New Roman"/>
              </w:rPr>
            </w:pPr>
            <w:r w:rsidRPr="004268B2">
              <w:rPr>
                <w:rFonts w:ascii="Times New Roman" w:hAnsi="Times New Roman" w:cs="Times New Roman"/>
              </w:rPr>
              <w:t>120</w:t>
            </w:r>
            <w:r w:rsidR="00BD7994" w:rsidRPr="004268B2">
              <w:rPr>
                <w:rFonts w:ascii="Times New Roman" w:hAnsi="Times New Roman" w:cs="Times New Roman"/>
              </w:rPr>
              <w:t>(1)(b)(vi)(B):  Add “Where individually identifiable,”</w:t>
            </w:r>
          </w:p>
        </w:tc>
        <w:tc>
          <w:tcPr>
            <w:tcW w:w="4738" w:type="dxa"/>
          </w:tcPr>
          <w:p w14:paraId="1D86160D" w14:textId="6F5E7B3F" w:rsidR="00BD7994" w:rsidRPr="004268B2" w:rsidRDefault="002B78FA" w:rsidP="002B78FA">
            <w:pPr>
              <w:rPr>
                <w:rFonts w:ascii="Times New Roman" w:hAnsi="Times New Roman" w:cs="Times New Roman"/>
              </w:rPr>
            </w:pPr>
            <w:r w:rsidRPr="004268B2">
              <w:rPr>
                <w:rFonts w:ascii="Times New Roman" w:hAnsi="Times New Roman" w:cs="Times New Roman"/>
              </w:rPr>
              <w:t>The Commission declines to adopt</w:t>
            </w:r>
            <w:r w:rsidR="00BD7994" w:rsidRPr="004268B2">
              <w:rPr>
                <w:rFonts w:ascii="Times New Roman" w:hAnsi="Times New Roman" w:cs="Times New Roman"/>
              </w:rPr>
              <w:t xml:space="preserve"> </w:t>
            </w:r>
            <w:r w:rsidRPr="004268B2">
              <w:rPr>
                <w:rFonts w:ascii="Times New Roman" w:hAnsi="Times New Roman" w:cs="Times New Roman"/>
              </w:rPr>
              <w:t>this revision.  It is appropriate for</w:t>
            </w:r>
            <w:r w:rsidR="00BD7994" w:rsidRPr="004268B2">
              <w:rPr>
                <w:rFonts w:ascii="Times New Roman" w:hAnsi="Times New Roman" w:cs="Times New Roman"/>
              </w:rPr>
              <w:t xml:space="preserve"> each utility </w:t>
            </w:r>
            <w:r w:rsidRPr="004268B2">
              <w:rPr>
                <w:rFonts w:ascii="Times New Roman" w:hAnsi="Times New Roman" w:cs="Times New Roman"/>
              </w:rPr>
              <w:t xml:space="preserve">to discuss its </w:t>
            </w:r>
            <w:r w:rsidR="00BD7994" w:rsidRPr="004268B2">
              <w:rPr>
                <w:rFonts w:ascii="Times New Roman" w:hAnsi="Times New Roman" w:cs="Times New Roman"/>
              </w:rPr>
              <w:t>EM&amp;V budgets with its advisory group.</w:t>
            </w:r>
          </w:p>
        </w:tc>
      </w:tr>
      <w:tr w:rsidR="003666FD" w:rsidRPr="004268B2" w14:paraId="78BF9C13" w14:textId="77777777" w:rsidTr="00401F45">
        <w:trPr>
          <w:jc w:val="center"/>
        </w:trPr>
        <w:tc>
          <w:tcPr>
            <w:tcW w:w="1802" w:type="dxa"/>
          </w:tcPr>
          <w:p w14:paraId="78BF9C0C" w14:textId="3DD59767" w:rsidR="00BD7994" w:rsidRPr="004268B2" w:rsidRDefault="00BD7994" w:rsidP="00BD7994">
            <w:pPr>
              <w:rPr>
                <w:rFonts w:ascii="Times New Roman" w:hAnsi="Times New Roman" w:cs="Times New Roman"/>
                <w:b/>
              </w:rPr>
            </w:pPr>
            <w:r w:rsidRPr="004268B2">
              <w:rPr>
                <w:rFonts w:ascii="Times New Roman" w:hAnsi="Times New Roman" w:cs="Times New Roman"/>
                <w:b/>
              </w:rPr>
              <w:t>Biennial conservation plan – new programs</w:t>
            </w:r>
          </w:p>
          <w:p w14:paraId="78BF9C0D" w14:textId="77777777" w:rsidR="00BD7994" w:rsidRPr="004268B2" w:rsidRDefault="00BD7994" w:rsidP="00BD7994">
            <w:pPr>
              <w:rPr>
                <w:rFonts w:ascii="Times New Roman" w:hAnsi="Times New Roman" w:cs="Times New Roman"/>
              </w:rPr>
            </w:pPr>
            <w:r w:rsidRPr="004268B2">
              <w:rPr>
                <w:rFonts w:ascii="Times New Roman" w:hAnsi="Times New Roman" w:cs="Times New Roman"/>
              </w:rPr>
              <w:t>WAC 480-109-120</w:t>
            </w:r>
          </w:p>
        </w:tc>
        <w:tc>
          <w:tcPr>
            <w:tcW w:w="1373" w:type="dxa"/>
          </w:tcPr>
          <w:p w14:paraId="78BF9C0E" w14:textId="3FE3DC95" w:rsidR="00BD7994" w:rsidRPr="004268B2" w:rsidRDefault="00BD7994" w:rsidP="00BD7994">
            <w:pPr>
              <w:rPr>
                <w:rFonts w:ascii="Times New Roman" w:hAnsi="Times New Roman" w:cs="Times New Roman"/>
              </w:rPr>
            </w:pPr>
            <w:r w:rsidRPr="004268B2">
              <w:rPr>
                <w:rFonts w:ascii="Times New Roman" w:hAnsi="Times New Roman" w:cs="Times New Roman"/>
              </w:rPr>
              <w:t>Public Counsel</w:t>
            </w:r>
          </w:p>
        </w:tc>
        <w:tc>
          <w:tcPr>
            <w:tcW w:w="5150" w:type="dxa"/>
          </w:tcPr>
          <w:p w14:paraId="78BF9C11" w14:textId="1B4BD5F5" w:rsidR="00BD7994" w:rsidRPr="004268B2" w:rsidRDefault="00BD7994" w:rsidP="00395A74">
            <w:pPr>
              <w:rPr>
                <w:rFonts w:ascii="Times New Roman" w:hAnsi="Times New Roman" w:cs="Times New Roman"/>
              </w:rPr>
            </w:pPr>
            <w:r w:rsidRPr="004268B2">
              <w:rPr>
                <w:rFonts w:ascii="Times New Roman" w:hAnsi="Times New Roman" w:cs="Times New Roman"/>
              </w:rPr>
              <w:t xml:space="preserve">The proposed rule does not include any specific requirement in the event a utility establishes new programs mid-biennium.  The utility should </w:t>
            </w:r>
            <w:r w:rsidR="00395A74" w:rsidRPr="004268B2">
              <w:rPr>
                <w:rFonts w:ascii="Times New Roman" w:hAnsi="Times New Roman" w:cs="Times New Roman"/>
              </w:rPr>
              <w:t xml:space="preserve">file an addendum or update to its biennial conservation plan and </w:t>
            </w:r>
            <w:r w:rsidRPr="004268B2">
              <w:rPr>
                <w:rFonts w:ascii="Times New Roman" w:hAnsi="Times New Roman" w:cs="Times New Roman"/>
              </w:rPr>
              <w:t>provide the program details to the advisory group and allow for review and comment.  This is part of the 2014-15 conditions, and it should be included in the rule.</w:t>
            </w:r>
          </w:p>
        </w:tc>
        <w:tc>
          <w:tcPr>
            <w:tcW w:w="4738" w:type="dxa"/>
          </w:tcPr>
          <w:p w14:paraId="78BF9C12" w14:textId="64B1E283" w:rsidR="00BD7994" w:rsidRPr="004268B2" w:rsidRDefault="002B78FA" w:rsidP="007C3AD9">
            <w:pPr>
              <w:rPr>
                <w:rFonts w:ascii="Times New Roman" w:hAnsi="Times New Roman" w:cs="Times New Roman"/>
              </w:rPr>
            </w:pPr>
            <w:r w:rsidRPr="004268B2">
              <w:rPr>
                <w:rFonts w:ascii="Times New Roman" w:hAnsi="Times New Roman" w:cs="Times New Roman"/>
              </w:rPr>
              <w:t>The Commission</w:t>
            </w:r>
            <w:r w:rsidR="00BD7994" w:rsidRPr="004268B2">
              <w:rPr>
                <w:rFonts w:ascii="Times New Roman" w:hAnsi="Times New Roman" w:cs="Times New Roman"/>
              </w:rPr>
              <w:t xml:space="preserve"> agrees that a utility should present new programs to its advisory group, and </w:t>
            </w:r>
            <w:r w:rsidR="007C3AD9" w:rsidRPr="004268B2">
              <w:rPr>
                <w:rFonts w:ascii="Times New Roman" w:hAnsi="Times New Roman" w:cs="Times New Roman"/>
              </w:rPr>
              <w:t xml:space="preserve">has adopted this requirement in </w:t>
            </w:r>
            <w:r w:rsidR="00BD7994" w:rsidRPr="004268B2">
              <w:rPr>
                <w:rFonts w:ascii="Times New Roman" w:hAnsi="Times New Roman" w:cs="Times New Roman"/>
              </w:rPr>
              <w:t>WAC 480-109-110(1)(</w:t>
            </w:r>
            <w:r w:rsidR="007C3AD9" w:rsidRPr="004268B2">
              <w:rPr>
                <w:rFonts w:ascii="Times New Roman" w:hAnsi="Times New Roman" w:cs="Times New Roman"/>
              </w:rPr>
              <w:t xml:space="preserve">m). </w:t>
            </w:r>
            <w:r w:rsidR="00BD7994" w:rsidRPr="004268B2">
              <w:rPr>
                <w:rFonts w:ascii="Times New Roman" w:hAnsi="Times New Roman" w:cs="Times New Roman"/>
              </w:rPr>
              <w:t xml:space="preserve"> </w:t>
            </w:r>
            <w:r w:rsidR="007C3AD9" w:rsidRPr="004268B2">
              <w:rPr>
                <w:rFonts w:ascii="Times New Roman" w:hAnsi="Times New Roman" w:cs="Times New Roman"/>
              </w:rPr>
              <w:t>A</w:t>
            </w:r>
            <w:r w:rsidR="00BD7994" w:rsidRPr="004268B2">
              <w:rPr>
                <w:rFonts w:ascii="Times New Roman" w:hAnsi="Times New Roman" w:cs="Times New Roman"/>
              </w:rPr>
              <w:t>n addendum or update may be appropriate</w:t>
            </w:r>
            <w:r w:rsidR="007C3AD9" w:rsidRPr="004268B2">
              <w:rPr>
                <w:rFonts w:ascii="Times New Roman" w:hAnsi="Times New Roman" w:cs="Times New Roman"/>
              </w:rPr>
              <w:t xml:space="preserve"> for major additions</w:t>
            </w:r>
            <w:r w:rsidR="00BD7994" w:rsidRPr="004268B2">
              <w:rPr>
                <w:rFonts w:ascii="Times New Roman" w:hAnsi="Times New Roman" w:cs="Times New Roman"/>
              </w:rPr>
              <w:t>, but should not be required by rule.</w:t>
            </w:r>
          </w:p>
        </w:tc>
      </w:tr>
      <w:tr w:rsidR="003666FD" w:rsidRPr="004268B2" w14:paraId="022A5485" w14:textId="77777777" w:rsidTr="00401F45">
        <w:trPr>
          <w:jc w:val="center"/>
        </w:trPr>
        <w:tc>
          <w:tcPr>
            <w:tcW w:w="1802" w:type="dxa"/>
            <w:vMerge w:val="restart"/>
          </w:tcPr>
          <w:p w14:paraId="06123DF2" w14:textId="77777777" w:rsidR="006369D3" w:rsidRPr="004268B2" w:rsidRDefault="006369D3" w:rsidP="00BD7994">
            <w:pPr>
              <w:rPr>
                <w:rFonts w:ascii="Times New Roman" w:hAnsi="Times New Roman" w:cs="Times New Roman"/>
                <w:b/>
              </w:rPr>
            </w:pPr>
            <w:r w:rsidRPr="004268B2">
              <w:rPr>
                <w:rFonts w:ascii="Times New Roman" w:hAnsi="Times New Roman" w:cs="Times New Roman"/>
                <w:b/>
              </w:rPr>
              <w:t>Annual conservation report</w:t>
            </w:r>
          </w:p>
          <w:p w14:paraId="04F385D3" w14:textId="1B32751F" w:rsidR="006369D3" w:rsidRPr="004268B2" w:rsidRDefault="006369D3" w:rsidP="00BD7994">
            <w:pPr>
              <w:rPr>
                <w:rFonts w:ascii="Times New Roman" w:hAnsi="Times New Roman" w:cs="Times New Roman"/>
                <w:b/>
              </w:rPr>
            </w:pPr>
            <w:r w:rsidRPr="004268B2">
              <w:rPr>
                <w:rFonts w:ascii="Times New Roman" w:hAnsi="Times New Roman" w:cs="Times New Roman"/>
              </w:rPr>
              <w:t>WAC 480-109-120(3)(b)</w:t>
            </w:r>
          </w:p>
        </w:tc>
        <w:tc>
          <w:tcPr>
            <w:tcW w:w="1373" w:type="dxa"/>
          </w:tcPr>
          <w:p w14:paraId="0D61B557" w14:textId="00B37971" w:rsidR="006369D3" w:rsidRPr="004268B2" w:rsidRDefault="006369D3" w:rsidP="00BD7994">
            <w:pPr>
              <w:rPr>
                <w:rFonts w:ascii="Times New Roman" w:hAnsi="Times New Roman" w:cs="Times New Roman"/>
              </w:rPr>
            </w:pPr>
            <w:r w:rsidRPr="004268B2">
              <w:rPr>
                <w:rFonts w:ascii="Times New Roman" w:hAnsi="Times New Roman" w:cs="Times New Roman"/>
              </w:rPr>
              <w:t>PSE</w:t>
            </w:r>
          </w:p>
        </w:tc>
        <w:tc>
          <w:tcPr>
            <w:tcW w:w="5150" w:type="dxa"/>
          </w:tcPr>
          <w:p w14:paraId="78767B3B" w14:textId="4AF04B02" w:rsidR="006369D3" w:rsidRPr="004268B2" w:rsidRDefault="006369D3" w:rsidP="006400C5">
            <w:pPr>
              <w:rPr>
                <w:rFonts w:ascii="Times New Roman" w:hAnsi="Times New Roman" w:cs="Times New Roman"/>
              </w:rPr>
            </w:pPr>
            <w:r w:rsidRPr="004268B2">
              <w:rPr>
                <w:rFonts w:ascii="Times New Roman" w:hAnsi="Times New Roman" w:cs="Times New Roman"/>
              </w:rPr>
              <w:t>120(3)(b)(ii): Replace “description” with “</w:t>
            </w:r>
            <w:r w:rsidRPr="004268B2">
              <w:rPr>
                <w:rFonts w:ascii="Times New Roman" w:hAnsi="Times New Roman" w:cs="Times New Roman"/>
                <w:i/>
              </w:rPr>
              <w:t>high-level discussion</w:t>
            </w:r>
            <w:r w:rsidRPr="004268B2">
              <w:rPr>
                <w:rFonts w:ascii="Times New Roman" w:hAnsi="Times New Roman" w:cs="Times New Roman"/>
              </w:rPr>
              <w:t xml:space="preserve"> of the </w:t>
            </w:r>
            <w:r w:rsidRPr="004268B2">
              <w:rPr>
                <w:rFonts w:ascii="Times New Roman" w:hAnsi="Times New Roman" w:cs="Times New Roman"/>
                <w:i/>
              </w:rPr>
              <w:t>key sources of</w:t>
            </w:r>
            <w:r w:rsidRPr="004268B2">
              <w:rPr>
                <w:rFonts w:ascii="Times New Roman" w:hAnsi="Times New Roman" w:cs="Times New Roman"/>
              </w:rPr>
              <w:t xml:space="preserve"> variance between the planned and actual savings”  A description of “any” variance will increase the administrative burden on utilities.</w:t>
            </w:r>
          </w:p>
        </w:tc>
        <w:tc>
          <w:tcPr>
            <w:tcW w:w="4738" w:type="dxa"/>
          </w:tcPr>
          <w:p w14:paraId="74628236" w14:textId="7F7A6111" w:rsidR="006369D3" w:rsidRPr="004268B2" w:rsidRDefault="006369D3" w:rsidP="006400C5">
            <w:pPr>
              <w:rPr>
                <w:rFonts w:ascii="Times New Roman" w:hAnsi="Times New Roman" w:cs="Times New Roman"/>
              </w:rPr>
            </w:pPr>
            <w:r w:rsidRPr="004268B2">
              <w:rPr>
                <w:rFonts w:ascii="Times New Roman" w:hAnsi="Times New Roman" w:cs="Times New Roman"/>
              </w:rPr>
              <w:t>The Commission declines to adopt PSE’s suggestion to change “description” to the less rigorous term “high-level discussion,” which would weaken the requirement.  The Commission accepts PSE’s suggestion to change “source of any variance” to “key sources of variance.”  Annual conservation reports should explain the reasons for substantive variations, not list every potential cause of variation.</w:t>
            </w:r>
          </w:p>
        </w:tc>
      </w:tr>
      <w:tr w:rsidR="003666FD" w:rsidRPr="004268B2" w14:paraId="69785160" w14:textId="77777777" w:rsidTr="00401F45">
        <w:trPr>
          <w:jc w:val="center"/>
        </w:trPr>
        <w:tc>
          <w:tcPr>
            <w:tcW w:w="1802" w:type="dxa"/>
            <w:vMerge/>
          </w:tcPr>
          <w:p w14:paraId="2A7F39C9" w14:textId="77777777" w:rsidR="006369D3" w:rsidRPr="004268B2" w:rsidRDefault="006369D3" w:rsidP="006369D3">
            <w:pPr>
              <w:rPr>
                <w:rFonts w:ascii="Times New Roman" w:hAnsi="Times New Roman" w:cs="Times New Roman"/>
                <w:b/>
              </w:rPr>
            </w:pPr>
          </w:p>
        </w:tc>
        <w:tc>
          <w:tcPr>
            <w:tcW w:w="1373" w:type="dxa"/>
          </w:tcPr>
          <w:p w14:paraId="6DD8AE15" w14:textId="5D8CE78A" w:rsidR="006369D3" w:rsidRPr="004268B2" w:rsidRDefault="006369D3" w:rsidP="006369D3">
            <w:pPr>
              <w:rPr>
                <w:rFonts w:ascii="Times New Roman" w:hAnsi="Times New Roman" w:cs="Times New Roman"/>
              </w:rPr>
            </w:pPr>
            <w:r w:rsidRPr="004268B2">
              <w:rPr>
                <w:rFonts w:ascii="Times New Roman" w:hAnsi="Times New Roman" w:cs="Times New Roman"/>
              </w:rPr>
              <w:t>PSE</w:t>
            </w:r>
          </w:p>
        </w:tc>
        <w:tc>
          <w:tcPr>
            <w:tcW w:w="5150" w:type="dxa"/>
          </w:tcPr>
          <w:p w14:paraId="2C9B4235" w14:textId="019B8D6D" w:rsidR="006369D3" w:rsidRPr="004268B2" w:rsidRDefault="006369D3" w:rsidP="006369D3">
            <w:pPr>
              <w:rPr>
                <w:rFonts w:ascii="Times New Roman" w:hAnsi="Times New Roman" w:cs="Times New Roman"/>
              </w:rPr>
            </w:pPr>
            <w:r w:rsidRPr="004268B2">
              <w:rPr>
                <w:rFonts w:ascii="Times New Roman" w:hAnsi="Times New Roman" w:cs="Times New Roman"/>
              </w:rPr>
              <w:t>120(3)(c):  remove requirement to file with the Department of Commerce.  Reports are “provided to” rather than filed with Commerce.  Replace with: “A utility must file a conservation report with the commission in the same docket as its current biennial conservation plan.”</w:t>
            </w:r>
          </w:p>
        </w:tc>
        <w:tc>
          <w:tcPr>
            <w:tcW w:w="4738" w:type="dxa"/>
          </w:tcPr>
          <w:p w14:paraId="5B47B85B" w14:textId="14EAC51C" w:rsidR="006369D3" w:rsidRPr="004268B2" w:rsidRDefault="006369D3" w:rsidP="006369D3">
            <w:pPr>
              <w:rPr>
                <w:rFonts w:ascii="Times New Roman" w:hAnsi="Times New Roman" w:cs="Times New Roman"/>
              </w:rPr>
            </w:pPr>
            <w:r w:rsidRPr="004268B2">
              <w:rPr>
                <w:rFonts w:ascii="Times New Roman" w:hAnsi="Times New Roman" w:cs="Times New Roman"/>
              </w:rPr>
              <w:t>The Commission adopts a change to clarify that utilities “submit,” rather than “file” the report with the Department of Commerce, to more accurately reflect the process by which the utilities provide this information.</w:t>
            </w:r>
          </w:p>
        </w:tc>
      </w:tr>
      <w:tr w:rsidR="003666FD" w:rsidRPr="004268B2" w14:paraId="518D03A3" w14:textId="77777777" w:rsidTr="00401F45">
        <w:trPr>
          <w:jc w:val="center"/>
        </w:trPr>
        <w:tc>
          <w:tcPr>
            <w:tcW w:w="1802" w:type="dxa"/>
          </w:tcPr>
          <w:p w14:paraId="29D177C2" w14:textId="63EC0466" w:rsidR="00B74662" w:rsidRDefault="00B74662" w:rsidP="00B74662">
            <w:pPr>
              <w:rPr>
                <w:rFonts w:ascii="Times New Roman" w:hAnsi="Times New Roman" w:cs="Times New Roman"/>
                <w:b/>
              </w:rPr>
            </w:pPr>
            <w:r>
              <w:rPr>
                <w:rFonts w:ascii="Times New Roman" w:hAnsi="Times New Roman" w:cs="Times New Roman"/>
                <w:b/>
              </w:rPr>
              <w:t>Cost-effectiveness Reports</w:t>
            </w:r>
          </w:p>
          <w:p w14:paraId="5188776C" w14:textId="77777777" w:rsidR="00B74662" w:rsidRDefault="00B74662" w:rsidP="00B74662">
            <w:pPr>
              <w:rPr>
                <w:rFonts w:ascii="Times New Roman" w:hAnsi="Times New Roman" w:cs="Times New Roman"/>
              </w:rPr>
            </w:pPr>
            <w:r w:rsidRPr="004268B2">
              <w:rPr>
                <w:rFonts w:ascii="Times New Roman" w:hAnsi="Times New Roman" w:cs="Times New Roman"/>
              </w:rPr>
              <w:lastRenderedPageBreak/>
              <w:t>WAC 480-109-120(3)(b)(iv) and (4)(b)(iv)</w:t>
            </w:r>
          </w:p>
          <w:p w14:paraId="0640C1DC" w14:textId="77777777" w:rsidR="00B74662" w:rsidRPr="004268B2" w:rsidRDefault="00B74662" w:rsidP="00B74662">
            <w:pPr>
              <w:rPr>
                <w:rFonts w:ascii="Times New Roman" w:hAnsi="Times New Roman" w:cs="Times New Roman"/>
                <w:b/>
              </w:rPr>
            </w:pPr>
          </w:p>
        </w:tc>
        <w:tc>
          <w:tcPr>
            <w:tcW w:w="1373" w:type="dxa"/>
          </w:tcPr>
          <w:p w14:paraId="72871493"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lastRenderedPageBreak/>
              <w:t>PSE</w:t>
            </w:r>
          </w:p>
          <w:p w14:paraId="7D59D97A" w14:textId="77777777" w:rsidR="00B74662" w:rsidRPr="004268B2" w:rsidRDefault="00B74662" w:rsidP="00B74662">
            <w:pPr>
              <w:rPr>
                <w:rFonts w:ascii="Times New Roman" w:hAnsi="Times New Roman" w:cs="Times New Roman"/>
              </w:rPr>
            </w:pPr>
          </w:p>
        </w:tc>
        <w:tc>
          <w:tcPr>
            <w:tcW w:w="5150" w:type="dxa"/>
          </w:tcPr>
          <w:p w14:paraId="7AF9253D" w14:textId="432D4D67" w:rsidR="00B74662" w:rsidRPr="004268B2" w:rsidRDefault="00B74662" w:rsidP="00B74662">
            <w:pPr>
              <w:rPr>
                <w:rFonts w:ascii="Times New Roman" w:hAnsi="Times New Roman" w:cs="Times New Roman"/>
              </w:rPr>
            </w:pPr>
            <w:r w:rsidRPr="004268B2">
              <w:rPr>
                <w:rFonts w:ascii="Times New Roman" w:hAnsi="Times New Roman" w:cs="Times New Roman"/>
              </w:rPr>
              <w:t>Make the language in sections 480-109-120(3)(b)(iv) and 480-109-120(4)(b)(iv) consistent.</w:t>
            </w:r>
          </w:p>
        </w:tc>
        <w:tc>
          <w:tcPr>
            <w:tcW w:w="4738" w:type="dxa"/>
          </w:tcPr>
          <w:p w14:paraId="4316822E" w14:textId="592572CC" w:rsidR="00B74662" w:rsidRPr="004268B2" w:rsidRDefault="00C32F06" w:rsidP="00FC3C7B">
            <w:pPr>
              <w:rPr>
                <w:rFonts w:ascii="Times New Roman" w:hAnsi="Times New Roman" w:cs="Times New Roman"/>
              </w:rPr>
            </w:pPr>
            <w:r>
              <w:rPr>
                <w:rFonts w:ascii="Times New Roman" w:hAnsi="Times New Roman" w:cs="Times New Roman"/>
              </w:rPr>
              <w:t xml:space="preserve">The Commission </w:t>
            </w:r>
            <w:r w:rsidR="0030499C">
              <w:rPr>
                <w:rFonts w:ascii="Times New Roman" w:hAnsi="Times New Roman" w:cs="Times New Roman"/>
              </w:rPr>
              <w:t>agrees with</w:t>
            </w:r>
            <w:r>
              <w:rPr>
                <w:rFonts w:ascii="Times New Roman" w:hAnsi="Times New Roman" w:cs="Times New Roman"/>
              </w:rPr>
              <w:t xml:space="preserve"> PSE’s </w:t>
            </w:r>
            <w:r w:rsidR="0030499C">
              <w:rPr>
                <w:rFonts w:ascii="Times New Roman" w:hAnsi="Times New Roman" w:cs="Times New Roman"/>
              </w:rPr>
              <w:t>comment and made the language consistent</w:t>
            </w:r>
            <w:r>
              <w:rPr>
                <w:rFonts w:ascii="Times New Roman" w:hAnsi="Times New Roman" w:cs="Times New Roman"/>
              </w:rPr>
              <w:t>.  As discussed in the adoption order, t</w:t>
            </w:r>
            <w:r w:rsidR="00B74662" w:rsidRPr="00D5485E">
              <w:rPr>
                <w:rFonts w:ascii="Times New Roman" w:hAnsi="Times New Roman" w:cs="Times New Roman"/>
              </w:rPr>
              <w:t xml:space="preserve">he </w:t>
            </w:r>
            <w:r w:rsidR="0030499C">
              <w:rPr>
                <w:rFonts w:ascii="Times New Roman" w:hAnsi="Times New Roman" w:cs="Times New Roman"/>
              </w:rPr>
              <w:t xml:space="preserve">both portfolio- and </w:t>
            </w:r>
            <w:r w:rsidR="00B74662" w:rsidRPr="00D5485E">
              <w:rPr>
                <w:rFonts w:ascii="Times New Roman" w:hAnsi="Times New Roman" w:cs="Times New Roman"/>
              </w:rPr>
              <w:t>program-</w:t>
            </w:r>
            <w:r w:rsidR="00B74662" w:rsidRPr="00D5485E">
              <w:rPr>
                <w:rFonts w:ascii="Times New Roman" w:hAnsi="Times New Roman" w:cs="Times New Roman"/>
              </w:rPr>
              <w:lastRenderedPageBreak/>
              <w:t xml:space="preserve">level </w:t>
            </w:r>
            <w:r w:rsidR="00FC3C7B">
              <w:rPr>
                <w:rFonts w:ascii="Times New Roman" w:hAnsi="Times New Roman" w:cs="Times New Roman"/>
              </w:rPr>
              <w:t>cost-effectiveness</w:t>
            </w:r>
            <w:r w:rsidR="00FC3C7B" w:rsidRPr="00D5485E">
              <w:rPr>
                <w:rFonts w:ascii="Times New Roman" w:hAnsi="Times New Roman" w:cs="Times New Roman"/>
              </w:rPr>
              <w:t xml:space="preserve"> </w:t>
            </w:r>
            <w:r w:rsidR="00B74662" w:rsidRPr="00D5485E">
              <w:rPr>
                <w:rFonts w:ascii="Times New Roman" w:hAnsi="Times New Roman" w:cs="Times New Roman"/>
              </w:rPr>
              <w:t>are useful information to guide adaptive management decisions, and should be included in annual conservation reports.</w:t>
            </w:r>
            <w:r w:rsidR="00B74662">
              <w:rPr>
                <w:rFonts w:ascii="Times New Roman" w:hAnsi="Times New Roman" w:cs="Times New Roman"/>
              </w:rPr>
              <w:t xml:space="preserve"> </w:t>
            </w:r>
            <w:r w:rsidR="00FC3C7B">
              <w:rPr>
                <w:rFonts w:ascii="Times New Roman" w:hAnsi="Times New Roman" w:cs="Times New Roman"/>
              </w:rPr>
              <w:t xml:space="preserve"> We do not require the program-level cost-effectiveness in the biennial conservation plans to lessen the administrative burden.</w:t>
            </w:r>
            <w:r w:rsidR="00B74662">
              <w:rPr>
                <w:rFonts w:ascii="Times New Roman" w:hAnsi="Times New Roman" w:cs="Times New Roman"/>
              </w:rPr>
              <w:t xml:space="preserve"> </w:t>
            </w:r>
          </w:p>
        </w:tc>
      </w:tr>
      <w:tr w:rsidR="003666FD" w:rsidRPr="004268B2" w14:paraId="78BF9C1B" w14:textId="77777777" w:rsidTr="00401F45">
        <w:trPr>
          <w:jc w:val="center"/>
        </w:trPr>
        <w:tc>
          <w:tcPr>
            <w:tcW w:w="1802" w:type="dxa"/>
          </w:tcPr>
          <w:p w14:paraId="78BF9C14" w14:textId="16D7B29B" w:rsidR="00B74662" w:rsidRPr="004268B2" w:rsidRDefault="00B74662" w:rsidP="00B74662">
            <w:pPr>
              <w:rPr>
                <w:rFonts w:ascii="Times New Roman" w:hAnsi="Times New Roman" w:cs="Times New Roman"/>
                <w:b/>
              </w:rPr>
            </w:pPr>
            <w:r>
              <w:rPr>
                <w:rFonts w:ascii="Times New Roman" w:hAnsi="Times New Roman" w:cs="Times New Roman"/>
                <w:b/>
              </w:rPr>
              <w:lastRenderedPageBreak/>
              <w:t>Third-party evaluation</w:t>
            </w:r>
            <w:r w:rsidR="00C32F06">
              <w:rPr>
                <w:rFonts w:ascii="Times New Roman" w:hAnsi="Times New Roman" w:cs="Times New Roman"/>
                <w:b/>
              </w:rPr>
              <w:t>s</w:t>
            </w:r>
          </w:p>
          <w:p w14:paraId="78BF9C15" w14:textId="57E7385A" w:rsidR="00B74662" w:rsidRPr="00B74662" w:rsidRDefault="00B74662" w:rsidP="00C32F06">
            <w:pPr>
              <w:rPr>
                <w:rFonts w:ascii="Times New Roman" w:hAnsi="Times New Roman" w:cs="Times New Roman"/>
              </w:rPr>
            </w:pPr>
            <w:r w:rsidRPr="004268B2">
              <w:rPr>
                <w:rFonts w:ascii="Times New Roman" w:hAnsi="Times New Roman" w:cs="Times New Roman"/>
              </w:rPr>
              <w:t>WAC 480-109-120</w:t>
            </w:r>
            <w:r>
              <w:rPr>
                <w:rFonts w:ascii="Times New Roman" w:hAnsi="Times New Roman" w:cs="Times New Roman"/>
              </w:rPr>
              <w:t>(4)(b)(v)</w:t>
            </w:r>
          </w:p>
        </w:tc>
        <w:tc>
          <w:tcPr>
            <w:tcW w:w="1373" w:type="dxa"/>
          </w:tcPr>
          <w:p w14:paraId="78BF9C16" w14:textId="5AEE6E6D" w:rsidR="00B74662" w:rsidRPr="004268B2" w:rsidRDefault="00B74662" w:rsidP="005C1A10">
            <w:pPr>
              <w:rPr>
                <w:rFonts w:ascii="Times New Roman" w:hAnsi="Times New Roman" w:cs="Times New Roman"/>
              </w:rPr>
            </w:pPr>
            <w:r w:rsidRPr="004268B2">
              <w:rPr>
                <w:rFonts w:ascii="Times New Roman" w:hAnsi="Times New Roman" w:cs="Times New Roman"/>
              </w:rPr>
              <w:t>NWEC</w:t>
            </w:r>
            <w:r w:rsidR="005C1A10">
              <w:rPr>
                <w:rFonts w:ascii="Times New Roman" w:hAnsi="Times New Roman" w:cs="Times New Roman"/>
              </w:rPr>
              <w:t>,</w:t>
            </w:r>
            <w:r w:rsidRPr="004268B2">
              <w:rPr>
                <w:rFonts w:ascii="Times New Roman" w:hAnsi="Times New Roman" w:cs="Times New Roman"/>
              </w:rPr>
              <w:t xml:space="preserve"> PSE</w:t>
            </w:r>
          </w:p>
        </w:tc>
        <w:tc>
          <w:tcPr>
            <w:tcW w:w="5150" w:type="dxa"/>
          </w:tcPr>
          <w:p w14:paraId="63CE202F" w14:textId="78C012C9" w:rsidR="00B74662" w:rsidRPr="004268B2" w:rsidRDefault="00B74662" w:rsidP="00B74662">
            <w:pPr>
              <w:rPr>
                <w:rFonts w:ascii="Times New Roman" w:hAnsi="Times New Roman" w:cs="Times New Roman"/>
              </w:rPr>
            </w:pPr>
            <w:r w:rsidRPr="004268B2">
              <w:rPr>
                <w:rFonts w:ascii="Times New Roman" w:hAnsi="Times New Roman" w:cs="Times New Roman"/>
              </w:rPr>
              <w:t>NWEC believes this language is appropriate.</w:t>
            </w:r>
          </w:p>
          <w:p w14:paraId="6D3EB373" w14:textId="77777777" w:rsidR="00B74662" w:rsidRPr="004268B2" w:rsidRDefault="00B74662" w:rsidP="00B74662">
            <w:pPr>
              <w:rPr>
                <w:rFonts w:ascii="Times New Roman" w:hAnsi="Times New Roman" w:cs="Times New Roman"/>
              </w:rPr>
            </w:pPr>
          </w:p>
          <w:p w14:paraId="78BF9C19" w14:textId="2EAF7309" w:rsidR="00B74662" w:rsidRPr="004268B2" w:rsidRDefault="00B74662" w:rsidP="00B74662">
            <w:pPr>
              <w:rPr>
                <w:rFonts w:ascii="Times New Roman" w:hAnsi="Times New Roman" w:cs="Times New Roman"/>
              </w:rPr>
            </w:pPr>
            <w:r w:rsidRPr="004268B2">
              <w:rPr>
                <w:rFonts w:ascii="Times New Roman" w:hAnsi="Times New Roman" w:cs="Times New Roman"/>
              </w:rPr>
              <w:t>PSE suggests replacing “evaluation” with “review,” and add “as deemed necessary by a utility’s advisory group.”</w:t>
            </w:r>
          </w:p>
        </w:tc>
        <w:tc>
          <w:tcPr>
            <w:tcW w:w="4738" w:type="dxa"/>
          </w:tcPr>
          <w:p w14:paraId="055E0600" w14:textId="528868AA" w:rsidR="00B74662" w:rsidRDefault="00B74662" w:rsidP="00B74662">
            <w:pPr>
              <w:rPr>
                <w:rFonts w:ascii="Times New Roman" w:hAnsi="Times New Roman" w:cs="Times New Roman"/>
              </w:rPr>
            </w:pPr>
            <w:r w:rsidRPr="004268B2">
              <w:rPr>
                <w:rFonts w:ascii="Times New Roman" w:hAnsi="Times New Roman" w:cs="Times New Roman"/>
              </w:rPr>
              <w:t xml:space="preserve">The Commission </w:t>
            </w:r>
            <w:r>
              <w:rPr>
                <w:rFonts w:ascii="Times New Roman" w:hAnsi="Times New Roman" w:cs="Times New Roman"/>
              </w:rPr>
              <w:t xml:space="preserve">believes that it is appropriate for utilities to provide a narrative discussion </w:t>
            </w:r>
          </w:p>
          <w:p w14:paraId="78BF9C1A" w14:textId="0D096FC2" w:rsidR="00B74662" w:rsidRPr="004268B2" w:rsidRDefault="00B74662" w:rsidP="0030499C">
            <w:pPr>
              <w:rPr>
                <w:rFonts w:ascii="Times New Roman" w:hAnsi="Times New Roman" w:cs="Times New Roman"/>
              </w:rPr>
            </w:pPr>
            <w:r>
              <w:rPr>
                <w:rFonts w:ascii="Times New Roman" w:hAnsi="Times New Roman" w:cs="Times New Roman"/>
              </w:rPr>
              <w:t>We</w:t>
            </w:r>
            <w:r w:rsidRPr="004268B2">
              <w:rPr>
                <w:rFonts w:ascii="Times New Roman" w:hAnsi="Times New Roman" w:cs="Times New Roman"/>
              </w:rPr>
              <w:t xml:space="preserve"> </w:t>
            </w:r>
            <w:r>
              <w:rPr>
                <w:rFonts w:ascii="Times New Roman" w:hAnsi="Times New Roman" w:cs="Times New Roman"/>
              </w:rPr>
              <w:t>decline</w:t>
            </w:r>
            <w:r w:rsidRPr="004268B2">
              <w:rPr>
                <w:rFonts w:ascii="Times New Roman" w:hAnsi="Times New Roman" w:cs="Times New Roman"/>
              </w:rPr>
              <w:t xml:space="preserve"> to adopt PSE’s suggestion to change “evaluation” to “review</w:t>
            </w:r>
            <w:r w:rsidR="00C32F06">
              <w:rPr>
                <w:rFonts w:ascii="Times New Roman" w:hAnsi="Times New Roman" w:cs="Times New Roman"/>
              </w:rPr>
              <w:t>.</w:t>
            </w:r>
            <w:r w:rsidRPr="004268B2">
              <w:rPr>
                <w:rFonts w:ascii="Times New Roman" w:hAnsi="Times New Roman" w:cs="Times New Roman"/>
              </w:rPr>
              <w:t xml:space="preserve">”  </w:t>
            </w:r>
            <w:r>
              <w:rPr>
                <w:rFonts w:ascii="Times New Roman" w:hAnsi="Times New Roman" w:cs="Times New Roman"/>
              </w:rPr>
              <w:t xml:space="preserve">Independent third-party evaluations are required in </w:t>
            </w:r>
            <w:r w:rsidR="00C32F06">
              <w:rPr>
                <w:rFonts w:ascii="Times New Roman" w:hAnsi="Times New Roman" w:cs="Times New Roman"/>
              </w:rPr>
              <w:t xml:space="preserve">existing Commission </w:t>
            </w:r>
            <w:r>
              <w:rPr>
                <w:rFonts w:ascii="Times New Roman" w:hAnsi="Times New Roman" w:cs="Times New Roman"/>
              </w:rPr>
              <w:t>orders</w:t>
            </w:r>
            <w:r w:rsidR="00C32F06">
              <w:rPr>
                <w:rFonts w:ascii="Times New Roman" w:hAnsi="Times New Roman" w:cs="Times New Roman"/>
              </w:rPr>
              <w:t>,</w:t>
            </w:r>
            <w:r>
              <w:rPr>
                <w:rFonts w:ascii="Times New Roman" w:hAnsi="Times New Roman" w:cs="Times New Roman"/>
              </w:rPr>
              <w:t xml:space="preserve"> and are consistent with current practice.  </w:t>
            </w:r>
            <w:r w:rsidR="0030499C">
              <w:rPr>
                <w:rFonts w:ascii="Times New Roman" w:hAnsi="Times New Roman" w:cs="Times New Roman"/>
              </w:rPr>
              <w:t>It</w:t>
            </w:r>
            <w:r w:rsidRPr="004268B2">
              <w:rPr>
                <w:rFonts w:ascii="Times New Roman" w:hAnsi="Times New Roman" w:cs="Times New Roman"/>
              </w:rPr>
              <w:t xml:space="preserve"> is appropriate for advisory groups to determine the scope of the cost-effectiveness discussions in the reports.  </w:t>
            </w:r>
          </w:p>
        </w:tc>
      </w:tr>
      <w:tr w:rsidR="003666FD" w:rsidRPr="004268B2" w14:paraId="78BF9C29" w14:textId="77777777" w:rsidTr="00401F45">
        <w:trPr>
          <w:jc w:val="center"/>
        </w:trPr>
        <w:tc>
          <w:tcPr>
            <w:tcW w:w="1802" w:type="dxa"/>
            <w:vMerge w:val="restart"/>
          </w:tcPr>
          <w:p w14:paraId="78BF9C24" w14:textId="08B8317B" w:rsidR="00B74662" w:rsidRPr="004268B2" w:rsidRDefault="00B74662" w:rsidP="00B74662">
            <w:pPr>
              <w:rPr>
                <w:rFonts w:ascii="Times New Roman" w:hAnsi="Times New Roman" w:cs="Times New Roman"/>
                <w:b/>
              </w:rPr>
            </w:pPr>
            <w:r w:rsidRPr="004268B2">
              <w:rPr>
                <w:rFonts w:ascii="Times New Roman" w:hAnsi="Times New Roman" w:cs="Times New Roman"/>
                <w:b/>
              </w:rPr>
              <w:t>Publication of EERS and RPS reports</w:t>
            </w:r>
          </w:p>
          <w:p w14:paraId="78BF9C25" w14:textId="1095A4FD" w:rsidR="00B74662" w:rsidRPr="004268B2" w:rsidRDefault="00B74662" w:rsidP="00B74662">
            <w:pPr>
              <w:rPr>
                <w:rFonts w:ascii="Times New Roman" w:hAnsi="Times New Roman" w:cs="Times New Roman"/>
              </w:rPr>
            </w:pPr>
            <w:r w:rsidRPr="004268B2">
              <w:rPr>
                <w:rFonts w:ascii="Times New Roman" w:hAnsi="Times New Roman" w:cs="Times New Roman"/>
              </w:rPr>
              <w:t>WAC 4</w:t>
            </w:r>
            <w:r w:rsidR="001E1AF8">
              <w:rPr>
                <w:rFonts w:ascii="Times New Roman" w:hAnsi="Times New Roman" w:cs="Times New Roman"/>
              </w:rPr>
              <w:t>80-109-120(6) and WAC 480-109-21</w:t>
            </w:r>
            <w:r w:rsidRPr="004268B2">
              <w:rPr>
                <w:rFonts w:ascii="Times New Roman" w:hAnsi="Times New Roman" w:cs="Times New Roman"/>
              </w:rPr>
              <w:t>0(4)</w:t>
            </w:r>
          </w:p>
        </w:tc>
        <w:tc>
          <w:tcPr>
            <w:tcW w:w="1373" w:type="dxa"/>
          </w:tcPr>
          <w:p w14:paraId="78BF9C26"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t>PSE</w:t>
            </w:r>
          </w:p>
        </w:tc>
        <w:tc>
          <w:tcPr>
            <w:tcW w:w="5150" w:type="dxa"/>
          </w:tcPr>
          <w:p w14:paraId="03431A2D"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t xml:space="preserve">The plans contain confidential and sensitive data.  The proposed requirement could result in a reduction of the amount of detail provided to the CRAG.  </w:t>
            </w:r>
          </w:p>
          <w:p w14:paraId="5217FC05" w14:textId="77777777" w:rsidR="00B74662" w:rsidRPr="004268B2" w:rsidRDefault="00B74662" w:rsidP="00B74662">
            <w:pPr>
              <w:rPr>
                <w:rFonts w:ascii="Times New Roman" w:hAnsi="Times New Roman" w:cs="Times New Roman"/>
              </w:rPr>
            </w:pPr>
          </w:p>
          <w:p w14:paraId="78BF9C27" w14:textId="44B69226" w:rsidR="00B74662" w:rsidRPr="004268B2" w:rsidRDefault="00B74662" w:rsidP="00B74662">
            <w:pPr>
              <w:rPr>
                <w:rFonts w:ascii="Times New Roman" w:hAnsi="Times New Roman" w:cs="Times New Roman"/>
              </w:rPr>
            </w:pPr>
          </w:p>
        </w:tc>
        <w:tc>
          <w:tcPr>
            <w:tcW w:w="4738" w:type="dxa"/>
          </w:tcPr>
          <w:p w14:paraId="78BF9C28" w14:textId="701CAAF7" w:rsidR="00B74662" w:rsidRPr="004268B2" w:rsidRDefault="00B74662" w:rsidP="00B74662">
            <w:pPr>
              <w:rPr>
                <w:rFonts w:ascii="Times New Roman" w:hAnsi="Times New Roman" w:cs="Times New Roman"/>
              </w:rPr>
            </w:pPr>
            <w:r w:rsidRPr="004268B2">
              <w:rPr>
                <w:rFonts w:ascii="Times New Roman" w:hAnsi="Times New Roman" w:cs="Times New Roman"/>
              </w:rPr>
              <w:t xml:space="preserve">The Commission does not intend these sections to require utilities to publish confidential information.  A utility should provide work papers and supporting documentation to its advisory group, but confidential information </w:t>
            </w:r>
            <w:r>
              <w:rPr>
                <w:rFonts w:ascii="Times New Roman" w:hAnsi="Times New Roman" w:cs="Times New Roman"/>
              </w:rPr>
              <w:t xml:space="preserve">as defined in WAC 480-07-160 </w:t>
            </w:r>
            <w:r w:rsidRPr="004268B2">
              <w:rPr>
                <w:rFonts w:ascii="Times New Roman" w:hAnsi="Times New Roman" w:cs="Times New Roman"/>
              </w:rPr>
              <w:t xml:space="preserve">may be redacted.  </w:t>
            </w:r>
          </w:p>
        </w:tc>
      </w:tr>
      <w:tr w:rsidR="003666FD" w:rsidRPr="004268B2" w14:paraId="200C1C6C" w14:textId="77777777" w:rsidTr="00401F45">
        <w:trPr>
          <w:jc w:val="center"/>
        </w:trPr>
        <w:tc>
          <w:tcPr>
            <w:tcW w:w="1802" w:type="dxa"/>
            <w:vMerge/>
          </w:tcPr>
          <w:p w14:paraId="03F75B5B" w14:textId="77777777" w:rsidR="00B74662" w:rsidRPr="004268B2" w:rsidRDefault="00B74662" w:rsidP="00B74662">
            <w:pPr>
              <w:rPr>
                <w:rFonts w:ascii="Times New Roman" w:hAnsi="Times New Roman" w:cs="Times New Roman"/>
                <w:b/>
              </w:rPr>
            </w:pPr>
          </w:p>
        </w:tc>
        <w:tc>
          <w:tcPr>
            <w:tcW w:w="1373" w:type="dxa"/>
          </w:tcPr>
          <w:p w14:paraId="43785E91" w14:textId="536E88C1" w:rsidR="00B74662" w:rsidRPr="004268B2" w:rsidRDefault="00B74662" w:rsidP="00B74662">
            <w:pPr>
              <w:rPr>
                <w:rFonts w:ascii="Times New Roman" w:hAnsi="Times New Roman" w:cs="Times New Roman"/>
              </w:rPr>
            </w:pPr>
            <w:r w:rsidRPr="004268B2">
              <w:rPr>
                <w:rFonts w:ascii="Times New Roman" w:hAnsi="Times New Roman" w:cs="Times New Roman"/>
              </w:rPr>
              <w:t>PSE</w:t>
            </w:r>
          </w:p>
        </w:tc>
        <w:tc>
          <w:tcPr>
            <w:tcW w:w="5150" w:type="dxa"/>
          </w:tcPr>
          <w:p w14:paraId="7BD0B677" w14:textId="2B11853C" w:rsidR="00B74662" w:rsidRPr="004268B2" w:rsidRDefault="00B74662" w:rsidP="00B74662">
            <w:pPr>
              <w:rPr>
                <w:rFonts w:ascii="Times New Roman" w:hAnsi="Times New Roman" w:cs="Times New Roman"/>
              </w:rPr>
            </w:pPr>
            <w:r w:rsidRPr="004268B2">
              <w:rPr>
                <w:rFonts w:ascii="Times New Roman" w:hAnsi="Times New Roman" w:cs="Times New Roman"/>
              </w:rPr>
              <w:t xml:space="preserve">Replace with: “A summary of the last two conservation plans and conservation accomplishment reports required in this section must be posted and maintained on the utility’s web site.”  </w:t>
            </w:r>
          </w:p>
        </w:tc>
        <w:tc>
          <w:tcPr>
            <w:tcW w:w="4738" w:type="dxa"/>
          </w:tcPr>
          <w:p w14:paraId="10F4F29D" w14:textId="79FE27E7" w:rsidR="00B74662" w:rsidRPr="004268B2" w:rsidRDefault="00B74662" w:rsidP="00B74662">
            <w:pPr>
              <w:rPr>
                <w:rFonts w:ascii="Times New Roman" w:hAnsi="Times New Roman" w:cs="Times New Roman"/>
              </w:rPr>
            </w:pPr>
            <w:r w:rsidRPr="004268B2">
              <w:rPr>
                <w:rFonts w:ascii="Times New Roman" w:hAnsi="Times New Roman" w:cs="Times New Roman"/>
              </w:rPr>
              <w:t>The Commission agrees with PSE’s suggestion that providing a summary of EERS reports to the public would be helpful.  We adopt revisions to this section to also require utilities to post a summary of planned and actual savings and expenditures on their websites.  Further codifying our precedent, we clarify that a utility must post EERS and RPS plans and reports on its website within 30 days of commission acknowledgment of the plan or order approving the report.</w:t>
            </w:r>
          </w:p>
        </w:tc>
      </w:tr>
      <w:tr w:rsidR="003666FD" w:rsidRPr="004268B2" w14:paraId="78BF9C30" w14:textId="77777777" w:rsidTr="00401F45">
        <w:trPr>
          <w:jc w:val="center"/>
        </w:trPr>
        <w:tc>
          <w:tcPr>
            <w:tcW w:w="1802" w:type="dxa"/>
          </w:tcPr>
          <w:p w14:paraId="78BF9C2A" w14:textId="60C9E81F" w:rsidR="00B74662" w:rsidRPr="004268B2" w:rsidRDefault="00B74662" w:rsidP="00B74662">
            <w:pPr>
              <w:rPr>
                <w:rFonts w:ascii="Times New Roman" w:hAnsi="Times New Roman" w:cs="Times New Roman"/>
                <w:b/>
              </w:rPr>
            </w:pPr>
            <w:r w:rsidRPr="004268B2">
              <w:rPr>
                <w:rFonts w:ascii="Times New Roman" w:hAnsi="Times New Roman" w:cs="Times New Roman"/>
                <w:b/>
              </w:rPr>
              <w:t>Conservation cost recovery adjustment</w:t>
            </w:r>
          </w:p>
          <w:p w14:paraId="78BF9C2B" w14:textId="2EEDC919" w:rsidR="00B74662" w:rsidRPr="004268B2" w:rsidRDefault="00B74662" w:rsidP="00B74662">
            <w:pPr>
              <w:rPr>
                <w:rFonts w:ascii="Times New Roman" w:hAnsi="Times New Roman" w:cs="Times New Roman"/>
              </w:rPr>
            </w:pPr>
            <w:r w:rsidRPr="004268B2">
              <w:rPr>
                <w:rFonts w:ascii="Times New Roman" w:hAnsi="Times New Roman" w:cs="Times New Roman"/>
              </w:rPr>
              <w:lastRenderedPageBreak/>
              <w:t>WAC 480-109-130(1)</w:t>
            </w:r>
          </w:p>
        </w:tc>
        <w:tc>
          <w:tcPr>
            <w:tcW w:w="1373" w:type="dxa"/>
          </w:tcPr>
          <w:p w14:paraId="78BF9C2C"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lastRenderedPageBreak/>
              <w:t>PSE</w:t>
            </w:r>
          </w:p>
        </w:tc>
        <w:tc>
          <w:tcPr>
            <w:tcW w:w="5150" w:type="dxa"/>
          </w:tcPr>
          <w:p w14:paraId="78BF9C2E" w14:textId="20FFFA27" w:rsidR="00B74662" w:rsidRPr="004268B2" w:rsidRDefault="00B74662" w:rsidP="00B74662">
            <w:pPr>
              <w:rPr>
                <w:rFonts w:ascii="Times New Roman" w:hAnsi="Times New Roman" w:cs="Times New Roman"/>
              </w:rPr>
            </w:pPr>
            <w:r w:rsidRPr="004268B2">
              <w:rPr>
                <w:rFonts w:ascii="Times New Roman" w:hAnsi="Times New Roman" w:cs="Times New Roman"/>
              </w:rPr>
              <w:t xml:space="preserve">This rule needs to work in conjunction with RCW 80.28.303.  Not sure how this proposed rule would coexist with existing settlement agreements.  Revise to say:  “Utilities must file with the commission for </w:t>
            </w:r>
            <w:r w:rsidRPr="004268B2">
              <w:rPr>
                <w:rFonts w:ascii="Times New Roman" w:hAnsi="Times New Roman" w:cs="Times New Roman"/>
              </w:rPr>
              <w:lastRenderedPageBreak/>
              <w:t xml:space="preserve">recovery of </w:t>
            </w:r>
            <w:r w:rsidRPr="004268B2">
              <w:rPr>
                <w:rFonts w:ascii="Times New Roman" w:hAnsi="Times New Roman" w:cs="Times New Roman"/>
                <w:u w:val="single"/>
              </w:rPr>
              <w:t>all</w:t>
            </w:r>
            <w:r w:rsidRPr="004268B2">
              <w:rPr>
                <w:rFonts w:ascii="Times New Roman" w:hAnsi="Times New Roman" w:cs="Times New Roman"/>
              </w:rPr>
              <w:t xml:space="preserve"> expected conservation costs </w:t>
            </w:r>
            <w:r w:rsidRPr="004268B2">
              <w:rPr>
                <w:rFonts w:ascii="Times New Roman" w:hAnsi="Times New Roman" w:cs="Times New Roman"/>
                <w:u w:val="single"/>
              </w:rPr>
              <w:t>and other approved costs</w:t>
            </w:r>
            <w:r w:rsidRPr="004268B2">
              <w:rPr>
                <w:rFonts w:ascii="Times New Roman" w:hAnsi="Times New Roman" w:cs="Times New Roman"/>
              </w:rPr>
              <w:t xml:space="preserve"> and amortization of deferred balances. A utility </w:t>
            </w:r>
            <w:r w:rsidRPr="004268B2">
              <w:rPr>
                <w:rFonts w:ascii="Times New Roman" w:hAnsi="Times New Roman" w:cs="Times New Roman"/>
                <w:u w:val="single"/>
              </w:rPr>
              <w:t>may</w:t>
            </w:r>
            <w:r w:rsidRPr="004268B2">
              <w:rPr>
                <w:rFonts w:ascii="Times New Roman" w:hAnsi="Times New Roman" w:cs="Times New Roman"/>
              </w:rPr>
              <w:t xml:space="preserve"> include its conservation recovery procedures in its tariff</w:t>
            </w:r>
            <w:r w:rsidRPr="004268B2">
              <w:rPr>
                <w:rFonts w:ascii="Times New Roman" w:hAnsi="Times New Roman" w:cs="Times New Roman"/>
                <w:u w:val="single"/>
              </w:rPr>
              <w:t xml:space="preserve">, or other rate recovery mechanisms as allowed in RCW 80.28.303 </w:t>
            </w:r>
            <w:r w:rsidRPr="004268B2">
              <w:rPr>
                <w:rFonts w:ascii="Times New Roman" w:hAnsi="Times New Roman" w:cs="Times New Roman"/>
                <w:i/>
                <w:u w:val="single"/>
              </w:rPr>
              <w:t>et. seq.</w:t>
            </w:r>
            <w:r w:rsidRPr="004268B2">
              <w:rPr>
                <w:rFonts w:ascii="Times New Roman" w:hAnsi="Times New Roman" w:cs="Times New Roman"/>
              </w:rPr>
              <w:t>”</w:t>
            </w:r>
          </w:p>
        </w:tc>
        <w:tc>
          <w:tcPr>
            <w:tcW w:w="4738" w:type="dxa"/>
          </w:tcPr>
          <w:p w14:paraId="4FE6808B"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lastRenderedPageBreak/>
              <w:t xml:space="preserve">We add the word “all” to clarify that filings must not exclude expected changes in conservation costs and amortization of deferred balances.  </w:t>
            </w:r>
          </w:p>
          <w:p w14:paraId="61228E34"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lastRenderedPageBreak/>
              <w:t xml:space="preserve">As described in the adoption order, we decline PSE’s request to add “other approved costs,” because it is our preference that these tariffs include only the costs of conservation programs.  </w:t>
            </w:r>
          </w:p>
          <w:p w14:paraId="3BC6E04B"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t>As described in the adoption order, we decline PSE’s request to add “or other rate recovery mechanisms as allowed in RCW 80.28.303 et. seq.” to the end of subsection (1).</w:t>
            </w:r>
          </w:p>
          <w:p w14:paraId="25E55207" w14:textId="5E2B5484" w:rsidR="00B74662" w:rsidRPr="004268B2" w:rsidRDefault="00B74662" w:rsidP="00B74662">
            <w:pPr>
              <w:rPr>
                <w:rFonts w:ascii="Times New Roman" w:eastAsia="Times New Roman" w:hAnsi="Times New Roman" w:cs="Times New Roman"/>
                <w:color w:val="000000"/>
              </w:rPr>
            </w:pPr>
            <w:r w:rsidRPr="004268B2">
              <w:rPr>
                <w:rFonts w:ascii="Times New Roman" w:hAnsi="Times New Roman" w:cs="Times New Roman"/>
              </w:rPr>
              <w:t xml:space="preserve">As described in the adoption order, we require the inclusion of procedures in the tariff. </w:t>
            </w:r>
          </w:p>
        </w:tc>
      </w:tr>
      <w:tr w:rsidR="003666FD" w:rsidRPr="004268B2" w14:paraId="76442289" w14:textId="77777777" w:rsidTr="00401F45">
        <w:trPr>
          <w:jc w:val="center"/>
        </w:trPr>
        <w:tc>
          <w:tcPr>
            <w:tcW w:w="1802" w:type="dxa"/>
          </w:tcPr>
          <w:p w14:paraId="5C2527BA" w14:textId="3CDAE8AB" w:rsidR="00B74662" w:rsidRPr="004268B2" w:rsidRDefault="00B74662" w:rsidP="00B74662">
            <w:pPr>
              <w:rPr>
                <w:rFonts w:ascii="Times New Roman" w:hAnsi="Times New Roman" w:cs="Times New Roman"/>
                <w:b/>
              </w:rPr>
            </w:pPr>
            <w:r w:rsidRPr="004268B2">
              <w:rPr>
                <w:rFonts w:ascii="Times New Roman" w:hAnsi="Times New Roman" w:cs="Times New Roman"/>
                <w:b/>
              </w:rPr>
              <w:lastRenderedPageBreak/>
              <w:t>Conservation cost recovery adjustment</w:t>
            </w:r>
          </w:p>
          <w:p w14:paraId="01E2ED17" w14:textId="2197B3FF" w:rsidR="00B74662" w:rsidRPr="004268B2" w:rsidRDefault="00B74662" w:rsidP="00B74662">
            <w:pPr>
              <w:rPr>
                <w:rFonts w:ascii="Times New Roman" w:hAnsi="Times New Roman" w:cs="Times New Roman"/>
                <w:b/>
              </w:rPr>
            </w:pPr>
            <w:r w:rsidRPr="004268B2">
              <w:rPr>
                <w:rFonts w:ascii="Times New Roman" w:hAnsi="Times New Roman" w:cs="Times New Roman"/>
              </w:rPr>
              <w:t>WAC 480-109-130(3)</w:t>
            </w:r>
          </w:p>
        </w:tc>
        <w:tc>
          <w:tcPr>
            <w:tcW w:w="1373" w:type="dxa"/>
          </w:tcPr>
          <w:p w14:paraId="79AE4F50" w14:textId="64E6FB38" w:rsidR="00B74662" w:rsidRPr="004268B2" w:rsidRDefault="00B74662" w:rsidP="00B74662">
            <w:pPr>
              <w:rPr>
                <w:rFonts w:ascii="Times New Roman" w:hAnsi="Times New Roman" w:cs="Times New Roman"/>
              </w:rPr>
            </w:pPr>
            <w:r w:rsidRPr="004268B2">
              <w:rPr>
                <w:rFonts w:ascii="Times New Roman" w:hAnsi="Times New Roman" w:cs="Times New Roman"/>
              </w:rPr>
              <w:t>PSE</w:t>
            </w:r>
          </w:p>
        </w:tc>
        <w:tc>
          <w:tcPr>
            <w:tcW w:w="5150" w:type="dxa"/>
          </w:tcPr>
          <w:p w14:paraId="2F25A69A" w14:textId="6BC7DEFB" w:rsidR="00B74662" w:rsidRPr="004268B2" w:rsidRDefault="00B74662" w:rsidP="00B74662">
            <w:pPr>
              <w:rPr>
                <w:rFonts w:ascii="Times New Roman" w:hAnsi="Times New Roman" w:cs="Times New Roman"/>
              </w:rPr>
            </w:pPr>
            <w:r w:rsidRPr="004268B2">
              <w:rPr>
                <w:rFonts w:ascii="Times New Roman" w:hAnsi="Times New Roman" w:cs="Times New Roman"/>
              </w:rPr>
              <w:t xml:space="preserve">Replace second sentence with: “Utilities shall base conservation recovery rates on </w:t>
            </w:r>
            <w:r w:rsidRPr="004268B2">
              <w:rPr>
                <w:rFonts w:ascii="Times New Roman" w:hAnsi="Times New Roman" w:cs="Times New Roman"/>
                <w:u w:val="single"/>
              </w:rPr>
              <w:t>forward-looking</w:t>
            </w:r>
            <w:r w:rsidRPr="004268B2">
              <w:rPr>
                <w:rFonts w:ascii="Times New Roman" w:hAnsi="Times New Roman" w:cs="Times New Roman"/>
              </w:rPr>
              <w:t xml:space="preserve"> budgeted conservation </w:t>
            </w:r>
            <w:r w:rsidRPr="004268B2">
              <w:rPr>
                <w:rFonts w:ascii="Times New Roman" w:hAnsi="Times New Roman" w:cs="Times New Roman"/>
                <w:u w:val="single"/>
              </w:rPr>
              <w:t>program</w:t>
            </w:r>
            <w:r w:rsidRPr="004268B2">
              <w:rPr>
                <w:rFonts w:ascii="Times New Roman" w:hAnsi="Times New Roman" w:cs="Times New Roman"/>
              </w:rPr>
              <w:t xml:space="preserve"> costs for the future year </w:t>
            </w:r>
            <w:r w:rsidRPr="004268B2">
              <w:rPr>
                <w:rFonts w:ascii="Times New Roman" w:hAnsi="Times New Roman" w:cs="Times New Roman"/>
                <w:u w:val="single"/>
              </w:rPr>
              <w:t>with a subsequent true-up</w:t>
            </w:r>
            <w:r w:rsidRPr="004268B2">
              <w:rPr>
                <w:rFonts w:ascii="Times New Roman" w:hAnsi="Times New Roman" w:cs="Times New Roman"/>
              </w:rPr>
              <w:t xml:space="preserve"> to recover only actual </w:t>
            </w:r>
            <w:r w:rsidRPr="004268B2">
              <w:rPr>
                <w:rFonts w:ascii="Times New Roman" w:hAnsi="Times New Roman" w:cs="Times New Roman"/>
                <w:u w:val="single"/>
              </w:rPr>
              <w:t>program</w:t>
            </w:r>
            <w:r w:rsidRPr="004268B2">
              <w:rPr>
                <w:rFonts w:ascii="Times New Roman" w:hAnsi="Times New Roman" w:cs="Times New Roman"/>
              </w:rPr>
              <w:t xml:space="preserve"> costs of the prior year.  Utilities must also include the effects of variations in actual sales on recovery of conservation costs in the prior year”</w:t>
            </w:r>
          </w:p>
        </w:tc>
        <w:tc>
          <w:tcPr>
            <w:tcW w:w="4738" w:type="dxa"/>
          </w:tcPr>
          <w:p w14:paraId="52753A23" w14:textId="0B457A2D" w:rsidR="00B74662" w:rsidRPr="004268B2" w:rsidRDefault="005646EA" w:rsidP="00C136EE">
            <w:pPr>
              <w:rPr>
                <w:rFonts w:ascii="Times New Roman" w:eastAsia="Times New Roman" w:hAnsi="Times New Roman" w:cs="Times New Roman"/>
                <w:color w:val="000000"/>
              </w:rPr>
            </w:pPr>
            <w:r>
              <w:rPr>
                <w:rFonts w:ascii="Times New Roman" w:hAnsi="Times New Roman" w:cs="Times New Roman"/>
              </w:rPr>
              <w:t>As described in the adoption order, w</w:t>
            </w:r>
            <w:r w:rsidR="00B74662" w:rsidRPr="004268B2">
              <w:rPr>
                <w:rFonts w:ascii="Times New Roman" w:hAnsi="Times New Roman" w:cs="Times New Roman"/>
              </w:rPr>
              <w:t xml:space="preserve">e accept </w:t>
            </w:r>
            <w:r w:rsidR="00C136EE">
              <w:rPr>
                <w:rFonts w:ascii="Times New Roman" w:hAnsi="Times New Roman" w:cs="Times New Roman"/>
              </w:rPr>
              <w:t>the</w:t>
            </w:r>
            <w:r w:rsidR="00B74662" w:rsidRPr="004268B2">
              <w:rPr>
                <w:rFonts w:ascii="Times New Roman" w:hAnsi="Times New Roman" w:cs="Times New Roman"/>
              </w:rPr>
              <w:t xml:space="preserve"> addition of "forward-lookin</w:t>
            </w:r>
            <w:r w:rsidR="00C136EE">
              <w:rPr>
                <w:rFonts w:ascii="Times New Roman" w:hAnsi="Times New Roman" w:cs="Times New Roman"/>
              </w:rPr>
              <w:t>g" before budgeted conservation</w:t>
            </w:r>
            <w:r w:rsidR="00B74662" w:rsidRPr="004268B2">
              <w:rPr>
                <w:rFonts w:ascii="Times New Roman" w:hAnsi="Times New Roman" w:cs="Times New Roman"/>
              </w:rPr>
              <w:t xml:space="preserve"> </w:t>
            </w:r>
            <w:r>
              <w:rPr>
                <w:rFonts w:ascii="Times New Roman" w:hAnsi="Times New Roman" w:cs="Times New Roman"/>
              </w:rPr>
              <w:t>and</w:t>
            </w:r>
            <w:r w:rsidR="00B74662" w:rsidRPr="004268B2">
              <w:rPr>
                <w:rFonts w:ascii="Times New Roman" w:hAnsi="Times New Roman" w:cs="Times New Roman"/>
              </w:rPr>
              <w:t xml:space="preserve"> </w:t>
            </w:r>
            <w:r w:rsidR="00C136EE">
              <w:rPr>
                <w:rFonts w:ascii="Times New Roman" w:hAnsi="Times New Roman" w:cs="Times New Roman"/>
              </w:rPr>
              <w:t xml:space="preserve">the </w:t>
            </w:r>
            <w:r w:rsidR="00B74662" w:rsidRPr="004268B2">
              <w:rPr>
                <w:rFonts w:ascii="Times New Roman" w:hAnsi="Times New Roman" w:cs="Times New Roman"/>
              </w:rPr>
              <w:t>substitution of "programs" for "measures" in both places in the same sentence</w:t>
            </w:r>
            <w:r w:rsidR="00C136EE">
              <w:rPr>
                <w:rFonts w:ascii="Times New Roman" w:hAnsi="Times New Roman" w:cs="Times New Roman"/>
              </w:rPr>
              <w:t>; w</w:t>
            </w:r>
            <w:r w:rsidR="00B74662" w:rsidRPr="004268B2">
              <w:rPr>
                <w:rFonts w:ascii="Times New Roman" w:hAnsi="Times New Roman" w:cs="Times New Roman"/>
              </w:rPr>
              <w:t xml:space="preserve">e decline to </w:t>
            </w:r>
            <w:r w:rsidR="00C136EE">
              <w:rPr>
                <w:rFonts w:ascii="Times New Roman" w:hAnsi="Times New Roman" w:cs="Times New Roman"/>
              </w:rPr>
              <w:t xml:space="preserve">add “with </w:t>
            </w:r>
            <w:r w:rsidR="00B74662" w:rsidRPr="004268B2">
              <w:rPr>
                <w:rFonts w:ascii="Times New Roman" w:hAnsi="Times New Roman" w:cs="Times New Roman"/>
              </w:rPr>
              <w:t>a subsequent true-up.</w:t>
            </w:r>
            <w:r w:rsidR="00C136EE">
              <w:rPr>
                <w:rFonts w:ascii="Times New Roman" w:hAnsi="Times New Roman" w:cs="Times New Roman"/>
              </w:rPr>
              <w:t>”</w:t>
            </w:r>
          </w:p>
        </w:tc>
      </w:tr>
      <w:tr w:rsidR="003666FD" w:rsidRPr="004268B2" w14:paraId="78BF9C36" w14:textId="77777777" w:rsidTr="00401F45">
        <w:trPr>
          <w:jc w:val="center"/>
        </w:trPr>
        <w:tc>
          <w:tcPr>
            <w:tcW w:w="1802" w:type="dxa"/>
          </w:tcPr>
          <w:p w14:paraId="78BF9C31" w14:textId="77777777" w:rsidR="00B74662" w:rsidRPr="004268B2" w:rsidRDefault="00B74662" w:rsidP="00B74662">
            <w:pPr>
              <w:rPr>
                <w:rFonts w:ascii="Times New Roman" w:hAnsi="Times New Roman" w:cs="Times New Roman"/>
                <w:b/>
              </w:rPr>
            </w:pPr>
            <w:r w:rsidRPr="004268B2">
              <w:rPr>
                <w:rFonts w:ascii="Times New Roman" w:hAnsi="Times New Roman" w:cs="Times New Roman"/>
                <w:b/>
              </w:rPr>
              <w:t>Renewable portfolio standard</w:t>
            </w:r>
          </w:p>
          <w:p w14:paraId="78BF9C32"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t>WAC 480-109-200</w:t>
            </w:r>
          </w:p>
        </w:tc>
        <w:tc>
          <w:tcPr>
            <w:tcW w:w="1373" w:type="dxa"/>
          </w:tcPr>
          <w:p w14:paraId="78BF9C33"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t>PSE</w:t>
            </w:r>
          </w:p>
        </w:tc>
        <w:tc>
          <w:tcPr>
            <w:tcW w:w="5150" w:type="dxa"/>
          </w:tcPr>
          <w:p w14:paraId="78BF9C34"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t>Replace “portfolio standard” with “renewable resource” or “renewable energy target” throughout.</w:t>
            </w:r>
          </w:p>
        </w:tc>
        <w:tc>
          <w:tcPr>
            <w:tcW w:w="4738" w:type="dxa"/>
          </w:tcPr>
          <w:p w14:paraId="78BF9C35" w14:textId="0B6012EE" w:rsidR="00B74662" w:rsidRPr="004268B2" w:rsidRDefault="00B74662" w:rsidP="00B74662">
            <w:pPr>
              <w:rPr>
                <w:rFonts w:ascii="Times New Roman" w:hAnsi="Times New Roman" w:cs="Times New Roman"/>
              </w:rPr>
            </w:pPr>
            <w:r w:rsidRPr="004268B2">
              <w:rPr>
                <w:rFonts w:ascii="Times New Roman" w:hAnsi="Times New Roman" w:cs="Times New Roman"/>
              </w:rPr>
              <w:t>The Commission rejects this proposed revision as “Renewable Portfolio Standard” is an industry-standard term.</w:t>
            </w:r>
          </w:p>
        </w:tc>
      </w:tr>
      <w:tr w:rsidR="003666FD" w:rsidRPr="004268B2" w14:paraId="78BF9C41" w14:textId="77777777" w:rsidTr="00401F45">
        <w:trPr>
          <w:jc w:val="center"/>
        </w:trPr>
        <w:tc>
          <w:tcPr>
            <w:tcW w:w="1802" w:type="dxa"/>
          </w:tcPr>
          <w:p w14:paraId="78BF9C37" w14:textId="77777777" w:rsidR="00B74662" w:rsidRPr="004268B2" w:rsidRDefault="00B74662" w:rsidP="00B74662">
            <w:pPr>
              <w:rPr>
                <w:rFonts w:ascii="Times New Roman" w:hAnsi="Times New Roman" w:cs="Times New Roman"/>
                <w:b/>
              </w:rPr>
            </w:pPr>
            <w:r w:rsidRPr="004268B2">
              <w:rPr>
                <w:rFonts w:ascii="Times New Roman" w:hAnsi="Times New Roman" w:cs="Times New Roman"/>
                <w:b/>
              </w:rPr>
              <w:t>WREGIS registration</w:t>
            </w:r>
          </w:p>
          <w:p w14:paraId="78BF9C38"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t>WAC 480-109-200(3)</w:t>
            </w:r>
          </w:p>
        </w:tc>
        <w:tc>
          <w:tcPr>
            <w:tcW w:w="1373" w:type="dxa"/>
          </w:tcPr>
          <w:p w14:paraId="78BF9C39" w14:textId="0C17D370" w:rsidR="00B74662" w:rsidRPr="004268B2" w:rsidRDefault="00B74662" w:rsidP="00B74662">
            <w:pPr>
              <w:rPr>
                <w:rFonts w:ascii="Times New Roman" w:hAnsi="Times New Roman" w:cs="Times New Roman"/>
              </w:rPr>
            </w:pPr>
            <w:r w:rsidRPr="004268B2">
              <w:rPr>
                <w:rFonts w:ascii="Times New Roman" w:hAnsi="Times New Roman" w:cs="Times New Roman"/>
              </w:rPr>
              <w:t>Avista</w:t>
            </w:r>
            <w:r w:rsidR="005C1A10">
              <w:rPr>
                <w:rFonts w:ascii="Times New Roman" w:hAnsi="Times New Roman" w:cs="Times New Roman"/>
              </w:rPr>
              <w:t>,</w:t>
            </w:r>
          </w:p>
          <w:p w14:paraId="78BF9C3A" w14:textId="1DEF9AF1" w:rsidR="00B74662" w:rsidRPr="004268B2" w:rsidRDefault="00B74662" w:rsidP="00B74662">
            <w:pPr>
              <w:rPr>
                <w:rFonts w:ascii="Times New Roman" w:hAnsi="Times New Roman" w:cs="Times New Roman"/>
              </w:rPr>
            </w:pPr>
            <w:r w:rsidRPr="004268B2">
              <w:rPr>
                <w:rFonts w:ascii="Times New Roman" w:hAnsi="Times New Roman" w:cs="Times New Roman"/>
              </w:rPr>
              <w:t>Chelan PUD</w:t>
            </w:r>
            <w:r w:rsidR="005C1A10">
              <w:rPr>
                <w:rFonts w:ascii="Times New Roman" w:hAnsi="Times New Roman" w:cs="Times New Roman"/>
              </w:rPr>
              <w:t>,</w:t>
            </w:r>
          </w:p>
          <w:p w14:paraId="78BF9C3C" w14:textId="456CAF65" w:rsidR="00B74662" w:rsidRPr="004268B2" w:rsidRDefault="003666FD" w:rsidP="003666FD">
            <w:pPr>
              <w:rPr>
                <w:rFonts w:ascii="Times New Roman" w:hAnsi="Times New Roman" w:cs="Times New Roman"/>
              </w:rPr>
            </w:pPr>
            <w:r>
              <w:rPr>
                <w:rFonts w:ascii="Times New Roman" w:hAnsi="Times New Roman" w:cs="Times New Roman"/>
              </w:rPr>
              <w:t xml:space="preserve">Renewable Northwest and </w:t>
            </w:r>
            <w:r w:rsidR="005C1A10">
              <w:rPr>
                <w:rFonts w:ascii="Times New Roman" w:hAnsi="Times New Roman" w:cs="Times New Roman"/>
              </w:rPr>
              <w:t>NWEC</w:t>
            </w:r>
            <w:r>
              <w:rPr>
                <w:rFonts w:ascii="Times New Roman" w:hAnsi="Times New Roman" w:cs="Times New Roman"/>
              </w:rPr>
              <w:t xml:space="preserve"> jointly (RN/NWEC)</w:t>
            </w:r>
          </w:p>
        </w:tc>
        <w:tc>
          <w:tcPr>
            <w:tcW w:w="5150" w:type="dxa"/>
          </w:tcPr>
          <w:p w14:paraId="78BF9C3D" w14:textId="0E3B5525" w:rsidR="00B74662" w:rsidRPr="004268B2" w:rsidRDefault="00B74662" w:rsidP="00B74662">
            <w:pPr>
              <w:pStyle w:val="ListParagraph"/>
              <w:numPr>
                <w:ilvl w:val="0"/>
                <w:numId w:val="13"/>
              </w:numPr>
              <w:rPr>
                <w:rFonts w:ascii="Times New Roman" w:hAnsi="Times New Roman" w:cs="Times New Roman"/>
              </w:rPr>
            </w:pPr>
            <w:r w:rsidRPr="004268B2">
              <w:rPr>
                <w:rFonts w:ascii="Times New Roman" w:hAnsi="Times New Roman" w:cs="Times New Roman"/>
              </w:rPr>
              <w:t xml:space="preserve">This requirement will disqualify a significant amount (15,000+ MWh) of qualifying renewable energy to the detriment of customers.  Revise to clarify that all eligible generation owned by IOUs must be registered in WREGIS, and state that the Commission-regulated utility shall (a) encourage such non-Commission regulated entity to register its facilities in WREGIS.  When unsuccessful, the IOU shall (b) provide documentation provided by the non-Commission regulated utility to the State Auditor and a written certification by an executive officer attesting to the fact that such eligible resources were used for compliance with the Act </w:t>
            </w:r>
            <w:r w:rsidRPr="004268B2">
              <w:rPr>
                <w:rFonts w:ascii="Times New Roman" w:hAnsi="Times New Roman" w:cs="Times New Roman"/>
              </w:rPr>
              <w:lastRenderedPageBreak/>
              <w:t>and are not be used for compliance by another entity. (Avista, Chelan PUD)</w:t>
            </w:r>
          </w:p>
          <w:p w14:paraId="78BF9C3F" w14:textId="31BC0299" w:rsidR="00B74662" w:rsidRPr="004268B2" w:rsidRDefault="00B74662" w:rsidP="00B74662">
            <w:pPr>
              <w:pStyle w:val="ListParagraph"/>
              <w:numPr>
                <w:ilvl w:val="0"/>
                <w:numId w:val="13"/>
              </w:numPr>
              <w:rPr>
                <w:rFonts w:ascii="Times New Roman" w:hAnsi="Times New Roman" w:cs="Times New Roman"/>
              </w:rPr>
            </w:pPr>
            <w:r w:rsidRPr="004268B2">
              <w:rPr>
                <w:rFonts w:ascii="Times New Roman" w:hAnsi="Times New Roman" w:cs="Times New Roman"/>
              </w:rPr>
              <w:t>This requirement is appropriate and provides consistency with other resources.  (RN/NWEC)</w:t>
            </w:r>
          </w:p>
        </w:tc>
        <w:tc>
          <w:tcPr>
            <w:tcW w:w="4738" w:type="dxa"/>
          </w:tcPr>
          <w:p w14:paraId="78BF9C40" w14:textId="6B9861A8" w:rsidR="00B74662" w:rsidRPr="004268B2" w:rsidRDefault="00B74662" w:rsidP="00B74662">
            <w:pPr>
              <w:rPr>
                <w:rFonts w:ascii="Times New Roman" w:hAnsi="Times New Roman" w:cs="Times New Roman"/>
              </w:rPr>
            </w:pPr>
            <w:r w:rsidRPr="004268B2">
              <w:rPr>
                <w:rFonts w:ascii="Times New Roman" w:hAnsi="Times New Roman" w:cs="Times New Roman"/>
              </w:rPr>
              <w:lastRenderedPageBreak/>
              <w:t xml:space="preserve">The Commission retains the requirement that all eligible generation must be registered in WREGIS.  As described in the adoption order, the public interest in preventing double counting justifies any administrative burden imposed on utilities.  </w:t>
            </w:r>
          </w:p>
        </w:tc>
      </w:tr>
      <w:tr w:rsidR="003666FD" w:rsidRPr="004268B2" w14:paraId="78BF9C47" w14:textId="77777777" w:rsidTr="00401F45">
        <w:trPr>
          <w:jc w:val="center"/>
        </w:trPr>
        <w:tc>
          <w:tcPr>
            <w:tcW w:w="1802" w:type="dxa"/>
          </w:tcPr>
          <w:p w14:paraId="78BF9C42" w14:textId="6292396F" w:rsidR="00B74662" w:rsidRPr="004268B2" w:rsidRDefault="00B74662" w:rsidP="00B74662">
            <w:pPr>
              <w:rPr>
                <w:rFonts w:ascii="Times New Roman" w:hAnsi="Times New Roman" w:cs="Times New Roman"/>
                <w:b/>
              </w:rPr>
            </w:pPr>
            <w:r w:rsidRPr="004268B2">
              <w:rPr>
                <w:rFonts w:ascii="Times New Roman" w:hAnsi="Times New Roman" w:cs="Times New Roman"/>
                <w:b/>
              </w:rPr>
              <w:lastRenderedPageBreak/>
              <w:t>Renewable energy credit multipliers</w:t>
            </w:r>
          </w:p>
          <w:p w14:paraId="78BF9C43"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t>WAC 480-109-200(4)</w:t>
            </w:r>
          </w:p>
        </w:tc>
        <w:tc>
          <w:tcPr>
            <w:tcW w:w="1373" w:type="dxa"/>
          </w:tcPr>
          <w:p w14:paraId="78BF9C44" w14:textId="1D7ECC44" w:rsidR="00B74662" w:rsidRPr="004268B2" w:rsidRDefault="00B74662" w:rsidP="00B74662">
            <w:pPr>
              <w:rPr>
                <w:rFonts w:ascii="Times New Roman" w:hAnsi="Times New Roman" w:cs="Times New Roman"/>
              </w:rPr>
            </w:pPr>
            <w:r w:rsidRPr="004268B2">
              <w:rPr>
                <w:rFonts w:ascii="Times New Roman" w:hAnsi="Times New Roman" w:cs="Times New Roman"/>
              </w:rPr>
              <w:t>RN/NWEC</w:t>
            </w:r>
          </w:p>
        </w:tc>
        <w:tc>
          <w:tcPr>
            <w:tcW w:w="5150" w:type="dxa"/>
          </w:tcPr>
          <w:p w14:paraId="78BF9C45" w14:textId="4FE76C1B" w:rsidR="00B74662" w:rsidRPr="004268B2" w:rsidRDefault="00B74662" w:rsidP="00B74662">
            <w:pPr>
              <w:rPr>
                <w:rFonts w:ascii="Times New Roman" w:hAnsi="Times New Roman" w:cs="Times New Roman"/>
              </w:rPr>
            </w:pPr>
            <w:r w:rsidRPr="004268B2">
              <w:rPr>
                <w:rFonts w:ascii="Times New Roman" w:hAnsi="Times New Roman" w:cs="Times New Roman"/>
              </w:rPr>
              <w:t>This language is consistent with the Commission’s declaratory order in Docket UE-111663.</w:t>
            </w:r>
          </w:p>
        </w:tc>
        <w:tc>
          <w:tcPr>
            <w:tcW w:w="4738" w:type="dxa"/>
          </w:tcPr>
          <w:p w14:paraId="78BF9C46" w14:textId="05C0DE25" w:rsidR="00B74662" w:rsidRPr="004268B2" w:rsidRDefault="00B74662" w:rsidP="007E4F6C">
            <w:pPr>
              <w:rPr>
                <w:rFonts w:ascii="Times New Roman" w:hAnsi="Times New Roman" w:cs="Times New Roman"/>
              </w:rPr>
            </w:pPr>
            <w:r w:rsidRPr="004268B2">
              <w:rPr>
                <w:rFonts w:ascii="Times New Roman" w:hAnsi="Times New Roman" w:cs="Times New Roman"/>
              </w:rPr>
              <w:t xml:space="preserve">The Commission retains the proposed rule’s language that the multipliers do not create additional renewable energy credits.  </w:t>
            </w:r>
          </w:p>
        </w:tc>
      </w:tr>
      <w:tr w:rsidR="003666FD" w:rsidRPr="004268B2" w14:paraId="78BF9C4E" w14:textId="77777777" w:rsidTr="00401F45">
        <w:trPr>
          <w:jc w:val="center"/>
        </w:trPr>
        <w:tc>
          <w:tcPr>
            <w:tcW w:w="1802" w:type="dxa"/>
          </w:tcPr>
          <w:p w14:paraId="766E3207" w14:textId="77777777" w:rsidR="008B3D4D" w:rsidRDefault="00B74662" w:rsidP="00B74662">
            <w:pPr>
              <w:rPr>
                <w:rFonts w:ascii="Times New Roman" w:hAnsi="Times New Roman" w:cs="Times New Roman"/>
                <w:b/>
              </w:rPr>
            </w:pPr>
            <w:r w:rsidRPr="004268B2">
              <w:rPr>
                <w:rFonts w:ascii="Times New Roman" w:hAnsi="Times New Roman" w:cs="Times New Roman"/>
                <w:b/>
              </w:rPr>
              <w:t>Incremental Hydro</w:t>
            </w:r>
            <w:r>
              <w:rPr>
                <w:rFonts w:ascii="Times New Roman" w:hAnsi="Times New Roman" w:cs="Times New Roman"/>
                <w:b/>
              </w:rPr>
              <w:t xml:space="preserve">: </w:t>
            </w:r>
          </w:p>
          <w:p w14:paraId="78BF9C48" w14:textId="7C82347E" w:rsidR="00B74662" w:rsidRPr="004268B2" w:rsidRDefault="00B74662" w:rsidP="00B74662">
            <w:pPr>
              <w:rPr>
                <w:rFonts w:ascii="Times New Roman" w:hAnsi="Times New Roman" w:cs="Times New Roman"/>
                <w:b/>
              </w:rPr>
            </w:pPr>
            <w:r w:rsidRPr="004268B2">
              <w:rPr>
                <w:rFonts w:ascii="Times New Roman" w:hAnsi="Times New Roman" w:cs="Times New Roman"/>
                <w:b/>
              </w:rPr>
              <w:t>Method 1</w:t>
            </w:r>
          </w:p>
          <w:p w14:paraId="78BF9C4A" w14:textId="6F52BA2A" w:rsidR="00B74662" w:rsidRPr="004268B2" w:rsidRDefault="00B74662" w:rsidP="00B74662">
            <w:pPr>
              <w:rPr>
                <w:rFonts w:ascii="Times New Roman" w:hAnsi="Times New Roman" w:cs="Times New Roman"/>
              </w:rPr>
            </w:pPr>
            <w:r w:rsidRPr="004268B2">
              <w:rPr>
                <w:rFonts w:ascii="Times New Roman" w:hAnsi="Times New Roman" w:cs="Times New Roman"/>
              </w:rPr>
              <w:t>WAC 480-109-200(7)</w:t>
            </w:r>
          </w:p>
        </w:tc>
        <w:tc>
          <w:tcPr>
            <w:tcW w:w="1373" w:type="dxa"/>
          </w:tcPr>
          <w:p w14:paraId="78BF9C4B"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t>Chelan PUD</w:t>
            </w:r>
          </w:p>
        </w:tc>
        <w:tc>
          <w:tcPr>
            <w:tcW w:w="5150" w:type="dxa"/>
          </w:tcPr>
          <w:p w14:paraId="43D9D2FD"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t>WREGIS requires that generation be reported on a monthly basis for each generating unit, within 75 days of the period of generation.  There is a way to do a “prior period adjustment.”  Agencies that review a utility’s usage of Method 1 should do so on a timeline that will ensure that the utility can use the incremental hydro for compliance.</w:t>
            </w:r>
          </w:p>
          <w:p w14:paraId="78BF9C4C" w14:textId="3E8679B6" w:rsidR="00B74662" w:rsidRPr="004268B2" w:rsidRDefault="00B74662" w:rsidP="00B74662">
            <w:pPr>
              <w:rPr>
                <w:rFonts w:ascii="Times New Roman" w:hAnsi="Times New Roman" w:cs="Times New Roman"/>
              </w:rPr>
            </w:pPr>
          </w:p>
        </w:tc>
        <w:tc>
          <w:tcPr>
            <w:tcW w:w="4738" w:type="dxa"/>
          </w:tcPr>
          <w:p w14:paraId="78BF9C4D" w14:textId="56AA550C" w:rsidR="00B74662" w:rsidRPr="004268B2" w:rsidRDefault="00B74662" w:rsidP="00852A0D">
            <w:pPr>
              <w:rPr>
                <w:rFonts w:ascii="Times New Roman" w:hAnsi="Times New Roman" w:cs="Times New Roman"/>
              </w:rPr>
            </w:pPr>
            <w:r w:rsidRPr="004268B2">
              <w:rPr>
                <w:rFonts w:ascii="Times New Roman" w:hAnsi="Times New Roman" w:cs="Times New Roman"/>
              </w:rPr>
              <w:t xml:space="preserve">The Commission declines to adopt any changes to Method 1.  The Commission encourages utilities using Method 1 to work closely with Staff to address these concerns prior to filing </w:t>
            </w:r>
            <w:r>
              <w:rPr>
                <w:rFonts w:ascii="Times New Roman" w:hAnsi="Times New Roman" w:cs="Times New Roman"/>
              </w:rPr>
              <w:t>a</w:t>
            </w:r>
            <w:r w:rsidRPr="004268B2">
              <w:rPr>
                <w:rFonts w:ascii="Times New Roman" w:hAnsi="Times New Roman" w:cs="Times New Roman"/>
              </w:rPr>
              <w:t xml:space="preserve"> final RPS compliance reports.  WREGIS provides ample flexibility to adjust previously reported monthly generation for up to two years.  Further, </w:t>
            </w:r>
            <w:r w:rsidR="00C138A2">
              <w:rPr>
                <w:rFonts w:ascii="Times New Roman" w:hAnsi="Times New Roman" w:cs="Times New Roman"/>
              </w:rPr>
              <w:t xml:space="preserve">WAC 480-109-210(6) </w:t>
            </w:r>
            <w:r w:rsidRPr="004268B2">
              <w:rPr>
                <w:rFonts w:ascii="Times New Roman" w:hAnsi="Times New Roman" w:cs="Times New Roman"/>
              </w:rPr>
              <w:t xml:space="preserve">provides </w:t>
            </w:r>
            <w:r w:rsidR="00C138A2">
              <w:rPr>
                <w:rFonts w:ascii="Times New Roman" w:hAnsi="Times New Roman" w:cs="Times New Roman"/>
              </w:rPr>
              <w:t xml:space="preserve">two years </w:t>
            </w:r>
            <w:r w:rsidRPr="004268B2">
              <w:rPr>
                <w:rFonts w:ascii="Times New Roman" w:hAnsi="Times New Roman" w:cs="Times New Roman"/>
              </w:rPr>
              <w:t xml:space="preserve">after for utilities to </w:t>
            </w:r>
            <w:r w:rsidR="00852A0D">
              <w:rPr>
                <w:rFonts w:ascii="Times New Roman" w:hAnsi="Times New Roman" w:cs="Times New Roman"/>
              </w:rPr>
              <w:t xml:space="preserve">submit </w:t>
            </w:r>
            <w:r w:rsidRPr="004268B2">
              <w:rPr>
                <w:rFonts w:ascii="Times New Roman" w:hAnsi="Times New Roman" w:cs="Times New Roman"/>
              </w:rPr>
              <w:t xml:space="preserve">their final RPS compliance reports.  </w:t>
            </w:r>
          </w:p>
        </w:tc>
      </w:tr>
      <w:tr w:rsidR="008B3D4D" w:rsidRPr="004268B2" w14:paraId="651761A7" w14:textId="77777777" w:rsidTr="00401F45">
        <w:trPr>
          <w:jc w:val="center"/>
        </w:trPr>
        <w:tc>
          <w:tcPr>
            <w:tcW w:w="1802" w:type="dxa"/>
            <w:vMerge w:val="restart"/>
          </w:tcPr>
          <w:p w14:paraId="2A24D304" w14:textId="77777777" w:rsidR="008B3D4D" w:rsidRDefault="008B3D4D" w:rsidP="00B74662">
            <w:pPr>
              <w:rPr>
                <w:rFonts w:ascii="Times New Roman" w:hAnsi="Times New Roman" w:cs="Times New Roman"/>
                <w:b/>
              </w:rPr>
            </w:pPr>
            <w:r w:rsidRPr="004268B2">
              <w:rPr>
                <w:rFonts w:ascii="Times New Roman" w:hAnsi="Times New Roman" w:cs="Times New Roman"/>
                <w:b/>
              </w:rPr>
              <w:t>Incremental Hydro</w:t>
            </w:r>
            <w:r>
              <w:rPr>
                <w:rFonts w:ascii="Times New Roman" w:hAnsi="Times New Roman" w:cs="Times New Roman"/>
                <w:b/>
              </w:rPr>
              <w:t xml:space="preserve">: </w:t>
            </w:r>
          </w:p>
          <w:p w14:paraId="341710B3" w14:textId="61C00310" w:rsidR="008B3D4D" w:rsidRPr="004268B2" w:rsidRDefault="008B3D4D" w:rsidP="00B74662">
            <w:pPr>
              <w:rPr>
                <w:rFonts w:ascii="Times New Roman" w:hAnsi="Times New Roman" w:cs="Times New Roman"/>
                <w:b/>
              </w:rPr>
            </w:pPr>
            <w:r>
              <w:rPr>
                <w:rFonts w:ascii="Times New Roman" w:hAnsi="Times New Roman" w:cs="Times New Roman"/>
                <w:b/>
              </w:rPr>
              <w:t>Method 2</w:t>
            </w:r>
          </w:p>
          <w:p w14:paraId="486090E9" w14:textId="014280C5" w:rsidR="008B3D4D" w:rsidRPr="004268B2" w:rsidRDefault="008B3D4D" w:rsidP="00B74662">
            <w:pPr>
              <w:rPr>
                <w:rFonts w:ascii="Times New Roman" w:hAnsi="Times New Roman" w:cs="Times New Roman"/>
              </w:rPr>
            </w:pPr>
            <w:r w:rsidRPr="004268B2">
              <w:rPr>
                <w:rFonts w:ascii="Times New Roman" w:hAnsi="Times New Roman" w:cs="Times New Roman"/>
              </w:rPr>
              <w:t>WAC 480-109-200(7)</w:t>
            </w:r>
          </w:p>
        </w:tc>
        <w:tc>
          <w:tcPr>
            <w:tcW w:w="1373" w:type="dxa"/>
          </w:tcPr>
          <w:p w14:paraId="3BA4202C" w14:textId="38110D93" w:rsidR="008B3D4D" w:rsidRPr="004268B2" w:rsidRDefault="008B3D4D" w:rsidP="00B74662">
            <w:pPr>
              <w:rPr>
                <w:rFonts w:ascii="Times New Roman" w:hAnsi="Times New Roman" w:cs="Times New Roman"/>
              </w:rPr>
            </w:pPr>
            <w:r w:rsidRPr="004268B2">
              <w:rPr>
                <w:rFonts w:ascii="Times New Roman" w:hAnsi="Times New Roman" w:cs="Times New Roman"/>
              </w:rPr>
              <w:t>Chelan PUD</w:t>
            </w:r>
          </w:p>
        </w:tc>
        <w:tc>
          <w:tcPr>
            <w:tcW w:w="5150" w:type="dxa"/>
          </w:tcPr>
          <w:p w14:paraId="2273168C" w14:textId="220B0641" w:rsidR="008B3D4D" w:rsidRPr="004268B2" w:rsidRDefault="008B3D4D" w:rsidP="00B74662">
            <w:pPr>
              <w:rPr>
                <w:rFonts w:ascii="Times New Roman" w:hAnsi="Times New Roman" w:cs="Times New Roman"/>
              </w:rPr>
            </w:pPr>
            <w:r w:rsidRPr="004268B2">
              <w:rPr>
                <w:rFonts w:ascii="Times New Roman" w:hAnsi="Times New Roman" w:cs="Times New Roman"/>
              </w:rPr>
              <w:t xml:space="preserve">Remove “river discharge of each year in the historical period for” to accommodate Chelan PUD’s method.  Entities using method 2 could follow the standard WREGIS operating guidelines for reporting generation, as the </w:t>
            </w:r>
            <w:r>
              <w:rPr>
                <w:rFonts w:ascii="Times New Roman" w:hAnsi="Times New Roman" w:cs="Times New Roman"/>
              </w:rPr>
              <w:t>percentage</w:t>
            </w:r>
            <w:r w:rsidRPr="004268B2">
              <w:rPr>
                <w:rFonts w:ascii="Times New Roman" w:hAnsi="Times New Roman" w:cs="Times New Roman"/>
              </w:rPr>
              <w:t xml:space="preserve"> factor would be known in advance.</w:t>
            </w:r>
          </w:p>
        </w:tc>
        <w:tc>
          <w:tcPr>
            <w:tcW w:w="4738" w:type="dxa"/>
          </w:tcPr>
          <w:p w14:paraId="3434B52D" w14:textId="2F66F2AE" w:rsidR="008B3D4D" w:rsidRPr="004268B2" w:rsidRDefault="008B3D4D" w:rsidP="00B74662">
            <w:pPr>
              <w:rPr>
                <w:rFonts w:ascii="Times New Roman" w:hAnsi="Times New Roman" w:cs="Times New Roman"/>
              </w:rPr>
            </w:pPr>
            <w:r w:rsidRPr="004268B2">
              <w:rPr>
                <w:rFonts w:ascii="Times New Roman" w:hAnsi="Times New Roman" w:cs="Times New Roman"/>
              </w:rPr>
              <w:t xml:space="preserve">The Commission declines to adopt changes to Method 2.  The proposed rule calls for an average river discharge calculated over a period of “at least five years.”  </w:t>
            </w:r>
            <w:r>
              <w:rPr>
                <w:rFonts w:ascii="Times New Roman" w:hAnsi="Times New Roman" w:cs="Times New Roman"/>
              </w:rPr>
              <w:t xml:space="preserve">Thus, </w:t>
            </w:r>
            <w:r w:rsidRPr="004268B2">
              <w:rPr>
                <w:rFonts w:ascii="Times New Roman" w:hAnsi="Times New Roman" w:cs="Times New Roman"/>
              </w:rPr>
              <w:t xml:space="preserve">this language </w:t>
            </w:r>
            <w:r>
              <w:rPr>
                <w:rFonts w:ascii="Times New Roman" w:hAnsi="Times New Roman" w:cs="Times New Roman"/>
              </w:rPr>
              <w:t>does not</w:t>
            </w:r>
            <w:r w:rsidRPr="004268B2">
              <w:rPr>
                <w:rFonts w:ascii="Times New Roman" w:hAnsi="Times New Roman" w:cs="Times New Roman"/>
              </w:rPr>
              <w:t xml:space="preserve"> preclude the use of all available years.</w:t>
            </w:r>
          </w:p>
        </w:tc>
      </w:tr>
      <w:tr w:rsidR="008B3D4D" w:rsidRPr="004268B2" w14:paraId="78BF9C59" w14:textId="77777777" w:rsidTr="008B3D4D">
        <w:trPr>
          <w:jc w:val="center"/>
        </w:trPr>
        <w:tc>
          <w:tcPr>
            <w:tcW w:w="1802" w:type="dxa"/>
            <w:vMerge/>
          </w:tcPr>
          <w:p w14:paraId="78BF9C51" w14:textId="2DAE1B2F" w:rsidR="008B3D4D" w:rsidRPr="004268B2" w:rsidRDefault="008B3D4D" w:rsidP="00B74662">
            <w:pPr>
              <w:rPr>
                <w:rFonts w:ascii="Times New Roman" w:hAnsi="Times New Roman" w:cs="Times New Roman"/>
              </w:rPr>
            </w:pPr>
          </w:p>
        </w:tc>
        <w:tc>
          <w:tcPr>
            <w:tcW w:w="1377" w:type="dxa"/>
          </w:tcPr>
          <w:p w14:paraId="78BF9C52" w14:textId="25FD5B3E" w:rsidR="008B3D4D" w:rsidRPr="004268B2" w:rsidRDefault="008B3D4D" w:rsidP="00B74662">
            <w:pPr>
              <w:rPr>
                <w:rFonts w:ascii="Times New Roman" w:hAnsi="Times New Roman" w:cs="Times New Roman"/>
              </w:rPr>
            </w:pPr>
            <w:r w:rsidRPr="004268B2">
              <w:rPr>
                <w:rFonts w:ascii="Times New Roman" w:hAnsi="Times New Roman" w:cs="Times New Roman"/>
              </w:rPr>
              <w:t>Pacific Power</w:t>
            </w:r>
            <w:r>
              <w:rPr>
                <w:rFonts w:ascii="Times New Roman" w:hAnsi="Times New Roman" w:cs="Times New Roman"/>
              </w:rPr>
              <w:t>,</w:t>
            </w:r>
          </w:p>
          <w:p w14:paraId="78BF9C54" w14:textId="2506A667" w:rsidR="008B3D4D" w:rsidRPr="004268B2" w:rsidRDefault="008B3D4D" w:rsidP="00B74662">
            <w:pPr>
              <w:rPr>
                <w:rFonts w:ascii="Times New Roman" w:hAnsi="Times New Roman" w:cs="Times New Roman"/>
              </w:rPr>
            </w:pPr>
            <w:r w:rsidRPr="004268B2">
              <w:rPr>
                <w:rFonts w:ascii="Times New Roman" w:hAnsi="Times New Roman" w:cs="Times New Roman"/>
              </w:rPr>
              <w:t>NWEC</w:t>
            </w:r>
          </w:p>
        </w:tc>
        <w:tc>
          <w:tcPr>
            <w:tcW w:w="5149" w:type="dxa"/>
          </w:tcPr>
          <w:p w14:paraId="78BF9C55" w14:textId="26E5373E" w:rsidR="008B3D4D" w:rsidRPr="004268B2" w:rsidRDefault="008B3D4D" w:rsidP="00B74662">
            <w:pPr>
              <w:pStyle w:val="ListParagraph"/>
              <w:numPr>
                <w:ilvl w:val="0"/>
                <w:numId w:val="12"/>
              </w:numPr>
              <w:rPr>
                <w:rFonts w:ascii="Times New Roman" w:hAnsi="Times New Roman" w:cs="Times New Roman"/>
              </w:rPr>
            </w:pPr>
            <w:r w:rsidRPr="004268B2">
              <w:rPr>
                <w:rFonts w:ascii="Times New Roman" w:hAnsi="Times New Roman" w:cs="Times New Roman"/>
              </w:rPr>
              <w:t>PacifiCorp supports the use of a five-year historical period for method 2. (Pacific Power)</w:t>
            </w:r>
          </w:p>
          <w:p w14:paraId="78BF9C57" w14:textId="3555BC26" w:rsidR="008B3D4D" w:rsidRPr="004268B2" w:rsidRDefault="008B3D4D" w:rsidP="00B74662">
            <w:pPr>
              <w:pStyle w:val="ListParagraph"/>
              <w:numPr>
                <w:ilvl w:val="0"/>
                <w:numId w:val="12"/>
              </w:numPr>
              <w:rPr>
                <w:rFonts w:ascii="Times New Roman" w:hAnsi="Times New Roman" w:cs="Times New Roman"/>
              </w:rPr>
            </w:pPr>
            <w:r w:rsidRPr="004268B2">
              <w:rPr>
                <w:rFonts w:ascii="Times New Roman" w:hAnsi="Times New Roman" w:cs="Times New Roman"/>
              </w:rPr>
              <w:t>(iv) should say, “calculating…” and (v) should say, “multiplying…” (NWEC)</w:t>
            </w:r>
          </w:p>
        </w:tc>
        <w:tc>
          <w:tcPr>
            <w:tcW w:w="4736" w:type="dxa"/>
          </w:tcPr>
          <w:p w14:paraId="78BF9C58" w14:textId="06BE2C2E" w:rsidR="008B3D4D" w:rsidRPr="004268B2" w:rsidRDefault="008B3D4D" w:rsidP="00B74662">
            <w:pPr>
              <w:rPr>
                <w:rFonts w:ascii="Times New Roman" w:hAnsi="Times New Roman" w:cs="Times New Roman"/>
              </w:rPr>
            </w:pPr>
            <w:r w:rsidRPr="004268B2">
              <w:rPr>
                <w:rFonts w:ascii="Times New Roman" w:hAnsi="Times New Roman" w:cs="Times New Roman"/>
              </w:rPr>
              <w:t xml:space="preserve">The Commission appreciates Pacific Power’s support of the five-year minimum historical period in Method 2.  The Commission adopts NWEC’s grammatical corrections. </w:t>
            </w:r>
          </w:p>
        </w:tc>
      </w:tr>
      <w:tr w:rsidR="003666FD" w:rsidRPr="004268B2" w14:paraId="78BF9C61" w14:textId="77777777" w:rsidTr="008B3D4D">
        <w:trPr>
          <w:jc w:val="center"/>
        </w:trPr>
        <w:tc>
          <w:tcPr>
            <w:tcW w:w="1802" w:type="dxa"/>
          </w:tcPr>
          <w:p w14:paraId="04E03836" w14:textId="77777777" w:rsidR="008B3D4D" w:rsidRDefault="00B74662" w:rsidP="00B74662">
            <w:pPr>
              <w:rPr>
                <w:rFonts w:ascii="Times New Roman" w:hAnsi="Times New Roman" w:cs="Times New Roman"/>
                <w:b/>
              </w:rPr>
            </w:pPr>
            <w:r w:rsidRPr="004268B2">
              <w:rPr>
                <w:rFonts w:ascii="Times New Roman" w:hAnsi="Times New Roman" w:cs="Times New Roman"/>
                <w:b/>
              </w:rPr>
              <w:t xml:space="preserve">Incremental Hydro: </w:t>
            </w:r>
          </w:p>
          <w:p w14:paraId="78BF9C5A" w14:textId="28D926B1" w:rsidR="00B74662" w:rsidRPr="004268B2" w:rsidRDefault="00B74662" w:rsidP="00B74662">
            <w:pPr>
              <w:rPr>
                <w:rFonts w:ascii="Times New Roman" w:hAnsi="Times New Roman" w:cs="Times New Roman"/>
                <w:b/>
              </w:rPr>
            </w:pPr>
            <w:r w:rsidRPr="004268B2">
              <w:rPr>
                <w:rFonts w:ascii="Times New Roman" w:hAnsi="Times New Roman" w:cs="Times New Roman"/>
                <w:b/>
              </w:rPr>
              <w:t>Method 3</w:t>
            </w:r>
          </w:p>
          <w:p w14:paraId="03264D43" w14:textId="4A48492C" w:rsidR="00B74662" w:rsidRDefault="001E1AF8" w:rsidP="00B74662">
            <w:pPr>
              <w:rPr>
                <w:rFonts w:ascii="Times New Roman" w:hAnsi="Times New Roman" w:cs="Times New Roman"/>
              </w:rPr>
            </w:pPr>
            <w:r>
              <w:rPr>
                <w:rFonts w:ascii="Times New Roman" w:hAnsi="Times New Roman" w:cs="Times New Roman"/>
              </w:rPr>
              <w:t>WAC 480-109-200(7)</w:t>
            </w:r>
          </w:p>
          <w:p w14:paraId="78BF9C5B" w14:textId="73F8C69A" w:rsidR="00B74662" w:rsidRPr="004268B2" w:rsidRDefault="00B74662" w:rsidP="00B74662">
            <w:pPr>
              <w:rPr>
                <w:rFonts w:ascii="Times New Roman" w:hAnsi="Times New Roman" w:cs="Times New Roman"/>
              </w:rPr>
            </w:pPr>
          </w:p>
        </w:tc>
        <w:tc>
          <w:tcPr>
            <w:tcW w:w="1377" w:type="dxa"/>
          </w:tcPr>
          <w:p w14:paraId="78BF9C5D" w14:textId="4531446B" w:rsidR="00B74662" w:rsidRPr="004268B2" w:rsidRDefault="00B74662" w:rsidP="00B74662">
            <w:pPr>
              <w:rPr>
                <w:rFonts w:ascii="Times New Roman" w:hAnsi="Times New Roman" w:cs="Times New Roman"/>
              </w:rPr>
            </w:pPr>
            <w:r w:rsidRPr="004268B2">
              <w:rPr>
                <w:rFonts w:ascii="Times New Roman" w:hAnsi="Times New Roman" w:cs="Times New Roman"/>
              </w:rPr>
              <w:t>Avista</w:t>
            </w:r>
          </w:p>
        </w:tc>
        <w:tc>
          <w:tcPr>
            <w:tcW w:w="5149" w:type="dxa"/>
          </w:tcPr>
          <w:p w14:paraId="78BF9C5F" w14:textId="3088B4AB" w:rsidR="00B74662" w:rsidRPr="004268B2" w:rsidRDefault="00B74662" w:rsidP="00B74662">
            <w:pPr>
              <w:rPr>
                <w:rFonts w:ascii="Times New Roman" w:hAnsi="Times New Roman" w:cs="Times New Roman"/>
              </w:rPr>
            </w:pPr>
            <w:r w:rsidRPr="004268B2">
              <w:rPr>
                <w:rFonts w:ascii="Times New Roman" w:hAnsi="Times New Roman" w:cs="Times New Roman"/>
              </w:rPr>
              <w:t xml:space="preserve">Remove reference to Method 3 as a pilot method.  Method 3 provides a valid estimate of expected benefits from hydro upgrades over time, and more certainty about the amount of energy to include in the reports.  If the 2017 reporting period provides evidence that Method 3 is not providing a fair valuation of hydro </w:t>
            </w:r>
            <w:r w:rsidRPr="004268B2">
              <w:rPr>
                <w:rFonts w:ascii="Times New Roman" w:hAnsi="Times New Roman" w:cs="Times New Roman"/>
              </w:rPr>
              <w:lastRenderedPageBreak/>
              <w:t>upgrades, then the Commission can take up the issue at that time. (Avista)</w:t>
            </w:r>
          </w:p>
        </w:tc>
        <w:tc>
          <w:tcPr>
            <w:tcW w:w="4736" w:type="dxa"/>
          </w:tcPr>
          <w:p w14:paraId="78BF9C60" w14:textId="4246F46E" w:rsidR="00B74662" w:rsidRPr="004268B2" w:rsidRDefault="003908DA" w:rsidP="0054235F">
            <w:pPr>
              <w:rPr>
                <w:rFonts w:ascii="Times New Roman" w:hAnsi="Times New Roman" w:cs="Times New Roman"/>
              </w:rPr>
            </w:pPr>
            <w:r>
              <w:rPr>
                <w:rFonts w:ascii="Times New Roman" w:hAnsi="Times New Roman" w:cs="Times New Roman"/>
              </w:rPr>
              <w:lastRenderedPageBreak/>
              <w:t xml:space="preserve">As discussed in the adoption order, </w:t>
            </w:r>
            <w:r w:rsidR="0054235F">
              <w:rPr>
                <w:rFonts w:ascii="Times New Roman" w:hAnsi="Times New Roman" w:cs="Times New Roman"/>
              </w:rPr>
              <w:t>we</w:t>
            </w:r>
            <w:r w:rsidR="00B74662" w:rsidRPr="004268B2">
              <w:rPr>
                <w:rFonts w:ascii="Times New Roman" w:hAnsi="Times New Roman" w:cs="Times New Roman"/>
              </w:rPr>
              <w:t xml:space="preserve"> adopt changes to this section </w:t>
            </w:r>
            <w:r w:rsidR="00E3652D">
              <w:rPr>
                <w:rFonts w:ascii="Times New Roman" w:hAnsi="Times New Roman" w:cs="Times New Roman"/>
              </w:rPr>
              <w:t xml:space="preserve">that </w:t>
            </w:r>
            <w:r w:rsidR="00B74662" w:rsidRPr="004268B2">
              <w:rPr>
                <w:rFonts w:ascii="Times New Roman" w:hAnsi="Times New Roman" w:cs="Times New Roman"/>
              </w:rPr>
              <w:t xml:space="preserve">remove the reference to Method 3 as a “pilot method” </w:t>
            </w:r>
            <w:r>
              <w:rPr>
                <w:rFonts w:ascii="Times New Roman" w:hAnsi="Times New Roman" w:cs="Times New Roman"/>
              </w:rPr>
              <w:t xml:space="preserve">and adjust when </w:t>
            </w:r>
            <w:r w:rsidR="00B74662" w:rsidRPr="004268B2">
              <w:rPr>
                <w:rFonts w:ascii="Times New Roman" w:hAnsi="Times New Roman" w:cs="Times New Roman"/>
              </w:rPr>
              <w:t xml:space="preserve">utilities using Method 3 </w:t>
            </w:r>
            <w:r>
              <w:rPr>
                <w:rFonts w:ascii="Times New Roman" w:hAnsi="Times New Roman" w:cs="Times New Roman"/>
              </w:rPr>
              <w:t xml:space="preserve">must </w:t>
            </w:r>
            <w:r w:rsidR="00B74662" w:rsidRPr="004268B2">
              <w:rPr>
                <w:rFonts w:ascii="Times New Roman" w:hAnsi="Times New Roman" w:cs="Times New Roman"/>
              </w:rPr>
              <w:t>compar</w:t>
            </w:r>
            <w:r>
              <w:rPr>
                <w:rFonts w:ascii="Times New Roman" w:hAnsi="Times New Roman" w:cs="Times New Roman"/>
              </w:rPr>
              <w:t>e</w:t>
            </w:r>
            <w:r w:rsidR="00B74662" w:rsidRPr="004268B2">
              <w:rPr>
                <w:rFonts w:ascii="Times New Roman" w:hAnsi="Times New Roman" w:cs="Times New Roman"/>
              </w:rPr>
              <w:t xml:space="preserve"> it to one of the other two methods.  The Commission adopts language clarifying that, if that analysis finds a significant different between Method 3 and one of </w:t>
            </w:r>
            <w:r w:rsidR="00B74662" w:rsidRPr="004268B2">
              <w:rPr>
                <w:rFonts w:ascii="Times New Roman" w:hAnsi="Times New Roman" w:cs="Times New Roman"/>
              </w:rPr>
              <w:lastRenderedPageBreak/>
              <w:t>the other methods, it may order a utility to use a different method in future reporting years.</w:t>
            </w:r>
          </w:p>
        </w:tc>
      </w:tr>
      <w:tr w:rsidR="003666FD" w:rsidRPr="004268B2" w14:paraId="78BF9C67" w14:textId="77777777" w:rsidTr="008B3D4D">
        <w:trPr>
          <w:jc w:val="center"/>
        </w:trPr>
        <w:tc>
          <w:tcPr>
            <w:tcW w:w="1802" w:type="dxa"/>
          </w:tcPr>
          <w:p w14:paraId="78BF9C62" w14:textId="77777777" w:rsidR="00B74662" w:rsidRPr="004268B2" w:rsidRDefault="00B74662" w:rsidP="00B74662">
            <w:pPr>
              <w:rPr>
                <w:rFonts w:ascii="Times New Roman" w:hAnsi="Times New Roman" w:cs="Times New Roman"/>
                <w:b/>
              </w:rPr>
            </w:pPr>
            <w:r w:rsidRPr="004268B2">
              <w:rPr>
                <w:rFonts w:ascii="Times New Roman" w:hAnsi="Times New Roman" w:cs="Times New Roman"/>
                <w:b/>
              </w:rPr>
              <w:lastRenderedPageBreak/>
              <w:t>RPS reporting</w:t>
            </w:r>
          </w:p>
          <w:p w14:paraId="78BF9C63"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t>WAC 480-109-210(1)</w:t>
            </w:r>
          </w:p>
        </w:tc>
        <w:tc>
          <w:tcPr>
            <w:tcW w:w="1377" w:type="dxa"/>
          </w:tcPr>
          <w:p w14:paraId="78BF9C64" w14:textId="4A33A6FC" w:rsidR="00B74662" w:rsidRPr="004268B2" w:rsidRDefault="00B74662" w:rsidP="00B74662">
            <w:pPr>
              <w:rPr>
                <w:rFonts w:ascii="Times New Roman" w:hAnsi="Times New Roman" w:cs="Times New Roman"/>
              </w:rPr>
            </w:pPr>
            <w:r>
              <w:rPr>
                <w:rFonts w:ascii="Times New Roman" w:hAnsi="Times New Roman" w:cs="Times New Roman"/>
              </w:rPr>
              <w:t>RN</w:t>
            </w:r>
            <w:r w:rsidRPr="004268B2">
              <w:rPr>
                <w:rFonts w:ascii="Times New Roman" w:hAnsi="Times New Roman" w:cs="Times New Roman"/>
              </w:rPr>
              <w:t>/NWEC</w:t>
            </w:r>
          </w:p>
        </w:tc>
        <w:tc>
          <w:tcPr>
            <w:tcW w:w="5149" w:type="dxa"/>
          </w:tcPr>
          <w:p w14:paraId="78BF9C65"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t>Clarify that the annual report details the resources that utilities acquired or contracted to acquire by January 1 of that same target year.</w:t>
            </w:r>
          </w:p>
        </w:tc>
        <w:tc>
          <w:tcPr>
            <w:tcW w:w="4736" w:type="dxa"/>
          </w:tcPr>
          <w:p w14:paraId="78BF9C66" w14:textId="213E2B56" w:rsidR="00B74662" w:rsidRPr="004268B2" w:rsidRDefault="00B74662" w:rsidP="00B74662">
            <w:pPr>
              <w:rPr>
                <w:rFonts w:ascii="Times New Roman" w:hAnsi="Times New Roman" w:cs="Times New Roman"/>
              </w:rPr>
            </w:pPr>
            <w:r w:rsidRPr="004268B2">
              <w:rPr>
                <w:rFonts w:ascii="Times New Roman" w:hAnsi="Times New Roman" w:cs="Times New Roman"/>
              </w:rPr>
              <w:t xml:space="preserve">The Commission recognizes this concern and </w:t>
            </w:r>
            <w:r w:rsidRPr="0074179A">
              <w:rPr>
                <w:rFonts w:ascii="Times New Roman" w:hAnsi="Times New Roman" w:cs="Times New Roman"/>
              </w:rPr>
              <w:t>provides clarification in the adoption order</w:t>
            </w:r>
            <w:r w:rsidRPr="004268B2">
              <w:rPr>
                <w:rFonts w:ascii="Times New Roman" w:hAnsi="Times New Roman" w:cs="Times New Roman"/>
              </w:rPr>
              <w:t xml:space="preserve">. </w:t>
            </w:r>
          </w:p>
        </w:tc>
      </w:tr>
      <w:tr w:rsidR="003666FD" w:rsidRPr="004268B2" w14:paraId="0DCEB7AD" w14:textId="77777777" w:rsidTr="008B3D4D">
        <w:trPr>
          <w:jc w:val="center"/>
        </w:trPr>
        <w:tc>
          <w:tcPr>
            <w:tcW w:w="1802" w:type="dxa"/>
          </w:tcPr>
          <w:p w14:paraId="24253633" w14:textId="7B28FA65" w:rsidR="00B74662" w:rsidRPr="004268B2" w:rsidRDefault="00B74662" w:rsidP="00B74662">
            <w:pPr>
              <w:rPr>
                <w:rFonts w:ascii="Times New Roman" w:hAnsi="Times New Roman" w:cs="Times New Roman"/>
                <w:b/>
              </w:rPr>
            </w:pPr>
            <w:r>
              <w:rPr>
                <w:rFonts w:ascii="Times New Roman" w:hAnsi="Times New Roman" w:cs="Times New Roman"/>
                <w:b/>
              </w:rPr>
              <w:t>Incremental cost calculation</w:t>
            </w:r>
          </w:p>
          <w:p w14:paraId="1E5C7EBA" w14:textId="429D0331" w:rsidR="00B74662" w:rsidRPr="004268B2" w:rsidRDefault="00B74662" w:rsidP="00B74662">
            <w:pPr>
              <w:rPr>
                <w:rFonts w:ascii="Times New Roman" w:hAnsi="Times New Roman" w:cs="Times New Roman"/>
                <w:b/>
              </w:rPr>
            </w:pPr>
            <w:r w:rsidRPr="004268B2">
              <w:rPr>
                <w:rFonts w:ascii="Times New Roman" w:hAnsi="Times New Roman" w:cs="Times New Roman"/>
              </w:rPr>
              <w:t>WAC 480-109-210(2)(a)(i)</w:t>
            </w:r>
          </w:p>
        </w:tc>
        <w:tc>
          <w:tcPr>
            <w:tcW w:w="1377" w:type="dxa"/>
          </w:tcPr>
          <w:p w14:paraId="5D766A5A" w14:textId="35BDA83D" w:rsidR="00B74662" w:rsidRPr="004268B2" w:rsidRDefault="00FE4308" w:rsidP="00FE4308">
            <w:pPr>
              <w:rPr>
                <w:rFonts w:ascii="Times New Roman" w:hAnsi="Times New Roman" w:cs="Times New Roman"/>
              </w:rPr>
            </w:pPr>
            <w:r>
              <w:rPr>
                <w:rFonts w:ascii="Times New Roman" w:hAnsi="Times New Roman" w:cs="Times New Roman"/>
              </w:rPr>
              <w:t xml:space="preserve">RN/NWEC, </w:t>
            </w:r>
            <w:r w:rsidR="00B74662" w:rsidRPr="004268B2">
              <w:rPr>
                <w:rFonts w:ascii="Times New Roman" w:hAnsi="Times New Roman" w:cs="Times New Roman"/>
              </w:rPr>
              <w:t>PSE</w:t>
            </w:r>
          </w:p>
        </w:tc>
        <w:tc>
          <w:tcPr>
            <w:tcW w:w="5149" w:type="dxa"/>
          </w:tcPr>
          <w:p w14:paraId="7C3DCCFD" w14:textId="6377D112" w:rsidR="00B74662" w:rsidRPr="00825911" w:rsidRDefault="00B74662" w:rsidP="00B74662">
            <w:pPr>
              <w:pStyle w:val="ListParagraph"/>
              <w:numPr>
                <w:ilvl w:val="0"/>
                <w:numId w:val="33"/>
              </w:numPr>
              <w:rPr>
                <w:rFonts w:ascii="Times New Roman" w:hAnsi="Times New Roman" w:cs="Times New Roman"/>
              </w:rPr>
            </w:pPr>
            <w:r w:rsidRPr="00825911">
              <w:rPr>
                <w:rFonts w:ascii="Times New Roman" w:hAnsi="Times New Roman" w:cs="Times New Roman"/>
              </w:rPr>
              <w:t xml:space="preserve">The proposed rule includes integration costs for the eligible resource, but not the noneligible resource. </w:t>
            </w:r>
            <w:r>
              <w:rPr>
                <w:rFonts w:ascii="Times New Roman" w:hAnsi="Times New Roman" w:cs="Times New Roman"/>
              </w:rPr>
              <w:t xml:space="preserve"> (RN/NWEC)</w:t>
            </w:r>
          </w:p>
          <w:p w14:paraId="22DAF529" w14:textId="069C824C" w:rsidR="00B74662" w:rsidRPr="00825911" w:rsidRDefault="00B74662" w:rsidP="00B74662">
            <w:pPr>
              <w:pStyle w:val="ListParagraph"/>
              <w:numPr>
                <w:ilvl w:val="0"/>
                <w:numId w:val="33"/>
              </w:numPr>
              <w:rPr>
                <w:rFonts w:ascii="Times New Roman" w:hAnsi="Times New Roman" w:cs="Times New Roman"/>
              </w:rPr>
            </w:pPr>
            <w:r w:rsidRPr="00825911">
              <w:rPr>
                <w:rFonts w:ascii="Times New Roman" w:hAnsi="Times New Roman" w:cs="Times New Roman"/>
              </w:rPr>
              <w:t>In supplemental comments filed on Oct. 30, 2014, PSE rescinded its Oct. 6 comments on this section.</w:t>
            </w:r>
            <w:r>
              <w:rPr>
                <w:rFonts w:ascii="Times New Roman" w:hAnsi="Times New Roman" w:cs="Times New Roman"/>
              </w:rPr>
              <w:t xml:space="preserve"> (PSE)</w:t>
            </w:r>
          </w:p>
        </w:tc>
        <w:tc>
          <w:tcPr>
            <w:tcW w:w="4736" w:type="dxa"/>
          </w:tcPr>
          <w:p w14:paraId="44FBE00A" w14:textId="2B88D949" w:rsidR="00B74662" w:rsidRPr="004268B2" w:rsidRDefault="00B74662" w:rsidP="00B74662">
            <w:pPr>
              <w:rPr>
                <w:rFonts w:ascii="Times New Roman" w:hAnsi="Times New Roman" w:cs="Times New Roman"/>
              </w:rPr>
            </w:pPr>
            <w:r w:rsidRPr="004268B2">
              <w:rPr>
                <w:rFonts w:ascii="Times New Roman" w:hAnsi="Times New Roman" w:cs="Times New Roman"/>
              </w:rPr>
              <w:t>The Commission declines to adopt any changes that may contemplate the incorporation of “integration costs” or ancillary services associated with noneligible resources into the incremental cost calculation.  The Commission believes that the literature on this topic is not sufficiently developed, and that this issue it is not ripe for inclusion in the rule at this time.</w:t>
            </w:r>
          </w:p>
        </w:tc>
      </w:tr>
      <w:tr w:rsidR="003666FD" w:rsidRPr="004268B2" w14:paraId="228142A9" w14:textId="77777777" w:rsidTr="008B3D4D">
        <w:trPr>
          <w:jc w:val="center"/>
        </w:trPr>
        <w:tc>
          <w:tcPr>
            <w:tcW w:w="1802" w:type="dxa"/>
          </w:tcPr>
          <w:p w14:paraId="6296D6D3" w14:textId="77777777" w:rsidR="00B74662" w:rsidRPr="004268B2" w:rsidRDefault="00B74662" w:rsidP="00B74662">
            <w:pPr>
              <w:rPr>
                <w:rFonts w:ascii="Times New Roman" w:hAnsi="Times New Roman" w:cs="Times New Roman"/>
                <w:b/>
              </w:rPr>
            </w:pPr>
            <w:r>
              <w:rPr>
                <w:rFonts w:ascii="Times New Roman" w:hAnsi="Times New Roman" w:cs="Times New Roman"/>
                <w:b/>
              </w:rPr>
              <w:t>Incremental cost calculation</w:t>
            </w:r>
          </w:p>
          <w:p w14:paraId="0B0B5FFE" w14:textId="070F7D12" w:rsidR="00B74662" w:rsidRPr="004268B2" w:rsidRDefault="00B74662" w:rsidP="00B74662">
            <w:pPr>
              <w:rPr>
                <w:rFonts w:ascii="Times New Roman" w:hAnsi="Times New Roman" w:cs="Times New Roman"/>
                <w:b/>
              </w:rPr>
            </w:pPr>
            <w:r w:rsidRPr="004268B2">
              <w:rPr>
                <w:rFonts w:ascii="Times New Roman" w:hAnsi="Times New Roman" w:cs="Times New Roman"/>
              </w:rPr>
              <w:t>WAC 480-109-210(2)(a)(i)</w:t>
            </w:r>
            <w:r>
              <w:rPr>
                <w:rFonts w:ascii="Times New Roman" w:hAnsi="Times New Roman" w:cs="Times New Roman"/>
              </w:rPr>
              <w:t>(A)</w:t>
            </w:r>
          </w:p>
        </w:tc>
        <w:tc>
          <w:tcPr>
            <w:tcW w:w="1377" w:type="dxa"/>
          </w:tcPr>
          <w:p w14:paraId="4E6E3CDC" w14:textId="2475D186" w:rsidR="00B74662" w:rsidRPr="004268B2" w:rsidRDefault="00B74662" w:rsidP="00B74662">
            <w:pPr>
              <w:rPr>
                <w:rFonts w:ascii="Times New Roman" w:hAnsi="Times New Roman" w:cs="Times New Roman"/>
              </w:rPr>
            </w:pPr>
            <w:r>
              <w:rPr>
                <w:rFonts w:ascii="Times New Roman" w:hAnsi="Times New Roman" w:cs="Times New Roman"/>
              </w:rPr>
              <w:t>ICNU</w:t>
            </w:r>
          </w:p>
        </w:tc>
        <w:tc>
          <w:tcPr>
            <w:tcW w:w="5149" w:type="dxa"/>
          </w:tcPr>
          <w:p w14:paraId="7621967D" w14:textId="6BBE5661" w:rsidR="00B74662" w:rsidRPr="00A83357" w:rsidRDefault="00B74662" w:rsidP="00B74662">
            <w:pPr>
              <w:rPr>
                <w:rFonts w:ascii="Times New Roman" w:hAnsi="Times New Roman" w:cs="Times New Roman"/>
              </w:rPr>
            </w:pPr>
            <w:r w:rsidRPr="00A83357">
              <w:rPr>
                <w:rFonts w:ascii="Times New Roman" w:hAnsi="Times New Roman" w:cs="Times New Roman"/>
              </w:rPr>
              <w:t xml:space="preserve">(2)(a)(i)(A): add: “including integration costs </w:t>
            </w:r>
            <w:r w:rsidRPr="00A83357">
              <w:rPr>
                <w:rFonts w:ascii="Times New Roman" w:hAnsi="Times New Roman" w:cs="Times New Roman"/>
                <w:u w:val="single"/>
              </w:rPr>
              <w:t>calculated consistently with its IRP, including its wind integration study,</w:t>
            </w:r>
            <w:r w:rsidRPr="00A83357">
              <w:rPr>
                <w:rFonts w:ascii="Times New Roman" w:hAnsi="Times New Roman" w:cs="Times New Roman"/>
              </w:rPr>
              <w:t>..”</w:t>
            </w:r>
          </w:p>
        </w:tc>
        <w:tc>
          <w:tcPr>
            <w:tcW w:w="4736" w:type="dxa"/>
          </w:tcPr>
          <w:p w14:paraId="0197400F" w14:textId="170F5CEB" w:rsidR="00B74662" w:rsidRPr="004268B2" w:rsidDel="009A11BC" w:rsidRDefault="00B74662" w:rsidP="0054235F">
            <w:pPr>
              <w:rPr>
                <w:rFonts w:ascii="Times New Roman" w:hAnsi="Times New Roman" w:cs="Times New Roman"/>
              </w:rPr>
            </w:pPr>
            <w:r>
              <w:rPr>
                <w:rFonts w:ascii="Times New Roman" w:hAnsi="Times New Roman" w:cs="Times New Roman"/>
              </w:rPr>
              <w:t xml:space="preserve">As described in the adoption order, we </w:t>
            </w:r>
            <w:r w:rsidRPr="004268B2">
              <w:rPr>
                <w:rFonts w:ascii="Times New Roman" w:hAnsi="Times New Roman" w:cs="Times New Roman"/>
              </w:rPr>
              <w:t>agree that it is appropriate for a utility to use the integration costs calculated consistently with its IRP</w:t>
            </w:r>
            <w:r>
              <w:rPr>
                <w:rFonts w:ascii="Times New Roman" w:hAnsi="Times New Roman" w:cs="Times New Roman"/>
              </w:rPr>
              <w:t xml:space="preserve">, and </w:t>
            </w:r>
            <w:r w:rsidRPr="004268B2">
              <w:rPr>
                <w:rFonts w:ascii="Times New Roman" w:hAnsi="Times New Roman" w:cs="Times New Roman"/>
              </w:rPr>
              <w:t>adopt changes to this subsection.</w:t>
            </w:r>
          </w:p>
        </w:tc>
      </w:tr>
      <w:tr w:rsidR="003666FD" w:rsidRPr="004268B2" w14:paraId="610608DC" w14:textId="77777777" w:rsidTr="008B3D4D">
        <w:trPr>
          <w:jc w:val="center"/>
        </w:trPr>
        <w:tc>
          <w:tcPr>
            <w:tcW w:w="1802" w:type="dxa"/>
          </w:tcPr>
          <w:p w14:paraId="1997E7FF" w14:textId="77777777" w:rsidR="00B74662" w:rsidRPr="004268B2" w:rsidRDefault="00B74662" w:rsidP="00B74662">
            <w:pPr>
              <w:rPr>
                <w:rFonts w:ascii="Times New Roman" w:hAnsi="Times New Roman" w:cs="Times New Roman"/>
                <w:b/>
              </w:rPr>
            </w:pPr>
            <w:r w:rsidRPr="004268B2">
              <w:rPr>
                <w:rFonts w:ascii="Times New Roman" w:hAnsi="Times New Roman" w:cs="Times New Roman"/>
                <w:b/>
              </w:rPr>
              <w:t>Incremental cost calculation – one-time component</w:t>
            </w:r>
          </w:p>
          <w:p w14:paraId="3EB27E48" w14:textId="699D2E06" w:rsidR="00B74662" w:rsidRPr="004268B2" w:rsidRDefault="00B74662" w:rsidP="00B74662">
            <w:pPr>
              <w:rPr>
                <w:rFonts w:ascii="Times New Roman" w:hAnsi="Times New Roman" w:cs="Times New Roman"/>
                <w:b/>
              </w:rPr>
            </w:pPr>
            <w:r w:rsidRPr="004268B2">
              <w:rPr>
                <w:rFonts w:ascii="Times New Roman" w:hAnsi="Times New Roman" w:cs="Times New Roman"/>
              </w:rPr>
              <w:t>WAC 480-109-210(2)(a)(i)</w:t>
            </w:r>
            <w:r>
              <w:rPr>
                <w:rFonts w:ascii="Times New Roman" w:hAnsi="Times New Roman" w:cs="Times New Roman"/>
              </w:rPr>
              <w:t>(B)</w:t>
            </w:r>
          </w:p>
        </w:tc>
        <w:tc>
          <w:tcPr>
            <w:tcW w:w="1377" w:type="dxa"/>
          </w:tcPr>
          <w:p w14:paraId="60A35F5B" w14:textId="41C3A14C" w:rsidR="00B74662" w:rsidRPr="004268B2" w:rsidRDefault="00FE4308" w:rsidP="00B74662">
            <w:pPr>
              <w:rPr>
                <w:rFonts w:ascii="Times New Roman" w:hAnsi="Times New Roman" w:cs="Times New Roman"/>
              </w:rPr>
            </w:pPr>
            <w:r>
              <w:rPr>
                <w:rFonts w:ascii="Times New Roman" w:hAnsi="Times New Roman" w:cs="Times New Roman"/>
              </w:rPr>
              <w:t>RN/NWEC</w:t>
            </w:r>
            <w:r w:rsidR="00B74662">
              <w:rPr>
                <w:rFonts w:ascii="Times New Roman" w:hAnsi="Times New Roman" w:cs="Times New Roman"/>
              </w:rPr>
              <w:t>, Avista, ICNU</w:t>
            </w:r>
          </w:p>
        </w:tc>
        <w:tc>
          <w:tcPr>
            <w:tcW w:w="5149" w:type="dxa"/>
          </w:tcPr>
          <w:p w14:paraId="5454AF40" w14:textId="3AF7E4E2" w:rsidR="00B74662" w:rsidRPr="00F459E6" w:rsidRDefault="00B74662" w:rsidP="00B74662">
            <w:pPr>
              <w:pStyle w:val="ListParagraph"/>
              <w:numPr>
                <w:ilvl w:val="0"/>
                <w:numId w:val="32"/>
              </w:numPr>
              <w:rPr>
                <w:rFonts w:ascii="Times New Roman" w:hAnsi="Times New Roman" w:cs="Times New Roman"/>
              </w:rPr>
            </w:pPr>
            <w:r w:rsidRPr="00F459E6">
              <w:rPr>
                <w:rFonts w:ascii="Times New Roman" w:hAnsi="Times New Roman" w:cs="Times New Roman"/>
              </w:rPr>
              <w:t xml:space="preserve">Suggest the rule require utilities to use an effective load carrying capacity methodology, a less volatile and more reliable method for calculating capacity contributions. (a)(i)(B) </w:t>
            </w:r>
            <w:r w:rsidRPr="00F459E6">
              <w:rPr>
                <w:rFonts w:ascii="Times New Roman" w:hAnsi="Times New Roman" w:cs="Times New Roman"/>
                <w:b/>
              </w:rPr>
              <w:t>Capacity.</w:t>
            </w:r>
            <w:r w:rsidRPr="00F459E6">
              <w:rPr>
                <w:rFonts w:ascii="Times New Roman" w:hAnsi="Times New Roman" w:cs="Times New Roman"/>
              </w:rPr>
              <w:t xml:space="preserve">  Calculate the capacity credit for each eligible resource by </w:t>
            </w:r>
            <w:r w:rsidRPr="00F459E6">
              <w:rPr>
                <w:rFonts w:ascii="Times New Roman" w:hAnsi="Times New Roman" w:cs="Times New Roman"/>
                <w:u w:val="single"/>
              </w:rPr>
              <w:t>multiplying the resource’s nameplate capacity by its percentage capacity value, which must be determined</w:t>
            </w:r>
            <w:r w:rsidRPr="00F459E6">
              <w:rPr>
                <w:rFonts w:ascii="Times New Roman" w:hAnsi="Times New Roman" w:cs="Times New Roman"/>
              </w:rPr>
              <w:t xml:space="preserve"> by modeling </w:t>
            </w:r>
            <w:r w:rsidRPr="00F459E6">
              <w:rPr>
                <w:rFonts w:ascii="Times New Roman" w:hAnsi="Times New Roman" w:cs="Times New Roman"/>
                <w:strike/>
              </w:rPr>
              <w:t xml:space="preserve">the eligible resource's output, in megawatts, at the time of the utility's annual system peak </w:t>
            </w:r>
            <w:r w:rsidRPr="00F459E6">
              <w:rPr>
                <w:rFonts w:ascii="Times New Roman" w:hAnsi="Times New Roman" w:cs="Times New Roman"/>
                <w:u w:val="single"/>
              </w:rPr>
              <w:t>or accurately approximating the resource or resource type’s effective load carrying capability.</w:t>
            </w:r>
            <w:r w:rsidRPr="00F459E6">
              <w:rPr>
                <w:rFonts w:ascii="Times New Roman" w:hAnsi="Times New Roman" w:cs="Times New Roman"/>
              </w:rPr>
              <w:t xml:space="preserve"> (</w:t>
            </w:r>
            <w:r w:rsidR="00FE4308">
              <w:rPr>
                <w:rFonts w:ascii="Times New Roman" w:hAnsi="Times New Roman" w:cs="Times New Roman"/>
              </w:rPr>
              <w:t>RN/NWEC)</w:t>
            </w:r>
          </w:p>
          <w:p w14:paraId="768DFFAB" w14:textId="2AA330A8" w:rsidR="00B74662" w:rsidRPr="00F459E6" w:rsidRDefault="00B74662" w:rsidP="00B74662">
            <w:pPr>
              <w:pStyle w:val="ListParagraph"/>
              <w:numPr>
                <w:ilvl w:val="0"/>
                <w:numId w:val="32"/>
              </w:numPr>
              <w:rPr>
                <w:rFonts w:ascii="Times New Roman" w:hAnsi="Times New Roman" w:cs="Times New Roman"/>
              </w:rPr>
            </w:pPr>
            <w:r w:rsidRPr="00F459E6">
              <w:rPr>
                <w:rFonts w:ascii="Times New Roman" w:hAnsi="Times New Roman" w:cs="Times New Roman"/>
              </w:rPr>
              <w:t>Avista and ICNU suggest using the capacity value the utility identified in its integrated resource plan.</w:t>
            </w:r>
          </w:p>
        </w:tc>
        <w:tc>
          <w:tcPr>
            <w:tcW w:w="4736" w:type="dxa"/>
          </w:tcPr>
          <w:p w14:paraId="40964C9D" w14:textId="013FD985" w:rsidR="00B74662" w:rsidRPr="004268B2" w:rsidRDefault="005D6AA5" w:rsidP="00FF57DF">
            <w:pPr>
              <w:rPr>
                <w:rFonts w:ascii="Times New Roman" w:hAnsi="Times New Roman" w:cs="Times New Roman"/>
              </w:rPr>
            </w:pPr>
            <w:r>
              <w:rPr>
                <w:rFonts w:ascii="Times New Roman" w:hAnsi="Times New Roman" w:cs="Times New Roman"/>
              </w:rPr>
              <w:t>While t</w:t>
            </w:r>
            <w:r w:rsidR="00B74662" w:rsidRPr="004268B2">
              <w:rPr>
                <w:rFonts w:ascii="Times New Roman" w:hAnsi="Times New Roman" w:cs="Times New Roman"/>
              </w:rPr>
              <w:t>he Commission declines to adopt R</w:t>
            </w:r>
            <w:r w:rsidR="00B74662">
              <w:rPr>
                <w:rFonts w:ascii="Times New Roman" w:hAnsi="Times New Roman" w:cs="Times New Roman"/>
              </w:rPr>
              <w:t>enewable Northwest’s suggestion</w:t>
            </w:r>
            <w:r>
              <w:rPr>
                <w:rFonts w:ascii="Times New Roman" w:hAnsi="Times New Roman" w:cs="Times New Roman"/>
              </w:rPr>
              <w:t xml:space="preserve"> to require the use of an effective load carrying capability, we express support for the usage of that and similar methodologies in adoption order. W</w:t>
            </w:r>
            <w:r w:rsidR="00B74662">
              <w:rPr>
                <w:rFonts w:ascii="Times New Roman" w:hAnsi="Times New Roman" w:cs="Times New Roman"/>
              </w:rPr>
              <w:t xml:space="preserve">e adopt Avista and ICNU’s suggestion, </w:t>
            </w:r>
            <w:r w:rsidR="00FF57DF">
              <w:rPr>
                <w:rFonts w:ascii="Times New Roman" w:hAnsi="Times New Roman" w:cs="Times New Roman"/>
              </w:rPr>
              <w:t xml:space="preserve">and encourage utilities </w:t>
            </w:r>
            <w:r>
              <w:rPr>
                <w:rFonts w:ascii="Times New Roman" w:hAnsi="Times New Roman" w:cs="Times New Roman"/>
              </w:rPr>
              <w:t>to adopt best practices as they emerge in this developing field of research</w:t>
            </w:r>
            <w:r w:rsidR="00FF57DF">
              <w:rPr>
                <w:rFonts w:ascii="Times New Roman" w:hAnsi="Times New Roman" w:cs="Times New Roman"/>
              </w:rPr>
              <w:t>, in consultation with their respective IRP advisory groups.</w:t>
            </w:r>
            <w:r w:rsidR="00B74662" w:rsidRPr="004268B2">
              <w:rPr>
                <w:rFonts w:ascii="Times New Roman" w:hAnsi="Times New Roman" w:cs="Times New Roman"/>
              </w:rPr>
              <w:t xml:space="preserve"> </w:t>
            </w:r>
          </w:p>
        </w:tc>
      </w:tr>
      <w:tr w:rsidR="003666FD" w:rsidRPr="004268B2" w14:paraId="37F4E254" w14:textId="77777777" w:rsidTr="008B3D4D">
        <w:trPr>
          <w:trHeight w:val="440"/>
          <w:jc w:val="center"/>
        </w:trPr>
        <w:tc>
          <w:tcPr>
            <w:tcW w:w="1802" w:type="dxa"/>
          </w:tcPr>
          <w:p w14:paraId="278B8E39" w14:textId="4FD40969" w:rsidR="00B74662" w:rsidRPr="004268B2" w:rsidRDefault="00B74662" w:rsidP="00B74662">
            <w:pPr>
              <w:rPr>
                <w:rFonts w:ascii="Times New Roman" w:hAnsi="Times New Roman" w:cs="Times New Roman"/>
                <w:b/>
              </w:rPr>
            </w:pPr>
            <w:r w:rsidRPr="004268B2">
              <w:rPr>
                <w:rFonts w:ascii="Times New Roman" w:hAnsi="Times New Roman" w:cs="Times New Roman"/>
                <w:b/>
              </w:rPr>
              <w:t>Incremental cost calculation – one-time component</w:t>
            </w:r>
          </w:p>
          <w:p w14:paraId="411A960A" w14:textId="61790EAC" w:rsidR="00B74662" w:rsidRPr="004268B2" w:rsidRDefault="00B74662" w:rsidP="00B74662">
            <w:pPr>
              <w:rPr>
                <w:rFonts w:ascii="Times New Roman" w:hAnsi="Times New Roman" w:cs="Times New Roman"/>
                <w:b/>
              </w:rPr>
            </w:pPr>
            <w:r w:rsidRPr="004268B2">
              <w:rPr>
                <w:rFonts w:ascii="Times New Roman" w:hAnsi="Times New Roman" w:cs="Times New Roman"/>
              </w:rPr>
              <w:lastRenderedPageBreak/>
              <w:t>WAC 480-109-210(2)(a)(i)</w:t>
            </w:r>
            <w:r>
              <w:rPr>
                <w:rFonts w:ascii="Times New Roman" w:hAnsi="Times New Roman" w:cs="Times New Roman"/>
              </w:rPr>
              <w:t>(E)</w:t>
            </w:r>
          </w:p>
        </w:tc>
        <w:tc>
          <w:tcPr>
            <w:tcW w:w="1377" w:type="dxa"/>
          </w:tcPr>
          <w:p w14:paraId="33FAE6C2" w14:textId="7B2E369F" w:rsidR="00B74662" w:rsidRPr="004268B2" w:rsidRDefault="00B74662" w:rsidP="00B74662">
            <w:pPr>
              <w:rPr>
                <w:rFonts w:ascii="Times New Roman" w:hAnsi="Times New Roman" w:cs="Times New Roman"/>
              </w:rPr>
            </w:pPr>
            <w:r>
              <w:rPr>
                <w:rFonts w:ascii="Times New Roman" w:hAnsi="Times New Roman" w:cs="Times New Roman"/>
              </w:rPr>
              <w:lastRenderedPageBreak/>
              <w:t>Avista</w:t>
            </w:r>
          </w:p>
        </w:tc>
        <w:tc>
          <w:tcPr>
            <w:tcW w:w="5149" w:type="dxa"/>
          </w:tcPr>
          <w:p w14:paraId="3B73743F" w14:textId="43CBE20E" w:rsidR="00B74662" w:rsidRPr="004268B2" w:rsidRDefault="00B74662" w:rsidP="00B74662">
            <w:pPr>
              <w:rPr>
                <w:rFonts w:ascii="Times New Roman" w:hAnsi="Times New Roman" w:cs="Times New Roman"/>
              </w:rPr>
            </w:pPr>
            <w:r w:rsidRPr="004268B2">
              <w:rPr>
                <w:rFonts w:ascii="Times New Roman" w:hAnsi="Times New Roman" w:cs="Times New Roman"/>
              </w:rPr>
              <w:t xml:space="preserve">(2)(a)(i)(E) The latest IRP may be 3 years old, and may not reflect the lowest-cost non-eligible resource. (i.e. fluctuations in natural gas and wind prices.)  Add: “Or where cost information in the IRP is no longer </w:t>
            </w:r>
            <w:r w:rsidRPr="004268B2">
              <w:rPr>
                <w:rFonts w:ascii="Times New Roman" w:hAnsi="Times New Roman" w:cs="Times New Roman"/>
              </w:rPr>
              <w:lastRenderedPageBreak/>
              <w:t>substantially representative of the lowest-cost, non-eligible capacity resource, provide detailed documentation of the costs used, and why the figures are superior to those contai</w:t>
            </w:r>
            <w:r>
              <w:rPr>
                <w:rFonts w:ascii="Times New Roman" w:hAnsi="Times New Roman" w:cs="Times New Roman"/>
              </w:rPr>
              <w:t>ned in the latest IRP.”</w:t>
            </w:r>
          </w:p>
        </w:tc>
        <w:tc>
          <w:tcPr>
            <w:tcW w:w="4736" w:type="dxa"/>
          </w:tcPr>
          <w:p w14:paraId="573F7192" w14:textId="6FC00D15" w:rsidR="00B74662" w:rsidRPr="004268B2" w:rsidRDefault="00B74662" w:rsidP="00B74662">
            <w:pPr>
              <w:rPr>
                <w:rFonts w:ascii="Times New Roman" w:hAnsi="Times New Roman" w:cs="Times New Roman"/>
              </w:rPr>
            </w:pPr>
            <w:r w:rsidRPr="004268B2">
              <w:rPr>
                <w:rFonts w:ascii="Times New Roman" w:hAnsi="Times New Roman" w:cs="Times New Roman"/>
              </w:rPr>
              <w:lastRenderedPageBreak/>
              <w:t xml:space="preserve">The Commission agrees that the rule should allow utilities to use updated cost information when the information in its IRP is out-of-date.  The Commission adopts new language in this </w:t>
            </w:r>
            <w:r w:rsidRPr="004268B2">
              <w:rPr>
                <w:rFonts w:ascii="Times New Roman" w:hAnsi="Times New Roman" w:cs="Times New Roman"/>
              </w:rPr>
              <w:lastRenderedPageBreak/>
              <w:t>subsection to allow a utility to use cost information from another source, provided that it also provides documentation and an explanation of why it used an alternative source.</w:t>
            </w:r>
          </w:p>
        </w:tc>
      </w:tr>
      <w:tr w:rsidR="003666FD" w:rsidRPr="004268B2" w14:paraId="566A5671" w14:textId="77777777" w:rsidTr="008B3D4D">
        <w:trPr>
          <w:jc w:val="center"/>
        </w:trPr>
        <w:tc>
          <w:tcPr>
            <w:tcW w:w="1802" w:type="dxa"/>
          </w:tcPr>
          <w:p w14:paraId="099368DD" w14:textId="77777777" w:rsidR="00B74662" w:rsidRPr="004268B2" w:rsidRDefault="00B74662" w:rsidP="00B74662">
            <w:pPr>
              <w:rPr>
                <w:rFonts w:ascii="Times New Roman" w:hAnsi="Times New Roman" w:cs="Times New Roman"/>
                <w:b/>
              </w:rPr>
            </w:pPr>
            <w:r w:rsidRPr="004268B2">
              <w:rPr>
                <w:rFonts w:ascii="Times New Roman" w:hAnsi="Times New Roman" w:cs="Times New Roman"/>
                <w:b/>
              </w:rPr>
              <w:lastRenderedPageBreak/>
              <w:t>Incremental cost calculation – one-time component</w:t>
            </w:r>
          </w:p>
          <w:p w14:paraId="5855B04B" w14:textId="772A92DD" w:rsidR="00B74662" w:rsidRPr="004268B2" w:rsidRDefault="00B74662" w:rsidP="00B74662">
            <w:pPr>
              <w:rPr>
                <w:rFonts w:ascii="Times New Roman" w:hAnsi="Times New Roman" w:cs="Times New Roman"/>
                <w:b/>
              </w:rPr>
            </w:pPr>
            <w:r w:rsidRPr="004268B2">
              <w:rPr>
                <w:rFonts w:ascii="Times New Roman" w:hAnsi="Times New Roman" w:cs="Times New Roman"/>
              </w:rPr>
              <w:t>WAC 480-109-210(2)(a)(i)</w:t>
            </w:r>
            <w:r>
              <w:rPr>
                <w:rFonts w:ascii="Times New Roman" w:hAnsi="Times New Roman" w:cs="Times New Roman"/>
              </w:rPr>
              <w:t>(E)</w:t>
            </w:r>
          </w:p>
        </w:tc>
        <w:tc>
          <w:tcPr>
            <w:tcW w:w="1377" w:type="dxa"/>
          </w:tcPr>
          <w:p w14:paraId="6A59159E" w14:textId="629D2135" w:rsidR="00B74662" w:rsidRPr="004268B2" w:rsidRDefault="00B74662" w:rsidP="00B74662">
            <w:pPr>
              <w:rPr>
                <w:rFonts w:ascii="Times New Roman" w:hAnsi="Times New Roman" w:cs="Times New Roman"/>
              </w:rPr>
            </w:pPr>
            <w:r w:rsidRPr="004268B2">
              <w:rPr>
                <w:rFonts w:ascii="Times New Roman" w:hAnsi="Times New Roman" w:cs="Times New Roman"/>
              </w:rPr>
              <w:t>Pacific Power</w:t>
            </w:r>
          </w:p>
        </w:tc>
        <w:tc>
          <w:tcPr>
            <w:tcW w:w="5149" w:type="dxa"/>
          </w:tcPr>
          <w:p w14:paraId="5E9AC9C6" w14:textId="77777777" w:rsidR="00B74662" w:rsidRPr="004268B2" w:rsidRDefault="00B74662" w:rsidP="00B74662">
            <w:pPr>
              <w:pStyle w:val="ListParagraph"/>
              <w:numPr>
                <w:ilvl w:val="0"/>
                <w:numId w:val="23"/>
              </w:numPr>
              <w:rPr>
                <w:rFonts w:ascii="Times New Roman" w:hAnsi="Times New Roman" w:cs="Times New Roman"/>
              </w:rPr>
            </w:pPr>
            <w:r w:rsidRPr="004268B2">
              <w:rPr>
                <w:rFonts w:ascii="Times New Roman" w:hAnsi="Times New Roman" w:cs="Times New Roman"/>
              </w:rPr>
              <w:t>It is unclear what action, if any, will need to be taken in order to update the incremental cost calculation if th</w:t>
            </w:r>
            <w:r>
              <w:rPr>
                <w:rFonts w:ascii="Times New Roman" w:hAnsi="Times New Roman" w:cs="Times New Roman"/>
              </w:rPr>
              <w:t>e underlying inputs change?</w:t>
            </w:r>
          </w:p>
          <w:p w14:paraId="769F4F92" w14:textId="733BA451" w:rsidR="00B74662" w:rsidRPr="004268B2" w:rsidRDefault="00B74662" w:rsidP="00B74662">
            <w:pPr>
              <w:pStyle w:val="ListParagraph"/>
              <w:numPr>
                <w:ilvl w:val="0"/>
                <w:numId w:val="23"/>
              </w:numPr>
              <w:rPr>
                <w:rFonts w:ascii="Times New Roman" w:hAnsi="Times New Roman" w:cs="Times New Roman"/>
              </w:rPr>
            </w:pPr>
            <w:r w:rsidRPr="004268B2">
              <w:rPr>
                <w:rFonts w:ascii="Times New Roman" w:hAnsi="Times New Roman" w:cs="Times New Roman"/>
              </w:rPr>
              <w:t xml:space="preserve">(2)(a)(i)(E):  If the eligible resource is a PPA, the rule should be clear that the life of the facility should be set equal to the </w:t>
            </w:r>
            <w:r>
              <w:rPr>
                <w:rFonts w:ascii="Times New Roman" w:hAnsi="Times New Roman" w:cs="Times New Roman"/>
              </w:rPr>
              <w:t>term of the PPA.</w:t>
            </w:r>
          </w:p>
        </w:tc>
        <w:tc>
          <w:tcPr>
            <w:tcW w:w="4736" w:type="dxa"/>
          </w:tcPr>
          <w:p w14:paraId="58BC99EF" w14:textId="3FEC8275" w:rsidR="00B74662" w:rsidRPr="004268B2" w:rsidRDefault="00B74662" w:rsidP="00B74662">
            <w:pPr>
              <w:rPr>
                <w:rFonts w:ascii="Times New Roman" w:hAnsi="Times New Roman" w:cs="Times New Roman"/>
              </w:rPr>
            </w:pPr>
            <w:r w:rsidRPr="004268B2">
              <w:rPr>
                <w:rFonts w:ascii="Times New Roman" w:hAnsi="Times New Roman" w:cs="Times New Roman"/>
              </w:rPr>
              <w:t>The Commission believes that the one-time nature of the incremental cost calculation means that underlying inputs do not change, and that no revisions to the rule are necessary to address Pacific Power’s first comment.  To address Pacific Power’s second comment, the Commission adopts the addition of “contract length” to the length of time over which the noneligible resource’s energy and capacity costs may be levelized.</w:t>
            </w:r>
          </w:p>
        </w:tc>
      </w:tr>
      <w:tr w:rsidR="003666FD" w:rsidRPr="004268B2" w14:paraId="1BF04336" w14:textId="77777777" w:rsidTr="008B3D4D">
        <w:trPr>
          <w:jc w:val="center"/>
        </w:trPr>
        <w:tc>
          <w:tcPr>
            <w:tcW w:w="1802" w:type="dxa"/>
          </w:tcPr>
          <w:p w14:paraId="4022F8F4" w14:textId="77777777" w:rsidR="00B74662" w:rsidRPr="004268B2" w:rsidRDefault="00B74662" w:rsidP="00B74662">
            <w:pPr>
              <w:rPr>
                <w:rFonts w:ascii="Times New Roman" w:hAnsi="Times New Roman" w:cs="Times New Roman"/>
                <w:b/>
              </w:rPr>
            </w:pPr>
            <w:r w:rsidRPr="004268B2">
              <w:rPr>
                <w:rFonts w:ascii="Times New Roman" w:hAnsi="Times New Roman" w:cs="Times New Roman"/>
                <w:b/>
              </w:rPr>
              <w:t>Incremental cost calculation</w:t>
            </w:r>
          </w:p>
          <w:p w14:paraId="5B48B8A6" w14:textId="18B575D2" w:rsidR="00B74662" w:rsidRPr="004268B2" w:rsidRDefault="00B74662" w:rsidP="00B74662">
            <w:pPr>
              <w:rPr>
                <w:rFonts w:ascii="Times New Roman" w:hAnsi="Times New Roman" w:cs="Times New Roman"/>
                <w:b/>
              </w:rPr>
            </w:pPr>
            <w:r w:rsidRPr="004268B2">
              <w:rPr>
                <w:rFonts w:ascii="Times New Roman" w:hAnsi="Times New Roman" w:cs="Times New Roman"/>
              </w:rPr>
              <w:t>WAC 480-109-210(2)(a)(i)</w:t>
            </w:r>
            <w:r>
              <w:rPr>
                <w:rFonts w:ascii="Times New Roman" w:hAnsi="Times New Roman" w:cs="Times New Roman"/>
              </w:rPr>
              <w:t>(F)</w:t>
            </w:r>
          </w:p>
        </w:tc>
        <w:tc>
          <w:tcPr>
            <w:tcW w:w="1377" w:type="dxa"/>
          </w:tcPr>
          <w:p w14:paraId="0FE099DD" w14:textId="53698F54" w:rsidR="00B74662" w:rsidRPr="004268B2" w:rsidRDefault="00FE4308" w:rsidP="00B74662">
            <w:pPr>
              <w:rPr>
                <w:rFonts w:ascii="Times New Roman" w:hAnsi="Times New Roman" w:cs="Times New Roman"/>
              </w:rPr>
            </w:pPr>
            <w:r>
              <w:rPr>
                <w:rFonts w:ascii="Times New Roman" w:hAnsi="Times New Roman" w:cs="Times New Roman"/>
              </w:rPr>
              <w:t>RN/NWEC</w:t>
            </w:r>
            <w:r w:rsidRPr="004268B2">
              <w:rPr>
                <w:rFonts w:ascii="Times New Roman" w:hAnsi="Times New Roman" w:cs="Times New Roman"/>
              </w:rPr>
              <w:t xml:space="preserve"> </w:t>
            </w:r>
          </w:p>
        </w:tc>
        <w:tc>
          <w:tcPr>
            <w:tcW w:w="5149" w:type="dxa"/>
          </w:tcPr>
          <w:p w14:paraId="6D9B3445" w14:textId="77777777" w:rsidR="00B74662" w:rsidRDefault="00B74662" w:rsidP="00B74662">
            <w:pPr>
              <w:pStyle w:val="ListParagraph"/>
              <w:numPr>
                <w:ilvl w:val="0"/>
                <w:numId w:val="23"/>
              </w:numPr>
              <w:rPr>
                <w:rFonts w:ascii="Times New Roman" w:hAnsi="Times New Roman" w:cs="Times New Roman"/>
              </w:rPr>
            </w:pPr>
            <w:r w:rsidRPr="004268B2">
              <w:rPr>
                <w:rFonts w:ascii="Times New Roman" w:hAnsi="Times New Roman" w:cs="Times New Roman"/>
              </w:rPr>
              <w:t xml:space="preserve">(a)(i)(F) should include a sentence stating that the end result of this calculation may be a negative number. </w:t>
            </w:r>
          </w:p>
          <w:p w14:paraId="367B79CB" w14:textId="7631386B" w:rsidR="00B74662" w:rsidRPr="00ED5FA9" w:rsidRDefault="00B74662" w:rsidP="00B74662">
            <w:pPr>
              <w:pStyle w:val="ListParagraph"/>
              <w:numPr>
                <w:ilvl w:val="0"/>
                <w:numId w:val="23"/>
              </w:numPr>
              <w:rPr>
                <w:rFonts w:ascii="Times New Roman" w:hAnsi="Times New Roman" w:cs="Times New Roman"/>
              </w:rPr>
            </w:pPr>
            <w:r w:rsidRPr="00ED5FA9">
              <w:rPr>
                <w:rFonts w:ascii="Times New Roman" w:hAnsi="Times New Roman" w:cs="Times New Roman"/>
              </w:rPr>
              <w:t>The proposed rule should provide for accounting of fuel price risk.</w:t>
            </w:r>
          </w:p>
        </w:tc>
        <w:tc>
          <w:tcPr>
            <w:tcW w:w="4736" w:type="dxa"/>
          </w:tcPr>
          <w:p w14:paraId="39FC37AA" w14:textId="284FE9B0" w:rsidR="00B74662" w:rsidRPr="004268B2" w:rsidRDefault="00B74662" w:rsidP="00B74662">
            <w:pPr>
              <w:rPr>
                <w:rFonts w:ascii="Times New Roman" w:hAnsi="Times New Roman" w:cs="Times New Roman"/>
              </w:rPr>
            </w:pPr>
            <w:r w:rsidRPr="004268B2">
              <w:rPr>
                <w:rFonts w:ascii="Times New Roman" w:hAnsi="Times New Roman" w:cs="Times New Roman"/>
              </w:rPr>
              <w:t xml:space="preserve">The Commission adopts language clarifying that the result of the incremental cost calculation may be a negative number.  The Commission believes that the issue of fuel price risk is not ripe for inclusion in the current rule. </w:t>
            </w:r>
          </w:p>
        </w:tc>
      </w:tr>
      <w:tr w:rsidR="003666FD" w:rsidRPr="004268B2" w14:paraId="334C72B3" w14:textId="77777777" w:rsidTr="008B3D4D">
        <w:trPr>
          <w:jc w:val="center"/>
        </w:trPr>
        <w:tc>
          <w:tcPr>
            <w:tcW w:w="1802" w:type="dxa"/>
          </w:tcPr>
          <w:p w14:paraId="1F7D4264" w14:textId="77777777" w:rsidR="00B74662" w:rsidRPr="004268B2" w:rsidRDefault="00B74662" w:rsidP="00B74662">
            <w:pPr>
              <w:rPr>
                <w:rFonts w:ascii="Times New Roman" w:hAnsi="Times New Roman" w:cs="Times New Roman"/>
                <w:b/>
              </w:rPr>
            </w:pPr>
            <w:r w:rsidRPr="004268B2">
              <w:rPr>
                <w:rFonts w:ascii="Times New Roman" w:hAnsi="Times New Roman" w:cs="Times New Roman"/>
                <w:b/>
              </w:rPr>
              <w:t>Incremental cost calculation</w:t>
            </w:r>
          </w:p>
          <w:p w14:paraId="11648C99" w14:textId="3E8F68AC" w:rsidR="00B74662" w:rsidRPr="004268B2" w:rsidRDefault="00B74662" w:rsidP="00B74662">
            <w:pPr>
              <w:rPr>
                <w:rFonts w:ascii="Times New Roman" w:hAnsi="Times New Roman" w:cs="Times New Roman"/>
                <w:b/>
              </w:rPr>
            </w:pPr>
            <w:r w:rsidRPr="004268B2">
              <w:rPr>
                <w:rFonts w:ascii="Times New Roman" w:hAnsi="Times New Roman" w:cs="Times New Roman"/>
              </w:rPr>
              <w:t>WAC 480-109-210(2)(a)(i)</w:t>
            </w:r>
            <w:r>
              <w:rPr>
                <w:rFonts w:ascii="Times New Roman" w:hAnsi="Times New Roman" w:cs="Times New Roman"/>
              </w:rPr>
              <w:t>(G)</w:t>
            </w:r>
          </w:p>
        </w:tc>
        <w:tc>
          <w:tcPr>
            <w:tcW w:w="1377" w:type="dxa"/>
          </w:tcPr>
          <w:p w14:paraId="59728812" w14:textId="7C3BBE8A" w:rsidR="00B74662" w:rsidRPr="004268B2" w:rsidRDefault="00B74662" w:rsidP="00B74662">
            <w:pPr>
              <w:rPr>
                <w:rFonts w:ascii="Times New Roman" w:hAnsi="Times New Roman" w:cs="Times New Roman"/>
              </w:rPr>
            </w:pPr>
            <w:r w:rsidRPr="004268B2">
              <w:rPr>
                <w:rFonts w:ascii="Times New Roman" w:hAnsi="Times New Roman" w:cs="Times New Roman"/>
              </w:rPr>
              <w:t>Avista</w:t>
            </w:r>
          </w:p>
        </w:tc>
        <w:tc>
          <w:tcPr>
            <w:tcW w:w="5149" w:type="dxa"/>
          </w:tcPr>
          <w:p w14:paraId="37B088CE" w14:textId="5B3E331D" w:rsidR="00B74662" w:rsidRPr="004268B2" w:rsidRDefault="00B74662" w:rsidP="00B74662">
            <w:pPr>
              <w:rPr>
                <w:rFonts w:ascii="Times New Roman" w:hAnsi="Times New Roman" w:cs="Times New Roman"/>
              </w:rPr>
            </w:pPr>
            <w:r w:rsidRPr="004268B2">
              <w:rPr>
                <w:rFonts w:ascii="Times New Roman" w:hAnsi="Times New Roman" w:cs="Times New Roman"/>
              </w:rPr>
              <w:t>Add: (G) Pre-Act Qualifying Resources.  Any qualifying resources acquired or committed to prior to November 2006 shall be attributed a cost of zero in the incremental cost calculation.</w:t>
            </w:r>
          </w:p>
          <w:p w14:paraId="19DB071D" w14:textId="77777777" w:rsidR="00B74662" w:rsidRPr="004268B2" w:rsidRDefault="00B74662" w:rsidP="00B74662">
            <w:pPr>
              <w:rPr>
                <w:rFonts w:ascii="Times New Roman" w:hAnsi="Times New Roman" w:cs="Times New Roman"/>
              </w:rPr>
            </w:pPr>
          </w:p>
        </w:tc>
        <w:tc>
          <w:tcPr>
            <w:tcW w:w="4736" w:type="dxa"/>
          </w:tcPr>
          <w:p w14:paraId="02AC9E95" w14:textId="05EEBC8A" w:rsidR="00B74662" w:rsidRPr="004268B2" w:rsidRDefault="00B74662" w:rsidP="00B74662">
            <w:pPr>
              <w:rPr>
                <w:rFonts w:ascii="Times New Roman" w:hAnsi="Times New Roman" w:cs="Times New Roman"/>
              </w:rPr>
            </w:pPr>
            <w:r w:rsidRPr="004268B2">
              <w:rPr>
                <w:rFonts w:ascii="Times New Roman" w:hAnsi="Times New Roman" w:cs="Times New Roman"/>
              </w:rPr>
              <w:t xml:space="preserve">The Commission adopts a new subsection in WAC 480-109-210(2)(a)(i)(G) to allow utilities to deem </w:t>
            </w:r>
            <w:r>
              <w:rPr>
                <w:rFonts w:ascii="Times New Roman" w:hAnsi="Times New Roman" w:cs="Times New Roman"/>
              </w:rPr>
              <w:t xml:space="preserve">the incremental cost of </w:t>
            </w:r>
            <w:r w:rsidRPr="004268B2">
              <w:rPr>
                <w:rFonts w:ascii="Times New Roman" w:hAnsi="Times New Roman" w:cs="Times New Roman"/>
              </w:rPr>
              <w:t>“legacy resources” as zero</w:t>
            </w:r>
            <w:r>
              <w:rPr>
                <w:rFonts w:ascii="Times New Roman" w:hAnsi="Times New Roman" w:cs="Times New Roman"/>
              </w:rPr>
              <w:t xml:space="preserve"> dollars</w:t>
            </w:r>
            <w:r w:rsidRPr="004268B2">
              <w:rPr>
                <w:rFonts w:ascii="Times New Roman" w:hAnsi="Times New Roman" w:cs="Times New Roman"/>
              </w:rPr>
              <w:t xml:space="preserve">.  </w:t>
            </w:r>
            <w:r w:rsidRPr="00FF57DF">
              <w:rPr>
                <w:rFonts w:ascii="Times New Roman" w:hAnsi="Times New Roman" w:cs="Times New Roman"/>
              </w:rPr>
              <w:t>As discussed in the adoption order</w:t>
            </w:r>
            <w:r w:rsidRPr="004268B2">
              <w:rPr>
                <w:rFonts w:ascii="Times New Roman" w:hAnsi="Times New Roman" w:cs="Times New Roman"/>
              </w:rPr>
              <w:t xml:space="preserve">, the small cost </w:t>
            </w:r>
            <w:r>
              <w:rPr>
                <w:rFonts w:ascii="Times New Roman" w:hAnsi="Times New Roman" w:cs="Times New Roman"/>
              </w:rPr>
              <w:t xml:space="preserve">of </w:t>
            </w:r>
            <w:r w:rsidRPr="004268B2">
              <w:rPr>
                <w:rFonts w:ascii="Times New Roman" w:hAnsi="Times New Roman" w:cs="Times New Roman"/>
              </w:rPr>
              <w:t xml:space="preserve">these facilities </w:t>
            </w:r>
            <w:r>
              <w:rPr>
                <w:rFonts w:ascii="Times New Roman" w:hAnsi="Times New Roman" w:cs="Times New Roman"/>
              </w:rPr>
              <w:t>does not</w:t>
            </w:r>
            <w:r w:rsidRPr="004268B2">
              <w:rPr>
                <w:rFonts w:ascii="Times New Roman" w:hAnsi="Times New Roman" w:cs="Times New Roman"/>
              </w:rPr>
              <w:t xml:space="preserve"> justif</w:t>
            </w:r>
            <w:r>
              <w:rPr>
                <w:rFonts w:ascii="Times New Roman" w:hAnsi="Times New Roman" w:cs="Times New Roman"/>
              </w:rPr>
              <w:t>y</w:t>
            </w:r>
            <w:r w:rsidRPr="004268B2">
              <w:rPr>
                <w:rFonts w:ascii="Times New Roman" w:hAnsi="Times New Roman" w:cs="Times New Roman"/>
              </w:rPr>
              <w:t xml:space="preserve"> the burden of estimating these costs.  </w:t>
            </w:r>
          </w:p>
        </w:tc>
      </w:tr>
      <w:tr w:rsidR="003666FD" w:rsidRPr="004268B2" w14:paraId="78BF9C87" w14:textId="77777777" w:rsidTr="008B3D4D">
        <w:trPr>
          <w:jc w:val="center"/>
        </w:trPr>
        <w:tc>
          <w:tcPr>
            <w:tcW w:w="1802" w:type="dxa"/>
          </w:tcPr>
          <w:p w14:paraId="78BF9C7C" w14:textId="602F83C7" w:rsidR="00B74662" w:rsidRPr="004268B2" w:rsidRDefault="00B74662" w:rsidP="00B74662">
            <w:pPr>
              <w:rPr>
                <w:rFonts w:ascii="Times New Roman" w:hAnsi="Times New Roman" w:cs="Times New Roman"/>
                <w:b/>
              </w:rPr>
            </w:pPr>
            <w:r w:rsidRPr="004268B2">
              <w:rPr>
                <w:rFonts w:ascii="Times New Roman" w:hAnsi="Times New Roman" w:cs="Times New Roman"/>
                <w:b/>
              </w:rPr>
              <w:t>Annual calculation of revenue requirement</w:t>
            </w:r>
          </w:p>
          <w:p w14:paraId="78BF9C7D"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t>WAC 480-109-210(2)(a)(ii)</w:t>
            </w:r>
          </w:p>
          <w:p w14:paraId="78BF9C7E" w14:textId="77777777" w:rsidR="00B74662" w:rsidRPr="004268B2" w:rsidRDefault="00B74662" w:rsidP="00B74662">
            <w:pPr>
              <w:rPr>
                <w:rFonts w:ascii="Times New Roman" w:hAnsi="Times New Roman" w:cs="Times New Roman"/>
              </w:rPr>
            </w:pPr>
          </w:p>
          <w:p w14:paraId="78BF9C7F" w14:textId="77777777" w:rsidR="00B74662" w:rsidRPr="004268B2" w:rsidRDefault="00B74662" w:rsidP="00B74662">
            <w:pPr>
              <w:rPr>
                <w:rFonts w:ascii="Times New Roman" w:hAnsi="Times New Roman" w:cs="Times New Roman"/>
              </w:rPr>
            </w:pPr>
          </w:p>
          <w:p w14:paraId="78BF9C80" w14:textId="77777777" w:rsidR="00B74662" w:rsidRPr="004268B2" w:rsidRDefault="00B74662" w:rsidP="00B74662">
            <w:pPr>
              <w:jc w:val="center"/>
              <w:rPr>
                <w:rFonts w:ascii="Times New Roman" w:hAnsi="Times New Roman" w:cs="Times New Roman"/>
              </w:rPr>
            </w:pPr>
          </w:p>
        </w:tc>
        <w:tc>
          <w:tcPr>
            <w:tcW w:w="1377" w:type="dxa"/>
          </w:tcPr>
          <w:p w14:paraId="78BF9C81" w14:textId="65DEE341" w:rsidR="00B74662" w:rsidRPr="004268B2" w:rsidRDefault="00B74662" w:rsidP="00B74662">
            <w:pPr>
              <w:rPr>
                <w:rFonts w:ascii="Times New Roman" w:hAnsi="Times New Roman" w:cs="Times New Roman"/>
              </w:rPr>
            </w:pPr>
            <w:r w:rsidRPr="004268B2">
              <w:rPr>
                <w:rFonts w:ascii="Times New Roman" w:hAnsi="Times New Roman" w:cs="Times New Roman"/>
              </w:rPr>
              <w:t>Avista</w:t>
            </w:r>
            <w:r w:rsidR="00E64CE3">
              <w:rPr>
                <w:rFonts w:ascii="Times New Roman" w:hAnsi="Times New Roman" w:cs="Times New Roman"/>
              </w:rPr>
              <w:t>,</w:t>
            </w:r>
          </w:p>
          <w:p w14:paraId="78BF9C82"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t>Snohomish PUD</w:t>
            </w:r>
          </w:p>
        </w:tc>
        <w:tc>
          <w:tcPr>
            <w:tcW w:w="5149" w:type="dxa"/>
          </w:tcPr>
          <w:p w14:paraId="78BF9C83" w14:textId="00976F1E" w:rsidR="00B74662" w:rsidRPr="004268B2" w:rsidRDefault="00B74662" w:rsidP="00B74662">
            <w:pPr>
              <w:pStyle w:val="ListParagraph"/>
              <w:numPr>
                <w:ilvl w:val="0"/>
                <w:numId w:val="24"/>
              </w:numPr>
              <w:rPr>
                <w:rFonts w:ascii="Times New Roman" w:hAnsi="Times New Roman" w:cs="Times New Roman"/>
                <w:i/>
              </w:rPr>
            </w:pPr>
            <w:r w:rsidRPr="004268B2">
              <w:rPr>
                <w:rFonts w:ascii="Times New Roman" w:hAnsi="Times New Roman" w:cs="Times New Roman"/>
              </w:rPr>
              <w:t>This calculation double-counts the energy value, as energy sales already are subtracted from each eligible resource’s cost in 480-109-210(2)(a)(i)(F).  (SnoPUD)</w:t>
            </w:r>
          </w:p>
          <w:p w14:paraId="11AE106A" w14:textId="77777777" w:rsidR="00B74662" w:rsidRDefault="006C3180" w:rsidP="00B74662">
            <w:pPr>
              <w:pStyle w:val="ListParagraph"/>
              <w:numPr>
                <w:ilvl w:val="0"/>
                <w:numId w:val="24"/>
              </w:numPr>
              <w:rPr>
                <w:rFonts w:ascii="Times New Roman" w:hAnsi="Times New Roman" w:cs="Times New Roman"/>
              </w:rPr>
            </w:pPr>
            <w:r w:rsidRPr="004268B2">
              <w:rPr>
                <w:rFonts w:ascii="Times New Roman" w:hAnsi="Times New Roman" w:cs="Times New Roman"/>
              </w:rPr>
              <w:t xml:space="preserve"> </w:t>
            </w:r>
            <w:r w:rsidR="00B74662" w:rsidRPr="004268B2">
              <w:rPr>
                <w:rFonts w:ascii="Times New Roman" w:hAnsi="Times New Roman" w:cs="Times New Roman"/>
              </w:rPr>
              <w:t>(C) “Subtract the revenue from the sales of any renewable energy credits and</w:t>
            </w:r>
            <w:r w:rsidR="00B74662" w:rsidRPr="004268B2">
              <w:rPr>
                <w:rFonts w:ascii="Times New Roman" w:hAnsi="Times New Roman" w:cs="Times New Roman"/>
                <w:u w:val="single"/>
              </w:rPr>
              <w:t>/or any revenue from the sale of non-power attributes associated with</w:t>
            </w:r>
            <w:r w:rsidR="00B74662" w:rsidRPr="004268B2">
              <w:rPr>
                <w:rFonts w:ascii="Times New Roman" w:hAnsi="Times New Roman" w:cs="Times New Roman"/>
              </w:rPr>
              <w:t xml:space="preserve"> energy from eligible facilities; and” (SnoPUD)</w:t>
            </w:r>
          </w:p>
          <w:p w14:paraId="78BF9C85" w14:textId="26DE3DAF" w:rsidR="006C3180" w:rsidRPr="004268B2" w:rsidRDefault="006C3180" w:rsidP="006C3180">
            <w:pPr>
              <w:pStyle w:val="ListParagraph"/>
              <w:numPr>
                <w:ilvl w:val="0"/>
                <w:numId w:val="24"/>
              </w:numPr>
              <w:rPr>
                <w:rFonts w:ascii="Times New Roman" w:hAnsi="Times New Roman" w:cs="Times New Roman"/>
              </w:rPr>
            </w:pPr>
            <w:r w:rsidRPr="006C3180">
              <w:rPr>
                <w:rFonts w:ascii="Times New Roman" w:hAnsi="Times New Roman" w:cs="Times New Roman"/>
              </w:rPr>
              <w:t>Avista</w:t>
            </w:r>
            <w:r>
              <w:rPr>
                <w:rFonts w:ascii="Times New Roman" w:hAnsi="Times New Roman" w:cs="Times New Roman"/>
              </w:rPr>
              <w:t xml:space="preserve"> </w:t>
            </w:r>
            <w:r w:rsidRPr="006C3180">
              <w:rPr>
                <w:rFonts w:ascii="Times New Roman" w:hAnsi="Times New Roman" w:cs="Times New Roman"/>
              </w:rPr>
              <w:t xml:space="preserve">withdrew </w:t>
            </w:r>
            <w:r>
              <w:rPr>
                <w:rFonts w:ascii="Times New Roman" w:hAnsi="Times New Roman" w:cs="Times New Roman"/>
              </w:rPr>
              <w:t xml:space="preserve">its </w:t>
            </w:r>
            <w:r w:rsidRPr="006C3180">
              <w:rPr>
                <w:rFonts w:ascii="Times New Roman" w:hAnsi="Times New Roman" w:cs="Times New Roman"/>
              </w:rPr>
              <w:t xml:space="preserve">comment </w:t>
            </w:r>
            <w:r>
              <w:rPr>
                <w:rFonts w:ascii="Times New Roman" w:hAnsi="Times New Roman" w:cs="Times New Roman"/>
              </w:rPr>
              <w:t xml:space="preserve">regarding this section </w:t>
            </w:r>
            <w:r w:rsidRPr="006C3180">
              <w:rPr>
                <w:rFonts w:ascii="Times New Roman" w:hAnsi="Times New Roman" w:cs="Times New Roman"/>
              </w:rPr>
              <w:t>via email on Nov. 6, 2014.</w:t>
            </w:r>
          </w:p>
        </w:tc>
        <w:tc>
          <w:tcPr>
            <w:tcW w:w="4736" w:type="dxa"/>
          </w:tcPr>
          <w:p w14:paraId="78BF9C86" w14:textId="241CD155" w:rsidR="00B74662" w:rsidRPr="004268B2" w:rsidRDefault="00B74662" w:rsidP="006C3180">
            <w:pPr>
              <w:rPr>
                <w:rFonts w:ascii="Times New Roman" w:hAnsi="Times New Roman" w:cs="Times New Roman"/>
              </w:rPr>
            </w:pPr>
            <w:r w:rsidRPr="004268B2">
              <w:rPr>
                <w:rFonts w:ascii="Times New Roman" w:hAnsi="Times New Roman" w:cs="Times New Roman"/>
              </w:rPr>
              <w:t>The Commission declines to adopt any changes to the annual calculation of the revenue requirement ratio.  The Commission disagrees that this calculation results in double-counting.</w:t>
            </w:r>
          </w:p>
        </w:tc>
      </w:tr>
      <w:tr w:rsidR="003666FD" w:rsidRPr="004268B2" w14:paraId="78BF9C90" w14:textId="77777777" w:rsidTr="008B3D4D">
        <w:trPr>
          <w:jc w:val="center"/>
        </w:trPr>
        <w:tc>
          <w:tcPr>
            <w:tcW w:w="1802" w:type="dxa"/>
          </w:tcPr>
          <w:p w14:paraId="78BF9C88" w14:textId="77777777" w:rsidR="00B74662" w:rsidRPr="004268B2" w:rsidRDefault="00B74662" w:rsidP="00B74662">
            <w:pPr>
              <w:rPr>
                <w:rFonts w:ascii="Times New Roman" w:hAnsi="Times New Roman" w:cs="Times New Roman"/>
                <w:b/>
              </w:rPr>
            </w:pPr>
            <w:r w:rsidRPr="004268B2">
              <w:rPr>
                <w:rFonts w:ascii="Times New Roman" w:hAnsi="Times New Roman" w:cs="Times New Roman"/>
                <w:b/>
              </w:rPr>
              <w:lastRenderedPageBreak/>
              <w:t>Alternative compliance</w:t>
            </w:r>
          </w:p>
          <w:p w14:paraId="78BF9C8A" w14:textId="7A1D57B4" w:rsidR="00B74662" w:rsidRPr="004268B2" w:rsidRDefault="00B74662" w:rsidP="00B74662">
            <w:pPr>
              <w:rPr>
                <w:rFonts w:ascii="Times New Roman" w:hAnsi="Times New Roman" w:cs="Times New Roman"/>
              </w:rPr>
            </w:pPr>
            <w:r w:rsidRPr="004268B2">
              <w:rPr>
                <w:rFonts w:ascii="Times New Roman" w:hAnsi="Times New Roman" w:cs="Times New Roman"/>
              </w:rPr>
              <w:t>WAC 480-109-210(2)(b)</w:t>
            </w:r>
          </w:p>
        </w:tc>
        <w:tc>
          <w:tcPr>
            <w:tcW w:w="1377" w:type="dxa"/>
          </w:tcPr>
          <w:p w14:paraId="78BF9C8B" w14:textId="32C1113A" w:rsidR="00B74662" w:rsidRPr="004268B2" w:rsidRDefault="00B74662" w:rsidP="00B74662">
            <w:pPr>
              <w:rPr>
                <w:rFonts w:ascii="Times New Roman" w:hAnsi="Times New Roman" w:cs="Times New Roman"/>
              </w:rPr>
            </w:pPr>
            <w:r w:rsidRPr="004268B2">
              <w:rPr>
                <w:rFonts w:ascii="Times New Roman" w:hAnsi="Times New Roman" w:cs="Times New Roman"/>
              </w:rPr>
              <w:t>NWEC</w:t>
            </w:r>
            <w:r w:rsidR="00E64CE3">
              <w:rPr>
                <w:rFonts w:ascii="Times New Roman" w:hAnsi="Times New Roman" w:cs="Times New Roman"/>
              </w:rPr>
              <w:t>,</w:t>
            </w:r>
          </w:p>
          <w:p w14:paraId="78BF9C8C" w14:textId="5A3B0B66" w:rsidR="00B74662" w:rsidRPr="004268B2" w:rsidRDefault="00FE4308" w:rsidP="00B74662">
            <w:pPr>
              <w:rPr>
                <w:rFonts w:ascii="Times New Roman" w:hAnsi="Times New Roman" w:cs="Times New Roman"/>
              </w:rPr>
            </w:pPr>
            <w:r>
              <w:rPr>
                <w:rFonts w:ascii="Times New Roman" w:hAnsi="Times New Roman" w:cs="Times New Roman"/>
              </w:rPr>
              <w:t>RN/NWEC</w:t>
            </w:r>
          </w:p>
        </w:tc>
        <w:tc>
          <w:tcPr>
            <w:tcW w:w="5149" w:type="dxa"/>
          </w:tcPr>
          <w:p w14:paraId="78BF9C8D" w14:textId="77777777" w:rsidR="00B74662" w:rsidRPr="004268B2" w:rsidRDefault="00B74662" w:rsidP="00B74662">
            <w:pPr>
              <w:pStyle w:val="ListParagraph"/>
              <w:numPr>
                <w:ilvl w:val="0"/>
                <w:numId w:val="17"/>
              </w:numPr>
              <w:rPr>
                <w:rFonts w:ascii="Times New Roman" w:hAnsi="Times New Roman" w:cs="Times New Roman"/>
                <w:u w:val="single"/>
              </w:rPr>
            </w:pPr>
            <w:r w:rsidRPr="004268B2">
              <w:rPr>
                <w:rFonts w:ascii="Times New Roman" w:hAnsi="Times New Roman" w:cs="Times New Roman"/>
              </w:rPr>
              <w:t xml:space="preserve">Revise: “…other information in its report to demonstrate that it qualifies to use </w:t>
            </w:r>
            <w:r w:rsidRPr="004268B2">
              <w:rPr>
                <w:rFonts w:ascii="Times New Roman" w:hAnsi="Times New Roman" w:cs="Times New Roman"/>
                <w:strike/>
              </w:rPr>
              <w:t xml:space="preserve">that </w:t>
            </w:r>
            <w:r w:rsidRPr="004268B2">
              <w:rPr>
                <w:rFonts w:ascii="Times New Roman" w:hAnsi="Times New Roman" w:cs="Times New Roman"/>
                <w:u w:val="single"/>
              </w:rPr>
              <w:t>the alternative compliance mechanism in WAC 480-109-220(1) or (3).”</w:t>
            </w:r>
            <w:r w:rsidRPr="004268B2">
              <w:rPr>
                <w:rFonts w:ascii="Times New Roman" w:hAnsi="Times New Roman" w:cs="Times New Roman"/>
              </w:rPr>
              <w:t xml:space="preserve"> (NWEC)</w:t>
            </w:r>
          </w:p>
          <w:p w14:paraId="78BF9C8E" w14:textId="17F6FA54" w:rsidR="00B74662" w:rsidRPr="004268B2" w:rsidRDefault="00B74662" w:rsidP="00B74662">
            <w:pPr>
              <w:pStyle w:val="ListParagraph"/>
              <w:numPr>
                <w:ilvl w:val="0"/>
                <w:numId w:val="17"/>
              </w:numPr>
              <w:rPr>
                <w:rFonts w:ascii="Times New Roman" w:hAnsi="Times New Roman" w:cs="Times New Roman"/>
              </w:rPr>
            </w:pPr>
            <w:r w:rsidRPr="004268B2">
              <w:rPr>
                <w:rFonts w:ascii="Times New Roman" w:hAnsi="Times New Roman" w:cs="Times New Roman"/>
              </w:rPr>
              <w:t>This clarifies that the alternative compliance mechanisms may be used to lessen, but not eliminate the requirement to deliver renewable energy and/or retire RECs on behalf of customers. (</w:t>
            </w:r>
            <w:r w:rsidR="00C70204">
              <w:rPr>
                <w:rFonts w:ascii="Times New Roman" w:hAnsi="Times New Roman" w:cs="Times New Roman"/>
              </w:rPr>
              <w:t>RN/NWEC</w:t>
            </w:r>
            <w:r w:rsidRPr="004268B2">
              <w:rPr>
                <w:rFonts w:ascii="Times New Roman" w:hAnsi="Times New Roman" w:cs="Times New Roman"/>
              </w:rPr>
              <w:t>)</w:t>
            </w:r>
          </w:p>
        </w:tc>
        <w:tc>
          <w:tcPr>
            <w:tcW w:w="4736" w:type="dxa"/>
          </w:tcPr>
          <w:p w14:paraId="78BF9C8F" w14:textId="56CAE595" w:rsidR="00B74662" w:rsidRPr="004268B2" w:rsidRDefault="00B74662" w:rsidP="001E1AF8">
            <w:pPr>
              <w:rPr>
                <w:rFonts w:ascii="Times New Roman" w:hAnsi="Times New Roman" w:cs="Times New Roman"/>
              </w:rPr>
            </w:pPr>
            <w:r>
              <w:rPr>
                <w:rFonts w:ascii="Times New Roman" w:hAnsi="Times New Roman" w:cs="Times New Roman"/>
              </w:rPr>
              <w:t>The proposed rule clearly communicates the concepts in NWEC’s revision to 210(2)(b), so w</w:t>
            </w:r>
            <w:r w:rsidR="001E1AF8">
              <w:rPr>
                <w:rFonts w:ascii="Times New Roman" w:hAnsi="Times New Roman" w:cs="Times New Roman"/>
              </w:rPr>
              <w:t>e decline to make this change.</w:t>
            </w:r>
          </w:p>
        </w:tc>
      </w:tr>
      <w:tr w:rsidR="003666FD" w:rsidRPr="004268B2" w14:paraId="78BF9C96" w14:textId="77777777" w:rsidTr="008B3D4D">
        <w:trPr>
          <w:jc w:val="center"/>
        </w:trPr>
        <w:tc>
          <w:tcPr>
            <w:tcW w:w="1802" w:type="dxa"/>
          </w:tcPr>
          <w:p w14:paraId="78BF9C91" w14:textId="30D216ED" w:rsidR="00B74662" w:rsidRPr="004268B2" w:rsidRDefault="00B74662" w:rsidP="00B74662">
            <w:pPr>
              <w:rPr>
                <w:rFonts w:ascii="Times New Roman" w:hAnsi="Times New Roman" w:cs="Times New Roman"/>
                <w:b/>
              </w:rPr>
            </w:pPr>
            <w:r w:rsidRPr="004268B2">
              <w:rPr>
                <w:rFonts w:ascii="Times New Roman" w:hAnsi="Times New Roman" w:cs="Times New Roman"/>
                <w:b/>
              </w:rPr>
              <w:t>Eligible resources</w:t>
            </w:r>
          </w:p>
          <w:p w14:paraId="78BF9C92"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t>WAC 480-109-210(2)(d)</w:t>
            </w:r>
          </w:p>
        </w:tc>
        <w:tc>
          <w:tcPr>
            <w:tcW w:w="1377" w:type="dxa"/>
          </w:tcPr>
          <w:p w14:paraId="78BF9C93"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t>PSE</w:t>
            </w:r>
          </w:p>
        </w:tc>
        <w:tc>
          <w:tcPr>
            <w:tcW w:w="5149" w:type="dxa"/>
          </w:tcPr>
          <w:p w14:paraId="78BF9C94" w14:textId="50CF5AF7" w:rsidR="00B74662" w:rsidRPr="004268B2" w:rsidRDefault="00B74662" w:rsidP="00B74662">
            <w:pPr>
              <w:rPr>
                <w:rFonts w:ascii="Times New Roman" w:hAnsi="Times New Roman" w:cs="Times New Roman"/>
              </w:rPr>
            </w:pPr>
            <w:r w:rsidRPr="004268B2">
              <w:rPr>
                <w:rFonts w:ascii="Times New Roman" w:hAnsi="Times New Roman" w:cs="Times New Roman"/>
              </w:rPr>
              <w:t>Delete section.  The purpose of the annual report is to report what resources the utility used to comply in a past target year.  It is not necessary to list all eligible renewable resources.  Major resources will go through the ratemaking process first before they are used for compliance.</w:t>
            </w:r>
          </w:p>
        </w:tc>
        <w:tc>
          <w:tcPr>
            <w:tcW w:w="4736" w:type="dxa"/>
          </w:tcPr>
          <w:p w14:paraId="78BF9C95" w14:textId="1E2D60F0" w:rsidR="00B74662" w:rsidRPr="004268B2" w:rsidRDefault="00B74662" w:rsidP="00B74662">
            <w:pPr>
              <w:rPr>
                <w:rFonts w:ascii="Times New Roman" w:hAnsi="Times New Roman" w:cs="Times New Roman"/>
              </w:rPr>
            </w:pPr>
            <w:r w:rsidRPr="004268B2">
              <w:rPr>
                <w:rFonts w:ascii="Times New Roman" w:hAnsi="Times New Roman" w:cs="Times New Roman"/>
              </w:rPr>
              <w:t>The Commission declines to delete this subsection, which is consistent with Commission orders in Dockets UE-120802 and UE-131072.</w:t>
            </w:r>
          </w:p>
        </w:tc>
      </w:tr>
      <w:tr w:rsidR="003666FD" w:rsidRPr="004268B2" w14:paraId="78BF9C9D" w14:textId="77777777" w:rsidTr="008B3D4D">
        <w:trPr>
          <w:jc w:val="center"/>
        </w:trPr>
        <w:tc>
          <w:tcPr>
            <w:tcW w:w="1802" w:type="dxa"/>
          </w:tcPr>
          <w:p w14:paraId="78BF9C97" w14:textId="77777777" w:rsidR="00B74662" w:rsidRPr="004268B2" w:rsidRDefault="00B74662" w:rsidP="00B74662">
            <w:pPr>
              <w:rPr>
                <w:rFonts w:ascii="Times New Roman" w:hAnsi="Times New Roman" w:cs="Times New Roman"/>
                <w:b/>
              </w:rPr>
            </w:pPr>
            <w:r w:rsidRPr="004268B2">
              <w:rPr>
                <w:rFonts w:ascii="Times New Roman" w:hAnsi="Times New Roman" w:cs="Times New Roman"/>
                <w:b/>
              </w:rPr>
              <w:t>Multistate allocations</w:t>
            </w:r>
          </w:p>
          <w:p w14:paraId="78BF9C98"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t>WAC 480-109-210(2)(e)</w:t>
            </w:r>
          </w:p>
        </w:tc>
        <w:tc>
          <w:tcPr>
            <w:tcW w:w="1377" w:type="dxa"/>
          </w:tcPr>
          <w:p w14:paraId="78BF9C9A" w14:textId="46B19712" w:rsidR="00B74662" w:rsidRPr="004268B2" w:rsidRDefault="00FE4308" w:rsidP="00B74662">
            <w:pPr>
              <w:rPr>
                <w:rFonts w:ascii="Times New Roman" w:hAnsi="Times New Roman" w:cs="Times New Roman"/>
              </w:rPr>
            </w:pPr>
            <w:r>
              <w:rPr>
                <w:rFonts w:ascii="Times New Roman" w:hAnsi="Times New Roman" w:cs="Times New Roman"/>
              </w:rPr>
              <w:t>RN/NWEC</w:t>
            </w:r>
          </w:p>
        </w:tc>
        <w:tc>
          <w:tcPr>
            <w:tcW w:w="5149" w:type="dxa"/>
          </w:tcPr>
          <w:p w14:paraId="78BF9C9B" w14:textId="36B8EA62" w:rsidR="00B74662" w:rsidRPr="004268B2" w:rsidRDefault="00B74662" w:rsidP="00B74662">
            <w:pPr>
              <w:rPr>
                <w:rFonts w:ascii="Times New Roman" w:hAnsi="Times New Roman" w:cs="Times New Roman"/>
              </w:rPr>
            </w:pPr>
            <w:r w:rsidRPr="004268B2">
              <w:rPr>
                <w:rFonts w:ascii="Times New Roman" w:hAnsi="Times New Roman" w:cs="Times New Roman"/>
              </w:rPr>
              <w:t>NWEC and RN support.  Ideally, this provision could also direct the utility to ensure that any fuel mix disclosure in the impacted states reflects the proper allocation of the eligible renewable resource based on cost allocation to each state.</w:t>
            </w:r>
          </w:p>
        </w:tc>
        <w:tc>
          <w:tcPr>
            <w:tcW w:w="4736" w:type="dxa"/>
          </w:tcPr>
          <w:p w14:paraId="78BF9C9C" w14:textId="7D68C88B" w:rsidR="00B74662" w:rsidRPr="004268B2" w:rsidRDefault="00B74662" w:rsidP="00B74662">
            <w:pPr>
              <w:rPr>
                <w:rFonts w:ascii="Times New Roman" w:hAnsi="Times New Roman" w:cs="Times New Roman"/>
              </w:rPr>
            </w:pPr>
            <w:r w:rsidRPr="004268B2">
              <w:rPr>
                <w:rFonts w:ascii="Times New Roman" w:hAnsi="Times New Roman" w:cs="Times New Roman"/>
              </w:rPr>
              <w:t xml:space="preserve">The Commission adopts the use of “certificate” throughout this section, consistent with the definition in WAC 480-109-060(3).  The Commission declines to adopt rules regarding fuel mix disclosure, which is reported to the Department of Commerce under RCW 19.29A.060. </w:t>
            </w:r>
          </w:p>
        </w:tc>
      </w:tr>
      <w:tr w:rsidR="003666FD" w:rsidRPr="004268B2" w14:paraId="78BF9CA5" w14:textId="77777777" w:rsidTr="008B3D4D">
        <w:trPr>
          <w:jc w:val="center"/>
        </w:trPr>
        <w:tc>
          <w:tcPr>
            <w:tcW w:w="1802" w:type="dxa"/>
            <w:vMerge w:val="restart"/>
          </w:tcPr>
          <w:p w14:paraId="78BF9C9E" w14:textId="3E209AD4" w:rsidR="00B74662" w:rsidRPr="004268B2" w:rsidRDefault="00B74662" w:rsidP="00B74662">
            <w:pPr>
              <w:rPr>
                <w:rFonts w:ascii="Times New Roman" w:hAnsi="Times New Roman" w:cs="Times New Roman"/>
                <w:b/>
              </w:rPr>
            </w:pPr>
            <w:r>
              <w:rPr>
                <w:rFonts w:ascii="Times New Roman" w:hAnsi="Times New Roman" w:cs="Times New Roman"/>
                <w:b/>
              </w:rPr>
              <w:t xml:space="preserve">Certificate </w:t>
            </w:r>
            <w:r w:rsidRPr="004268B2">
              <w:rPr>
                <w:rFonts w:ascii="Times New Roman" w:hAnsi="Times New Roman" w:cs="Times New Roman"/>
                <w:b/>
              </w:rPr>
              <w:t>Sales</w:t>
            </w:r>
          </w:p>
          <w:p w14:paraId="78BF9C9F"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t>WAC 480-109-210(2)(f)</w:t>
            </w:r>
          </w:p>
        </w:tc>
        <w:tc>
          <w:tcPr>
            <w:tcW w:w="1377" w:type="dxa"/>
          </w:tcPr>
          <w:p w14:paraId="78BF9CA1" w14:textId="0660461A" w:rsidR="00B74662" w:rsidRPr="004268B2" w:rsidRDefault="00B74662" w:rsidP="00B74662">
            <w:pPr>
              <w:rPr>
                <w:rFonts w:ascii="Times New Roman" w:hAnsi="Times New Roman" w:cs="Times New Roman"/>
              </w:rPr>
            </w:pPr>
            <w:r w:rsidRPr="004268B2">
              <w:rPr>
                <w:rFonts w:ascii="Times New Roman" w:hAnsi="Times New Roman" w:cs="Times New Roman"/>
              </w:rPr>
              <w:t>PSE</w:t>
            </w:r>
          </w:p>
        </w:tc>
        <w:tc>
          <w:tcPr>
            <w:tcW w:w="5149" w:type="dxa"/>
          </w:tcPr>
          <w:p w14:paraId="78BF9CA3" w14:textId="6F5FC781" w:rsidR="00B74662" w:rsidRPr="004268B2" w:rsidRDefault="00B74662" w:rsidP="00B74662">
            <w:pPr>
              <w:rPr>
                <w:rFonts w:ascii="Times New Roman" w:hAnsi="Times New Roman" w:cs="Times New Roman"/>
              </w:rPr>
            </w:pPr>
            <w:r w:rsidRPr="004268B2">
              <w:rPr>
                <w:rFonts w:ascii="Times New Roman" w:hAnsi="Times New Roman" w:cs="Times New Roman"/>
              </w:rPr>
              <w:t xml:space="preserve">Delete section.  The law does not require that a utility disclose this proprietary and confidential information.  The proceeds from REC sales are already handled through an accounting petition. </w:t>
            </w:r>
          </w:p>
        </w:tc>
        <w:tc>
          <w:tcPr>
            <w:tcW w:w="4736" w:type="dxa"/>
          </w:tcPr>
          <w:p w14:paraId="78BF9CA4" w14:textId="2A54817C" w:rsidR="00B74662" w:rsidRPr="004268B2" w:rsidRDefault="00B74662" w:rsidP="00786037">
            <w:pPr>
              <w:rPr>
                <w:rFonts w:ascii="Times New Roman" w:hAnsi="Times New Roman" w:cs="Times New Roman"/>
              </w:rPr>
            </w:pPr>
            <w:r w:rsidRPr="004268B2">
              <w:rPr>
                <w:rFonts w:ascii="Times New Roman" w:hAnsi="Times New Roman" w:cs="Times New Roman"/>
              </w:rPr>
              <w:t>The Commission declines to delete this section.  The proposed rule does not require utilities to disclose confidential information.  A utility may file this information confidentially under RCW 80.04.095.</w:t>
            </w:r>
            <w:r w:rsidR="00FF57DF">
              <w:rPr>
                <w:rFonts w:ascii="Times New Roman" w:hAnsi="Times New Roman" w:cs="Times New Roman"/>
              </w:rPr>
              <w:t xml:space="preserve"> </w:t>
            </w:r>
          </w:p>
        </w:tc>
      </w:tr>
      <w:tr w:rsidR="003666FD" w:rsidRPr="004268B2" w14:paraId="460B3D57" w14:textId="77777777" w:rsidTr="008B3D4D">
        <w:trPr>
          <w:jc w:val="center"/>
        </w:trPr>
        <w:tc>
          <w:tcPr>
            <w:tcW w:w="1802" w:type="dxa"/>
            <w:vMerge/>
          </w:tcPr>
          <w:p w14:paraId="5D656995" w14:textId="77777777" w:rsidR="00B74662" w:rsidRPr="004268B2" w:rsidRDefault="00B74662" w:rsidP="00B74662">
            <w:pPr>
              <w:rPr>
                <w:rFonts w:ascii="Times New Roman" w:hAnsi="Times New Roman" w:cs="Times New Roman"/>
                <w:b/>
              </w:rPr>
            </w:pPr>
          </w:p>
        </w:tc>
        <w:tc>
          <w:tcPr>
            <w:tcW w:w="1377" w:type="dxa"/>
          </w:tcPr>
          <w:p w14:paraId="169065C7" w14:textId="231B20E6" w:rsidR="00B74662" w:rsidRPr="004268B2" w:rsidRDefault="00B74662" w:rsidP="00B74662">
            <w:pPr>
              <w:rPr>
                <w:rFonts w:ascii="Times New Roman" w:hAnsi="Times New Roman" w:cs="Times New Roman"/>
              </w:rPr>
            </w:pPr>
            <w:r w:rsidRPr="004268B2">
              <w:rPr>
                <w:rFonts w:ascii="Times New Roman" w:hAnsi="Times New Roman" w:cs="Times New Roman"/>
              </w:rPr>
              <w:t>Pacific Power</w:t>
            </w:r>
          </w:p>
        </w:tc>
        <w:tc>
          <w:tcPr>
            <w:tcW w:w="5149" w:type="dxa"/>
          </w:tcPr>
          <w:p w14:paraId="3C9D454E" w14:textId="71108DC1" w:rsidR="00B74662" w:rsidRPr="004268B2" w:rsidRDefault="00B74662" w:rsidP="00B74662">
            <w:pPr>
              <w:rPr>
                <w:rFonts w:ascii="Times New Roman" w:hAnsi="Times New Roman" w:cs="Times New Roman"/>
              </w:rPr>
            </w:pPr>
            <w:r w:rsidRPr="004268B2">
              <w:rPr>
                <w:rFonts w:ascii="Times New Roman" w:hAnsi="Times New Roman" w:cs="Times New Roman"/>
              </w:rPr>
              <w:t>The requirements should specify that they only apply to the sales of RECs allocated to Washington.  Reporting all REC sales would be a significant administrative burden.</w:t>
            </w:r>
          </w:p>
        </w:tc>
        <w:tc>
          <w:tcPr>
            <w:tcW w:w="4736" w:type="dxa"/>
          </w:tcPr>
          <w:p w14:paraId="78789C25" w14:textId="44D1E8A5" w:rsidR="00B74662" w:rsidRPr="004268B2" w:rsidRDefault="00B74662" w:rsidP="00B74662">
            <w:pPr>
              <w:rPr>
                <w:rFonts w:ascii="Times New Roman" w:hAnsi="Times New Roman" w:cs="Times New Roman"/>
              </w:rPr>
            </w:pPr>
            <w:r w:rsidRPr="004268B2">
              <w:rPr>
                <w:rFonts w:ascii="Times New Roman" w:hAnsi="Times New Roman" w:cs="Times New Roman"/>
              </w:rPr>
              <w:t>The Commission agrees that this rule applies only to the sales of RECs allocated to Washington.  The Commission adopts clarifying language in 480-109-210(2)(f).</w:t>
            </w:r>
          </w:p>
        </w:tc>
      </w:tr>
      <w:tr w:rsidR="003666FD" w:rsidRPr="004268B2" w14:paraId="78BF9CAB" w14:textId="77777777" w:rsidTr="008B3D4D">
        <w:trPr>
          <w:jc w:val="center"/>
        </w:trPr>
        <w:tc>
          <w:tcPr>
            <w:tcW w:w="1802" w:type="dxa"/>
          </w:tcPr>
          <w:p w14:paraId="78BF9CA6" w14:textId="77777777" w:rsidR="00B74662" w:rsidRPr="004268B2" w:rsidRDefault="00B74662" w:rsidP="00B74662">
            <w:pPr>
              <w:rPr>
                <w:rFonts w:ascii="Times New Roman" w:hAnsi="Times New Roman" w:cs="Times New Roman"/>
                <w:b/>
              </w:rPr>
            </w:pPr>
            <w:r w:rsidRPr="004268B2">
              <w:rPr>
                <w:rFonts w:ascii="Times New Roman" w:hAnsi="Times New Roman" w:cs="Times New Roman"/>
                <w:b/>
              </w:rPr>
              <w:t>Report review</w:t>
            </w:r>
          </w:p>
          <w:p w14:paraId="17BC0E8C" w14:textId="16DAF939" w:rsidR="00B74662" w:rsidRPr="004268B2" w:rsidRDefault="00B74662" w:rsidP="00B74662">
            <w:pPr>
              <w:rPr>
                <w:rFonts w:ascii="Times New Roman" w:hAnsi="Times New Roman" w:cs="Times New Roman"/>
              </w:rPr>
            </w:pPr>
            <w:r w:rsidRPr="004268B2">
              <w:rPr>
                <w:rFonts w:ascii="Times New Roman" w:hAnsi="Times New Roman" w:cs="Times New Roman"/>
              </w:rPr>
              <w:t>WAC 480-109-210(4)</w:t>
            </w:r>
          </w:p>
          <w:p w14:paraId="78BF9CA7" w14:textId="622C7D25" w:rsidR="00B74662" w:rsidRPr="004268B2" w:rsidRDefault="00B74662" w:rsidP="00B74662">
            <w:pPr>
              <w:rPr>
                <w:rFonts w:ascii="Times New Roman" w:hAnsi="Times New Roman" w:cs="Times New Roman"/>
              </w:rPr>
            </w:pPr>
            <w:r w:rsidRPr="004268B2">
              <w:rPr>
                <w:rFonts w:ascii="Times New Roman" w:hAnsi="Times New Roman" w:cs="Times New Roman"/>
              </w:rPr>
              <w:lastRenderedPageBreak/>
              <w:t>See also 480-109-120(6)</w:t>
            </w:r>
          </w:p>
        </w:tc>
        <w:tc>
          <w:tcPr>
            <w:tcW w:w="1377" w:type="dxa"/>
          </w:tcPr>
          <w:p w14:paraId="78BF9CA8"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lastRenderedPageBreak/>
              <w:t>Avista</w:t>
            </w:r>
          </w:p>
        </w:tc>
        <w:tc>
          <w:tcPr>
            <w:tcW w:w="5149" w:type="dxa"/>
          </w:tcPr>
          <w:p w14:paraId="78BF9CA9" w14:textId="60D5AFD7" w:rsidR="00B74662" w:rsidRPr="004268B2" w:rsidRDefault="00B74662" w:rsidP="00B74662">
            <w:pPr>
              <w:rPr>
                <w:rFonts w:ascii="Times New Roman" w:hAnsi="Times New Roman" w:cs="Times New Roman"/>
              </w:rPr>
            </w:pPr>
            <w:r w:rsidRPr="004268B2">
              <w:rPr>
                <w:rFonts w:ascii="Times New Roman" w:hAnsi="Times New Roman" w:cs="Times New Roman"/>
              </w:rPr>
              <w:t xml:space="preserve">Limit the posting of historical </w:t>
            </w:r>
            <w:r>
              <w:rPr>
                <w:rFonts w:ascii="Times New Roman" w:hAnsi="Times New Roman" w:cs="Times New Roman"/>
              </w:rPr>
              <w:t xml:space="preserve">RPS and conservation </w:t>
            </w:r>
            <w:r w:rsidRPr="004268B2">
              <w:rPr>
                <w:rFonts w:ascii="Times New Roman" w:hAnsi="Times New Roman" w:cs="Times New Roman"/>
              </w:rPr>
              <w:t>reports on</w:t>
            </w:r>
            <w:r>
              <w:rPr>
                <w:rFonts w:ascii="Times New Roman" w:hAnsi="Times New Roman" w:cs="Times New Roman"/>
              </w:rPr>
              <w:t xml:space="preserve"> utility websites to ten years.</w:t>
            </w:r>
          </w:p>
        </w:tc>
        <w:tc>
          <w:tcPr>
            <w:tcW w:w="4736" w:type="dxa"/>
          </w:tcPr>
          <w:p w14:paraId="78BF9CAA" w14:textId="1993FD21" w:rsidR="00B74662" w:rsidRPr="004268B2" w:rsidRDefault="00B74662" w:rsidP="00B74662">
            <w:pPr>
              <w:rPr>
                <w:rFonts w:ascii="Times New Roman" w:hAnsi="Times New Roman" w:cs="Times New Roman"/>
              </w:rPr>
            </w:pPr>
            <w:r w:rsidRPr="004268B2">
              <w:rPr>
                <w:rFonts w:ascii="Times New Roman" w:hAnsi="Times New Roman" w:cs="Times New Roman"/>
              </w:rPr>
              <w:t xml:space="preserve">The Commission declines to limit the posting of historical reports.  All reports should be available for public review.  The Commission adopts changes to this section to require that reports be </w:t>
            </w:r>
            <w:r w:rsidRPr="004268B2">
              <w:rPr>
                <w:rFonts w:ascii="Times New Roman" w:hAnsi="Times New Roman" w:cs="Times New Roman"/>
              </w:rPr>
              <w:lastRenderedPageBreak/>
              <w:t>posted within 30 days of commission order approving the reports, and provided to any person upon request.</w:t>
            </w:r>
          </w:p>
        </w:tc>
      </w:tr>
      <w:tr w:rsidR="003666FD" w:rsidRPr="004268B2" w14:paraId="78BF9CBC" w14:textId="77777777" w:rsidTr="008B3D4D">
        <w:trPr>
          <w:jc w:val="center"/>
        </w:trPr>
        <w:tc>
          <w:tcPr>
            <w:tcW w:w="1802" w:type="dxa"/>
            <w:vMerge w:val="restart"/>
          </w:tcPr>
          <w:p w14:paraId="78BF9CAC" w14:textId="77777777" w:rsidR="00B74662" w:rsidRPr="004268B2" w:rsidRDefault="00B74662" w:rsidP="00B74662">
            <w:pPr>
              <w:rPr>
                <w:rFonts w:ascii="Times New Roman" w:hAnsi="Times New Roman" w:cs="Times New Roman"/>
                <w:b/>
              </w:rPr>
            </w:pPr>
            <w:r w:rsidRPr="004268B2">
              <w:rPr>
                <w:rFonts w:ascii="Times New Roman" w:hAnsi="Times New Roman" w:cs="Times New Roman"/>
                <w:b/>
              </w:rPr>
              <w:lastRenderedPageBreak/>
              <w:t>Energy and emissions intensity metrics</w:t>
            </w:r>
          </w:p>
          <w:p w14:paraId="78BF9CAD"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t>WAC 480-109-300</w:t>
            </w:r>
          </w:p>
        </w:tc>
        <w:tc>
          <w:tcPr>
            <w:tcW w:w="1377" w:type="dxa"/>
          </w:tcPr>
          <w:p w14:paraId="78BF9CAE" w14:textId="2D11404B" w:rsidR="00B74662" w:rsidRPr="004268B2" w:rsidRDefault="00B74662" w:rsidP="00B74662">
            <w:pPr>
              <w:rPr>
                <w:rFonts w:ascii="Times New Roman" w:hAnsi="Times New Roman" w:cs="Times New Roman"/>
              </w:rPr>
            </w:pPr>
            <w:r w:rsidRPr="004268B2">
              <w:rPr>
                <w:rFonts w:ascii="Times New Roman" w:hAnsi="Times New Roman" w:cs="Times New Roman"/>
              </w:rPr>
              <w:t>PSE</w:t>
            </w:r>
            <w:r w:rsidR="00C12FD3">
              <w:rPr>
                <w:rFonts w:ascii="Times New Roman" w:hAnsi="Times New Roman" w:cs="Times New Roman"/>
              </w:rPr>
              <w:t>,</w:t>
            </w:r>
          </w:p>
          <w:p w14:paraId="793A739A" w14:textId="453C157D" w:rsidR="00B74662" w:rsidRPr="004268B2" w:rsidRDefault="00B74662" w:rsidP="00B74662">
            <w:pPr>
              <w:rPr>
                <w:rFonts w:ascii="Times New Roman" w:hAnsi="Times New Roman" w:cs="Times New Roman"/>
              </w:rPr>
            </w:pPr>
            <w:r w:rsidRPr="004268B2">
              <w:rPr>
                <w:rFonts w:ascii="Times New Roman" w:hAnsi="Times New Roman" w:cs="Times New Roman"/>
              </w:rPr>
              <w:t>Pacific Power</w:t>
            </w:r>
            <w:r w:rsidR="00C12FD3">
              <w:rPr>
                <w:rFonts w:ascii="Times New Roman" w:hAnsi="Times New Roman" w:cs="Times New Roman"/>
              </w:rPr>
              <w:t>,</w:t>
            </w:r>
          </w:p>
          <w:p w14:paraId="78BF9CB2" w14:textId="746718C2" w:rsidR="00B74662" w:rsidRPr="004268B2" w:rsidRDefault="00B74662" w:rsidP="00B74662">
            <w:pPr>
              <w:rPr>
                <w:rFonts w:ascii="Times New Roman" w:hAnsi="Times New Roman" w:cs="Times New Roman"/>
              </w:rPr>
            </w:pPr>
            <w:r w:rsidRPr="004268B2">
              <w:rPr>
                <w:rFonts w:ascii="Times New Roman" w:hAnsi="Times New Roman" w:cs="Times New Roman"/>
              </w:rPr>
              <w:t>Avista</w:t>
            </w:r>
          </w:p>
        </w:tc>
        <w:tc>
          <w:tcPr>
            <w:tcW w:w="5149" w:type="dxa"/>
          </w:tcPr>
          <w:p w14:paraId="78BF9CB3" w14:textId="77777777" w:rsidR="00B74662" w:rsidRPr="004268B2" w:rsidRDefault="00B74662" w:rsidP="00B74662">
            <w:pPr>
              <w:pStyle w:val="ListParagraph"/>
              <w:numPr>
                <w:ilvl w:val="0"/>
                <w:numId w:val="16"/>
              </w:numPr>
              <w:rPr>
                <w:rFonts w:ascii="Times New Roman" w:hAnsi="Times New Roman" w:cs="Times New Roman"/>
              </w:rPr>
            </w:pPr>
            <w:r w:rsidRPr="004268B2">
              <w:rPr>
                <w:rFonts w:ascii="Times New Roman" w:hAnsi="Times New Roman" w:cs="Times New Roman"/>
              </w:rPr>
              <w:t>Delete section.  This data is already available, and these reporting requirements are not specifically enumerated in RCW 19.285.  The “unknown generation sources” section lacks any established methodology.  There are no benchmarks against which to compare.  What will happen with the data? (PSE)</w:t>
            </w:r>
          </w:p>
          <w:p w14:paraId="6D5FB425" w14:textId="0BB95510" w:rsidR="00B74662" w:rsidRPr="004268B2" w:rsidRDefault="00B74662" w:rsidP="00B74662">
            <w:pPr>
              <w:pStyle w:val="ListParagraph"/>
              <w:numPr>
                <w:ilvl w:val="0"/>
                <w:numId w:val="16"/>
              </w:numPr>
              <w:rPr>
                <w:rFonts w:ascii="Times New Roman" w:hAnsi="Times New Roman" w:cs="Times New Roman"/>
              </w:rPr>
            </w:pPr>
            <w:r w:rsidRPr="004268B2">
              <w:rPr>
                <w:rFonts w:ascii="Times New Roman" w:hAnsi="Times New Roman" w:cs="Times New Roman"/>
              </w:rPr>
              <w:t>Delete section.  This type of reporting is extensive for a multi-jurisdictional company.  The company does not collect information about its customers on a per capita basis.  This could require burdensome parsing of census data.  It may be more efficient for the Commission to compile utility emissions data from each IOUs and determine its desired per capita metric.  If per capita requirements remain in this rule providing the source for per capita calculations should be in rule. (Pacific Power)</w:t>
            </w:r>
          </w:p>
          <w:p w14:paraId="348C53B3" w14:textId="77777777" w:rsidR="00B74662" w:rsidRDefault="00B74662" w:rsidP="00B74662">
            <w:pPr>
              <w:pStyle w:val="ListParagraph"/>
              <w:numPr>
                <w:ilvl w:val="0"/>
                <w:numId w:val="16"/>
              </w:numPr>
              <w:rPr>
                <w:rFonts w:ascii="Times New Roman" w:hAnsi="Times New Roman" w:cs="Times New Roman"/>
              </w:rPr>
            </w:pPr>
            <w:r w:rsidRPr="004268B2">
              <w:rPr>
                <w:rFonts w:ascii="Times New Roman" w:hAnsi="Times New Roman" w:cs="Times New Roman"/>
              </w:rPr>
              <w:t>Emissions-related metrics (2)(d) &amp; (2)(e) warrant further discussion.  The Commission should hold a workshop. (Avista)</w:t>
            </w:r>
          </w:p>
          <w:p w14:paraId="78BF9CBA" w14:textId="36AB8EDF" w:rsidR="00050EFC" w:rsidRPr="00050EFC" w:rsidRDefault="00050EFC" w:rsidP="00050EFC">
            <w:pPr>
              <w:rPr>
                <w:rFonts w:ascii="Times New Roman" w:hAnsi="Times New Roman" w:cs="Times New Roman"/>
              </w:rPr>
            </w:pPr>
            <w:bookmarkStart w:id="0" w:name="_GoBack"/>
            <w:bookmarkEnd w:id="0"/>
          </w:p>
        </w:tc>
        <w:tc>
          <w:tcPr>
            <w:tcW w:w="4736" w:type="dxa"/>
          </w:tcPr>
          <w:p w14:paraId="78BF9CBB" w14:textId="31C40043" w:rsidR="00B74662" w:rsidRPr="004268B2" w:rsidRDefault="00B74662" w:rsidP="00811CD5">
            <w:pPr>
              <w:rPr>
                <w:rFonts w:ascii="Times New Roman" w:hAnsi="Times New Roman" w:cs="Times New Roman"/>
              </w:rPr>
            </w:pPr>
            <w:r w:rsidRPr="004268B2">
              <w:rPr>
                <w:rFonts w:ascii="Times New Roman" w:hAnsi="Times New Roman" w:cs="Times New Roman"/>
              </w:rPr>
              <w:t xml:space="preserve">The Commission declines to delete this section.  This reporting requirement is necessary to track progress toward meeting the objectives of the statute, to “increase energy conservation” and “protect clean air and water.”  </w:t>
            </w:r>
            <w:r w:rsidR="00811CD5">
              <w:rPr>
                <w:rFonts w:ascii="Times New Roman" w:hAnsi="Times New Roman" w:cs="Times New Roman"/>
              </w:rPr>
              <w:t xml:space="preserve">As described in the </w:t>
            </w:r>
            <w:r w:rsidRPr="004268B2">
              <w:rPr>
                <w:rFonts w:ascii="Times New Roman" w:hAnsi="Times New Roman" w:cs="Times New Roman"/>
              </w:rPr>
              <w:t>adoption order</w:t>
            </w:r>
            <w:r w:rsidR="00811CD5">
              <w:rPr>
                <w:rFonts w:ascii="Times New Roman" w:hAnsi="Times New Roman" w:cs="Times New Roman"/>
              </w:rPr>
              <w:t>, the Commission plans to adopt this section at a later date</w:t>
            </w:r>
            <w:r w:rsidRPr="004268B2">
              <w:rPr>
                <w:rFonts w:ascii="Times New Roman" w:hAnsi="Times New Roman" w:cs="Times New Roman"/>
              </w:rPr>
              <w:t>.  The Commission does not believe that this reporting req</w:t>
            </w:r>
            <w:r w:rsidR="002071E7">
              <w:rPr>
                <w:rFonts w:ascii="Times New Roman" w:hAnsi="Times New Roman" w:cs="Times New Roman"/>
              </w:rPr>
              <w:t>uirement is unduly burdensome.</w:t>
            </w:r>
          </w:p>
        </w:tc>
      </w:tr>
      <w:tr w:rsidR="003666FD" w:rsidRPr="004268B2" w14:paraId="5F38428D" w14:textId="77777777" w:rsidTr="008B3D4D">
        <w:trPr>
          <w:jc w:val="center"/>
        </w:trPr>
        <w:tc>
          <w:tcPr>
            <w:tcW w:w="1802" w:type="dxa"/>
            <w:vMerge/>
          </w:tcPr>
          <w:p w14:paraId="1B2BAAF3" w14:textId="77777777" w:rsidR="00B74662" w:rsidRPr="004268B2" w:rsidRDefault="00B74662" w:rsidP="00B74662">
            <w:pPr>
              <w:rPr>
                <w:rFonts w:ascii="Times New Roman" w:hAnsi="Times New Roman" w:cs="Times New Roman"/>
                <w:b/>
              </w:rPr>
            </w:pPr>
          </w:p>
        </w:tc>
        <w:tc>
          <w:tcPr>
            <w:tcW w:w="1377" w:type="dxa"/>
          </w:tcPr>
          <w:p w14:paraId="21E56A9D" w14:textId="77777777" w:rsidR="00B74662" w:rsidRPr="004268B2" w:rsidRDefault="00B74662" w:rsidP="00B74662">
            <w:pPr>
              <w:rPr>
                <w:rFonts w:ascii="Times New Roman" w:hAnsi="Times New Roman" w:cs="Times New Roman"/>
              </w:rPr>
            </w:pPr>
            <w:r w:rsidRPr="004268B2">
              <w:rPr>
                <w:rFonts w:ascii="Times New Roman" w:hAnsi="Times New Roman" w:cs="Times New Roman"/>
              </w:rPr>
              <w:t>Pacific Power</w:t>
            </w:r>
          </w:p>
          <w:p w14:paraId="7549EBBD" w14:textId="77777777" w:rsidR="00B74662" w:rsidRPr="004268B2" w:rsidRDefault="00B74662" w:rsidP="00B74662">
            <w:pPr>
              <w:rPr>
                <w:rFonts w:ascii="Times New Roman" w:hAnsi="Times New Roman" w:cs="Times New Roman"/>
              </w:rPr>
            </w:pPr>
          </w:p>
        </w:tc>
        <w:tc>
          <w:tcPr>
            <w:tcW w:w="5149" w:type="dxa"/>
          </w:tcPr>
          <w:p w14:paraId="2FE5AC18" w14:textId="043BC65D" w:rsidR="00B74662" w:rsidRPr="004268B2" w:rsidRDefault="00B74662" w:rsidP="00B74662">
            <w:pPr>
              <w:rPr>
                <w:rFonts w:ascii="Times New Roman" w:hAnsi="Times New Roman" w:cs="Times New Roman"/>
              </w:rPr>
            </w:pPr>
            <w:r w:rsidRPr="004268B2">
              <w:rPr>
                <w:rFonts w:ascii="Times New Roman" w:hAnsi="Times New Roman" w:cs="Times New Roman"/>
              </w:rPr>
              <w:t>(2)(a) and (b):  If the Commission keeps this section, it should revise to: “average MWh per residential customer” and “average MWh per commercial customer.”</w:t>
            </w:r>
          </w:p>
        </w:tc>
        <w:tc>
          <w:tcPr>
            <w:tcW w:w="4736" w:type="dxa"/>
          </w:tcPr>
          <w:p w14:paraId="1907E711" w14:textId="5131C942" w:rsidR="00B74662" w:rsidRPr="004268B2" w:rsidRDefault="00B74662" w:rsidP="002071E7">
            <w:pPr>
              <w:rPr>
                <w:rFonts w:ascii="Times New Roman" w:hAnsi="Times New Roman" w:cs="Times New Roman"/>
              </w:rPr>
            </w:pPr>
            <w:r w:rsidRPr="004268B2">
              <w:rPr>
                <w:rFonts w:ascii="Times New Roman" w:hAnsi="Times New Roman" w:cs="Times New Roman"/>
              </w:rPr>
              <w:t xml:space="preserve">The Commission </w:t>
            </w:r>
            <w:r w:rsidR="002071E7">
              <w:rPr>
                <w:rFonts w:ascii="Times New Roman" w:hAnsi="Times New Roman" w:cs="Times New Roman"/>
              </w:rPr>
              <w:t>agrees with</w:t>
            </w:r>
            <w:r w:rsidRPr="004268B2">
              <w:rPr>
                <w:rFonts w:ascii="Times New Roman" w:hAnsi="Times New Roman" w:cs="Times New Roman"/>
              </w:rPr>
              <w:t xml:space="preserve"> this revision.</w:t>
            </w:r>
          </w:p>
        </w:tc>
      </w:tr>
      <w:tr w:rsidR="003666FD" w:rsidRPr="004268B2" w14:paraId="515DE470" w14:textId="77777777" w:rsidTr="008B3D4D">
        <w:trPr>
          <w:jc w:val="center"/>
        </w:trPr>
        <w:tc>
          <w:tcPr>
            <w:tcW w:w="1802" w:type="dxa"/>
            <w:vMerge/>
          </w:tcPr>
          <w:p w14:paraId="6089F6AC" w14:textId="77777777" w:rsidR="00B74662" w:rsidRPr="004268B2" w:rsidRDefault="00B74662" w:rsidP="00B74662">
            <w:pPr>
              <w:rPr>
                <w:rFonts w:ascii="Times New Roman" w:hAnsi="Times New Roman" w:cs="Times New Roman"/>
                <w:b/>
              </w:rPr>
            </w:pPr>
          </w:p>
        </w:tc>
        <w:tc>
          <w:tcPr>
            <w:tcW w:w="1377" w:type="dxa"/>
            <w:vMerge w:val="restart"/>
          </w:tcPr>
          <w:p w14:paraId="27C91F4B" w14:textId="60D98FC6" w:rsidR="00B74662" w:rsidRPr="004268B2" w:rsidRDefault="00B74662" w:rsidP="00B74662">
            <w:pPr>
              <w:rPr>
                <w:rFonts w:ascii="Times New Roman" w:hAnsi="Times New Roman" w:cs="Times New Roman"/>
              </w:rPr>
            </w:pPr>
            <w:r w:rsidRPr="004268B2">
              <w:rPr>
                <w:rFonts w:ascii="Times New Roman" w:hAnsi="Times New Roman" w:cs="Times New Roman"/>
              </w:rPr>
              <w:t>NWEC</w:t>
            </w:r>
          </w:p>
        </w:tc>
        <w:tc>
          <w:tcPr>
            <w:tcW w:w="5149" w:type="dxa"/>
          </w:tcPr>
          <w:p w14:paraId="69C24EEB" w14:textId="3C92E481" w:rsidR="00B74662" w:rsidRPr="004268B2" w:rsidRDefault="00B74662" w:rsidP="00B74662">
            <w:pPr>
              <w:rPr>
                <w:rFonts w:ascii="Times New Roman" w:hAnsi="Times New Roman" w:cs="Times New Roman"/>
              </w:rPr>
            </w:pPr>
            <w:r w:rsidRPr="004268B2">
              <w:rPr>
                <w:rFonts w:ascii="Times New Roman" w:hAnsi="Times New Roman" w:cs="Times New Roman"/>
              </w:rPr>
              <w:t xml:space="preserve">For clarity, revise the third sentence to “customers </w:t>
            </w:r>
            <w:r w:rsidRPr="004268B2">
              <w:rPr>
                <w:rFonts w:ascii="Times New Roman" w:hAnsi="Times New Roman" w:cs="Times New Roman"/>
                <w:u w:val="single"/>
              </w:rPr>
              <w:t>of that utility</w:t>
            </w:r>
            <w:r w:rsidRPr="004268B2">
              <w:rPr>
                <w:rFonts w:ascii="Times New Roman" w:hAnsi="Times New Roman" w:cs="Times New Roman"/>
              </w:rPr>
              <w:t xml:space="preserve"> in Washington” (NWEC)</w:t>
            </w:r>
          </w:p>
        </w:tc>
        <w:tc>
          <w:tcPr>
            <w:tcW w:w="4736" w:type="dxa"/>
          </w:tcPr>
          <w:p w14:paraId="5E5A82EF" w14:textId="55AA92B0" w:rsidR="00B74662" w:rsidRPr="004268B2" w:rsidRDefault="00B74662" w:rsidP="00B74662">
            <w:pPr>
              <w:rPr>
                <w:rFonts w:ascii="Times New Roman" w:hAnsi="Times New Roman" w:cs="Times New Roman"/>
              </w:rPr>
            </w:pPr>
            <w:r w:rsidRPr="004268B2">
              <w:rPr>
                <w:rFonts w:ascii="Times New Roman" w:hAnsi="Times New Roman" w:cs="Times New Roman"/>
              </w:rPr>
              <w:t xml:space="preserve">The Commission </w:t>
            </w:r>
            <w:r w:rsidR="002071E7">
              <w:rPr>
                <w:rFonts w:ascii="Times New Roman" w:hAnsi="Times New Roman" w:cs="Times New Roman"/>
              </w:rPr>
              <w:t>agrees with</w:t>
            </w:r>
            <w:r w:rsidR="002071E7" w:rsidRPr="004268B2">
              <w:rPr>
                <w:rFonts w:ascii="Times New Roman" w:hAnsi="Times New Roman" w:cs="Times New Roman"/>
              </w:rPr>
              <w:t xml:space="preserve"> this revision</w:t>
            </w:r>
            <w:r w:rsidRPr="004268B2">
              <w:rPr>
                <w:rFonts w:ascii="Times New Roman" w:hAnsi="Times New Roman" w:cs="Times New Roman"/>
              </w:rPr>
              <w:t>.</w:t>
            </w:r>
          </w:p>
        </w:tc>
      </w:tr>
      <w:tr w:rsidR="003666FD" w:rsidRPr="004268B2" w14:paraId="312C26D9" w14:textId="77777777" w:rsidTr="008B3D4D">
        <w:trPr>
          <w:jc w:val="center"/>
        </w:trPr>
        <w:tc>
          <w:tcPr>
            <w:tcW w:w="1802" w:type="dxa"/>
            <w:vMerge/>
          </w:tcPr>
          <w:p w14:paraId="1B4EE9F6" w14:textId="56BB26AE" w:rsidR="00B74662" w:rsidRPr="004268B2" w:rsidRDefault="00B74662" w:rsidP="00B74662">
            <w:pPr>
              <w:rPr>
                <w:rFonts w:ascii="Times New Roman" w:hAnsi="Times New Roman" w:cs="Times New Roman"/>
                <w:b/>
              </w:rPr>
            </w:pPr>
          </w:p>
        </w:tc>
        <w:tc>
          <w:tcPr>
            <w:tcW w:w="1377" w:type="dxa"/>
            <w:vMerge/>
          </w:tcPr>
          <w:p w14:paraId="3D7246DA" w14:textId="6E196F8E" w:rsidR="00B74662" w:rsidRPr="004268B2" w:rsidRDefault="00B74662" w:rsidP="00B74662">
            <w:pPr>
              <w:rPr>
                <w:rFonts w:ascii="Times New Roman" w:hAnsi="Times New Roman" w:cs="Times New Roman"/>
              </w:rPr>
            </w:pPr>
          </w:p>
        </w:tc>
        <w:tc>
          <w:tcPr>
            <w:tcW w:w="5149" w:type="dxa"/>
          </w:tcPr>
          <w:p w14:paraId="6414F3C8" w14:textId="09D7ED74" w:rsidR="00B74662" w:rsidRPr="004268B2" w:rsidRDefault="00B74662" w:rsidP="00B74662">
            <w:pPr>
              <w:rPr>
                <w:rFonts w:ascii="Times New Roman" w:hAnsi="Times New Roman" w:cs="Times New Roman"/>
              </w:rPr>
            </w:pPr>
            <w:r w:rsidRPr="004268B2">
              <w:rPr>
                <w:rFonts w:ascii="Times New Roman" w:hAnsi="Times New Roman" w:cs="Times New Roman"/>
              </w:rPr>
              <w:t>Add MWh per industrial customer</w:t>
            </w:r>
          </w:p>
        </w:tc>
        <w:tc>
          <w:tcPr>
            <w:tcW w:w="4736" w:type="dxa"/>
          </w:tcPr>
          <w:p w14:paraId="12D930A7" w14:textId="13C5FB99" w:rsidR="00B74662" w:rsidRPr="004268B2" w:rsidRDefault="00B74662" w:rsidP="00811CD5">
            <w:pPr>
              <w:rPr>
                <w:rFonts w:ascii="Times New Roman" w:hAnsi="Times New Roman" w:cs="Times New Roman"/>
              </w:rPr>
            </w:pPr>
            <w:r w:rsidRPr="004268B2">
              <w:rPr>
                <w:rFonts w:ascii="Times New Roman" w:hAnsi="Times New Roman" w:cs="Times New Roman"/>
              </w:rPr>
              <w:t xml:space="preserve">The Commission declines to </w:t>
            </w:r>
            <w:r w:rsidR="00811CD5">
              <w:rPr>
                <w:rFonts w:ascii="Times New Roman" w:hAnsi="Times New Roman" w:cs="Times New Roman"/>
              </w:rPr>
              <w:t>accept</w:t>
            </w:r>
            <w:r w:rsidRPr="004268B2">
              <w:rPr>
                <w:rFonts w:ascii="Times New Roman" w:hAnsi="Times New Roman" w:cs="Times New Roman"/>
              </w:rPr>
              <w:t xml:space="preserve"> this proposed additional requirement.  Due to large historic swings in industrial load, this is not a reliable long-term trend metric.</w:t>
            </w:r>
          </w:p>
        </w:tc>
      </w:tr>
      <w:tr w:rsidR="003666FD" w:rsidRPr="004268B2" w14:paraId="568B25B7" w14:textId="77777777" w:rsidTr="008B3D4D">
        <w:trPr>
          <w:jc w:val="center"/>
        </w:trPr>
        <w:tc>
          <w:tcPr>
            <w:tcW w:w="1802" w:type="dxa"/>
            <w:vMerge/>
          </w:tcPr>
          <w:p w14:paraId="6AC4A55F" w14:textId="77777777" w:rsidR="00B74662" w:rsidRPr="004268B2" w:rsidRDefault="00B74662" w:rsidP="00B74662">
            <w:pPr>
              <w:rPr>
                <w:rFonts w:ascii="Times New Roman" w:hAnsi="Times New Roman" w:cs="Times New Roman"/>
                <w:b/>
              </w:rPr>
            </w:pPr>
          </w:p>
        </w:tc>
        <w:tc>
          <w:tcPr>
            <w:tcW w:w="1377" w:type="dxa"/>
            <w:vMerge/>
          </w:tcPr>
          <w:p w14:paraId="15092F11" w14:textId="77777777" w:rsidR="00B74662" w:rsidRPr="004268B2" w:rsidRDefault="00B74662" w:rsidP="00B74662">
            <w:pPr>
              <w:rPr>
                <w:rFonts w:ascii="Times New Roman" w:hAnsi="Times New Roman" w:cs="Times New Roman"/>
              </w:rPr>
            </w:pPr>
          </w:p>
        </w:tc>
        <w:tc>
          <w:tcPr>
            <w:tcW w:w="5149" w:type="dxa"/>
          </w:tcPr>
          <w:p w14:paraId="1C5F54E7" w14:textId="64788C25" w:rsidR="00B74662" w:rsidRPr="004268B2" w:rsidRDefault="00B74662" w:rsidP="00B74662">
            <w:pPr>
              <w:rPr>
                <w:rFonts w:ascii="Times New Roman" w:hAnsi="Times New Roman" w:cs="Times New Roman"/>
              </w:rPr>
            </w:pPr>
            <w:r w:rsidRPr="004268B2">
              <w:rPr>
                <w:rFonts w:ascii="Times New Roman" w:hAnsi="Times New Roman" w:cs="Times New Roman"/>
              </w:rPr>
              <w:t xml:space="preserve">(d) &amp; (e): should these include </w:t>
            </w:r>
            <w:r w:rsidRPr="004268B2">
              <w:rPr>
                <w:rFonts w:ascii="Times New Roman" w:hAnsi="Times New Roman" w:cs="Times New Roman"/>
                <w:u w:val="single"/>
              </w:rPr>
              <w:t>CO2 equivalent</w:t>
            </w:r>
            <w:r w:rsidRPr="004268B2">
              <w:rPr>
                <w:rFonts w:ascii="Times New Roman" w:hAnsi="Times New Roman" w:cs="Times New Roman"/>
              </w:rPr>
              <w:t xml:space="preserve"> emissions?</w:t>
            </w:r>
          </w:p>
        </w:tc>
        <w:tc>
          <w:tcPr>
            <w:tcW w:w="4736" w:type="dxa"/>
          </w:tcPr>
          <w:p w14:paraId="1048DE77" w14:textId="650E1AFD" w:rsidR="00B74662" w:rsidRPr="004268B2" w:rsidRDefault="00B74662" w:rsidP="00811CD5">
            <w:pPr>
              <w:rPr>
                <w:rFonts w:ascii="Times New Roman" w:hAnsi="Times New Roman" w:cs="Times New Roman"/>
              </w:rPr>
            </w:pPr>
            <w:r w:rsidRPr="004268B2">
              <w:rPr>
                <w:rFonts w:ascii="Times New Roman" w:hAnsi="Times New Roman" w:cs="Times New Roman"/>
              </w:rPr>
              <w:t xml:space="preserve">The Commission declines to </w:t>
            </w:r>
            <w:r w:rsidR="00811CD5">
              <w:rPr>
                <w:rFonts w:ascii="Times New Roman" w:hAnsi="Times New Roman" w:cs="Times New Roman"/>
              </w:rPr>
              <w:t>accept</w:t>
            </w:r>
            <w:r w:rsidRPr="004268B2">
              <w:rPr>
                <w:rFonts w:ascii="Times New Roman" w:hAnsi="Times New Roman" w:cs="Times New Roman"/>
              </w:rPr>
              <w:t xml:space="preserve"> this revision.  The difference between CO</w:t>
            </w:r>
            <w:r w:rsidRPr="004268B2">
              <w:rPr>
                <w:rFonts w:ascii="Times New Roman" w:hAnsi="Times New Roman" w:cs="Times New Roman"/>
                <w:vertAlign w:val="subscript"/>
              </w:rPr>
              <w:t>2</w:t>
            </w:r>
            <w:r w:rsidRPr="004268B2">
              <w:rPr>
                <w:rFonts w:ascii="Times New Roman" w:hAnsi="Times New Roman" w:cs="Times New Roman"/>
              </w:rPr>
              <w:t xml:space="preserve"> emissions and CO2 equivalent emissions for combustion technologies is not significant enough to impact trending data.</w:t>
            </w:r>
          </w:p>
        </w:tc>
      </w:tr>
      <w:tr w:rsidR="008B3D4D" w:rsidRPr="004268B2" w14:paraId="625AD218" w14:textId="77777777" w:rsidTr="008B3D4D">
        <w:tblPrEx>
          <w:jc w:val="left"/>
        </w:tblPrEx>
        <w:tc>
          <w:tcPr>
            <w:tcW w:w="1802" w:type="dxa"/>
          </w:tcPr>
          <w:p w14:paraId="1AEF033F" w14:textId="77777777" w:rsidR="008B3D4D" w:rsidRPr="000D16FE" w:rsidRDefault="008B3D4D" w:rsidP="00050EFC">
            <w:pPr>
              <w:rPr>
                <w:rFonts w:ascii="Times New Roman" w:hAnsi="Times New Roman" w:cs="Times New Roman"/>
              </w:rPr>
            </w:pPr>
            <w:r>
              <w:rPr>
                <w:rFonts w:ascii="Times New Roman" w:hAnsi="Times New Roman" w:cs="Times New Roman"/>
              </w:rPr>
              <w:t>n/a</w:t>
            </w:r>
          </w:p>
        </w:tc>
        <w:tc>
          <w:tcPr>
            <w:tcW w:w="1377" w:type="dxa"/>
          </w:tcPr>
          <w:p w14:paraId="5E5C3D75" w14:textId="77777777" w:rsidR="008B3D4D" w:rsidRPr="004268B2" w:rsidRDefault="008B3D4D" w:rsidP="00050EFC">
            <w:pPr>
              <w:rPr>
                <w:rFonts w:ascii="Times New Roman" w:hAnsi="Times New Roman" w:cs="Times New Roman"/>
              </w:rPr>
            </w:pPr>
            <w:r>
              <w:rPr>
                <w:rFonts w:ascii="Times New Roman" w:hAnsi="Times New Roman" w:cs="Times New Roman"/>
              </w:rPr>
              <w:t>PSE</w:t>
            </w:r>
          </w:p>
        </w:tc>
        <w:tc>
          <w:tcPr>
            <w:tcW w:w="5149" w:type="dxa"/>
          </w:tcPr>
          <w:p w14:paraId="13AEACD7" w14:textId="77777777" w:rsidR="008B3D4D" w:rsidRPr="00593E73" w:rsidRDefault="008B3D4D" w:rsidP="00050EFC">
            <w:pPr>
              <w:rPr>
                <w:rFonts w:ascii="Times New Roman" w:hAnsi="Times New Roman" w:cs="Times New Roman"/>
              </w:rPr>
            </w:pPr>
            <w:r>
              <w:rPr>
                <w:rFonts w:ascii="Times New Roman" w:hAnsi="Times New Roman" w:cs="Times New Roman"/>
              </w:rPr>
              <w:t>In supplemental comments, PSE suggests adding a new section describing what occurs if the rules go into effect before January 1, 2015.</w:t>
            </w:r>
          </w:p>
        </w:tc>
        <w:tc>
          <w:tcPr>
            <w:tcW w:w="4736" w:type="dxa"/>
          </w:tcPr>
          <w:p w14:paraId="2F2966D5" w14:textId="77777777" w:rsidR="008B3D4D" w:rsidRPr="004268B2" w:rsidRDefault="008B3D4D" w:rsidP="00050EFC">
            <w:pPr>
              <w:rPr>
                <w:rFonts w:ascii="Times New Roman" w:hAnsi="Times New Roman" w:cs="Times New Roman"/>
              </w:rPr>
            </w:pPr>
            <w:r>
              <w:rPr>
                <w:rFonts w:ascii="Times New Roman" w:hAnsi="Times New Roman" w:cs="Times New Roman"/>
              </w:rPr>
              <w:t>We adopt the rules after January 1, 2015, so this addition is not necessary.</w:t>
            </w:r>
          </w:p>
        </w:tc>
      </w:tr>
    </w:tbl>
    <w:p w14:paraId="050D8ED4" w14:textId="0077BF1A" w:rsidR="00151629" w:rsidRPr="004268B2" w:rsidRDefault="00151629" w:rsidP="00DC047E">
      <w:pPr>
        <w:tabs>
          <w:tab w:val="left" w:pos="6250"/>
        </w:tabs>
        <w:rPr>
          <w:rFonts w:ascii="Times New Roman" w:hAnsi="Times New Roman" w:cs="Times New Roman"/>
        </w:rPr>
      </w:pPr>
    </w:p>
    <w:sectPr w:rsidR="00151629" w:rsidRPr="004268B2" w:rsidSect="00C7414A">
      <w:footerReference w:type="default" r:id="rId11"/>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1A8D3" w14:textId="77777777" w:rsidR="00050EFC" w:rsidRDefault="00050EFC" w:rsidP="00FA5BF5">
      <w:pPr>
        <w:spacing w:after="0" w:line="240" w:lineRule="auto"/>
      </w:pPr>
      <w:r>
        <w:separator/>
      </w:r>
    </w:p>
  </w:endnote>
  <w:endnote w:type="continuationSeparator" w:id="0">
    <w:p w14:paraId="35BAC2A3" w14:textId="77777777" w:rsidR="00050EFC" w:rsidRDefault="00050EFC" w:rsidP="00FA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602679"/>
      <w:docPartObj>
        <w:docPartGallery w:val="Page Numbers (Bottom of Page)"/>
        <w:docPartUnique/>
      </w:docPartObj>
    </w:sdtPr>
    <w:sdtEndPr>
      <w:rPr>
        <w:noProof/>
      </w:rPr>
    </w:sdtEndPr>
    <w:sdtContent>
      <w:p w14:paraId="6EC5DCEA" w14:textId="49F74A7E" w:rsidR="00050EFC" w:rsidRDefault="00050EFC">
        <w:pPr>
          <w:pStyle w:val="Footer"/>
          <w:jc w:val="right"/>
        </w:pPr>
        <w:r>
          <w:fldChar w:fldCharType="begin"/>
        </w:r>
        <w:r>
          <w:instrText xml:space="preserve"> PAGE   \* MERGEFORMAT </w:instrText>
        </w:r>
        <w:r>
          <w:fldChar w:fldCharType="separate"/>
        </w:r>
        <w:r w:rsidR="0069082B">
          <w:rPr>
            <w:noProof/>
          </w:rPr>
          <w:t>16</w:t>
        </w:r>
        <w:r>
          <w:rPr>
            <w:noProof/>
          </w:rPr>
          <w:fldChar w:fldCharType="end"/>
        </w:r>
      </w:p>
    </w:sdtContent>
  </w:sdt>
  <w:p w14:paraId="78BF9CC3" w14:textId="77777777" w:rsidR="00050EFC" w:rsidRDefault="00050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5134F" w14:textId="77777777" w:rsidR="00050EFC" w:rsidRDefault="00050EFC" w:rsidP="00FA5BF5">
      <w:pPr>
        <w:spacing w:after="0" w:line="240" w:lineRule="auto"/>
      </w:pPr>
      <w:r>
        <w:separator/>
      </w:r>
    </w:p>
  </w:footnote>
  <w:footnote w:type="continuationSeparator" w:id="0">
    <w:p w14:paraId="1DB63391" w14:textId="77777777" w:rsidR="00050EFC" w:rsidRDefault="00050EFC" w:rsidP="00FA5B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2C52"/>
    <w:multiLevelType w:val="hybridMultilevel"/>
    <w:tmpl w:val="1BC6E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D4392"/>
    <w:multiLevelType w:val="hybridMultilevel"/>
    <w:tmpl w:val="DCE6E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EF3659"/>
    <w:multiLevelType w:val="hybridMultilevel"/>
    <w:tmpl w:val="7D0CC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856270"/>
    <w:multiLevelType w:val="hybridMultilevel"/>
    <w:tmpl w:val="55181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BF0575"/>
    <w:multiLevelType w:val="hybridMultilevel"/>
    <w:tmpl w:val="07FA3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D84A9C"/>
    <w:multiLevelType w:val="hybridMultilevel"/>
    <w:tmpl w:val="2572E4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344AA"/>
    <w:multiLevelType w:val="hybridMultilevel"/>
    <w:tmpl w:val="EFDA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015EF8"/>
    <w:multiLevelType w:val="hybridMultilevel"/>
    <w:tmpl w:val="5A5E2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783B5B"/>
    <w:multiLevelType w:val="hybridMultilevel"/>
    <w:tmpl w:val="9356C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B4052A"/>
    <w:multiLevelType w:val="hybridMultilevel"/>
    <w:tmpl w:val="96FA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3863ADA"/>
    <w:multiLevelType w:val="hybridMultilevel"/>
    <w:tmpl w:val="65003254"/>
    <w:lvl w:ilvl="0" w:tplc="1EEEE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9320D4"/>
    <w:multiLevelType w:val="hybridMultilevel"/>
    <w:tmpl w:val="47E8E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3E0FFC"/>
    <w:multiLevelType w:val="hybridMultilevel"/>
    <w:tmpl w:val="EBA0F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3814146"/>
    <w:multiLevelType w:val="hybridMultilevel"/>
    <w:tmpl w:val="D24AE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6F0571"/>
    <w:multiLevelType w:val="hybridMultilevel"/>
    <w:tmpl w:val="04F8E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2594E1C"/>
    <w:multiLevelType w:val="hybridMultilevel"/>
    <w:tmpl w:val="B9EC2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2651BF1"/>
    <w:multiLevelType w:val="hybridMultilevel"/>
    <w:tmpl w:val="2496D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5B776A3"/>
    <w:multiLevelType w:val="hybridMultilevel"/>
    <w:tmpl w:val="2EA85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562224"/>
    <w:multiLevelType w:val="hybridMultilevel"/>
    <w:tmpl w:val="0B1EB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DA2230C"/>
    <w:multiLevelType w:val="hybridMultilevel"/>
    <w:tmpl w:val="7818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C651DB"/>
    <w:multiLevelType w:val="hybridMultilevel"/>
    <w:tmpl w:val="9EB86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BF5481D"/>
    <w:multiLevelType w:val="hybridMultilevel"/>
    <w:tmpl w:val="92E6E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E50F46"/>
    <w:multiLevelType w:val="hybridMultilevel"/>
    <w:tmpl w:val="2C7E3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FE26588"/>
    <w:multiLevelType w:val="hybridMultilevel"/>
    <w:tmpl w:val="C0C6F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3D30944"/>
    <w:multiLevelType w:val="hybridMultilevel"/>
    <w:tmpl w:val="3E549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6A676AB"/>
    <w:multiLevelType w:val="hybridMultilevel"/>
    <w:tmpl w:val="AF527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AB17A99"/>
    <w:multiLevelType w:val="hybridMultilevel"/>
    <w:tmpl w:val="1E90D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1A2ECE"/>
    <w:multiLevelType w:val="hybridMultilevel"/>
    <w:tmpl w:val="98269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8449F4"/>
    <w:multiLevelType w:val="hybridMultilevel"/>
    <w:tmpl w:val="BB88B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F51C74"/>
    <w:multiLevelType w:val="hybridMultilevel"/>
    <w:tmpl w:val="90F80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D28716E"/>
    <w:multiLevelType w:val="hybridMultilevel"/>
    <w:tmpl w:val="A6EEA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84A7703"/>
    <w:multiLevelType w:val="hybridMultilevel"/>
    <w:tmpl w:val="62CCCC36"/>
    <w:lvl w:ilvl="0" w:tplc="E77067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516535"/>
    <w:multiLevelType w:val="hybridMultilevel"/>
    <w:tmpl w:val="03D45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8"/>
  </w:num>
  <w:num w:numId="3">
    <w:abstractNumId w:val="11"/>
  </w:num>
  <w:num w:numId="4">
    <w:abstractNumId w:val="1"/>
  </w:num>
  <w:num w:numId="5">
    <w:abstractNumId w:val="21"/>
  </w:num>
  <w:num w:numId="6">
    <w:abstractNumId w:val="9"/>
  </w:num>
  <w:num w:numId="7">
    <w:abstractNumId w:val="27"/>
  </w:num>
  <w:num w:numId="8">
    <w:abstractNumId w:val="4"/>
  </w:num>
  <w:num w:numId="9">
    <w:abstractNumId w:val="19"/>
  </w:num>
  <w:num w:numId="10">
    <w:abstractNumId w:val="18"/>
  </w:num>
  <w:num w:numId="11">
    <w:abstractNumId w:val="26"/>
  </w:num>
  <w:num w:numId="12">
    <w:abstractNumId w:val="25"/>
  </w:num>
  <w:num w:numId="13">
    <w:abstractNumId w:val="17"/>
  </w:num>
  <w:num w:numId="14">
    <w:abstractNumId w:val="32"/>
  </w:num>
  <w:num w:numId="15">
    <w:abstractNumId w:val="0"/>
  </w:num>
  <w:num w:numId="16">
    <w:abstractNumId w:val="20"/>
  </w:num>
  <w:num w:numId="17">
    <w:abstractNumId w:val="14"/>
  </w:num>
  <w:num w:numId="18">
    <w:abstractNumId w:val="6"/>
  </w:num>
  <w:num w:numId="19">
    <w:abstractNumId w:val="2"/>
  </w:num>
  <w:num w:numId="20">
    <w:abstractNumId w:val="29"/>
  </w:num>
  <w:num w:numId="21">
    <w:abstractNumId w:val="23"/>
  </w:num>
  <w:num w:numId="22">
    <w:abstractNumId w:val="10"/>
  </w:num>
  <w:num w:numId="23">
    <w:abstractNumId w:val="16"/>
  </w:num>
  <w:num w:numId="24">
    <w:abstractNumId w:val="7"/>
  </w:num>
  <w:num w:numId="25">
    <w:abstractNumId w:val="3"/>
  </w:num>
  <w:num w:numId="26">
    <w:abstractNumId w:val="22"/>
  </w:num>
  <w:num w:numId="27">
    <w:abstractNumId w:val="12"/>
  </w:num>
  <w:num w:numId="28">
    <w:abstractNumId w:val="28"/>
  </w:num>
  <w:num w:numId="29">
    <w:abstractNumId w:val="5"/>
  </w:num>
  <w:num w:numId="30">
    <w:abstractNumId w:val="30"/>
  </w:num>
  <w:num w:numId="31">
    <w:abstractNumId w:val="15"/>
  </w:num>
  <w:num w:numId="32">
    <w:abstractNumId w:val="1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940"/>
    <w:rsid w:val="00010F3D"/>
    <w:rsid w:val="00012A28"/>
    <w:rsid w:val="000200D6"/>
    <w:rsid w:val="00021997"/>
    <w:rsid w:val="00032DA6"/>
    <w:rsid w:val="000353F8"/>
    <w:rsid w:val="00040BBA"/>
    <w:rsid w:val="00041E3A"/>
    <w:rsid w:val="0004322C"/>
    <w:rsid w:val="000458AC"/>
    <w:rsid w:val="00050EFC"/>
    <w:rsid w:val="00052F52"/>
    <w:rsid w:val="0005407A"/>
    <w:rsid w:val="00056019"/>
    <w:rsid w:val="0006018D"/>
    <w:rsid w:val="0006202D"/>
    <w:rsid w:val="00070219"/>
    <w:rsid w:val="00073A2C"/>
    <w:rsid w:val="00080838"/>
    <w:rsid w:val="00082503"/>
    <w:rsid w:val="00092806"/>
    <w:rsid w:val="00097EB3"/>
    <w:rsid w:val="000A0687"/>
    <w:rsid w:val="000A0DA3"/>
    <w:rsid w:val="000A389B"/>
    <w:rsid w:val="000B117B"/>
    <w:rsid w:val="000B2740"/>
    <w:rsid w:val="000B405B"/>
    <w:rsid w:val="000C3FC7"/>
    <w:rsid w:val="000D03D0"/>
    <w:rsid w:val="000D12A8"/>
    <w:rsid w:val="000D16FE"/>
    <w:rsid w:val="000E2A0F"/>
    <w:rsid w:val="000F16BC"/>
    <w:rsid w:val="000F3285"/>
    <w:rsid w:val="001054E4"/>
    <w:rsid w:val="001127A3"/>
    <w:rsid w:val="0011298C"/>
    <w:rsid w:val="001143E0"/>
    <w:rsid w:val="001167FB"/>
    <w:rsid w:val="00120E7A"/>
    <w:rsid w:val="00123B34"/>
    <w:rsid w:val="00130642"/>
    <w:rsid w:val="00132521"/>
    <w:rsid w:val="001352A6"/>
    <w:rsid w:val="00151629"/>
    <w:rsid w:val="0015319A"/>
    <w:rsid w:val="00153F88"/>
    <w:rsid w:val="00155793"/>
    <w:rsid w:val="0015766B"/>
    <w:rsid w:val="00160C0C"/>
    <w:rsid w:val="00164BDA"/>
    <w:rsid w:val="00165B55"/>
    <w:rsid w:val="00167118"/>
    <w:rsid w:val="0017675B"/>
    <w:rsid w:val="0018031C"/>
    <w:rsid w:val="00183A6B"/>
    <w:rsid w:val="001B7B73"/>
    <w:rsid w:val="001C55B8"/>
    <w:rsid w:val="001D3B6A"/>
    <w:rsid w:val="001D6E64"/>
    <w:rsid w:val="001E1AF8"/>
    <w:rsid w:val="001E3106"/>
    <w:rsid w:val="001E5B20"/>
    <w:rsid w:val="001E6E42"/>
    <w:rsid w:val="001F0627"/>
    <w:rsid w:val="001F3AA2"/>
    <w:rsid w:val="001F4F0F"/>
    <w:rsid w:val="002045C0"/>
    <w:rsid w:val="002071E7"/>
    <w:rsid w:val="002078BC"/>
    <w:rsid w:val="002142C9"/>
    <w:rsid w:val="00216FB9"/>
    <w:rsid w:val="0022029F"/>
    <w:rsid w:val="0022087B"/>
    <w:rsid w:val="00232CE3"/>
    <w:rsid w:val="00247A5C"/>
    <w:rsid w:val="00250306"/>
    <w:rsid w:val="00260395"/>
    <w:rsid w:val="00272BD8"/>
    <w:rsid w:val="00273E23"/>
    <w:rsid w:val="00276F94"/>
    <w:rsid w:val="002777BE"/>
    <w:rsid w:val="00280A77"/>
    <w:rsid w:val="00283F7E"/>
    <w:rsid w:val="00286E71"/>
    <w:rsid w:val="00294E33"/>
    <w:rsid w:val="002A5806"/>
    <w:rsid w:val="002A7093"/>
    <w:rsid w:val="002B78FA"/>
    <w:rsid w:val="002B7C3C"/>
    <w:rsid w:val="002C552B"/>
    <w:rsid w:val="002C6F67"/>
    <w:rsid w:val="002D2E42"/>
    <w:rsid w:val="002D72EF"/>
    <w:rsid w:val="002E374F"/>
    <w:rsid w:val="002E5FC9"/>
    <w:rsid w:val="002F1104"/>
    <w:rsid w:val="002F563F"/>
    <w:rsid w:val="00301889"/>
    <w:rsid w:val="00304280"/>
    <w:rsid w:val="003043EB"/>
    <w:rsid w:val="0030499C"/>
    <w:rsid w:val="0031123C"/>
    <w:rsid w:val="00314B83"/>
    <w:rsid w:val="0031615B"/>
    <w:rsid w:val="00332729"/>
    <w:rsid w:val="00333FCF"/>
    <w:rsid w:val="00337B8B"/>
    <w:rsid w:val="00340152"/>
    <w:rsid w:val="0034071E"/>
    <w:rsid w:val="0034221C"/>
    <w:rsid w:val="00344B32"/>
    <w:rsid w:val="00362359"/>
    <w:rsid w:val="0036475E"/>
    <w:rsid w:val="003666FD"/>
    <w:rsid w:val="00372220"/>
    <w:rsid w:val="003722F1"/>
    <w:rsid w:val="00373436"/>
    <w:rsid w:val="0037459C"/>
    <w:rsid w:val="003908DA"/>
    <w:rsid w:val="00395A74"/>
    <w:rsid w:val="00396543"/>
    <w:rsid w:val="003A2E3A"/>
    <w:rsid w:val="003A6832"/>
    <w:rsid w:val="003B00F9"/>
    <w:rsid w:val="003B11C1"/>
    <w:rsid w:val="003C63CC"/>
    <w:rsid w:val="003D6B8A"/>
    <w:rsid w:val="003E1B3B"/>
    <w:rsid w:val="003E2F02"/>
    <w:rsid w:val="003E4044"/>
    <w:rsid w:val="003E7680"/>
    <w:rsid w:val="003F2554"/>
    <w:rsid w:val="003F4502"/>
    <w:rsid w:val="00401EE6"/>
    <w:rsid w:val="00401F45"/>
    <w:rsid w:val="0042030F"/>
    <w:rsid w:val="004268B2"/>
    <w:rsid w:val="004270A1"/>
    <w:rsid w:val="00427F43"/>
    <w:rsid w:val="00430F7D"/>
    <w:rsid w:val="00437B6C"/>
    <w:rsid w:val="004471DC"/>
    <w:rsid w:val="004479DC"/>
    <w:rsid w:val="0045109C"/>
    <w:rsid w:val="00454D69"/>
    <w:rsid w:val="00456A45"/>
    <w:rsid w:val="00467482"/>
    <w:rsid w:val="00470E49"/>
    <w:rsid w:val="00472677"/>
    <w:rsid w:val="00476018"/>
    <w:rsid w:val="00481638"/>
    <w:rsid w:val="00481A17"/>
    <w:rsid w:val="00487F63"/>
    <w:rsid w:val="00492D61"/>
    <w:rsid w:val="00497603"/>
    <w:rsid w:val="004A0BDE"/>
    <w:rsid w:val="004A6F54"/>
    <w:rsid w:val="004B246E"/>
    <w:rsid w:val="004B7D9C"/>
    <w:rsid w:val="004C5A92"/>
    <w:rsid w:val="004D4262"/>
    <w:rsid w:val="004D7BCB"/>
    <w:rsid w:val="004E031A"/>
    <w:rsid w:val="004E0F6D"/>
    <w:rsid w:val="004F03D6"/>
    <w:rsid w:val="004F45D1"/>
    <w:rsid w:val="004F4E87"/>
    <w:rsid w:val="004F7A49"/>
    <w:rsid w:val="004F7C5B"/>
    <w:rsid w:val="00500CA0"/>
    <w:rsid w:val="00511033"/>
    <w:rsid w:val="00514BC5"/>
    <w:rsid w:val="0052027F"/>
    <w:rsid w:val="00523F7F"/>
    <w:rsid w:val="005320FB"/>
    <w:rsid w:val="0054116A"/>
    <w:rsid w:val="0054235F"/>
    <w:rsid w:val="005536D6"/>
    <w:rsid w:val="00553816"/>
    <w:rsid w:val="00556334"/>
    <w:rsid w:val="005646EA"/>
    <w:rsid w:val="00564D07"/>
    <w:rsid w:val="00572CDE"/>
    <w:rsid w:val="0057342F"/>
    <w:rsid w:val="00576310"/>
    <w:rsid w:val="00580256"/>
    <w:rsid w:val="00593AAD"/>
    <w:rsid w:val="00593E73"/>
    <w:rsid w:val="0059446B"/>
    <w:rsid w:val="005950CF"/>
    <w:rsid w:val="00595CF5"/>
    <w:rsid w:val="005964A2"/>
    <w:rsid w:val="005A4E37"/>
    <w:rsid w:val="005A7171"/>
    <w:rsid w:val="005B1B4D"/>
    <w:rsid w:val="005B4482"/>
    <w:rsid w:val="005B739F"/>
    <w:rsid w:val="005C1A10"/>
    <w:rsid w:val="005D459C"/>
    <w:rsid w:val="005D6225"/>
    <w:rsid w:val="005D6AA5"/>
    <w:rsid w:val="005E116D"/>
    <w:rsid w:val="005E27C4"/>
    <w:rsid w:val="005E5B88"/>
    <w:rsid w:val="0060106D"/>
    <w:rsid w:val="006139DD"/>
    <w:rsid w:val="00620CEE"/>
    <w:rsid w:val="00626C6B"/>
    <w:rsid w:val="00630065"/>
    <w:rsid w:val="006369D3"/>
    <w:rsid w:val="006400C5"/>
    <w:rsid w:val="00642E2D"/>
    <w:rsid w:val="00651338"/>
    <w:rsid w:val="00651B46"/>
    <w:rsid w:val="00656AE8"/>
    <w:rsid w:val="006709DF"/>
    <w:rsid w:val="00675A39"/>
    <w:rsid w:val="006762B0"/>
    <w:rsid w:val="006812B1"/>
    <w:rsid w:val="00686B9D"/>
    <w:rsid w:val="0069082B"/>
    <w:rsid w:val="00691356"/>
    <w:rsid w:val="0069288B"/>
    <w:rsid w:val="006A4DFB"/>
    <w:rsid w:val="006A53C2"/>
    <w:rsid w:val="006B4236"/>
    <w:rsid w:val="006B6A4B"/>
    <w:rsid w:val="006B7D9C"/>
    <w:rsid w:val="006C01F4"/>
    <w:rsid w:val="006C2C6F"/>
    <w:rsid w:val="006C3180"/>
    <w:rsid w:val="006D380D"/>
    <w:rsid w:val="006D5E69"/>
    <w:rsid w:val="00707744"/>
    <w:rsid w:val="00712689"/>
    <w:rsid w:val="00716C96"/>
    <w:rsid w:val="007179AC"/>
    <w:rsid w:val="0072242D"/>
    <w:rsid w:val="00722E5A"/>
    <w:rsid w:val="00730334"/>
    <w:rsid w:val="0074179A"/>
    <w:rsid w:val="0074244C"/>
    <w:rsid w:val="00744962"/>
    <w:rsid w:val="0074699A"/>
    <w:rsid w:val="00760FD7"/>
    <w:rsid w:val="00762428"/>
    <w:rsid w:val="00765700"/>
    <w:rsid w:val="00766C96"/>
    <w:rsid w:val="00767995"/>
    <w:rsid w:val="007838AF"/>
    <w:rsid w:val="00786037"/>
    <w:rsid w:val="00793118"/>
    <w:rsid w:val="007967E0"/>
    <w:rsid w:val="007A08B8"/>
    <w:rsid w:val="007A0E2F"/>
    <w:rsid w:val="007A1BD3"/>
    <w:rsid w:val="007A60C6"/>
    <w:rsid w:val="007A6120"/>
    <w:rsid w:val="007B62C9"/>
    <w:rsid w:val="007C0A53"/>
    <w:rsid w:val="007C2F92"/>
    <w:rsid w:val="007C3AD9"/>
    <w:rsid w:val="007D7475"/>
    <w:rsid w:val="007E22FB"/>
    <w:rsid w:val="007E4F6C"/>
    <w:rsid w:val="007F06A9"/>
    <w:rsid w:val="007F0788"/>
    <w:rsid w:val="007F2A5A"/>
    <w:rsid w:val="007F635F"/>
    <w:rsid w:val="00804F68"/>
    <w:rsid w:val="00806688"/>
    <w:rsid w:val="00806B77"/>
    <w:rsid w:val="00807690"/>
    <w:rsid w:val="008101A1"/>
    <w:rsid w:val="00811CD5"/>
    <w:rsid w:val="008160EE"/>
    <w:rsid w:val="00821FFC"/>
    <w:rsid w:val="00825911"/>
    <w:rsid w:val="008332F3"/>
    <w:rsid w:val="0083760F"/>
    <w:rsid w:val="00837E69"/>
    <w:rsid w:val="00837FAB"/>
    <w:rsid w:val="00842195"/>
    <w:rsid w:val="008426AE"/>
    <w:rsid w:val="00847E46"/>
    <w:rsid w:val="00850C19"/>
    <w:rsid w:val="00852A0D"/>
    <w:rsid w:val="00855EB1"/>
    <w:rsid w:val="008628AD"/>
    <w:rsid w:val="008667B3"/>
    <w:rsid w:val="00870BAB"/>
    <w:rsid w:val="00870F11"/>
    <w:rsid w:val="00872E55"/>
    <w:rsid w:val="00876452"/>
    <w:rsid w:val="00877F83"/>
    <w:rsid w:val="00886605"/>
    <w:rsid w:val="00895007"/>
    <w:rsid w:val="008A4BF9"/>
    <w:rsid w:val="008A51B6"/>
    <w:rsid w:val="008B29BA"/>
    <w:rsid w:val="008B3D4D"/>
    <w:rsid w:val="008B43E1"/>
    <w:rsid w:val="008B5013"/>
    <w:rsid w:val="008B60CC"/>
    <w:rsid w:val="008C2176"/>
    <w:rsid w:val="008D1F13"/>
    <w:rsid w:val="008E02D7"/>
    <w:rsid w:val="008E3A84"/>
    <w:rsid w:val="008E5375"/>
    <w:rsid w:val="008F6940"/>
    <w:rsid w:val="00901345"/>
    <w:rsid w:val="00921B3D"/>
    <w:rsid w:val="00941F57"/>
    <w:rsid w:val="0094244E"/>
    <w:rsid w:val="00944009"/>
    <w:rsid w:val="00953BBB"/>
    <w:rsid w:val="00955E7B"/>
    <w:rsid w:val="00966F35"/>
    <w:rsid w:val="009810CD"/>
    <w:rsid w:val="009A11BC"/>
    <w:rsid w:val="009A1F71"/>
    <w:rsid w:val="009A7DA1"/>
    <w:rsid w:val="009B0015"/>
    <w:rsid w:val="009B02BC"/>
    <w:rsid w:val="009B1F17"/>
    <w:rsid w:val="009B5496"/>
    <w:rsid w:val="009B57BD"/>
    <w:rsid w:val="009B640A"/>
    <w:rsid w:val="009D2142"/>
    <w:rsid w:val="009D4768"/>
    <w:rsid w:val="009D770C"/>
    <w:rsid w:val="009E0EB4"/>
    <w:rsid w:val="00A0265A"/>
    <w:rsid w:val="00A02E37"/>
    <w:rsid w:val="00A03F13"/>
    <w:rsid w:val="00A0513A"/>
    <w:rsid w:val="00A12909"/>
    <w:rsid w:val="00A1507F"/>
    <w:rsid w:val="00A2009B"/>
    <w:rsid w:val="00A30C0A"/>
    <w:rsid w:val="00A36088"/>
    <w:rsid w:val="00A54E8C"/>
    <w:rsid w:val="00A55DE4"/>
    <w:rsid w:val="00A74A9C"/>
    <w:rsid w:val="00A814A0"/>
    <w:rsid w:val="00A83357"/>
    <w:rsid w:val="00A84299"/>
    <w:rsid w:val="00A915F8"/>
    <w:rsid w:val="00A94EB8"/>
    <w:rsid w:val="00A95335"/>
    <w:rsid w:val="00AA3784"/>
    <w:rsid w:val="00AB3E23"/>
    <w:rsid w:val="00AB4CDC"/>
    <w:rsid w:val="00AC4D39"/>
    <w:rsid w:val="00AC6C18"/>
    <w:rsid w:val="00AD2CE6"/>
    <w:rsid w:val="00AE2305"/>
    <w:rsid w:val="00AE35C1"/>
    <w:rsid w:val="00AE48AF"/>
    <w:rsid w:val="00AE4A5E"/>
    <w:rsid w:val="00AE6DEB"/>
    <w:rsid w:val="00AF576C"/>
    <w:rsid w:val="00B022F4"/>
    <w:rsid w:val="00B032BC"/>
    <w:rsid w:val="00B04FF9"/>
    <w:rsid w:val="00B11BA9"/>
    <w:rsid w:val="00B17B3A"/>
    <w:rsid w:val="00B216D7"/>
    <w:rsid w:val="00B34B29"/>
    <w:rsid w:val="00B35CB4"/>
    <w:rsid w:val="00B379CE"/>
    <w:rsid w:val="00B438F7"/>
    <w:rsid w:val="00B5575B"/>
    <w:rsid w:val="00B60E4C"/>
    <w:rsid w:val="00B670F9"/>
    <w:rsid w:val="00B67B94"/>
    <w:rsid w:val="00B71618"/>
    <w:rsid w:val="00B74662"/>
    <w:rsid w:val="00B74BC0"/>
    <w:rsid w:val="00B75BF1"/>
    <w:rsid w:val="00B85BD1"/>
    <w:rsid w:val="00BA2EC0"/>
    <w:rsid w:val="00BA33D9"/>
    <w:rsid w:val="00BA3DA5"/>
    <w:rsid w:val="00BA4071"/>
    <w:rsid w:val="00BA47CA"/>
    <w:rsid w:val="00BA4C95"/>
    <w:rsid w:val="00BA7B4D"/>
    <w:rsid w:val="00BB529D"/>
    <w:rsid w:val="00BC0D39"/>
    <w:rsid w:val="00BC3F34"/>
    <w:rsid w:val="00BD2B83"/>
    <w:rsid w:val="00BD5BF5"/>
    <w:rsid w:val="00BD6A3D"/>
    <w:rsid w:val="00BD7994"/>
    <w:rsid w:val="00BF2293"/>
    <w:rsid w:val="00C0007C"/>
    <w:rsid w:val="00C00B56"/>
    <w:rsid w:val="00C010BB"/>
    <w:rsid w:val="00C02F8A"/>
    <w:rsid w:val="00C03D18"/>
    <w:rsid w:val="00C04E09"/>
    <w:rsid w:val="00C11463"/>
    <w:rsid w:val="00C12FD3"/>
    <w:rsid w:val="00C136EE"/>
    <w:rsid w:val="00C138A2"/>
    <w:rsid w:val="00C138BF"/>
    <w:rsid w:val="00C17D81"/>
    <w:rsid w:val="00C22D22"/>
    <w:rsid w:val="00C26C13"/>
    <w:rsid w:val="00C32F06"/>
    <w:rsid w:val="00C347C5"/>
    <w:rsid w:val="00C35ECA"/>
    <w:rsid w:val="00C36EF8"/>
    <w:rsid w:val="00C417FC"/>
    <w:rsid w:val="00C45ECA"/>
    <w:rsid w:val="00C47DB2"/>
    <w:rsid w:val="00C51419"/>
    <w:rsid w:val="00C53506"/>
    <w:rsid w:val="00C55546"/>
    <w:rsid w:val="00C61E78"/>
    <w:rsid w:val="00C67AE7"/>
    <w:rsid w:val="00C70204"/>
    <w:rsid w:val="00C731E8"/>
    <w:rsid w:val="00C7414A"/>
    <w:rsid w:val="00C763C3"/>
    <w:rsid w:val="00C76956"/>
    <w:rsid w:val="00C8496C"/>
    <w:rsid w:val="00C95ED4"/>
    <w:rsid w:val="00C95F2A"/>
    <w:rsid w:val="00CA1A88"/>
    <w:rsid w:val="00CB48A3"/>
    <w:rsid w:val="00CB4B6C"/>
    <w:rsid w:val="00CB7025"/>
    <w:rsid w:val="00CC2F0D"/>
    <w:rsid w:val="00CC476B"/>
    <w:rsid w:val="00CD3D63"/>
    <w:rsid w:val="00CD4434"/>
    <w:rsid w:val="00CD61CE"/>
    <w:rsid w:val="00CE02AB"/>
    <w:rsid w:val="00CE159D"/>
    <w:rsid w:val="00CE3607"/>
    <w:rsid w:val="00CE6EA4"/>
    <w:rsid w:val="00CF33CF"/>
    <w:rsid w:val="00CF6B08"/>
    <w:rsid w:val="00D10637"/>
    <w:rsid w:val="00D11B94"/>
    <w:rsid w:val="00D22878"/>
    <w:rsid w:val="00D233CB"/>
    <w:rsid w:val="00D23A71"/>
    <w:rsid w:val="00D23AFE"/>
    <w:rsid w:val="00D24CA8"/>
    <w:rsid w:val="00D32D7C"/>
    <w:rsid w:val="00D3319B"/>
    <w:rsid w:val="00D37EBE"/>
    <w:rsid w:val="00D40069"/>
    <w:rsid w:val="00D4502E"/>
    <w:rsid w:val="00D51EFD"/>
    <w:rsid w:val="00D5485E"/>
    <w:rsid w:val="00D57A02"/>
    <w:rsid w:val="00D61808"/>
    <w:rsid w:val="00D64298"/>
    <w:rsid w:val="00D659B7"/>
    <w:rsid w:val="00D75351"/>
    <w:rsid w:val="00D82CEA"/>
    <w:rsid w:val="00D85E4D"/>
    <w:rsid w:val="00D92EA5"/>
    <w:rsid w:val="00D949F8"/>
    <w:rsid w:val="00DA3AF0"/>
    <w:rsid w:val="00DA7524"/>
    <w:rsid w:val="00DB0642"/>
    <w:rsid w:val="00DC047E"/>
    <w:rsid w:val="00DC2E8F"/>
    <w:rsid w:val="00DC4E54"/>
    <w:rsid w:val="00DD27A1"/>
    <w:rsid w:val="00DD36EA"/>
    <w:rsid w:val="00DE17C9"/>
    <w:rsid w:val="00DE1FA6"/>
    <w:rsid w:val="00DE3746"/>
    <w:rsid w:val="00DE6554"/>
    <w:rsid w:val="00DE6C2D"/>
    <w:rsid w:val="00DE7F0F"/>
    <w:rsid w:val="00DF13BF"/>
    <w:rsid w:val="00DF599A"/>
    <w:rsid w:val="00DF7AC1"/>
    <w:rsid w:val="00E06771"/>
    <w:rsid w:val="00E100C0"/>
    <w:rsid w:val="00E1304B"/>
    <w:rsid w:val="00E1443B"/>
    <w:rsid w:val="00E16C98"/>
    <w:rsid w:val="00E32C01"/>
    <w:rsid w:val="00E356BE"/>
    <w:rsid w:val="00E3652D"/>
    <w:rsid w:val="00E4328E"/>
    <w:rsid w:val="00E55331"/>
    <w:rsid w:val="00E578C5"/>
    <w:rsid w:val="00E64472"/>
    <w:rsid w:val="00E64CE3"/>
    <w:rsid w:val="00E65671"/>
    <w:rsid w:val="00E70A5E"/>
    <w:rsid w:val="00E76F21"/>
    <w:rsid w:val="00E803B2"/>
    <w:rsid w:val="00E8087A"/>
    <w:rsid w:val="00E80BB0"/>
    <w:rsid w:val="00E839CF"/>
    <w:rsid w:val="00E86F80"/>
    <w:rsid w:val="00E96BB7"/>
    <w:rsid w:val="00EA7FC8"/>
    <w:rsid w:val="00EB4BCA"/>
    <w:rsid w:val="00EC0C2C"/>
    <w:rsid w:val="00EC1E62"/>
    <w:rsid w:val="00EC4493"/>
    <w:rsid w:val="00EC48E3"/>
    <w:rsid w:val="00EC6212"/>
    <w:rsid w:val="00ED48AF"/>
    <w:rsid w:val="00ED5FA9"/>
    <w:rsid w:val="00EE12DE"/>
    <w:rsid w:val="00EE533D"/>
    <w:rsid w:val="00F07B8C"/>
    <w:rsid w:val="00F115B2"/>
    <w:rsid w:val="00F12AB8"/>
    <w:rsid w:val="00F13C1E"/>
    <w:rsid w:val="00F31677"/>
    <w:rsid w:val="00F31F38"/>
    <w:rsid w:val="00F33AE4"/>
    <w:rsid w:val="00F34A79"/>
    <w:rsid w:val="00F35438"/>
    <w:rsid w:val="00F43160"/>
    <w:rsid w:val="00F4546D"/>
    <w:rsid w:val="00F459E6"/>
    <w:rsid w:val="00F45EC7"/>
    <w:rsid w:val="00F4656B"/>
    <w:rsid w:val="00F47831"/>
    <w:rsid w:val="00F514DF"/>
    <w:rsid w:val="00F554DF"/>
    <w:rsid w:val="00F57A50"/>
    <w:rsid w:val="00F6667B"/>
    <w:rsid w:val="00F77E01"/>
    <w:rsid w:val="00F80ED1"/>
    <w:rsid w:val="00FA0337"/>
    <w:rsid w:val="00FA5ACB"/>
    <w:rsid w:val="00FA5BF5"/>
    <w:rsid w:val="00FB199B"/>
    <w:rsid w:val="00FB1A2C"/>
    <w:rsid w:val="00FB4BBA"/>
    <w:rsid w:val="00FC3C7B"/>
    <w:rsid w:val="00FD742A"/>
    <w:rsid w:val="00FE153A"/>
    <w:rsid w:val="00FE20EF"/>
    <w:rsid w:val="00FE212C"/>
    <w:rsid w:val="00FE2B8E"/>
    <w:rsid w:val="00FE4308"/>
    <w:rsid w:val="00FE5167"/>
    <w:rsid w:val="00FF35F5"/>
    <w:rsid w:val="00FF57DF"/>
    <w:rsid w:val="00FF6D14"/>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9B67"/>
  <w15:docId w15:val="{19F856D0-8DEC-4420-8AE3-59198D55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95007"/>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895007"/>
    <w:rPr>
      <w:rFonts w:ascii="Consolas" w:eastAsiaTheme="minorEastAsia" w:hAnsi="Consolas"/>
      <w:sz w:val="21"/>
      <w:szCs w:val="21"/>
    </w:rPr>
  </w:style>
  <w:style w:type="paragraph" w:styleId="ListParagraph">
    <w:name w:val="List Paragraph"/>
    <w:basedOn w:val="Normal"/>
    <w:uiPriority w:val="34"/>
    <w:qFormat/>
    <w:rsid w:val="00497603"/>
    <w:pPr>
      <w:spacing w:after="0" w:line="240" w:lineRule="auto"/>
      <w:ind w:left="720"/>
      <w:contextualSpacing/>
    </w:pPr>
  </w:style>
  <w:style w:type="paragraph" w:styleId="Header">
    <w:name w:val="header"/>
    <w:basedOn w:val="Normal"/>
    <w:link w:val="HeaderChar"/>
    <w:uiPriority w:val="99"/>
    <w:unhideWhenUsed/>
    <w:rsid w:val="00FA5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F5"/>
  </w:style>
  <w:style w:type="paragraph" w:styleId="Footer">
    <w:name w:val="footer"/>
    <w:basedOn w:val="Normal"/>
    <w:link w:val="FooterChar"/>
    <w:uiPriority w:val="99"/>
    <w:unhideWhenUsed/>
    <w:rsid w:val="00FA5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F5"/>
  </w:style>
  <w:style w:type="paragraph" w:styleId="BalloonText">
    <w:name w:val="Balloon Text"/>
    <w:basedOn w:val="Normal"/>
    <w:link w:val="BalloonTextChar"/>
    <w:uiPriority w:val="99"/>
    <w:semiHidden/>
    <w:unhideWhenUsed/>
    <w:rsid w:val="00594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46B"/>
    <w:rPr>
      <w:rFonts w:ascii="Segoe UI" w:hAnsi="Segoe UI" w:cs="Segoe UI"/>
      <w:sz w:val="18"/>
      <w:szCs w:val="18"/>
    </w:rPr>
  </w:style>
  <w:style w:type="character" w:styleId="CommentReference">
    <w:name w:val="annotation reference"/>
    <w:basedOn w:val="DefaultParagraphFont"/>
    <w:uiPriority w:val="99"/>
    <w:semiHidden/>
    <w:unhideWhenUsed/>
    <w:rsid w:val="004F45D1"/>
    <w:rPr>
      <w:sz w:val="16"/>
      <w:szCs w:val="16"/>
    </w:rPr>
  </w:style>
  <w:style w:type="paragraph" w:styleId="CommentText">
    <w:name w:val="annotation text"/>
    <w:basedOn w:val="Normal"/>
    <w:link w:val="CommentTextChar"/>
    <w:uiPriority w:val="99"/>
    <w:semiHidden/>
    <w:unhideWhenUsed/>
    <w:rsid w:val="004F45D1"/>
    <w:pPr>
      <w:spacing w:line="240" w:lineRule="auto"/>
    </w:pPr>
    <w:rPr>
      <w:sz w:val="20"/>
      <w:szCs w:val="20"/>
    </w:rPr>
  </w:style>
  <w:style w:type="character" w:customStyle="1" w:styleId="CommentTextChar">
    <w:name w:val="Comment Text Char"/>
    <w:basedOn w:val="DefaultParagraphFont"/>
    <w:link w:val="CommentText"/>
    <w:uiPriority w:val="99"/>
    <w:semiHidden/>
    <w:rsid w:val="004F45D1"/>
    <w:rPr>
      <w:sz w:val="20"/>
      <w:szCs w:val="20"/>
    </w:rPr>
  </w:style>
  <w:style w:type="paragraph" w:styleId="CommentSubject">
    <w:name w:val="annotation subject"/>
    <w:basedOn w:val="CommentText"/>
    <w:next w:val="CommentText"/>
    <w:link w:val="CommentSubjectChar"/>
    <w:uiPriority w:val="99"/>
    <w:semiHidden/>
    <w:unhideWhenUsed/>
    <w:rsid w:val="004F45D1"/>
    <w:rPr>
      <w:b/>
      <w:bCs/>
    </w:rPr>
  </w:style>
  <w:style w:type="character" w:customStyle="1" w:styleId="CommentSubjectChar">
    <w:name w:val="Comment Subject Char"/>
    <w:basedOn w:val="CommentTextChar"/>
    <w:link w:val="CommentSubject"/>
    <w:uiPriority w:val="99"/>
    <w:semiHidden/>
    <w:rsid w:val="004F45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057536">
      <w:bodyDiv w:val="1"/>
      <w:marLeft w:val="0"/>
      <w:marRight w:val="0"/>
      <w:marTop w:val="0"/>
      <w:marBottom w:val="0"/>
      <w:divBdr>
        <w:top w:val="none" w:sz="0" w:space="0" w:color="auto"/>
        <w:left w:val="none" w:sz="0" w:space="0" w:color="auto"/>
        <w:bottom w:val="none" w:sz="0" w:space="0" w:color="auto"/>
        <w:right w:val="none" w:sz="0" w:space="0" w:color="auto"/>
      </w:divBdr>
    </w:div>
    <w:div w:id="1048408463">
      <w:bodyDiv w:val="1"/>
      <w:marLeft w:val="0"/>
      <w:marRight w:val="0"/>
      <w:marTop w:val="0"/>
      <w:marBottom w:val="0"/>
      <w:divBdr>
        <w:top w:val="none" w:sz="0" w:space="0" w:color="auto"/>
        <w:left w:val="none" w:sz="0" w:space="0" w:color="auto"/>
        <w:bottom w:val="none" w:sz="0" w:space="0" w:color="auto"/>
        <w:right w:val="none" w:sz="0" w:space="0" w:color="auto"/>
      </w:divBdr>
    </w:div>
    <w:div w:id="150170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ketNumber xmlns="dc463f71-b30c-4ab2-9473-d307f9d35888">131723</DocketNumber>
    <IndustryCode xmlns="dc463f71-b30c-4ab2-9473-d307f9d35888">140</IndustryCode>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2013-09-12T07:00:00+00:00</OpenedDate>
    <Date1 xmlns="dc463f71-b30c-4ab2-9473-d307f9d35888">2015-03-13T07:00:00+00:00</Date1>
    <IsDocumentOrder xmlns="dc463f71-b30c-4ab2-9473-d307f9d35888">true</IsDocumentOrder>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82441AA-8A38-44D1-9E2A-FE14E0654562}"/>
</file>

<file path=customXml/itemProps2.xml><?xml version="1.0" encoding="utf-8"?>
<ds:datastoreItem xmlns:ds="http://schemas.openxmlformats.org/officeDocument/2006/customXml" ds:itemID="{8DB4C682-B13F-40B1-93C8-472C5BD102CD}"/>
</file>

<file path=customXml/itemProps3.xml><?xml version="1.0" encoding="utf-8"?>
<ds:datastoreItem xmlns:ds="http://schemas.openxmlformats.org/officeDocument/2006/customXml" ds:itemID="{CA932675-8451-42B6-8ABB-7F6307947F53}"/>
</file>

<file path=customXml/itemProps4.xml><?xml version="1.0" encoding="utf-8"?>
<ds:datastoreItem xmlns:ds="http://schemas.openxmlformats.org/officeDocument/2006/customXml" ds:itemID="{E180C053-4E88-463D-AAA5-BED3350B45C2}"/>
</file>

<file path=customXml/itemProps5.xml><?xml version="1.0" encoding="utf-8"?>
<ds:datastoreItem xmlns:ds="http://schemas.openxmlformats.org/officeDocument/2006/customXml" ds:itemID="{ACFF48F0-8023-4BAA-96F9-819E28590331}"/>
</file>

<file path=docProps/app.xml><?xml version="1.0" encoding="utf-8"?>
<Properties xmlns="http://schemas.openxmlformats.org/officeDocument/2006/extended-properties" xmlns:vt="http://schemas.openxmlformats.org/officeDocument/2006/docPropsVTypes">
  <Template>Normal</Template>
  <TotalTime>1</TotalTime>
  <Pages>17</Pages>
  <Words>6250</Words>
  <Characters>35626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OC CR-102 Comment Summary 10.6.14</vt:lpstr>
    </vt:vector>
  </TitlesOfParts>
  <Company/>
  <LinksUpToDate>false</LinksUpToDate>
  <CharactersWithSpaces>41793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 CR-102 Comment Summary 10.6.14</dc:title>
  <dc:subject/>
  <dc:creator>Zakai, Yochi (UTC)</dc:creator>
  <cp:keywords/>
  <dc:description/>
  <cp:lastModifiedBy>Walker, Kippi (UTC)</cp:lastModifiedBy>
  <cp:revision>2</cp:revision>
  <cp:lastPrinted>2015-03-11T16:44:00Z</cp:lastPrinted>
  <dcterms:created xsi:type="dcterms:W3CDTF">2015-03-11T17:00:00Z</dcterms:created>
  <dcterms:modified xsi:type="dcterms:W3CDTF">2015-03-11T17:00:00Z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0x0101006E56B4D1795A2E4DB2F0B01679ED314A0031828D9AD7978C44B84C17DE6D43F527</vt:lpwstr>
  </property>
  <property fmtid="{D5CDD505-2E9C-101B-9397-08002B2CF9AE}" pid="3" name="_docset_NoMedatataSyncRequired">
    <vt:lpwstr>False</vt:lpwstr>
  </property>
</Properties>
</file>