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7" w:rsidRPr="000963A7" w:rsidRDefault="000963A7" w:rsidP="000963A7">
      <w:pPr>
        <w:spacing w:after="0" w:line="240" w:lineRule="auto"/>
        <w:rPr>
          <w:szCs w:val="24"/>
        </w:rPr>
      </w:pPr>
      <w:bookmarkStart w:id="0" w:name="_GoBack"/>
      <w:bookmarkEnd w:id="0"/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tabs>
          <w:tab w:val="center" w:pos="468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June 21, 2011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David W. Danner, Executive Director and Secretary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Washington Utilities and Transportation Commission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1300 S. Evergreen Park Dr. SW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 xml:space="preserve">P. O. Box 47250 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Olympia, Washington  98504-7250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RE:</w:t>
      </w:r>
      <w:r w:rsidRPr="000963A7">
        <w:rPr>
          <w:szCs w:val="24"/>
        </w:rPr>
        <w:tab/>
      </w:r>
      <w:r w:rsidRPr="000963A7">
        <w:rPr>
          <w:i/>
          <w:szCs w:val="24"/>
        </w:rPr>
        <w:t xml:space="preserve">Avista 2011 General Rate Case 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ab/>
        <w:t xml:space="preserve">Dockets UE-110876 and UG-110877 (Consolidated)  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 xml:space="preserve">Dear Mr. Danner:  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A831B7" w:rsidRDefault="00210F96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 xml:space="preserve">At the June 16, 2011, prehearing conference, ALJ Friedlander </w:t>
      </w:r>
      <w:r w:rsidR="0094047B" w:rsidRPr="000963A7">
        <w:rPr>
          <w:szCs w:val="24"/>
        </w:rPr>
        <w:t xml:space="preserve">noted that any </w:t>
      </w:r>
      <w:r w:rsidRPr="000963A7">
        <w:rPr>
          <w:szCs w:val="24"/>
        </w:rPr>
        <w:t xml:space="preserve">request for decoupling or </w:t>
      </w:r>
      <w:r w:rsidR="002B0C2A" w:rsidRPr="000963A7">
        <w:rPr>
          <w:szCs w:val="24"/>
        </w:rPr>
        <w:t>“limited decoupling” (</w:t>
      </w:r>
      <w:r w:rsidR="0094047B" w:rsidRPr="000963A7">
        <w:rPr>
          <w:szCs w:val="24"/>
        </w:rPr>
        <w:t>e.g.</w:t>
      </w:r>
      <w:r w:rsidR="002B0C2A" w:rsidRPr="000963A7">
        <w:rPr>
          <w:szCs w:val="24"/>
        </w:rPr>
        <w:t xml:space="preserve">, </w:t>
      </w:r>
      <w:r w:rsidRPr="000963A7">
        <w:rPr>
          <w:szCs w:val="24"/>
        </w:rPr>
        <w:t>lost margin recovery</w:t>
      </w:r>
      <w:r w:rsidR="002B0C2A" w:rsidRPr="000963A7">
        <w:rPr>
          <w:szCs w:val="24"/>
        </w:rPr>
        <w:t>)</w:t>
      </w:r>
      <w:r w:rsidR="0094047B" w:rsidRPr="000963A7">
        <w:rPr>
          <w:szCs w:val="24"/>
        </w:rPr>
        <w:t xml:space="preserve"> </w:t>
      </w:r>
      <w:r w:rsidRPr="000963A7">
        <w:rPr>
          <w:szCs w:val="24"/>
        </w:rPr>
        <w:t>should be made in the context of the Commission’s policy statement in Docket U-100522</w:t>
      </w:r>
      <w:r w:rsidR="00316B2E" w:rsidRPr="000963A7">
        <w:rPr>
          <w:szCs w:val="24"/>
        </w:rPr>
        <w:t xml:space="preserve"> (entitled: “</w:t>
      </w:r>
      <w:r w:rsidR="00316B2E" w:rsidRPr="000963A7">
        <w:rPr>
          <w:rFonts w:eastAsia="Times New Roman"/>
          <w:szCs w:val="24"/>
        </w:rPr>
        <w:t>Regulatory Mechanisms, Including Decoupling, to Encourage Utilities to Meet or Exceed Their Conservation Targets”)</w:t>
      </w:r>
      <w:r w:rsidR="0094047B" w:rsidRPr="000963A7">
        <w:rPr>
          <w:rFonts w:eastAsia="Times New Roman"/>
          <w:szCs w:val="24"/>
        </w:rPr>
        <w:t xml:space="preserve">.  The ALJ </w:t>
      </w:r>
      <w:r w:rsidRPr="000963A7">
        <w:rPr>
          <w:szCs w:val="24"/>
        </w:rPr>
        <w:t xml:space="preserve">requested each party to comment on whether that is feasible. </w:t>
      </w:r>
    </w:p>
    <w:p w:rsidR="00C47BDD" w:rsidRPr="000963A7" w:rsidRDefault="00C47BDD" w:rsidP="000963A7">
      <w:pPr>
        <w:spacing w:after="0" w:line="240" w:lineRule="auto"/>
        <w:rPr>
          <w:szCs w:val="24"/>
        </w:rPr>
      </w:pPr>
    </w:p>
    <w:p w:rsidR="002711E3" w:rsidRDefault="00210F96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Staff</w:t>
      </w:r>
      <w:r w:rsidR="00316B2E" w:rsidRPr="000963A7">
        <w:rPr>
          <w:szCs w:val="24"/>
        </w:rPr>
        <w:t>’s</w:t>
      </w:r>
      <w:r w:rsidRPr="000963A7">
        <w:rPr>
          <w:szCs w:val="24"/>
        </w:rPr>
        <w:t xml:space="preserve"> respon</w:t>
      </w:r>
      <w:r w:rsidR="00316B2E" w:rsidRPr="000963A7">
        <w:rPr>
          <w:szCs w:val="24"/>
        </w:rPr>
        <w:t>se:  If</w:t>
      </w:r>
      <w:r w:rsidRPr="000963A7">
        <w:rPr>
          <w:szCs w:val="24"/>
        </w:rPr>
        <w:t xml:space="preserve"> Staff makes a proposal for decoupling</w:t>
      </w:r>
      <w:r w:rsidR="0094047B" w:rsidRPr="000963A7">
        <w:rPr>
          <w:szCs w:val="24"/>
        </w:rPr>
        <w:t xml:space="preserve">, partial or otherwise, </w:t>
      </w:r>
      <w:r w:rsidRPr="000963A7">
        <w:rPr>
          <w:szCs w:val="24"/>
        </w:rPr>
        <w:t xml:space="preserve">Staff </w:t>
      </w:r>
      <w:r w:rsidR="0094047B" w:rsidRPr="000963A7">
        <w:rPr>
          <w:szCs w:val="24"/>
        </w:rPr>
        <w:t xml:space="preserve">understands and </w:t>
      </w:r>
      <w:r w:rsidRPr="000963A7">
        <w:rPr>
          <w:szCs w:val="24"/>
        </w:rPr>
        <w:t>expect</w:t>
      </w:r>
      <w:r w:rsidR="0094047B" w:rsidRPr="000963A7">
        <w:rPr>
          <w:szCs w:val="24"/>
        </w:rPr>
        <w:t>s</w:t>
      </w:r>
      <w:r w:rsidRPr="000963A7">
        <w:rPr>
          <w:szCs w:val="24"/>
        </w:rPr>
        <w:t xml:space="preserve"> to address that proposal in the context of the Commission’s policy statement.</w:t>
      </w:r>
      <w:r w:rsidR="0094047B" w:rsidRPr="000963A7">
        <w:rPr>
          <w:szCs w:val="24"/>
        </w:rPr>
        <w:t xml:space="preserve">  </w:t>
      </w:r>
      <w:r w:rsidR="002711E3" w:rsidRPr="000963A7">
        <w:rPr>
          <w:szCs w:val="24"/>
        </w:rPr>
        <w:t xml:space="preserve">It is reasonable for the </w:t>
      </w:r>
      <w:r w:rsidR="0094047B" w:rsidRPr="000963A7">
        <w:rPr>
          <w:szCs w:val="24"/>
        </w:rPr>
        <w:t xml:space="preserve">Commission </w:t>
      </w:r>
      <w:r w:rsidR="002711E3" w:rsidRPr="000963A7">
        <w:rPr>
          <w:szCs w:val="24"/>
        </w:rPr>
        <w:t xml:space="preserve">to </w:t>
      </w:r>
      <w:r w:rsidR="0094047B" w:rsidRPr="000963A7">
        <w:rPr>
          <w:szCs w:val="24"/>
        </w:rPr>
        <w:t xml:space="preserve">expect </w:t>
      </w:r>
      <w:r w:rsidR="002711E3" w:rsidRPr="000963A7">
        <w:rPr>
          <w:szCs w:val="24"/>
        </w:rPr>
        <w:t xml:space="preserve">each </w:t>
      </w:r>
      <w:r w:rsidR="0094047B" w:rsidRPr="000963A7">
        <w:rPr>
          <w:szCs w:val="24"/>
        </w:rPr>
        <w:t xml:space="preserve">party </w:t>
      </w:r>
      <w:r w:rsidR="002711E3" w:rsidRPr="000963A7">
        <w:rPr>
          <w:szCs w:val="24"/>
        </w:rPr>
        <w:t xml:space="preserve">would </w:t>
      </w:r>
      <w:r w:rsidR="0094047B" w:rsidRPr="000963A7">
        <w:rPr>
          <w:szCs w:val="24"/>
        </w:rPr>
        <w:t xml:space="preserve">give appropriate heed to </w:t>
      </w:r>
      <w:r w:rsidR="002711E3" w:rsidRPr="000963A7">
        <w:rPr>
          <w:szCs w:val="24"/>
        </w:rPr>
        <w:t xml:space="preserve">applicable </w:t>
      </w:r>
      <w:r w:rsidR="0094047B" w:rsidRPr="000963A7">
        <w:rPr>
          <w:szCs w:val="24"/>
        </w:rPr>
        <w:t>policy statement</w:t>
      </w:r>
      <w:r w:rsidR="002711E3" w:rsidRPr="000963A7">
        <w:rPr>
          <w:szCs w:val="24"/>
        </w:rPr>
        <w:t>s, such as Docket U-100522</w:t>
      </w:r>
      <w:r w:rsidR="00C47BDD">
        <w:rPr>
          <w:szCs w:val="24"/>
        </w:rPr>
        <w:t>,</w:t>
      </w:r>
      <w:r w:rsidR="002711E3" w:rsidRPr="000963A7">
        <w:rPr>
          <w:szCs w:val="24"/>
        </w:rPr>
        <w:t xml:space="preserve"> in this case</w:t>
      </w:r>
      <w:r w:rsidR="0094047B" w:rsidRPr="000963A7">
        <w:rPr>
          <w:szCs w:val="24"/>
        </w:rPr>
        <w:t>.</w:t>
      </w:r>
      <w:r w:rsidRPr="000963A7">
        <w:rPr>
          <w:szCs w:val="24"/>
        </w:rPr>
        <w:t xml:space="preserve">  </w:t>
      </w:r>
    </w:p>
    <w:p w:rsidR="00C47BDD" w:rsidRPr="000963A7" w:rsidRDefault="00C47BDD" w:rsidP="000963A7">
      <w:pPr>
        <w:spacing w:after="0" w:line="240" w:lineRule="auto"/>
        <w:rPr>
          <w:szCs w:val="24"/>
        </w:rPr>
      </w:pPr>
    </w:p>
    <w:p w:rsidR="00210F96" w:rsidRDefault="00316B2E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C</w:t>
      </w:r>
      <w:r w:rsidR="00210F96" w:rsidRPr="000963A7">
        <w:rPr>
          <w:szCs w:val="24"/>
        </w:rPr>
        <w:t xml:space="preserve">onsequently, </w:t>
      </w:r>
      <w:r w:rsidR="002711E3" w:rsidRPr="000963A7">
        <w:rPr>
          <w:szCs w:val="24"/>
        </w:rPr>
        <w:t xml:space="preserve">in concept, </w:t>
      </w:r>
      <w:r w:rsidRPr="000963A7">
        <w:rPr>
          <w:szCs w:val="24"/>
        </w:rPr>
        <w:t xml:space="preserve">Staff sees no </w:t>
      </w:r>
      <w:r w:rsidR="00210F96" w:rsidRPr="000963A7">
        <w:rPr>
          <w:szCs w:val="24"/>
        </w:rPr>
        <w:t xml:space="preserve">feasibility </w:t>
      </w:r>
      <w:r w:rsidRPr="000963A7">
        <w:rPr>
          <w:szCs w:val="24"/>
        </w:rPr>
        <w:t xml:space="preserve">issue </w:t>
      </w:r>
      <w:r w:rsidR="00210F96" w:rsidRPr="000963A7">
        <w:rPr>
          <w:szCs w:val="24"/>
        </w:rPr>
        <w:t xml:space="preserve">in doing </w:t>
      </w:r>
      <w:r w:rsidR="00B51908" w:rsidRPr="000963A7">
        <w:rPr>
          <w:szCs w:val="24"/>
        </w:rPr>
        <w:t xml:space="preserve">what the Commission </w:t>
      </w:r>
      <w:r w:rsidR="0094047B" w:rsidRPr="000963A7">
        <w:rPr>
          <w:szCs w:val="24"/>
        </w:rPr>
        <w:t>should expect</w:t>
      </w:r>
      <w:r w:rsidR="00B51908" w:rsidRPr="000963A7">
        <w:rPr>
          <w:szCs w:val="24"/>
        </w:rPr>
        <w:t xml:space="preserve"> a party </w:t>
      </w:r>
      <w:r w:rsidR="0094047B" w:rsidRPr="000963A7">
        <w:rPr>
          <w:szCs w:val="24"/>
        </w:rPr>
        <w:t>to do</w:t>
      </w:r>
      <w:r w:rsidR="00210F96" w:rsidRPr="000963A7">
        <w:rPr>
          <w:szCs w:val="24"/>
        </w:rPr>
        <w:t>.</w:t>
      </w:r>
      <w:r w:rsidR="002711E3" w:rsidRPr="000963A7">
        <w:rPr>
          <w:szCs w:val="24"/>
        </w:rPr>
        <w:t xml:space="preserve">  In practice, </w:t>
      </w:r>
      <w:r w:rsidR="006F505A" w:rsidRPr="000963A7">
        <w:rPr>
          <w:szCs w:val="24"/>
        </w:rPr>
        <w:t xml:space="preserve">should Staff make a proposal for decoupling, </w:t>
      </w:r>
      <w:r w:rsidR="002711E3" w:rsidRPr="000963A7">
        <w:rPr>
          <w:szCs w:val="24"/>
        </w:rPr>
        <w:t>Staff sees no feasibility issue in addressing th</w:t>
      </w:r>
      <w:r w:rsidR="006F505A" w:rsidRPr="000963A7">
        <w:rPr>
          <w:szCs w:val="24"/>
        </w:rPr>
        <w:t>at proposal in the context of th</w:t>
      </w:r>
      <w:r w:rsidR="00C47BDD">
        <w:rPr>
          <w:szCs w:val="24"/>
        </w:rPr>
        <w:t>e policy statement in Docket U-</w:t>
      </w:r>
      <w:r w:rsidR="002711E3" w:rsidRPr="000963A7">
        <w:rPr>
          <w:szCs w:val="24"/>
        </w:rPr>
        <w:t>100522 in this case, consistent with the current schedule.</w:t>
      </w:r>
    </w:p>
    <w:p w:rsidR="00C47BDD" w:rsidRPr="000963A7" w:rsidRDefault="00C47BDD" w:rsidP="000963A7">
      <w:pPr>
        <w:spacing w:after="0" w:line="240" w:lineRule="auto"/>
        <w:rPr>
          <w:szCs w:val="24"/>
        </w:rPr>
      </w:pPr>
    </w:p>
    <w:p w:rsidR="002B0C2A" w:rsidRDefault="002B0C2A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If Staff has misunderstood the ALJ’s request, we reserve the right to respond after appropriate clarification.</w:t>
      </w:r>
    </w:p>
    <w:p w:rsidR="00C47BDD" w:rsidRPr="000963A7" w:rsidRDefault="00C47BDD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Sincerely,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DONALD T. TROTTER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 xml:space="preserve">Assistant Attorney General 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DTT:klg</w:t>
      </w:r>
    </w:p>
    <w:p w:rsidR="000963A7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 xml:space="preserve">Enclosures </w:t>
      </w:r>
    </w:p>
    <w:p w:rsidR="00210F96" w:rsidRPr="000963A7" w:rsidRDefault="000963A7" w:rsidP="000963A7">
      <w:pPr>
        <w:spacing w:after="0" w:line="240" w:lineRule="auto"/>
        <w:rPr>
          <w:szCs w:val="24"/>
        </w:rPr>
      </w:pPr>
      <w:r w:rsidRPr="000963A7">
        <w:rPr>
          <w:szCs w:val="24"/>
        </w:rPr>
        <w:t>cc:  Parties</w:t>
      </w:r>
    </w:p>
    <w:sectPr w:rsidR="00210F96" w:rsidRPr="000963A7" w:rsidSect="00783681">
      <w:pgSz w:w="12240" w:h="15840"/>
      <w:pgMar w:top="1440" w:right="1440" w:bottom="864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6"/>
    <w:rsid w:val="000963A7"/>
    <w:rsid w:val="00210F96"/>
    <w:rsid w:val="002711E3"/>
    <w:rsid w:val="002B0C2A"/>
    <w:rsid w:val="00316B2E"/>
    <w:rsid w:val="004150D4"/>
    <w:rsid w:val="006F505A"/>
    <w:rsid w:val="00783681"/>
    <w:rsid w:val="008A5871"/>
    <w:rsid w:val="0094047B"/>
    <w:rsid w:val="00A831B7"/>
    <w:rsid w:val="00B51908"/>
    <w:rsid w:val="00C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8D3FC-39FC-4436-B08D-81AAB719572E}"/>
</file>

<file path=customXml/itemProps2.xml><?xml version="1.0" encoding="utf-8"?>
<ds:datastoreItem xmlns:ds="http://schemas.openxmlformats.org/officeDocument/2006/customXml" ds:itemID="{F41B321E-42FF-48AD-BC8B-A7D565DFBF28}"/>
</file>

<file path=customXml/itemProps3.xml><?xml version="1.0" encoding="utf-8"?>
<ds:datastoreItem xmlns:ds="http://schemas.openxmlformats.org/officeDocument/2006/customXml" ds:itemID="{751F6023-FE03-455B-A8C6-A68CD9870865}"/>
</file>

<file path=customXml/itemProps4.xml><?xml version="1.0" encoding="utf-8"?>
<ds:datastoreItem xmlns:ds="http://schemas.openxmlformats.org/officeDocument/2006/customXml" ds:itemID="{5FA11A40-8AE7-4F34-BE0A-815A5FB74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</dc:creator>
  <cp:keywords/>
  <dc:description/>
  <cp:lastModifiedBy>Krista Gross</cp:lastModifiedBy>
  <cp:revision>4</cp:revision>
  <dcterms:created xsi:type="dcterms:W3CDTF">2011-06-21T17:13:00Z</dcterms:created>
  <dcterms:modified xsi:type="dcterms:W3CDTF">2011-06-21T17:25:00Z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