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52" w:rsidRPr="00270C0F" w:rsidRDefault="00AF4648" w:rsidP="00FA0952">
      <w:pPr>
        <w:pStyle w:val="NoSpacing"/>
        <w:spacing w:line="264"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October 6, 2010]</w:t>
      </w:r>
    </w:p>
    <w:p w:rsidR="00FA0952" w:rsidRPr="009D3B3F" w:rsidRDefault="00FA0952" w:rsidP="00FA0952">
      <w:pPr>
        <w:pStyle w:val="NoSpacing"/>
        <w:spacing w:line="264" w:lineRule="auto"/>
        <w:rPr>
          <w:sz w:val="25"/>
          <w:szCs w:val="25"/>
        </w:rPr>
      </w:pPr>
    </w:p>
    <w:p w:rsidR="00FA0952" w:rsidRPr="009D3B3F" w:rsidRDefault="00FA0952" w:rsidP="00FA0952">
      <w:pPr>
        <w:pStyle w:val="NoSpacing"/>
        <w:spacing w:line="264" w:lineRule="auto"/>
        <w:rPr>
          <w:sz w:val="25"/>
          <w:szCs w:val="25"/>
        </w:rPr>
      </w:pPr>
    </w:p>
    <w:p w:rsidR="00FA0952" w:rsidRDefault="00FA0952" w:rsidP="00FA0952">
      <w:pPr>
        <w:pStyle w:val="NoSpacing"/>
        <w:spacing w:line="264" w:lineRule="auto"/>
        <w:rPr>
          <w:sz w:val="25"/>
          <w:szCs w:val="25"/>
        </w:rPr>
      </w:pPr>
    </w:p>
    <w:p w:rsidR="00305CEA" w:rsidRPr="009D3B3F" w:rsidRDefault="00305CEA" w:rsidP="00FA0952">
      <w:pPr>
        <w:pStyle w:val="NoSpacing"/>
        <w:spacing w:line="264" w:lineRule="auto"/>
        <w:rPr>
          <w:sz w:val="25"/>
          <w:szCs w:val="25"/>
        </w:rPr>
      </w:pPr>
    </w:p>
    <w:p w:rsidR="00FA0952" w:rsidRPr="009D3B3F" w:rsidRDefault="00FA0952" w:rsidP="00FA0952">
      <w:pPr>
        <w:pStyle w:val="NoSpacing"/>
        <w:spacing w:line="264" w:lineRule="auto"/>
        <w:jc w:val="center"/>
        <w:rPr>
          <w:sz w:val="25"/>
          <w:szCs w:val="25"/>
        </w:rPr>
      </w:pPr>
      <w:r w:rsidRPr="009D3B3F">
        <w:rPr>
          <w:sz w:val="25"/>
          <w:szCs w:val="25"/>
        </w:rPr>
        <w:t>October 6, 2010</w:t>
      </w:r>
    </w:p>
    <w:p w:rsidR="00FA0952" w:rsidRDefault="00FA0952" w:rsidP="00FA0952">
      <w:pPr>
        <w:pStyle w:val="NoSpacing"/>
        <w:spacing w:line="264" w:lineRule="auto"/>
        <w:rPr>
          <w:sz w:val="25"/>
          <w:szCs w:val="25"/>
        </w:rPr>
      </w:pPr>
    </w:p>
    <w:p w:rsidR="006B7F32" w:rsidRPr="009D3B3F" w:rsidRDefault="006B7F32" w:rsidP="00FA0952">
      <w:pPr>
        <w:pStyle w:val="NoSpacing"/>
        <w:spacing w:line="264" w:lineRule="auto"/>
        <w:rPr>
          <w:sz w:val="25"/>
          <w:szCs w:val="25"/>
        </w:rPr>
      </w:pPr>
    </w:p>
    <w:p w:rsidR="00305CEA" w:rsidRDefault="00305CEA" w:rsidP="00305CEA">
      <w:pPr>
        <w:pStyle w:val="NoSpacing"/>
        <w:spacing w:line="264" w:lineRule="auto"/>
        <w:jc w:val="center"/>
        <w:rPr>
          <w:b/>
          <w:sz w:val="25"/>
          <w:szCs w:val="25"/>
        </w:rPr>
      </w:pPr>
      <w:r w:rsidRPr="00946DE3">
        <w:rPr>
          <w:b/>
          <w:sz w:val="25"/>
          <w:szCs w:val="25"/>
        </w:rPr>
        <w:t xml:space="preserve">NOTICE OF PRESENTATION TO </w:t>
      </w:r>
    </w:p>
    <w:p w:rsidR="00305CEA" w:rsidRPr="00946DE3" w:rsidRDefault="00305CEA" w:rsidP="00305CEA">
      <w:pPr>
        <w:pStyle w:val="NoSpacing"/>
        <w:spacing w:line="264" w:lineRule="auto"/>
        <w:jc w:val="center"/>
        <w:rPr>
          <w:b/>
          <w:sz w:val="25"/>
          <w:szCs w:val="25"/>
        </w:rPr>
      </w:pPr>
      <w:r w:rsidRPr="00946DE3">
        <w:rPr>
          <w:b/>
          <w:sz w:val="25"/>
          <w:szCs w:val="25"/>
        </w:rPr>
        <w:t>THE STATE ENERGY STRATEGY ADVISORY COMMITTEE</w:t>
      </w:r>
    </w:p>
    <w:p w:rsidR="00FA0952" w:rsidRDefault="00FA0952" w:rsidP="00FA0952">
      <w:pPr>
        <w:pStyle w:val="NoSpacing"/>
        <w:spacing w:line="264" w:lineRule="auto"/>
        <w:rPr>
          <w:sz w:val="25"/>
          <w:szCs w:val="25"/>
        </w:rPr>
      </w:pPr>
    </w:p>
    <w:p w:rsidR="006B7F32" w:rsidRDefault="006B7F32" w:rsidP="00FA0952">
      <w:pPr>
        <w:pStyle w:val="NoSpacing"/>
        <w:spacing w:line="264" w:lineRule="auto"/>
        <w:rPr>
          <w:sz w:val="25"/>
          <w:szCs w:val="25"/>
        </w:rPr>
      </w:pPr>
    </w:p>
    <w:p w:rsidR="006B7F32" w:rsidRPr="009D3B3F" w:rsidRDefault="006B7F32" w:rsidP="00FA0952">
      <w:pPr>
        <w:pStyle w:val="NoSpacing"/>
        <w:spacing w:line="264" w:lineRule="auto"/>
        <w:rPr>
          <w:sz w:val="25"/>
          <w:szCs w:val="25"/>
        </w:rPr>
      </w:pPr>
    </w:p>
    <w:p w:rsidR="00FA0952" w:rsidRPr="009D3B3F" w:rsidRDefault="00FA0952" w:rsidP="00FA0952">
      <w:pPr>
        <w:pStyle w:val="NoSpacing"/>
        <w:spacing w:line="264" w:lineRule="auto"/>
        <w:rPr>
          <w:sz w:val="25"/>
          <w:szCs w:val="25"/>
        </w:rPr>
      </w:pPr>
      <w:r w:rsidRPr="009D3B3F">
        <w:rPr>
          <w:sz w:val="25"/>
          <w:szCs w:val="25"/>
        </w:rPr>
        <w:t>Re:</w:t>
      </w:r>
      <w:r w:rsidRPr="009D3B3F">
        <w:rPr>
          <w:sz w:val="25"/>
          <w:szCs w:val="25"/>
        </w:rPr>
        <w:tab/>
        <w:t>Conservation Incentive Inquiry– Rulemaking</w:t>
      </w:r>
    </w:p>
    <w:p w:rsidR="00FA0952" w:rsidRPr="009D3B3F" w:rsidRDefault="00FA0952" w:rsidP="00FA0952">
      <w:pPr>
        <w:pStyle w:val="NoSpacing"/>
        <w:spacing w:line="264" w:lineRule="auto"/>
        <w:ind w:firstLine="720"/>
        <w:rPr>
          <w:sz w:val="25"/>
          <w:szCs w:val="25"/>
        </w:rPr>
      </w:pPr>
      <w:r w:rsidRPr="009D3B3F">
        <w:rPr>
          <w:sz w:val="25"/>
          <w:szCs w:val="25"/>
        </w:rPr>
        <w:t>Docket U-100522</w:t>
      </w:r>
    </w:p>
    <w:p w:rsidR="00FA0952" w:rsidRPr="009D3B3F" w:rsidRDefault="00FA0952" w:rsidP="00FA0952">
      <w:pPr>
        <w:pStyle w:val="NoSpacing"/>
        <w:spacing w:line="264" w:lineRule="auto"/>
        <w:rPr>
          <w:sz w:val="25"/>
          <w:szCs w:val="25"/>
        </w:rPr>
      </w:pPr>
    </w:p>
    <w:p w:rsidR="00FA0952" w:rsidRPr="009D3B3F" w:rsidRDefault="00FA0952" w:rsidP="00FA0952">
      <w:pPr>
        <w:pStyle w:val="NoSpacing"/>
        <w:spacing w:line="264" w:lineRule="auto"/>
        <w:rPr>
          <w:sz w:val="25"/>
          <w:szCs w:val="25"/>
        </w:rPr>
      </w:pPr>
      <w:r w:rsidRPr="009D3B3F">
        <w:rPr>
          <w:sz w:val="25"/>
          <w:szCs w:val="25"/>
        </w:rPr>
        <w:t>TO ALL INTERESTED PERSONS:</w:t>
      </w:r>
    </w:p>
    <w:p w:rsidR="00FA0952" w:rsidRPr="009D3B3F" w:rsidRDefault="00FA0952" w:rsidP="00FA0952">
      <w:pPr>
        <w:pStyle w:val="NoSpacing"/>
        <w:spacing w:line="264" w:lineRule="auto"/>
        <w:rPr>
          <w:sz w:val="25"/>
          <w:szCs w:val="25"/>
        </w:rPr>
      </w:pPr>
    </w:p>
    <w:p w:rsidR="008E7379" w:rsidRPr="009D3B3F" w:rsidRDefault="004D5BDA" w:rsidP="00FA0952">
      <w:pPr>
        <w:pStyle w:val="NoSpacing"/>
        <w:spacing w:line="264" w:lineRule="auto"/>
        <w:rPr>
          <w:sz w:val="25"/>
          <w:szCs w:val="25"/>
        </w:rPr>
      </w:pPr>
      <w:r w:rsidRPr="009D3B3F">
        <w:rPr>
          <w:sz w:val="25"/>
          <w:szCs w:val="25"/>
        </w:rPr>
        <w:t xml:space="preserve">On October 5, 2010, Commissioners Goltz and Oshie </w:t>
      </w:r>
      <w:r w:rsidR="003314C3">
        <w:rPr>
          <w:sz w:val="25"/>
          <w:szCs w:val="25"/>
        </w:rPr>
        <w:t xml:space="preserve">attended a meeting of </w:t>
      </w:r>
      <w:r w:rsidRPr="009D3B3F">
        <w:rPr>
          <w:sz w:val="25"/>
          <w:szCs w:val="25"/>
        </w:rPr>
        <w:t>the State Energy Strategy Advisory Committee</w:t>
      </w:r>
      <w:r w:rsidR="003314C3">
        <w:rPr>
          <w:sz w:val="25"/>
          <w:szCs w:val="25"/>
        </w:rPr>
        <w:t xml:space="preserve"> in Spokane, where they made a presentation on the status of </w:t>
      </w:r>
      <w:r w:rsidRPr="009D3B3F">
        <w:rPr>
          <w:sz w:val="25"/>
          <w:szCs w:val="25"/>
        </w:rPr>
        <w:t xml:space="preserve">the Commission’s Inquiry on Conservation Incentives, </w:t>
      </w:r>
      <w:r w:rsidR="003314C3">
        <w:rPr>
          <w:sz w:val="25"/>
          <w:szCs w:val="25"/>
        </w:rPr>
        <w:t>Docket U-100522</w:t>
      </w:r>
      <w:r w:rsidRPr="009D3B3F">
        <w:rPr>
          <w:sz w:val="25"/>
          <w:szCs w:val="25"/>
        </w:rPr>
        <w:t xml:space="preserve">.  Commissioners Goltz and Oshie announced that the Commission would soon issue a policy statement pursuant to the Administrative Procedure Act that would </w:t>
      </w:r>
      <w:r w:rsidR="003314C3">
        <w:rPr>
          <w:sz w:val="25"/>
          <w:szCs w:val="25"/>
        </w:rPr>
        <w:t>address</w:t>
      </w:r>
      <w:r w:rsidRPr="009D3B3F">
        <w:rPr>
          <w:sz w:val="25"/>
          <w:szCs w:val="25"/>
        </w:rPr>
        <w:t xml:space="preserve"> the Commission’s receptivity to approving the following regulatory mechanisms:</w:t>
      </w:r>
    </w:p>
    <w:p w:rsidR="00FA0952" w:rsidRPr="009D3B3F" w:rsidRDefault="00FA0952" w:rsidP="00FA0952">
      <w:pPr>
        <w:pStyle w:val="NoSpacing"/>
        <w:spacing w:line="264" w:lineRule="auto"/>
        <w:rPr>
          <w:sz w:val="25"/>
          <w:szCs w:val="25"/>
        </w:rPr>
      </w:pPr>
    </w:p>
    <w:p w:rsidR="0098002D" w:rsidRPr="009D3B3F" w:rsidRDefault="004D5BDA" w:rsidP="00FA0952">
      <w:pPr>
        <w:pStyle w:val="NoSpacing"/>
        <w:numPr>
          <w:ilvl w:val="0"/>
          <w:numId w:val="2"/>
        </w:numPr>
        <w:spacing w:line="264" w:lineRule="auto"/>
        <w:rPr>
          <w:sz w:val="25"/>
          <w:szCs w:val="25"/>
        </w:rPr>
      </w:pPr>
      <w:r w:rsidRPr="009D3B3F">
        <w:rPr>
          <w:i/>
          <w:sz w:val="25"/>
          <w:szCs w:val="25"/>
        </w:rPr>
        <w:t>Partial Decoupling.</w:t>
      </w:r>
      <w:r w:rsidRPr="009D3B3F">
        <w:rPr>
          <w:sz w:val="25"/>
          <w:szCs w:val="25"/>
        </w:rPr>
        <w:t xml:space="preserve">  In the context of a general rate case, the Commission would be receptive to a partial decoupling method for gas utilities designed to permit the utility to recover its “lost margin” attributable to its conservation efforts, both programmatic and educational.  </w:t>
      </w:r>
      <w:r w:rsidR="00243D1A" w:rsidRPr="009D3B3F">
        <w:rPr>
          <w:sz w:val="25"/>
          <w:szCs w:val="25"/>
        </w:rPr>
        <w:t xml:space="preserve">The Commission will consider partial decoupling only where found </w:t>
      </w:r>
      <w:r w:rsidRPr="009D3B3F">
        <w:rPr>
          <w:sz w:val="25"/>
          <w:szCs w:val="25"/>
        </w:rPr>
        <w:t>margins are insignificant in relation to the lost margin, or anticipated to not exist</w:t>
      </w:r>
      <w:r w:rsidR="000B50D0" w:rsidRPr="009D3B3F">
        <w:rPr>
          <w:sz w:val="25"/>
          <w:szCs w:val="25"/>
        </w:rPr>
        <w:t>.</w:t>
      </w:r>
    </w:p>
    <w:p w:rsidR="00FA0952" w:rsidRPr="009D3B3F" w:rsidRDefault="00FA0952" w:rsidP="00FA0952">
      <w:pPr>
        <w:pStyle w:val="NoSpacing"/>
        <w:spacing w:line="264" w:lineRule="auto"/>
        <w:rPr>
          <w:sz w:val="25"/>
          <w:szCs w:val="25"/>
        </w:rPr>
      </w:pPr>
    </w:p>
    <w:p w:rsidR="00CA0D04" w:rsidRPr="009D3B3F" w:rsidRDefault="004D5BDA" w:rsidP="00FA0952">
      <w:pPr>
        <w:pStyle w:val="NoSpacing"/>
        <w:numPr>
          <w:ilvl w:val="0"/>
          <w:numId w:val="2"/>
        </w:numPr>
        <w:spacing w:line="264" w:lineRule="auto"/>
        <w:rPr>
          <w:sz w:val="25"/>
          <w:szCs w:val="25"/>
        </w:rPr>
      </w:pPr>
      <w:r w:rsidRPr="009D3B3F">
        <w:rPr>
          <w:i/>
          <w:sz w:val="25"/>
          <w:szCs w:val="25"/>
        </w:rPr>
        <w:t>Full Decoupling.</w:t>
      </w:r>
      <w:r w:rsidRPr="009D3B3F">
        <w:rPr>
          <w:sz w:val="25"/>
          <w:szCs w:val="25"/>
        </w:rPr>
        <w:t xml:space="preserve">  In the context of a general rate case, the Commission also would be receptive to a “full decoupling” method for either gas or electric utilities that could enable the utility to recover its “lost margin” from any cause, including conservation, economic downturn, or weather.  There would be offsets for “found margin” including increased load and off-system sales of electricity.  As part of the Commission’s evaluation of a proposed full decoupling mechanism</w:t>
      </w:r>
      <w:r w:rsidR="002748E3">
        <w:rPr>
          <w:sz w:val="25"/>
          <w:szCs w:val="25"/>
        </w:rPr>
        <w:t>,</w:t>
      </w:r>
      <w:r w:rsidRPr="009D3B3F">
        <w:rPr>
          <w:sz w:val="25"/>
          <w:szCs w:val="25"/>
        </w:rPr>
        <w:t xml:space="preserve"> the Commission will look for benefits to the ratepayer from such a mechanism, including rate impacts of a reduced rate of return.</w:t>
      </w:r>
    </w:p>
    <w:p w:rsidR="00FA0952" w:rsidRPr="009D3B3F" w:rsidRDefault="00FA0952" w:rsidP="00FA0952">
      <w:pPr>
        <w:pStyle w:val="NoSpacing"/>
        <w:spacing w:line="264" w:lineRule="auto"/>
        <w:rPr>
          <w:sz w:val="25"/>
          <w:szCs w:val="25"/>
        </w:rPr>
      </w:pPr>
    </w:p>
    <w:p w:rsidR="00CA0D04" w:rsidRPr="009D3B3F" w:rsidRDefault="004D5BDA" w:rsidP="00FA0952">
      <w:pPr>
        <w:pStyle w:val="NoSpacing"/>
        <w:numPr>
          <w:ilvl w:val="0"/>
          <w:numId w:val="2"/>
        </w:numPr>
        <w:spacing w:line="264" w:lineRule="auto"/>
        <w:rPr>
          <w:sz w:val="25"/>
          <w:szCs w:val="25"/>
        </w:rPr>
      </w:pPr>
      <w:r w:rsidRPr="009D3B3F">
        <w:rPr>
          <w:i/>
          <w:sz w:val="25"/>
          <w:szCs w:val="25"/>
        </w:rPr>
        <w:lastRenderedPageBreak/>
        <w:t xml:space="preserve">Direct Incentive Mechanisms.  </w:t>
      </w:r>
      <w:r w:rsidRPr="009D3B3F">
        <w:rPr>
          <w:sz w:val="25"/>
          <w:szCs w:val="25"/>
        </w:rPr>
        <w:t xml:space="preserve">In the context of the proceeding to set an electric utility’s conservation target under the Energy Independence Act, the Commission would be receptive to </w:t>
      </w:r>
      <w:r w:rsidR="002748E3">
        <w:rPr>
          <w:sz w:val="25"/>
          <w:szCs w:val="25"/>
        </w:rPr>
        <w:t>a mechanism</w:t>
      </w:r>
      <w:r w:rsidRPr="009D3B3F">
        <w:rPr>
          <w:sz w:val="25"/>
          <w:szCs w:val="25"/>
        </w:rPr>
        <w:t xml:space="preserve"> designed to provide the utility with incentives to exceed the established targets</w:t>
      </w:r>
      <w:r w:rsidR="002748E3">
        <w:rPr>
          <w:sz w:val="25"/>
          <w:szCs w:val="25"/>
        </w:rPr>
        <w:t xml:space="preserve"> or meet the targets earlier</w:t>
      </w:r>
      <w:r w:rsidRPr="009D3B3F">
        <w:rPr>
          <w:sz w:val="25"/>
          <w:szCs w:val="25"/>
        </w:rPr>
        <w:t xml:space="preserve">.  </w:t>
      </w:r>
    </w:p>
    <w:p w:rsidR="00FA0952" w:rsidRPr="009D3B3F" w:rsidRDefault="00FA0952" w:rsidP="00FA0952">
      <w:pPr>
        <w:pStyle w:val="NoSpacing"/>
        <w:spacing w:line="264" w:lineRule="auto"/>
        <w:rPr>
          <w:sz w:val="25"/>
          <w:szCs w:val="25"/>
        </w:rPr>
      </w:pPr>
    </w:p>
    <w:p w:rsidR="00CA0D04" w:rsidRPr="009D3B3F" w:rsidRDefault="004D5BDA" w:rsidP="00FA0952">
      <w:pPr>
        <w:pStyle w:val="NoSpacing"/>
        <w:numPr>
          <w:ilvl w:val="0"/>
          <w:numId w:val="2"/>
        </w:numPr>
        <w:spacing w:line="264" w:lineRule="auto"/>
        <w:rPr>
          <w:sz w:val="25"/>
          <w:szCs w:val="25"/>
        </w:rPr>
      </w:pPr>
      <w:r w:rsidRPr="009D3B3F">
        <w:rPr>
          <w:i/>
          <w:sz w:val="25"/>
          <w:szCs w:val="25"/>
        </w:rPr>
        <w:t>Other Mechanisms.</w:t>
      </w:r>
      <w:r w:rsidRPr="009D3B3F">
        <w:rPr>
          <w:sz w:val="25"/>
          <w:szCs w:val="25"/>
        </w:rPr>
        <w:t xml:space="preserve">  The listing of the above three mechanisms does not prevent a utility from proposing other mechanisms that are within the Commission’s statutory authority to approve.</w:t>
      </w:r>
    </w:p>
    <w:p w:rsidR="00FA0952" w:rsidRPr="009D3B3F" w:rsidRDefault="00FA0952" w:rsidP="00FA0952">
      <w:pPr>
        <w:pStyle w:val="NoSpacing"/>
        <w:spacing w:line="264" w:lineRule="auto"/>
        <w:rPr>
          <w:sz w:val="25"/>
          <w:szCs w:val="25"/>
        </w:rPr>
      </w:pPr>
    </w:p>
    <w:p w:rsidR="00CA0D04" w:rsidRPr="009D3B3F" w:rsidRDefault="004D5BDA" w:rsidP="00FA0952">
      <w:pPr>
        <w:pStyle w:val="NoSpacing"/>
        <w:spacing w:line="264" w:lineRule="auto"/>
        <w:rPr>
          <w:sz w:val="25"/>
          <w:szCs w:val="25"/>
        </w:rPr>
      </w:pPr>
      <w:r w:rsidRPr="009D3B3F">
        <w:rPr>
          <w:sz w:val="25"/>
          <w:szCs w:val="25"/>
        </w:rPr>
        <w:t>The Commission will elaborate on these conclusions</w:t>
      </w:r>
      <w:r w:rsidR="00740498" w:rsidRPr="009D3B3F">
        <w:rPr>
          <w:sz w:val="25"/>
          <w:szCs w:val="25"/>
        </w:rPr>
        <w:t>, and on other conditions in the mechanisms,</w:t>
      </w:r>
      <w:r w:rsidRPr="009D3B3F">
        <w:rPr>
          <w:sz w:val="25"/>
          <w:szCs w:val="25"/>
        </w:rPr>
        <w:t xml:space="preserve"> in a forthcoming Policy Statement.  The above summary was presented to the State Energy Strategy Advisory Committee on O</w:t>
      </w:r>
      <w:r w:rsidR="008C4801">
        <w:rPr>
          <w:sz w:val="25"/>
          <w:szCs w:val="25"/>
        </w:rPr>
        <w:t>ctober 5 to facilitate</w:t>
      </w:r>
      <w:r w:rsidR="009F38CA">
        <w:rPr>
          <w:sz w:val="25"/>
          <w:szCs w:val="25"/>
        </w:rPr>
        <w:t xml:space="preserve"> </w:t>
      </w:r>
      <w:r w:rsidRPr="009D3B3F">
        <w:rPr>
          <w:sz w:val="25"/>
          <w:szCs w:val="25"/>
        </w:rPr>
        <w:t>that Committee’s work in assisting the Department of Commerce in preparing its report on the State Energy Strategy to be issued December 1.</w:t>
      </w:r>
    </w:p>
    <w:p w:rsidR="00FA0952" w:rsidRPr="009D3B3F" w:rsidRDefault="00FA0952" w:rsidP="00FA0952">
      <w:pPr>
        <w:pStyle w:val="NoSpacing"/>
        <w:spacing w:line="264" w:lineRule="auto"/>
        <w:rPr>
          <w:sz w:val="25"/>
          <w:szCs w:val="25"/>
        </w:rPr>
      </w:pPr>
    </w:p>
    <w:p w:rsidR="004A4327" w:rsidRPr="009D3B3F" w:rsidRDefault="004D5BDA" w:rsidP="00FA0952">
      <w:pPr>
        <w:pStyle w:val="NoSpacing"/>
        <w:spacing w:line="264" w:lineRule="auto"/>
        <w:rPr>
          <w:sz w:val="25"/>
          <w:szCs w:val="25"/>
        </w:rPr>
      </w:pPr>
      <w:r w:rsidRPr="009D3B3F">
        <w:rPr>
          <w:sz w:val="25"/>
          <w:szCs w:val="25"/>
        </w:rPr>
        <w:t xml:space="preserve">The </w:t>
      </w:r>
      <w:r w:rsidR="003314C3">
        <w:rPr>
          <w:sz w:val="25"/>
          <w:szCs w:val="25"/>
        </w:rPr>
        <w:t xml:space="preserve">Commissioners’ </w:t>
      </w:r>
      <w:r w:rsidRPr="009D3B3F">
        <w:rPr>
          <w:sz w:val="25"/>
          <w:szCs w:val="25"/>
        </w:rPr>
        <w:t>PowerPoint presentation to the Advisory Committee entitled “UTC Inquiry on Conservation Incentives (Including Decoupling):  Report to the State Energy Strategy Advisory Committee</w:t>
      </w:r>
      <w:r w:rsidR="003314C3">
        <w:rPr>
          <w:sz w:val="25"/>
          <w:szCs w:val="25"/>
        </w:rPr>
        <w:t>,</w:t>
      </w:r>
      <w:r w:rsidRPr="009D3B3F">
        <w:rPr>
          <w:sz w:val="25"/>
          <w:szCs w:val="25"/>
        </w:rPr>
        <w:t xml:space="preserve">” is available on the Commission’s website in this docket.  </w:t>
      </w:r>
    </w:p>
    <w:p w:rsidR="00FA0952" w:rsidRPr="009D3B3F" w:rsidRDefault="00FA0952" w:rsidP="00FA0952">
      <w:pPr>
        <w:pStyle w:val="NoSpacing"/>
        <w:spacing w:line="264" w:lineRule="auto"/>
        <w:rPr>
          <w:sz w:val="25"/>
          <w:szCs w:val="25"/>
        </w:rPr>
      </w:pPr>
    </w:p>
    <w:p w:rsidR="00FA0952" w:rsidRPr="009D3B3F" w:rsidRDefault="00FA0952" w:rsidP="00FA0952">
      <w:pPr>
        <w:pStyle w:val="NoSpacing"/>
        <w:spacing w:line="264" w:lineRule="auto"/>
        <w:rPr>
          <w:sz w:val="25"/>
          <w:szCs w:val="25"/>
        </w:rPr>
      </w:pPr>
      <w:r w:rsidRPr="009D3B3F">
        <w:rPr>
          <w:sz w:val="25"/>
          <w:szCs w:val="25"/>
        </w:rPr>
        <w:t>Sincerely,</w:t>
      </w:r>
    </w:p>
    <w:p w:rsidR="00FA0952" w:rsidRPr="009D3B3F" w:rsidRDefault="00FA0952" w:rsidP="00FA0952">
      <w:pPr>
        <w:pStyle w:val="NoSpacing"/>
        <w:spacing w:line="264" w:lineRule="auto"/>
        <w:rPr>
          <w:sz w:val="25"/>
          <w:szCs w:val="25"/>
        </w:rPr>
      </w:pPr>
    </w:p>
    <w:p w:rsidR="00FA0952" w:rsidRPr="009D3B3F" w:rsidRDefault="00FA0952" w:rsidP="00FA0952">
      <w:pPr>
        <w:pStyle w:val="NoSpacing"/>
        <w:spacing w:line="264" w:lineRule="auto"/>
        <w:rPr>
          <w:sz w:val="25"/>
          <w:szCs w:val="25"/>
        </w:rPr>
      </w:pPr>
    </w:p>
    <w:p w:rsidR="00FA0952" w:rsidRPr="009D3B3F" w:rsidRDefault="00FA0952" w:rsidP="00FA0952">
      <w:pPr>
        <w:pStyle w:val="NoSpacing"/>
        <w:spacing w:line="264" w:lineRule="auto"/>
        <w:rPr>
          <w:sz w:val="25"/>
          <w:szCs w:val="25"/>
        </w:rPr>
      </w:pPr>
    </w:p>
    <w:p w:rsidR="00FA0952" w:rsidRPr="009D3B3F" w:rsidRDefault="00FA0952" w:rsidP="00FA0952">
      <w:pPr>
        <w:pStyle w:val="NoSpacing"/>
        <w:spacing w:line="264" w:lineRule="auto"/>
        <w:rPr>
          <w:sz w:val="25"/>
          <w:szCs w:val="25"/>
        </w:rPr>
      </w:pPr>
      <w:r w:rsidRPr="009D3B3F">
        <w:rPr>
          <w:sz w:val="25"/>
          <w:szCs w:val="25"/>
        </w:rPr>
        <w:t>DAVID W. DANNER</w:t>
      </w:r>
    </w:p>
    <w:p w:rsidR="00FA0952" w:rsidRPr="009D3B3F" w:rsidRDefault="00FA0952" w:rsidP="00FA0952">
      <w:pPr>
        <w:pStyle w:val="NoSpacing"/>
        <w:spacing w:line="264" w:lineRule="auto"/>
        <w:rPr>
          <w:sz w:val="25"/>
          <w:szCs w:val="25"/>
        </w:rPr>
      </w:pPr>
      <w:r w:rsidRPr="009D3B3F">
        <w:rPr>
          <w:sz w:val="25"/>
          <w:szCs w:val="25"/>
        </w:rPr>
        <w:t>Executive Director and Secretary</w:t>
      </w:r>
    </w:p>
    <w:p w:rsidR="009D3B3F" w:rsidRPr="009D3B3F" w:rsidRDefault="009D3B3F">
      <w:pPr>
        <w:pStyle w:val="NoSpacing"/>
        <w:spacing w:line="264" w:lineRule="auto"/>
        <w:rPr>
          <w:sz w:val="25"/>
          <w:szCs w:val="25"/>
        </w:rPr>
      </w:pPr>
    </w:p>
    <w:sectPr w:rsidR="009D3B3F" w:rsidRPr="009D3B3F" w:rsidSect="00D832B2">
      <w:headerReference w:type="default" r:id="rId7"/>
      <w:pgSz w:w="12240" w:h="15840" w:code="1"/>
      <w:pgMar w:top="1440" w:right="1440" w:bottom="1440" w:left="1800" w:header="1440" w:footer="720" w:gutter="0"/>
      <w:paperSrc w:first="262"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9A0" w:rsidRDefault="009139A0" w:rsidP="00FA0952">
      <w:pPr>
        <w:spacing w:after="0" w:line="240" w:lineRule="auto"/>
      </w:pPr>
      <w:r>
        <w:separator/>
      </w:r>
    </w:p>
  </w:endnote>
  <w:endnote w:type="continuationSeparator" w:id="0">
    <w:p w:rsidR="009139A0" w:rsidRDefault="009139A0" w:rsidP="00FA0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9A0" w:rsidRDefault="009139A0" w:rsidP="00FA0952">
      <w:pPr>
        <w:spacing w:after="0" w:line="240" w:lineRule="auto"/>
      </w:pPr>
      <w:r>
        <w:separator/>
      </w:r>
    </w:p>
  </w:footnote>
  <w:footnote w:type="continuationSeparator" w:id="0">
    <w:p w:rsidR="009139A0" w:rsidRDefault="009139A0" w:rsidP="00FA09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52" w:rsidRPr="00FA0952" w:rsidRDefault="00FA0952">
    <w:pPr>
      <w:pStyle w:val="Header"/>
      <w:rPr>
        <w:b/>
        <w:sz w:val="20"/>
        <w:szCs w:val="20"/>
      </w:rPr>
    </w:pPr>
    <w:r w:rsidRPr="00FA0952">
      <w:rPr>
        <w:b/>
        <w:sz w:val="20"/>
        <w:szCs w:val="20"/>
      </w:rPr>
      <w:t>DOCKET U-100522</w:t>
    </w:r>
    <w:r w:rsidRPr="00FA0952">
      <w:rPr>
        <w:b/>
        <w:sz w:val="20"/>
        <w:szCs w:val="20"/>
      </w:rPr>
      <w:tab/>
    </w:r>
    <w:r w:rsidRPr="00FA0952">
      <w:rPr>
        <w:b/>
        <w:sz w:val="20"/>
        <w:szCs w:val="20"/>
      </w:rPr>
      <w:tab/>
      <w:t xml:space="preserve">PAGE </w:t>
    </w:r>
    <w:r w:rsidR="000230DE" w:rsidRPr="00FA0952">
      <w:rPr>
        <w:b/>
        <w:sz w:val="20"/>
        <w:szCs w:val="20"/>
      </w:rPr>
      <w:fldChar w:fldCharType="begin"/>
    </w:r>
    <w:r w:rsidRPr="00FA0952">
      <w:rPr>
        <w:b/>
        <w:sz w:val="20"/>
        <w:szCs w:val="20"/>
      </w:rPr>
      <w:instrText xml:space="preserve"> PAGE   \* MERGEFORMAT </w:instrText>
    </w:r>
    <w:r w:rsidR="000230DE" w:rsidRPr="00FA0952">
      <w:rPr>
        <w:b/>
        <w:sz w:val="20"/>
        <w:szCs w:val="20"/>
      </w:rPr>
      <w:fldChar w:fldCharType="separate"/>
    </w:r>
    <w:r w:rsidR="003314C3">
      <w:rPr>
        <w:b/>
        <w:noProof/>
        <w:sz w:val="20"/>
        <w:szCs w:val="20"/>
      </w:rPr>
      <w:t>2</w:t>
    </w:r>
    <w:r w:rsidR="000230DE" w:rsidRPr="00FA0952">
      <w:rPr>
        <w:b/>
        <w:sz w:val="20"/>
        <w:szCs w:val="20"/>
      </w:rPr>
      <w:fldChar w:fldCharType="end"/>
    </w:r>
  </w:p>
  <w:p w:rsidR="00FA0952" w:rsidRPr="00FA0952" w:rsidRDefault="00FA0952">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A6342"/>
    <w:multiLevelType w:val="hybridMultilevel"/>
    <w:tmpl w:val="44EA4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D7643C"/>
    <w:multiLevelType w:val="hybridMultilevel"/>
    <w:tmpl w:val="B9C2EE3C"/>
    <w:lvl w:ilvl="0" w:tplc="F3967C7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8002D"/>
    <w:rsid w:val="000230DE"/>
    <w:rsid w:val="00085CFF"/>
    <w:rsid w:val="000B50D0"/>
    <w:rsid w:val="00243D1A"/>
    <w:rsid w:val="00270C0F"/>
    <w:rsid w:val="002748E3"/>
    <w:rsid w:val="00294D73"/>
    <w:rsid w:val="002F11F8"/>
    <w:rsid w:val="00305CEA"/>
    <w:rsid w:val="003314C3"/>
    <w:rsid w:val="004A4327"/>
    <w:rsid w:val="004D5BDA"/>
    <w:rsid w:val="004E5951"/>
    <w:rsid w:val="00585160"/>
    <w:rsid w:val="005E4141"/>
    <w:rsid w:val="006B7F32"/>
    <w:rsid w:val="00740498"/>
    <w:rsid w:val="0077306C"/>
    <w:rsid w:val="007D631D"/>
    <w:rsid w:val="008C4801"/>
    <w:rsid w:val="008E7379"/>
    <w:rsid w:val="009139A0"/>
    <w:rsid w:val="00930621"/>
    <w:rsid w:val="00946DE3"/>
    <w:rsid w:val="00957BB2"/>
    <w:rsid w:val="0098002D"/>
    <w:rsid w:val="009A2255"/>
    <w:rsid w:val="009B58C9"/>
    <w:rsid w:val="009D3B3F"/>
    <w:rsid w:val="009F38CA"/>
    <w:rsid w:val="00A22E19"/>
    <w:rsid w:val="00A856D3"/>
    <w:rsid w:val="00AF4648"/>
    <w:rsid w:val="00BF24A7"/>
    <w:rsid w:val="00CA0D04"/>
    <w:rsid w:val="00D832B2"/>
    <w:rsid w:val="00DF7071"/>
    <w:rsid w:val="00E56DD3"/>
    <w:rsid w:val="00F64EE7"/>
    <w:rsid w:val="00FA0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379"/>
  </w:style>
  <w:style w:type="paragraph" w:styleId="Heading5">
    <w:name w:val="heading 5"/>
    <w:basedOn w:val="Normal"/>
    <w:next w:val="Normal"/>
    <w:link w:val="Heading5Char"/>
    <w:qFormat/>
    <w:rsid w:val="00FA0952"/>
    <w:pPr>
      <w:keepNext/>
      <w:spacing w:after="0" w:line="240" w:lineRule="auto"/>
      <w:ind w:firstLine="720"/>
      <w:outlineLvl w:val="4"/>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02D"/>
    <w:pPr>
      <w:ind w:left="720"/>
      <w:contextualSpacing/>
    </w:pPr>
  </w:style>
  <w:style w:type="character" w:styleId="CommentReference">
    <w:name w:val="annotation reference"/>
    <w:basedOn w:val="DefaultParagraphFont"/>
    <w:uiPriority w:val="99"/>
    <w:semiHidden/>
    <w:unhideWhenUsed/>
    <w:rsid w:val="00243D1A"/>
    <w:rPr>
      <w:sz w:val="16"/>
      <w:szCs w:val="16"/>
    </w:rPr>
  </w:style>
  <w:style w:type="paragraph" w:styleId="CommentText">
    <w:name w:val="annotation text"/>
    <w:basedOn w:val="Normal"/>
    <w:link w:val="CommentTextChar"/>
    <w:uiPriority w:val="99"/>
    <w:semiHidden/>
    <w:unhideWhenUsed/>
    <w:rsid w:val="00243D1A"/>
    <w:pPr>
      <w:spacing w:line="240" w:lineRule="auto"/>
    </w:pPr>
    <w:rPr>
      <w:sz w:val="20"/>
      <w:szCs w:val="20"/>
    </w:rPr>
  </w:style>
  <w:style w:type="character" w:customStyle="1" w:styleId="CommentTextChar">
    <w:name w:val="Comment Text Char"/>
    <w:basedOn w:val="DefaultParagraphFont"/>
    <w:link w:val="CommentText"/>
    <w:uiPriority w:val="99"/>
    <w:semiHidden/>
    <w:rsid w:val="00243D1A"/>
    <w:rPr>
      <w:sz w:val="20"/>
      <w:szCs w:val="20"/>
    </w:rPr>
  </w:style>
  <w:style w:type="paragraph" w:styleId="CommentSubject">
    <w:name w:val="annotation subject"/>
    <w:basedOn w:val="CommentText"/>
    <w:next w:val="CommentText"/>
    <w:link w:val="CommentSubjectChar"/>
    <w:uiPriority w:val="99"/>
    <w:semiHidden/>
    <w:unhideWhenUsed/>
    <w:rsid w:val="00243D1A"/>
    <w:rPr>
      <w:b/>
      <w:bCs/>
    </w:rPr>
  </w:style>
  <w:style w:type="character" w:customStyle="1" w:styleId="CommentSubjectChar">
    <w:name w:val="Comment Subject Char"/>
    <w:basedOn w:val="CommentTextChar"/>
    <w:link w:val="CommentSubject"/>
    <w:uiPriority w:val="99"/>
    <w:semiHidden/>
    <w:rsid w:val="00243D1A"/>
    <w:rPr>
      <w:b/>
      <w:bCs/>
    </w:rPr>
  </w:style>
  <w:style w:type="paragraph" w:styleId="BalloonText">
    <w:name w:val="Balloon Text"/>
    <w:basedOn w:val="Normal"/>
    <w:link w:val="BalloonTextChar"/>
    <w:uiPriority w:val="99"/>
    <w:semiHidden/>
    <w:unhideWhenUsed/>
    <w:rsid w:val="0024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D1A"/>
    <w:rPr>
      <w:rFonts w:ascii="Tahoma" w:hAnsi="Tahoma" w:cs="Tahoma"/>
      <w:sz w:val="16"/>
      <w:szCs w:val="16"/>
    </w:rPr>
  </w:style>
  <w:style w:type="paragraph" w:styleId="NoSpacing">
    <w:name w:val="No Spacing"/>
    <w:uiPriority w:val="1"/>
    <w:qFormat/>
    <w:rsid w:val="00FA0952"/>
    <w:pPr>
      <w:spacing w:after="0" w:line="240" w:lineRule="auto"/>
    </w:pPr>
  </w:style>
  <w:style w:type="character" w:customStyle="1" w:styleId="Heading5Char">
    <w:name w:val="Heading 5 Char"/>
    <w:basedOn w:val="DefaultParagraphFont"/>
    <w:link w:val="Heading5"/>
    <w:rsid w:val="00FA0952"/>
    <w:rPr>
      <w:rFonts w:eastAsia="Times New Roman"/>
      <w:szCs w:val="20"/>
    </w:rPr>
  </w:style>
  <w:style w:type="paragraph" w:styleId="Header">
    <w:name w:val="header"/>
    <w:basedOn w:val="Normal"/>
    <w:link w:val="HeaderChar"/>
    <w:uiPriority w:val="99"/>
    <w:unhideWhenUsed/>
    <w:rsid w:val="00FA0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952"/>
  </w:style>
  <w:style w:type="paragraph" w:styleId="Footer">
    <w:name w:val="footer"/>
    <w:basedOn w:val="Normal"/>
    <w:link w:val="FooterChar"/>
    <w:uiPriority w:val="99"/>
    <w:semiHidden/>
    <w:unhideWhenUsed/>
    <w:rsid w:val="00FA09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09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2010-10-06T07:00:00+00:00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076721-3E4E-44AF-A232-058F6450FE20}"/>
</file>

<file path=customXml/itemProps2.xml><?xml version="1.0" encoding="utf-8"?>
<ds:datastoreItem xmlns:ds="http://schemas.openxmlformats.org/officeDocument/2006/customXml" ds:itemID="{57A61236-BCB8-492A-89BF-909AA6367048}"/>
</file>

<file path=customXml/itemProps3.xml><?xml version="1.0" encoding="utf-8"?>
<ds:datastoreItem xmlns:ds="http://schemas.openxmlformats.org/officeDocument/2006/customXml" ds:itemID="{E78A08CE-5367-4B82-A340-17286D40781C}"/>
</file>

<file path=customXml/itemProps4.xml><?xml version="1.0" encoding="utf-8"?>
<ds:datastoreItem xmlns:ds="http://schemas.openxmlformats.org/officeDocument/2006/customXml" ds:itemID="{C6082794-4E99-46FE-A7D8-A10454BC8888}"/>
</file>

<file path=docProps/app.xml><?xml version="1.0" encoding="utf-8"?>
<Properties xmlns="http://schemas.openxmlformats.org/officeDocument/2006/extended-properties" xmlns:vt="http://schemas.openxmlformats.org/officeDocument/2006/docPropsVTypes">
  <Template>Normal.dotm</Template>
  <TotalTime>14</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Goltz</dc:creator>
  <cp:keywords/>
  <dc:description/>
  <cp:lastModifiedBy>Kippi Walker</cp:lastModifiedBy>
  <cp:revision>7</cp:revision>
  <cp:lastPrinted>2010-10-06T20:29:00Z</cp:lastPrinted>
  <dcterms:created xsi:type="dcterms:W3CDTF">2010-10-06T18:47:00Z</dcterms:created>
  <dcterms:modified xsi:type="dcterms:W3CDTF">2010-10-06T20:31:00Z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