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C021D" w14:textId="77777777" w:rsidR="00BD6A2B" w:rsidRPr="001560C4" w:rsidRDefault="00BD6A2B" w:rsidP="007F117D">
      <w:pPr>
        <w:tabs>
          <w:tab w:val="left" w:pos="3330"/>
        </w:tabs>
        <w:spacing w:line="264" w:lineRule="auto"/>
        <w:jc w:val="center"/>
        <w:rPr>
          <w:b/>
          <w:bCs/>
          <w:sz w:val="24"/>
          <w:szCs w:val="24"/>
        </w:rPr>
      </w:pPr>
      <w:r w:rsidRPr="001560C4">
        <w:rPr>
          <w:b/>
          <w:bCs/>
          <w:sz w:val="24"/>
          <w:szCs w:val="24"/>
        </w:rPr>
        <w:t>BEFORE THE WASHINGTON</w:t>
      </w:r>
      <w:bookmarkStart w:id="0" w:name="_GoBack"/>
      <w:bookmarkEnd w:id="0"/>
    </w:p>
    <w:p w14:paraId="4369F1EB" w14:textId="77777777" w:rsidR="00BD6A2B" w:rsidRPr="001560C4" w:rsidRDefault="00BD6A2B" w:rsidP="000455AC">
      <w:pPr>
        <w:spacing w:line="264" w:lineRule="auto"/>
        <w:jc w:val="center"/>
        <w:rPr>
          <w:b/>
          <w:bCs/>
          <w:sz w:val="24"/>
          <w:szCs w:val="24"/>
        </w:rPr>
      </w:pPr>
      <w:r w:rsidRPr="001560C4">
        <w:rPr>
          <w:b/>
          <w:bCs/>
          <w:sz w:val="24"/>
          <w:szCs w:val="24"/>
        </w:rPr>
        <w:t>UTILITIES AND TRANSPORTATION COMMISSION</w:t>
      </w:r>
    </w:p>
    <w:tbl>
      <w:tblPr>
        <w:tblW w:w="8010" w:type="dxa"/>
        <w:tblLayout w:type="fixed"/>
        <w:tblLook w:val="01E0" w:firstRow="1" w:lastRow="1" w:firstColumn="1" w:lastColumn="1" w:noHBand="0" w:noVBand="0"/>
      </w:tblPr>
      <w:tblGrid>
        <w:gridCol w:w="4230"/>
        <w:gridCol w:w="360"/>
        <w:gridCol w:w="3420"/>
      </w:tblGrid>
      <w:tr w:rsidR="00682988" w:rsidRPr="001560C4" w14:paraId="6E672A60" w14:textId="77777777" w:rsidTr="00D87CD3">
        <w:tc>
          <w:tcPr>
            <w:tcW w:w="4230" w:type="dxa"/>
          </w:tcPr>
          <w:p w14:paraId="5272A6FA" w14:textId="77777777" w:rsidR="00DA3F0D" w:rsidRPr="001560C4" w:rsidRDefault="00DA3F0D" w:rsidP="00D87CD3">
            <w:pPr>
              <w:rPr>
                <w:sz w:val="24"/>
                <w:szCs w:val="24"/>
              </w:rPr>
            </w:pPr>
          </w:p>
        </w:tc>
        <w:tc>
          <w:tcPr>
            <w:tcW w:w="360" w:type="dxa"/>
          </w:tcPr>
          <w:p w14:paraId="137CA029" w14:textId="77777777" w:rsidR="00D67AFC" w:rsidRPr="001560C4" w:rsidRDefault="00D67AFC" w:rsidP="00640266">
            <w:pPr>
              <w:jc w:val="center"/>
              <w:rPr>
                <w:sz w:val="24"/>
                <w:szCs w:val="24"/>
              </w:rPr>
            </w:pPr>
          </w:p>
        </w:tc>
        <w:tc>
          <w:tcPr>
            <w:tcW w:w="3420" w:type="dxa"/>
          </w:tcPr>
          <w:p w14:paraId="2F19087B" w14:textId="77777777" w:rsidR="00DC6A00" w:rsidRPr="001560C4" w:rsidRDefault="00DC6A00" w:rsidP="008E0461">
            <w:pPr>
              <w:rPr>
                <w:sz w:val="24"/>
                <w:szCs w:val="24"/>
              </w:rPr>
            </w:pPr>
          </w:p>
        </w:tc>
      </w:tr>
      <w:tr w:rsidR="00295622" w:rsidRPr="009464B2" w14:paraId="18BC9515" w14:textId="77777777" w:rsidTr="00295622">
        <w:tc>
          <w:tcPr>
            <w:tcW w:w="4230" w:type="dxa"/>
          </w:tcPr>
          <w:p w14:paraId="06D1A0F6" w14:textId="77777777" w:rsidR="00295622" w:rsidRPr="00295622" w:rsidRDefault="00295622" w:rsidP="00295622">
            <w:pPr>
              <w:rPr>
                <w:sz w:val="24"/>
                <w:szCs w:val="24"/>
              </w:rPr>
            </w:pPr>
            <w:r w:rsidRPr="00295622">
              <w:rPr>
                <w:sz w:val="24"/>
                <w:szCs w:val="24"/>
              </w:rPr>
              <w:t>WASHINGTON UTILITIES AND TRANSPORTATION COMMISSION,</w:t>
            </w:r>
          </w:p>
          <w:p w14:paraId="3318A90D" w14:textId="77777777" w:rsidR="00295622" w:rsidRPr="00295622" w:rsidRDefault="00295622" w:rsidP="00295622">
            <w:pPr>
              <w:rPr>
                <w:sz w:val="24"/>
                <w:szCs w:val="24"/>
              </w:rPr>
            </w:pPr>
          </w:p>
          <w:p w14:paraId="541A2D97" w14:textId="77777777" w:rsidR="00295622" w:rsidRPr="00295622" w:rsidRDefault="00295622" w:rsidP="00295622">
            <w:pPr>
              <w:rPr>
                <w:sz w:val="24"/>
                <w:szCs w:val="24"/>
              </w:rPr>
            </w:pPr>
            <w:r w:rsidRPr="00295622">
              <w:rPr>
                <w:sz w:val="24"/>
                <w:szCs w:val="24"/>
              </w:rPr>
              <w:tab/>
            </w:r>
            <w:r w:rsidR="00AD21B5">
              <w:rPr>
                <w:sz w:val="24"/>
                <w:szCs w:val="24"/>
              </w:rPr>
              <w:tab/>
            </w:r>
            <w:r w:rsidRPr="00295622">
              <w:rPr>
                <w:sz w:val="24"/>
                <w:szCs w:val="24"/>
              </w:rPr>
              <w:t>Complainant,</w:t>
            </w:r>
          </w:p>
          <w:p w14:paraId="0B53D9D8" w14:textId="77777777" w:rsidR="00295622" w:rsidRPr="00295622" w:rsidRDefault="00295622" w:rsidP="00295622">
            <w:pPr>
              <w:rPr>
                <w:sz w:val="24"/>
                <w:szCs w:val="24"/>
              </w:rPr>
            </w:pPr>
          </w:p>
          <w:p w14:paraId="2AD8DABC" w14:textId="77777777" w:rsidR="00295622" w:rsidRPr="00295622" w:rsidRDefault="00295622" w:rsidP="00295622">
            <w:pPr>
              <w:rPr>
                <w:sz w:val="24"/>
                <w:szCs w:val="24"/>
              </w:rPr>
            </w:pPr>
            <w:r w:rsidRPr="00295622">
              <w:rPr>
                <w:sz w:val="24"/>
                <w:szCs w:val="24"/>
              </w:rPr>
              <w:t>v.</w:t>
            </w:r>
          </w:p>
          <w:p w14:paraId="5C4C18AA" w14:textId="77777777" w:rsidR="00295622" w:rsidRPr="00295622" w:rsidRDefault="00295622" w:rsidP="00295622">
            <w:pPr>
              <w:rPr>
                <w:sz w:val="24"/>
                <w:szCs w:val="24"/>
              </w:rPr>
            </w:pPr>
          </w:p>
          <w:p w14:paraId="6E5B1EB3" w14:textId="77777777" w:rsidR="00295622" w:rsidRPr="00295622" w:rsidRDefault="00295622" w:rsidP="00295622">
            <w:pPr>
              <w:rPr>
                <w:sz w:val="24"/>
                <w:szCs w:val="24"/>
              </w:rPr>
            </w:pPr>
            <w:r w:rsidRPr="00295622">
              <w:rPr>
                <w:sz w:val="24"/>
                <w:szCs w:val="24"/>
              </w:rPr>
              <w:t>AVISTA CORPORATION d</w:t>
            </w:r>
            <w:r w:rsidR="00AD21B5">
              <w:rPr>
                <w:sz w:val="24"/>
                <w:szCs w:val="24"/>
              </w:rPr>
              <w:t>/b/</w:t>
            </w:r>
            <w:r w:rsidRPr="00295622">
              <w:rPr>
                <w:sz w:val="24"/>
                <w:szCs w:val="24"/>
              </w:rPr>
              <w:t>a AVISTA UTILITIES,</w:t>
            </w:r>
          </w:p>
          <w:p w14:paraId="38B5BD47" w14:textId="77777777" w:rsidR="00295622" w:rsidRPr="00295622" w:rsidRDefault="00295622" w:rsidP="00295622">
            <w:pPr>
              <w:rPr>
                <w:sz w:val="24"/>
                <w:szCs w:val="24"/>
              </w:rPr>
            </w:pPr>
          </w:p>
          <w:p w14:paraId="2F2B1733" w14:textId="77777777" w:rsidR="00295622" w:rsidRPr="00295622" w:rsidRDefault="00295622" w:rsidP="00295622">
            <w:pPr>
              <w:rPr>
                <w:sz w:val="24"/>
                <w:szCs w:val="24"/>
              </w:rPr>
            </w:pPr>
            <w:r w:rsidRPr="00295622">
              <w:rPr>
                <w:sz w:val="24"/>
                <w:szCs w:val="24"/>
              </w:rPr>
              <w:tab/>
            </w:r>
            <w:r w:rsidR="00AD21B5">
              <w:rPr>
                <w:sz w:val="24"/>
                <w:szCs w:val="24"/>
              </w:rPr>
              <w:tab/>
            </w:r>
            <w:r w:rsidRPr="00295622">
              <w:rPr>
                <w:sz w:val="24"/>
                <w:szCs w:val="24"/>
              </w:rPr>
              <w:t>Respondent.</w:t>
            </w:r>
          </w:p>
          <w:p w14:paraId="2325C12B" w14:textId="77777777" w:rsidR="00295622" w:rsidRPr="00295622" w:rsidRDefault="00295622" w:rsidP="00295622">
            <w:pPr>
              <w:rPr>
                <w:sz w:val="24"/>
                <w:szCs w:val="24"/>
              </w:rPr>
            </w:pPr>
          </w:p>
          <w:p w14:paraId="7A704697" w14:textId="77777777" w:rsidR="00295622" w:rsidRPr="00295622" w:rsidRDefault="00295622" w:rsidP="00295622">
            <w:pPr>
              <w:rPr>
                <w:sz w:val="24"/>
                <w:szCs w:val="24"/>
              </w:rPr>
            </w:pPr>
            <w:r w:rsidRPr="00295622">
              <w:rPr>
                <w:sz w:val="24"/>
                <w:szCs w:val="24"/>
              </w:rPr>
              <w:t xml:space="preserve">. . . . . . . . . . . . . . . . . . . . . . . . . . . . . . . . </w:t>
            </w:r>
          </w:p>
        </w:tc>
        <w:tc>
          <w:tcPr>
            <w:tcW w:w="360" w:type="dxa"/>
          </w:tcPr>
          <w:p w14:paraId="405102FF" w14:textId="77777777" w:rsidR="00295622" w:rsidRPr="00295622" w:rsidRDefault="00295622" w:rsidP="00295622">
            <w:pPr>
              <w:jc w:val="center"/>
              <w:rPr>
                <w:sz w:val="24"/>
                <w:szCs w:val="24"/>
              </w:rPr>
            </w:pPr>
            <w:r w:rsidRPr="00295622">
              <w:rPr>
                <w:sz w:val="24"/>
                <w:szCs w:val="24"/>
              </w:rPr>
              <w:t>)</w:t>
            </w:r>
          </w:p>
          <w:p w14:paraId="7EECB917" w14:textId="77777777" w:rsidR="00295622" w:rsidRPr="00295622" w:rsidRDefault="00295622" w:rsidP="00295622">
            <w:pPr>
              <w:jc w:val="center"/>
              <w:rPr>
                <w:sz w:val="24"/>
                <w:szCs w:val="24"/>
              </w:rPr>
            </w:pPr>
            <w:r w:rsidRPr="00295622">
              <w:rPr>
                <w:sz w:val="24"/>
                <w:szCs w:val="24"/>
              </w:rPr>
              <w:t>)</w:t>
            </w:r>
          </w:p>
          <w:p w14:paraId="5A8599FF" w14:textId="77777777" w:rsidR="00295622" w:rsidRPr="00295622" w:rsidRDefault="00295622" w:rsidP="00295622">
            <w:pPr>
              <w:jc w:val="center"/>
              <w:rPr>
                <w:sz w:val="24"/>
                <w:szCs w:val="24"/>
              </w:rPr>
            </w:pPr>
            <w:r w:rsidRPr="00295622">
              <w:rPr>
                <w:sz w:val="24"/>
                <w:szCs w:val="24"/>
              </w:rPr>
              <w:t>)</w:t>
            </w:r>
          </w:p>
          <w:p w14:paraId="5271A22E" w14:textId="77777777" w:rsidR="00295622" w:rsidRPr="00295622" w:rsidRDefault="00295622" w:rsidP="00295622">
            <w:pPr>
              <w:jc w:val="center"/>
              <w:rPr>
                <w:sz w:val="24"/>
                <w:szCs w:val="24"/>
              </w:rPr>
            </w:pPr>
            <w:r w:rsidRPr="00295622">
              <w:rPr>
                <w:sz w:val="24"/>
                <w:szCs w:val="24"/>
              </w:rPr>
              <w:t>)</w:t>
            </w:r>
          </w:p>
          <w:p w14:paraId="6C6790AE" w14:textId="77777777" w:rsidR="00295622" w:rsidRPr="00295622" w:rsidRDefault="00295622" w:rsidP="00295622">
            <w:pPr>
              <w:jc w:val="center"/>
              <w:rPr>
                <w:sz w:val="24"/>
                <w:szCs w:val="24"/>
              </w:rPr>
            </w:pPr>
            <w:r w:rsidRPr="00295622">
              <w:rPr>
                <w:sz w:val="24"/>
                <w:szCs w:val="24"/>
              </w:rPr>
              <w:t>)</w:t>
            </w:r>
          </w:p>
          <w:p w14:paraId="5C265879" w14:textId="77777777" w:rsidR="00295622" w:rsidRPr="00295622" w:rsidRDefault="00295622" w:rsidP="00295622">
            <w:pPr>
              <w:jc w:val="center"/>
              <w:rPr>
                <w:sz w:val="24"/>
                <w:szCs w:val="24"/>
              </w:rPr>
            </w:pPr>
            <w:r w:rsidRPr="00295622">
              <w:rPr>
                <w:sz w:val="24"/>
                <w:szCs w:val="24"/>
              </w:rPr>
              <w:t>)</w:t>
            </w:r>
          </w:p>
          <w:p w14:paraId="461CFE23" w14:textId="77777777" w:rsidR="00295622" w:rsidRPr="00295622" w:rsidRDefault="00295622" w:rsidP="00295622">
            <w:pPr>
              <w:jc w:val="center"/>
              <w:rPr>
                <w:sz w:val="24"/>
                <w:szCs w:val="24"/>
              </w:rPr>
            </w:pPr>
            <w:r w:rsidRPr="00295622">
              <w:rPr>
                <w:sz w:val="24"/>
                <w:szCs w:val="24"/>
              </w:rPr>
              <w:t>)</w:t>
            </w:r>
          </w:p>
          <w:p w14:paraId="614E58EF" w14:textId="77777777" w:rsidR="00295622" w:rsidRPr="00295622" w:rsidRDefault="00295622" w:rsidP="00295622">
            <w:pPr>
              <w:jc w:val="center"/>
              <w:rPr>
                <w:sz w:val="24"/>
                <w:szCs w:val="24"/>
              </w:rPr>
            </w:pPr>
            <w:r w:rsidRPr="00295622">
              <w:rPr>
                <w:sz w:val="24"/>
                <w:szCs w:val="24"/>
              </w:rPr>
              <w:t>)</w:t>
            </w:r>
          </w:p>
          <w:p w14:paraId="15B6A8F6" w14:textId="77777777" w:rsidR="00295622" w:rsidRPr="00295622" w:rsidRDefault="00295622" w:rsidP="00295622">
            <w:pPr>
              <w:jc w:val="center"/>
              <w:rPr>
                <w:sz w:val="24"/>
                <w:szCs w:val="24"/>
              </w:rPr>
            </w:pPr>
            <w:r w:rsidRPr="00295622">
              <w:rPr>
                <w:sz w:val="24"/>
                <w:szCs w:val="24"/>
              </w:rPr>
              <w:t>)</w:t>
            </w:r>
          </w:p>
          <w:p w14:paraId="1B7C9A92" w14:textId="77777777" w:rsidR="00295622" w:rsidRPr="00295622" w:rsidRDefault="00295622" w:rsidP="00295622">
            <w:pPr>
              <w:jc w:val="center"/>
              <w:rPr>
                <w:sz w:val="24"/>
                <w:szCs w:val="24"/>
              </w:rPr>
            </w:pPr>
            <w:r w:rsidRPr="00295622">
              <w:rPr>
                <w:sz w:val="24"/>
                <w:szCs w:val="24"/>
              </w:rPr>
              <w:t>)</w:t>
            </w:r>
          </w:p>
          <w:p w14:paraId="1642852B" w14:textId="77777777" w:rsidR="00295622" w:rsidRPr="00295622" w:rsidRDefault="00295622" w:rsidP="00295622">
            <w:pPr>
              <w:jc w:val="center"/>
              <w:rPr>
                <w:sz w:val="24"/>
                <w:szCs w:val="24"/>
              </w:rPr>
            </w:pPr>
            <w:r w:rsidRPr="00295622">
              <w:rPr>
                <w:sz w:val="24"/>
                <w:szCs w:val="24"/>
              </w:rPr>
              <w:t>)</w:t>
            </w:r>
          </w:p>
          <w:p w14:paraId="10FB89F5" w14:textId="77777777" w:rsidR="00295622" w:rsidRPr="00295622" w:rsidRDefault="00295622" w:rsidP="00295622">
            <w:pPr>
              <w:jc w:val="center"/>
              <w:rPr>
                <w:sz w:val="24"/>
                <w:szCs w:val="24"/>
              </w:rPr>
            </w:pPr>
            <w:r w:rsidRPr="00295622">
              <w:rPr>
                <w:sz w:val="24"/>
                <w:szCs w:val="24"/>
              </w:rPr>
              <w:t>)</w:t>
            </w:r>
          </w:p>
          <w:p w14:paraId="1CE82C7C" w14:textId="77777777" w:rsidR="00295622" w:rsidRPr="00295622" w:rsidRDefault="00295622" w:rsidP="00295622">
            <w:pPr>
              <w:jc w:val="center"/>
              <w:rPr>
                <w:sz w:val="24"/>
                <w:szCs w:val="24"/>
              </w:rPr>
            </w:pPr>
            <w:r w:rsidRPr="00295622">
              <w:rPr>
                <w:sz w:val="24"/>
                <w:szCs w:val="24"/>
              </w:rPr>
              <w:t>)</w:t>
            </w:r>
          </w:p>
        </w:tc>
        <w:tc>
          <w:tcPr>
            <w:tcW w:w="3420" w:type="dxa"/>
          </w:tcPr>
          <w:p w14:paraId="11FF5888" w14:textId="77777777" w:rsidR="00295622" w:rsidRPr="00295622" w:rsidRDefault="00295622" w:rsidP="00295622">
            <w:pPr>
              <w:rPr>
                <w:sz w:val="24"/>
                <w:szCs w:val="24"/>
              </w:rPr>
            </w:pPr>
            <w:r w:rsidRPr="00295622">
              <w:rPr>
                <w:sz w:val="24"/>
                <w:szCs w:val="24"/>
              </w:rPr>
              <w:t>DOCKETS UE-150204 and             UG-150205 (</w:t>
            </w:r>
            <w:r w:rsidR="00014C2D">
              <w:rPr>
                <w:sz w:val="24"/>
                <w:szCs w:val="24"/>
              </w:rPr>
              <w:t>c</w:t>
            </w:r>
            <w:r w:rsidR="00014C2D" w:rsidRPr="00295622">
              <w:rPr>
                <w:sz w:val="24"/>
                <w:szCs w:val="24"/>
              </w:rPr>
              <w:t>onsolidated</w:t>
            </w:r>
            <w:r w:rsidRPr="00295622">
              <w:rPr>
                <w:sz w:val="24"/>
                <w:szCs w:val="24"/>
              </w:rPr>
              <w:t>)</w:t>
            </w:r>
          </w:p>
          <w:p w14:paraId="0BF417D3" w14:textId="77777777" w:rsidR="00295622" w:rsidRPr="00295622" w:rsidRDefault="00295622" w:rsidP="00295622">
            <w:pPr>
              <w:rPr>
                <w:sz w:val="24"/>
                <w:szCs w:val="24"/>
              </w:rPr>
            </w:pPr>
          </w:p>
          <w:p w14:paraId="2E42B8E5" w14:textId="77777777" w:rsidR="00295622" w:rsidRPr="00295622" w:rsidRDefault="00295622" w:rsidP="00295622">
            <w:pPr>
              <w:rPr>
                <w:sz w:val="24"/>
                <w:szCs w:val="24"/>
              </w:rPr>
            </w:pPr>
            <w:r w:rsidRPr="00295622">
              <w:rPr>
                <w:sz w:val="24"/>
                <w:szCs w:val="24"/>
              </w:rPr>
              <w:t>ORDER 0</w:t>
            </w:r>
            <w:r>
              <w:rPr>
                <w:sz w:val="24"/>
                <w:szCs w:val="24"/>
              </w:rPr>
              <w:t>6</w:t>
            </w:r>
          </w:p>
          <w:p w14:paraId="50BBE85B" w14:textId="77777777" w:rsidR="00295622" w:rsidRPr="00295622" w:rsidRDefault="00295622" w:rsidP="00295622">
            <w:pPr>
              <w:rPr>
                <w:sz w:val="24"/>
                <w:szCs w:val="24"/>
              </w:rPr>
            </w:pPr>
          </w:p>
          <w:p w14:paraId="53CDC99E" w14:textId="77777777" w:rsidR="00295622" w:rsidRPr="00295622" w:rsidRDefault="00295622" w:rsidP="0039558D">
            <w:pPr>
              <w:rPr>
                <w:sz w:val="24"/>
                <w:szCs w:val="24"/>
              </w:rPr>
            </w:pPr>
            <w:r w:rsidRPr="00295622">
              <w:rPr>
                <w:sz w:val="24"/>
                <w:szCs w:val="24"/>
              </w:rPr>
              <w:t xml:space="preserve">ORDER </w:t>
            </w:r>
            <w:r>
              <w:rPr>
                <w:sz w:val="24"/>
                <w:szCs w:val="24"/>
              </w:rPr>
              <w:t xml:space="preserve">DENYING JOINT MOTION FOR CLARIFICATION, </w:t>
            </w:r>
            <w:r w:rsidR="00F56136">
              <w:rPr>
                <w:sz w:val="24"/>
                <w:szCs w:val="24"/>
              </w:rPr>
              <w:t xml:space="preserve">DENYING </w:t>
            </w:r>
            <w:r w:rsidR="0039558D">
              <w:rPr>
                <w:sz w:val="24"/>
                <w:szCs w:val="24"/>
              </w:rPr>
              <w:t>PETITION FOR RECONSIDERATION</w:t>
            </w:r>
            <w:r>
              <w:rPr>
                <w:sz w:val="24"/>
                <w:szCs w:val="24"/>
              </w:rPr>
              <w:t xml:space="preserve">, AND </w:t>
            </w:r>
            <w:r w:rsidR="00F56136">
              <w:rPr>
                <w:sz w:val="24"/>
                <w:szCs w:val="24"/>
              </w:rPr>
              <w:t xml:space="preserve">DENYING </w:t>
            </w:r>
            <w:r>
              <w:rPr>
                <w:sz w:val="24"/>
                <w:szCs w:val="24"/>
              </w:rPr>
              <w:t>MOTION TO REOPEN THE RECORD</w:t>
            </w:r>
          </w:p>
        </w:tc>
      </w:tr>
    </w:tbl>
    <w:p w14:paraId="1C5F80DE" w14:textId="77777777" w:rsidR="004A4E0C" w:rsidRPr="001560C4" w:rsidRDefault="004A4E0C" w:rsidP="000455AC">
      <w:pPr>
        <w:pStyle w:val="Heading1"/>
        <w:spacing w:before="0" w:after="0" w:line="264" w:lineRule="auto"/>
        <w:jc w:val="center"/>
        <w:rPr>
          <w:rFonts w:cs="Times New Roman"/>
          <w:sz w:val="24"/>
          <w:szCs w:val="24"/>
          <w:u w:val="single"/>
        </w:rPr>
      </w:pPr>
      <w:bookmarkStart w:id="1" w:name="_Toc155670885"/>
      <w:bookmarkStart w:id="2" w:name="_Toc252797490"/>
    </w:p>
    <w:bookmarkEnd w:id="1"/>
    <w:bookmarkEnd w:id="2"/>
    <w:p w14:paraId="16DF98B9" w14:textId="77777777" w:rsidR="00925B60" w:rsidRPr="001560C4" w:rsidRDefault="00FB5FF1" w:rsidP="000455AC">
      <w:pPr>
        <w:pStyle w:val="Heading1"/>
        <w:spacing w:before="0" w:after="0" w:line="264" w:lineRule="auto"/>
        <w:jc w:val="center"/>
        <w:rPr>
          <w:rFonts w:cs="Times New Roman"/>
          <w:sz w:val="24"/>
          <w:szCs w:val="24"/>
          <w:u w:val="single"/>
        </w:rPr>
      </w:pPr>
      <w:r w:rsidRPr="001560C4">
        <w:rPr>
          <w:rFonts w:cs="Times New Roman"/>
          <w:sz w:val="24"/>
          <w:szCs w:val="24"/>
          <w:u w:val="single"/>
        </w:rPr>
        <w:t>MEMORANDUM</w:t>
      </w:r>
    </w:p>
    <w:p w14:paraId="1AF29D0B" w14:textId="77777777" w:rsidR="00BD6A2B" w:rsidRPr="001560C4" w:rsidRDefault="00BD6A2B" w:rsidP="000455AC">
      <w:pPr>
        <w:spacing w:line="264" w:lineRule="auto"/>
        <w:rPr>
          <w:sz w:val="24"/>
          <w:szCs w:val="24"/>
        </w:rPr>
      </w:pPr>
    </w:p>
    <w:p w14:paraId="687F6C6F" w14:textId="77777777" w:rsidR="00060E1A" w:rsidRDefault="002170AE" w:rsidP="00FB5FF1">
      <w:pPr>
        <w:numPr>
          <w:ilvl w:val="0"/>
          <w:numId w:val="1"/>
        </w:numPr>
        <w:tabs>
          <w:tab w:val="num" w:pos="0"/>
        </w:tabs>
        <w:spacing w:line="264" w:lineRule="auto"/>
        <w:ind w:left="0"/>
        <w:rPr>
          <w:sz w:val="24"/>
          <w:szCs w:val="24"/>
        </w:rPr>
      </w:pPr>
      <w:r w:rsidRPr="001560C4">
        <w:rPr>
          <w:b/>
          <w:sz w:val="24"/>
          <w:szCs w:val="24"/>
        </w:rPr>
        <w:t>PROCEEDING:</w:t>
      </w:r>
      <w:r w:rsidRPr="00640266">
        <w:rPr>
          <w:sz w:val="24"/>
          <w:szCs w:val="24"/>
        </w:rPr>
        <w:t xml:space="preserve"> </w:t>
      </w:r>
      <w:r w:rsidR="00967A5A" w:rsidRPr="00967A5A">
        <w:rPr>
          <w:bCs/>
          <w:sz w:val="24"/>
          <w:szCs w:val="24"/>
        </w:rPr>
        <w:t>On February 9, 2015, Avista Corporation d/b/a Avista Utilities (Avista or Company) filed with the Washington Utilities and Transportation Commission (Commission) revisions to its currently effective Tariff WN U-28, Electric Service. The Company requested authority to increase charges and rates for electric service by approximately $33.2 million or 6.7 percent in billed rates.</w:t>
      </w:r>
      <w:r w:rsidR="00967A5A">
        <w:rPr>
          <w:bCs/>
          <w:sz w:val="24"/>
          <w:szCs w:val="24"/>
        </w:rPr>
        <w:t xml:space="preserve"> The Company simultaneously </w:t>
      </w:r>
      <w:r w:rsidR="00967A5A" w:rsidRPr="00967A5A">
        <w:rPr>
          <w:bCs/>
          <w:sz w:val="24"/>
          <w:szCs w:val="24"/>
        </w:rPr>
        <w:t>filed revisions to its currently effective Tariff WN U-29, Natural Gas Service. Avista s</w:t>
      </w:r>
      <w:r w:rsidR="007A0A54">
        <w:rPr>
          <w:bCs/>
          <w:sz w:val="24"/>
          <w:szCs w:val="24"/>
        </w:rPr>
        <w:t>ought</w:t>
      </w:r>
      <w:r w:rsidR="00967A5A" w:rsidRPr="00967A5A">
        <w:rPr>
          <w:bCs/>
          <w:sz w:val="24"/>
          <w:szCs w:val="24"/>
        </w:rPr>
        <w:t xml:space="preserve"> to increase rates for natural gas service by approximately $12 million or 6.9 percent in billed rates.</w:t>
      </w:r>
      <w:r w:rsidR="00967A5A">
        <w:rPr>
          <w:bCs/>
          <w:sz w:val="24"/>
          <w:szCs w:val="24"/>
        </w:rPr>
        <w:t xml:space="preserve"> The Commission suspended the tariff sheets and set the dockets for hearing.</w:t>
      </w:r>
      <w:r w:rsidR="00967A5A">
        <w:rPr>
          <w:sz w:val="24"/>
          <w:szCs w:val="24"/>
        </w:rPr>
        <w:t xml:space="preserve"> </w:t>
      </w:r>
    </w:p>
    <w:p w14:paraId="7B6FDC6D" w14:textId="77777777" w:rsidR="00060E1A" w:rsidRDefault="00060E1A" w:rsidP="007F731F">
      <w:pPr>
        <w:spacing w:line="264" w:lineRule="auto"/>
        <w:rPr>
          <w:sz w:val="24"/>
          <w:szCs w:val="24"/>
        </w:rPr>
      </w:pPr>
    </w:p>
    <w:p w14:paraId="0D683657" w14:textId="77777777" w:rsidR="00967A5A" w:rsidRDefault="00060E1A" w:rsidP="00060E1A">
      <w:pPr>
        <w:numPr>
          <w:ilvl w:val="0"/>
          <w:numId w:val="1"/>
        </w:numPr>
        <w:tabs>
          <w:tab w:val="num" w:pos="0"/>
        </w:tabs>
        <w:spacing w:line="264" w:lineRule="auto"/>
        <w:ind w:left="0"/>
        <w:rPr>
          <w:sz w:val="24"/>
          <w:szCs w:val="24"/>
        </w:rPr>
      </w:pPr>
      <w:r w:rsidRPr="00060E1A">
        <w:rPr>
          <w:sz w:val="24"/>
          <w:szCs w:val="24"/>
        </w:rPr>
        <w:t xml:space="preserve">On May 1, 2015, Avista, </w:t>
      </w:r>
      <w:r w:rsidR="00211811">
        <w:rPr>
          <w:sz w:val="24"/>
          <w:szCs w:val="24"/>
        </w:rPr>
        <w:t>the Commission’s regulatory staff (</w:t>
      </w:r>
      <w:r w:rsidRPr="00060E1A">
        <w:rPr>
          <w:sz w:val="24"/>
          <w:szCs w:val="24"/>
        </w:rPr>
        <w:t>Staff</w:t>
      </w:r>
      <w:r w:rsidR="00211811">
        <w:rPr>
          <w:sz w:val="24"/>
          <w:szCs w:val="24"/>
        </w:rPr>
        <w:t>)</w:t>
      </w:r>
      <w:r w:rsidRPr="00060E1A">
        <w:rPr>
          <w:sz w:val="24"/>
          <w:szCs w:val="24"/>
        </w:rPr>
        <w:t>,</w:t>
      </w:r>
      <w:r w:rsidR="00211811">
        <w:rPr>
          <w:rStyle w:val="FootnoteReference"/>
          <w:sz w:val="24"/>
          <w:szCs w:val="24"/>
        </w:rPr>
        <w:footnoteReference w:id="2"/>
      </w:r>
      <w:r w:rsidRPr="00060E1A">
        <w:rPr>
          <w:sz w:val="24"/>
          <w:szCs w:val="24"/>
        </w:rPr>
        <w:t xml:space="preserve"> </w:t>
      </w:r>
      <w:r w:rsidR="00211811">
        <w:rPr>
          <w:sz w:val="24"/>
          <w:szCs w:val="24"/>
        </w:rPr>
        <w:t xml:space="preserve">the </w:t>
      </w:r>
      <w:r w:rsidRPr="00060E1A">
        <w:rPr>
          <w:sz w:val="24"/>
          <w:szCs w:val="24"/>
        </w:rPr>
        <w:t>Public Counsel</w:t>
      </w:r>
      <w:r w:rsidR="00211811">
        <w:rPr>
          <w:sz w:val="24"/>
          <w:szCs w:val="24"/>
        </w:rPr>
        <w:t xml:space="preserve"> Unit of the Office of Attorney General (Public Counsel)</w:t>
      </w:r>
      <w:r w:rsidRPr="00060E1A">
        <w:rPr>
          <w:sz w:val="24"/>
          <w:szCs w:val="24"/>
        </w:rPr>
        <w:t xml:space="preserve">, </w:t>
      </w:r>
      <w:r w:rsidR="00211811">
        <w:rPr>
          <w:sz w:val="24"/>
          <w:szCs w:val="24"/>
        </w:rPr>
        <w:t>the Industrial Customers of Northwest Utilities (</w:t>
      </w:r>
      <w:r w:rsidRPr="00060E1A">
        <w:rPr>
          <w:sz w:val="24"/>
          <w:szCs w:val="24"/>
        </w:rPr>
        <w:t>ICNU</w:t>
      </w:r>
      <w:r w:rsidR="00211811">
        <w:rPr>
          <w:sz w:val="24"/>
          <w:szCs w:val="24"/>
        </w:rPr>
        <w:t>)</w:t>
      </w:r>
      <w:r w:rsidRPr="00060E1A">
        <w:rPr>
          <w:sz w:val="24"/>
          <w:szCs w:val="24"/>
        </w:rPr>
        <w:t>, and</w:t>
      </w:r>
      <w:r w:rsidR="00211811">
        <w:rPr>
          <w:sz w:val="24"/>
          <w:szCs w:val="24"/>
        </w:rPr>
        <w:t xml:space="preserve"> the Northwest Industrial Gas Users</w:t>
      </w:r>
      <w:r w:rsidRPr="00060E1A">
        <w:rPr>
          <w:sz w:val="24"/>
          <w:szCs w:val="24"/>
        </w:rPr>
        <w:t xml:space="preserve"> </w:t>
      </w:r>
      <w:r w:rsidR="00211811">
        <w:rPr>
          <w:sz w:val="24"/>
          <w:szCs w:val="24"/>
        </w:rPr>
        <w:t>(</w:t>
      </w:r>
      <w:r w:rsidRPr="00060E1A">
        <w:rPr>
          <w:sz w:val="24"/>
          <w:szCs w:val="24"/>
        </w:rPr>
        <w:t>NWIGU</w:t>
      </w:r>
      <w:r w:rsidR="00211811">
        <w:rPr>
          <w:sz w:val="24"/>
          <w:szCs w:val="24"/>
        </w:rPr>
        <w:t>)</w:t>
      </w:r>
      <w:r w:rsidRPr="00060E1A">
        <w:rPr>
          <w:sz w:val="24"/>
          <w:szCs w:val="24"/>
        </w:rPr>
        <w:t xml:space="preserve"> filed a Settlement </w:t>
      </w:r>
      <w:r w:rsidR="008032BC">
        <w:rPr>
          <w:sz w:val="24"/>
          <w:szCs w:val="24"/>
        </w:rPr>
        <w:t xml:space="preserve">Agreement </w:t>
      </w:r>
      <w:r w:rsidRPr="00060E1A">
        <w:rPr>
          <w:sz w:val="24"/>
          <w:szCs w:val="24"/>
        </w:rPr>
        <w:t>to resolve certain issues pertaining to the Company’s cost of capital, power supply, rate spread, and rate design.</w:t>
      </w:r>
      <w:r w:rsidRPr="00060E1A">
        <w:rPr>
          <w:sz w:val="24"/>
          <w:szCs w:val="24"/>
          <w:vertAlign w:val="superscript"/>
        </w:rPr>
        <w:footnoteReference w:id="3"/>
      </w:r>
      <w:r w:rsidRPr="00060E1A">
        <w:rPr>
          <w:sz w:val="24"/>
          <w:szCs w:val="24"/>
        </w:rPr>
        <w:t xml:space="preserve"> The effect of the </w:t>
      </w:r>
      <w:r w:rsidR="008032BC">
        <w:rPr>
          <w:sz w:val="24"/>
          <w:szCs w:val="24"/>
        </w:rPr>
        <w:t>s</w:t>
      </w:r>
      <w:r w:rsidRPr="00060E1A">
        <w:rPr>
          <w:sz w:val="24"/>
          <w:szCs w:val="24"/>
        </w:rPr>
        <w:t xml:space="preserve">ettlement reduced Avista’s requested electric revenue requirement from $33.2 million to $17 million and its </w:t>
      </w:r>
      <w:r w:rsidRPr="00060E1A">
        <w:rPr>
          <w:sz w:val="24"/>
          <w:szCs w:val="24"/>
        </w:rPr>
        <w:lastRenderedPageBreak/>
        <w:t>requested natural gas revenue requirement from $12 million to $11.3 million.</w:t>
      </w:r>
      <w:r w:rsidRPr="00060E1A">
        <w:rPr>
          <w:sz w:val="24"/>
          <w:szCs w:val="24"/>
          <w:vertAlign w:val="superscript"/>
        </w:rPr>
        <w:footnoteReference w:id="4"/>
      </w:r>
      <w:r w:rsidRPr="00060E1A">
        <w:rPr>
          <w:sz w:val="24"/>
          <w:szCs w:val="24"/>
        </w:rPr>
        <w:t xml:space="preserve"> The </w:t>
      </w:r>
      <w:r w:rsidR="008032BC">
        <w:rPr>
          <w:sz w:val="24"/>
          <w:szCs w:val="24"/>
        </w:rPr>
        <w:t>s</w:t>
      </w:r>
      <w:r w:rsidRPr="00060E1A">
        <w:rPr>
          <w:sz w:val="24"/>
          <w:szCs w:val="24"/>
        </w:rPr>
        <w:t>ettlement provided for a 9.5 percent ROE and an overall ROR of 7.29 percent.</w:t>
      </w:r>
      <w:r w:rsidRPr="00060E1A">
        <w:rPr>
          <w:sz w:val="24"/>
          <w:szCs w:val="24"/>
          <w:vertAlign w:val="superscript"/>
        </w:rPr>
        <w:footnoteReference w:id="5"/>
      </w:r>
      <w:r w:rsidRPr="00060E1A">
        <w:rPr>
          <w:sz w:val="24"/>
          <w:szCs w:val="24"/>
        </w:rPr>
        <w:t xml:space="preserve"> The Company agreed to file an updated power supply adjustment two months prior to new electric rates from this proceeding going into effect.</w:t>
      </w:r>
      <w:r w:rsidRPr="00060E1A">
        <w:rPr>
          <w:sz w:val="24"/>
          <w:szCs w:val="24"/>
          <w:vertAlign w:val="superscript"/>
        </w:rPr>
        <w:footnoteReference w:id="6"/>
      </w:r>
      <w:r w:rsidRPr="00060E1A">
        <w:rPr>
          <w:sz w:val="24"/>
          <w:szCs w:val="24"/>
        </w:rPr>
        <w:t xml:space="preserve"> The Company</w:t>
      </w:r>
      <w:r w:rsidR="00E5137E">
        <w:rPr>
          <w:sz w:val="24"/>
          <w:szCs w:val="24"/>
        </w:rPr>
        <w:t xml:space="preserve"> filed </w:t>
      </w:r>
      <w:r w:rsidR="00014C2D">
        <w:rPr>
          <w:sz w:val="24"/>
          <w:szCs w:val="24"/>
        </w:rPr>
        <w:t>the</w:t>
      </w:r>
      <w:r w:rsidR="00014C2D" w:rsidRPr="00060E1A">
        <w:rPr>
          <w:sz w:val="24"/>
          <w:szCs w:val="24"/>
        </w:rPr>
        <w:t xml:space="preserve"> </w:t>
      </w:r>
      <w:r w:rsidRPr="00060E1A">
        <w:rPr>
          <w:sz w:val="24"/>
          <w:szCs w:val="24"/>
        </w:rPr>
        <w:t xml:space="preserve">update to </w:t>
      </w:r>
      <w:r w:rsidR="00E5137E">
        <w:rPr>
          <w:sz w:val="24"/>
          <w:szCs w:val="24"/>
        </w:rPr>
        <w:t>its</w:t>
      </w:r>
      <w:r w:rsidRPr="00060E1A">
        <w:rPr>
          <w:sz w:val="24"/>
          <w:szCs w:val="24"/>
        </w:rPr>
        <w:t xml:space="preserve"> power supply adjustment on October 29, 2015</w:t>
      </w:r>
      <w:r w:rsidR="00E5137E">
        <w:rPr>
          <w:sz w:val="24"/>
          <w:szCs w:val="24"/>
        </w:rPr>
        <w:t xml:space="preserve">. This </w:t>
      </w:r>
      <w:r w:rsidRPr="00060E1A">
        <w:rPr>
          <w:sz w:val="24"/>
          <w:szCs w:val="24"/>
        </w:rPr>
        <w:t xml:space="preserve">reduced </w:t>
      </w:r>
      <w:r w:rsidR="00E5137E">
        <w:rPr>
          <w:sz w:val="24"/>
          <w:szCs w:val="24"/>
        </w:rPr>
        <w:t>the power cost adjustment</w:t>
      </w:r>
      <w:r w:rsidRPr="00060E1A">
        <w:rPr>
          <w:sz w:val="24"/>
          <w:szCs w:val="24"/>
        </w:rPr>
        <w:t xml:space="preserve"> by $12.3 million.</w:t>
      </w:r>
      <w:r w:rsidRPr="00060E1A">
        <w:rPr>
          <w:sz w:val="24"/>
          <w:szCs w:val="24"/>
          <w:vertAlign w:val="superscript"/>
        </w:rPr>
        <w:footnoteReference w:id="7"/>
      </w:r>
      <w:r w:rsidRPr="00060E1A">
        <w:rPr>
          <w:sz w:val="24"/>
          <w:szCs w:val="24"/>
        </w:rPr>
        <w:t xml:space="preserve"> </w:t>
      </w:r>
    </w:p>
    <w:p w14:paraId="71F95B14" w14:textId="77777777" w:rsidR="00060E1A" w:rsidRDefault="00060E1A" w:rsidP="007F731F">
      <w:pPr>
        <w:ind w:right="720"/>
        <w:rPr>
          <w:sz w:val="24"/>
          <w:szCs w:val="24"/>
        </w:rPr>
      </w:pPr>
    </w:p>
    <w:p w14:paraId="0628064E" w14:textId="77777777" w:rsidR="00060E1A" w:rsidRDefault="0020724C" w:rsidP="00FB5FF1">
      <w:pPr>
        <w:numPr>
          <w:ilvl w:val="0"/>
          <w:numId w:val="1"/>
        </w:numPr>
        <w:tabs>
          <w:tab w:val="num" w:pos="0"/>
        </w:tabs>
        <w:spacing w:line="264" w:lineRule="auto"/>
        <w:ind w:left="0"/>
        <w:rPr>
          <w:sz w:val="24"/>
          <w:szCs w:val="24"/>
        </w:rPr>
      </w:pPr>
      <w:r w:rsidRPr="001560C4">
        <w:rPr>
          <w:sz w:val="24"/>
          <w:szCs w:val="24"/>
        </w:rPr>
        <w:t>The Commission entered Order 0</w:t>
      </w:r>
      <w:r w:rsidR="00295622">
        <w:rPr>
          <w:sz w:val="24"/>
          <w:szCs w:val="24"/>
        </w:rPr>
        <w:t>5</w:t>
      </w:r>
      <w:r w:rsidR="0039558D">
        <w:rPr>
          <w:sz w:val="24"/>
          <w:szCs w:val="24"/>
        </w:rPr>
        <w:t>, its Final Order</w:t>
      </w:r>
      <w:r w:rsidRPr="001560C4">
        <w:rPr>
          <w:sz w:val="24"/>
          <w:szCs w:val="24"/>
        </w:rPr>
        <w:t xml:space="preserve"> in these </w:t>
      </w:r>
      <w:r w:rsidR="0039558D">
        <w:rPr>
          <w:sz w:val="24"/>
          <w:szCs w:val="24"/>
        </w:rPr>
        <w:t xml:space="preserve">consolidated electric and natural gas general rate case </w:t>
      </w:r>
      <w:r w:rsidR="00E74CA6" w:rsidRPr="001560C4">
        <w:rPr>
          <w:sz w:val="24"/>
          <w:szCs w:val="24"/>
        </w:rPr>
        <w:t>proceeding</w:t>
      </w:r>
      <w:r w:rsidRPr="001560C4">
        <w:rPr>
          <w:sz w:val="24"/>
          <w:szCs w:val="24"/>
        </w:rPr>
        <w:t>s</w:t>
      </w:r>
      <w:r w:rsidR="0039558D">
        <w:rPr>
          <w:sz w:val="24"/>
          <w:szCs w:val="24"/>
        </w:rPr>
        <w:t>,</w:t>
      </w:r>
      <w:r w:rsidRPr="001560C4">
        <w:rPr>
          <w:sz w:val="24"/>
          <w:szCs w:val="24"/>
        </w:rPr>
        <w:t xml:space="preserve"> on </w:t>
      </w:r>
      <w:r w:rsidR="00295622">
        <w:rPr>
          <w:sz w:val="24"/>
          <w:szCs w:val="24"/>
        </w:rPr>
        <w:t>January 6, 2016</w:t>
      </w:r>
      <w:r w:rsidR="00283E2D">
        <w:rPr>
          <w:sz w:val="24"/>
          <w:szCs w:val="24"/>
        </w:rPr>
        <w:t>. As required under the Administrative Procedure Act,</w:t>
      </w:r>
      <w:r w:rsidR="00014C2D" w:rsidRPr="00014C2D">
        <w:rPr>
          <w:sz w:val="24"/>
          <w:szCs w:val="24"/>
          <w:vertAlign w:val="superscript"/>
        </w:rPr>
        <w:t xml:space="preserve"> </w:t>
      </w:r>
      <w:r w:rsidR="00014C2D" w:rsidRPr="00283E2D">
        <w:rPr>
          <w:sz w:val="24"/>
          <w:szCs w:val="24"/>
          <w:vertAlign w:val="superscript"/>
        </w:rPr>
        <w:footnoteReference w:id="8"/>
      </w:r>
      <w:r w:rsidR="00283E2D">
        <w:rPr>
          <w:sz w:val="24"/>
          <w:szCs w:val="24"/>
        </w:rPr>
        <w:t xml:space="preserve"> Order 05</w:t>
      </w:r>
      <w:r w:rsidR="00283E2D" w:rsidRPr="001560C4">
        <w:rPr>
          <w:sz w:val="24"/>
          <w:szCs w:val="24"/>
        </w:rPr>
        <w:t xml:space="preserve"> </w:t>
      </w:r>
      <w:r w:rsidRPr="001560C4">
        <w:rPr>
          <w:sz w:val="24"/>
          <w:szCs w:val="24"/>
        </w:rPr>
        <w:t xml:space="preserve">fully </w:t>
      </w:r>
      <w:r w:rsidR="00283E2D" w:rsidRPr="001560C4">
        <w:rPr>
          <w:sz w:val="24"/>
          <w:szCs w:val="24"/>
        </w:rPr>
        <w:t>resolv</w:t>
      </w:r>
      <w:r w:rsidR="00283E2D">
        <w:rPr>
          <w:sz w:val="24"/>
          <w:szCs w:val="24"/>
        </w:rPr>
        <w:t>ed</w:t>
      </w:r>
      <w:r w:rsidR="00283E2D" w:rsidRPr="001560C4">
        <w:rPr>
          <w:sz w:val="24"/>
          <w:szCs w:val="24"/>
        </w:rPr>
        <w:t xml:space="preserve"> </w:t>
      </w:r>
      <w:r w:rsidR="0039558D">
        <w:rPr>
          <w:sz w:val="24"/>
          <w:szCs w:val="24"/>
        </w:rPr>
        <w:t xml:space="preserve">all issues exclusively on the basis of the record developed over the </w:t>
      </w:r>
      <w:r w:rsidR="00B875E5">
        <w:rPr>
          <w:sz w:val="24"/>
          <w:szCs w:val="24"/>
        </w:rPr>
        <w:t>10-</w:t>
      </w:r>
      <w:r w:rsidR="00283E2D">
        <w:rPr>
          <w:sz w:val="24"/>
          <w:szCs w:val="24"/>
        </w:rPr>
        <w:t>month statutory period allowed for review in these complex cases</w:t>
      </w:r>
      <w:r w:rsidR="001A60B3" w:rsidRPr="001560C4">
        <w:rPr>
          <w:sz w:val="24"/>
          <w:szCs w:val="24"/>
        </w:rPr>
        <w:t>.</w:t>
      </w:r>
      <w:r w:rsidR="00283E2D">
        <w:rPr>
          <w:rStyle w:val="FootnoteReference"/>
          <w:sz w:val="24"/>
          <w:szCs w:val="24"/>
        </w:rPr>
        <w:footnoteReference w:id="9"/>
      </w:r>
      <w:r w:rsidR="001A60B3" w:rsidRPr="001560C4">
        <w:rPr>
          <w:sz w:val="24"/>
          <w:szCs w:val="24"/>
        </w:rPr>
        <w:t xml:space="preserve"> </w:t>
      </w:r>
      <w:r w:rsidR="00060E1A">
        <w:rPr>
          <w:sz w:val="24"/>
          <w:szCs w:val="24"/>
        </w:rPr>
        <w:t xml:space="preserve">In Order 05, on the basis of evidence offered in support of the settlement, the Commission approved the parties’ proposals, as discussed above, and adopted their Settlement Agreement as its own resolution of the issues </w:t>
      </w:r>
      <w:r w:rsidR="00A30844">
        <w:rPr>
          <w:sz w:val="24"/>
          <w:szCs w:val="24"/>
        </w:rPr>
        <w:t>identified.</w:t>
      </w:r>
    </w:p>
    <w:p w14:paraId="48869183" w14:textId="77777777" w:rsidR="00A30844" w:rsidRDefault="00A30844" w:rsidP="007F731F">
      <w:pPr>
        <w:pStyle w:val="ListParagraph"/>
      </w:pPr>
    </w:p>
    <w:p w14:paraId="6D892AC0" w14:textId="77777777" w:rsidR="00664C57" w:rsidRDefault="00A30844" w:rsidP="00FB5FF1">
      <w:pPr>
        <w:numPr>
          <w:ilvl w:val="0"/>
          <w:numId w:val="1"/>
        </w:numPr>
        <w:tabs>
          <w:tab w:val="num" w:pos="0"/>
        </w:tabs>
        <w:spacing w:line="264" w:lineRule="auto"/>
        <w:ind w:left="0"/>
        <w:rPr>
          <w:sz w:val="24"/>
          <w:szCs w:val="24"/>
        </w:rPr>
      </w:pPr>
      <w:r>
        <w:rPr>
          <w:sz w:val="24"/>
          <w:szCs w:val="24"/>
        </w:rPr>
        <w:t>While the parties’ settlement reduced the number of contested issues and, hence, simplified the case to some degree, significant issues were not resolved by the agreement. These were the subjects of extensive, detailed evidentiary presentations by the parties. The fully contested issues included disputes over pro forma plant additions, generation plant operations and maintenance expense, labor expenses, advanced meter infrastructure, Project Compass,</w:t>
      </w:r>
      <w:r w:rsidR="00664C57">
        <w:rPr>
          <w:rStyle w:val="FootnoteReference"/>
          <w:sz w:val="24"/>
          <w:szCs w:val="24"/>
        </w:rPr>
        <w:footnoteReference w:id="10"/>
      </w:r>
      <w:r>
        <w:rPr>
          <w:sz w:val="24"/>
          <w:szCs w:val="24"/>
        </w:rPr>
        <w:t xml:space="preserve"> low-income rate assistance, and various miscellaneous expenses including property tax, insurance, accumulated deferred Federal Income Tax, corporate aircraft expense, and transmission revenues and expenses.</w:t>
      </w:r>
      <w:r w:rsidR="00664C57">
        <w:rPr>
          <w:sz w:val="24"/>
          <w:szCs w:val="24"/>
        </w:rPr>
        <w:t xml:space="preserve"> </w:t>
      </w:r>
    </w:p>
    <w:p w14:paraId="4239F1A0" w14:textId="77777777" w:rsidR="00664C57" w:rsidRDefault="00664C57" w:rsidP="007F731F">
      <w:pPr>
        <w:pStyle w:val="ListParagraph"/>
      </w:pPr>
    </w:p>
    <w:p w14:paraId="43F753ED" w14:textId="77777777" w:rsidR="00664C57" w:rsidRDefault="00664C57" w:rsidP="00664C57">
      <w:pPr>
        <w:numPr>
          <w:ilvl w:val="0"/>
          <w:numId w:val="1"/>
        </w:numPr>
        <w:tabs>
          <w:tab w:val="num" w:pos="0"/>
        </w:tabs>
        <w:spacing w:line="264" w:lineRule="auto"/>
        <w:ind w:left="0"/>
        <w:rPr>
          <w:sz w:val="24"/>
          <w:szCs w:val="24"/>
        </w:rPr>
      </w:pPr>
      <w:r>
        <w:rPr>
          <w:sz w:val="24"/>
          <w:szCs w:val="24"/>
        </w:rPr>
        <w:t xml:space="preserve">The most significant contested issues in terms of dollars were Avista’s proposed attrition adjustments to the Company’s rates for electric and natural gas. More than one-third of </w:t>
      </w:r>
      <w:r>
        <w:rPr>
          <w:sz w:val="24"/>
          <w:szCs w:val="24"/>
        </w:rPr>
        <w:lastRenderedPageBreak/>
        <w:t>the Commission’s 93 page Final Order narrative is devoted to this subject. As discussed in Order 05:</w:t>
      </w:r>
    </w:p>
    <w:p w14:paraId="025B8BE9" w14:textId="77777777" w:rsidR="00664C57" w:rsidRDefault="00664C57" w:rsidP="007F731F">
      <w:pPr>
        <w:pStyle w:val="ListParagraph"/>
      </w:pPr>
    </w:p>
    <w:p w14:paraId="0D1310D6" w14:textId="77777777" w:rsidR="00664C57" w:rsidRDefault="00664C57" w:rsidP="00E5137E">
      <w:pPr>
        <w:ind w:left="720" w:right="720"/>
        <w:rPr>
          <w:sz w:val="24"/>
          <w:szCs w:val="24"/>
        </w:rPr>
      </w:pPr>
      <w:r>
        <w:rPr>
          <w:sz w:val="24"/>
          <w:szCs w:val="24"/>
        </w:rPr>
        <w:t>A</w:t>
      </w:r>
      <w:r w:rsidRPr="00664C57">
        <w:rPr>
          <w:sz w:val="24"/>
          <w:szCs w:val="24"/>
        </w:rPr>
        <w:t>ttrition occurs when the test-period relationship between rate base, expenses and revenues does not hold under conditions in the rate effective period, such that a utility’s expenses or rate base grows more quickly than revenues, and a utility would likely have no reasonable opportunity to earn its allowed rate of return. An attrition adjustment is a discrete adjustment to the modified historical test year that the Commission may use when it determines attrition is present.</w:t>
      </w:r>
    </w:p>
    <w:p w14:paraId="2F799526" w14:textId="77777777" w:rsidR="00EA3A90" w:rsidRDefault="00EA3A90" w:rsidP="007F731F">
      <w:pPr>
        <w:ind w:left="1170" w:right="720" w:hanging="450"/>
        <w:rPr>
          <w:sz w:val="24"/>
          <w:szCs w:val="24"/>
        </w:rPr>
      </w:pPr>
    </w:p>
    <w:p w14:paraId="665B8E23" w14:textId="77777777" w:rsidR="00EA3A90" w:rsidRDefault="00EA3A90" w:rsidP="00E5137E">
      <w:pPr>
        <w:ind w:left="720" w:right="720"/>
        <w:rPr>
          <w:sz w:val="24"/>
          <w:szCs w:val="24"/>
        </w:rPr>
      </w:pPr>
      <w:r w:rsidRPr="00EA3A90">
        <w:rPr>
          <w:sz w:val="24"/>
          <w:szCs w:val="24"/>
        </w:rPr>
        <w:t>When developing an attrition adjustment, parties first provide a revenue requirement analysis based on a modified historical test year. Parties then perform an attrition study to determine the utility’s revenue requirement in the rate year. The attrition adjustment is the difference between the revenue requirement provided by the modified historical test year and the revenue requirement provided by the attrition study.</w:t>
      </w:r>
      <w:r>
        <w:rPr>
          <w:rStyle w:val="FootnoteReference"/>
          <w:sz w:val="24"/>
          <w:szCs w:val="24"/>
        </w:rPr>
        <w:footnoteReference w:id="11"/>
      </w:r>
    </w:p>
    <w:p w14:paraId="6168C046" w14:textId="77777777" w:rsidR="00EA3A90" w:rsidRDefault="00EA3A90" w:rsidP="007F731F">
      <w:pPr>
        <w:ind w:left="1170" w:right="720" w:hanging="450"/>
        <w:rPr>
          <w:sz w:val="24"/>
          <w:szCs w:val="24"/>
        </w:rPr>
      </w:pPr>
    </w:p>
    <w:p w14:paraId="0AA520A3" w14:textId="77777777" w:rsidR="006B43B5" w:rsidRDefault="00EA3A90" w:rsidP="00E5137E">
      <w:pPr>
        <w:numPr>
          <w:ilvl w:val="0"/>
          <w:numId w:val="1"/>
        </w:numPr>
        <w:tabs>
          <w:tab w:val="num" w:pos="0"/>
        </w:tabs>
        <w:spacing w:line="264" w:lineRule="auto"/>
        <w:ind w:left="0"/>
        <w:rPr>
          <w:sz w:val="24"/>
          <w:szCs w:val="24"/>
        </w:rPr>
      </w:pPr>
      <w:r>
        <w:rPr>
          <w:sz w:val="24"/>
          <w:szCs w:val="24"/>
        </w:rPr>
        <w:t>Both Avista and Staff performed attrition studies. These studies involved the development and use of complex models populated by myriad data. The modeling methodologies used by Avista and Staff in the first instance were significantly different and there were</w:t>
      </w:r>
      <w:r w:rsidR="006B43B5">
        <w:rPr>
          <w:sz w:val="24"/>
          <w:szCs w:val="24"/>
        </w:rPr>
        <w:t xml:space="preserve"> also</w:t>
      </w:r>
      <w:r>
        <w:rPr>
          <w:sz w:val="24"/>
          <w:szCs w:val="24"/>
        </w:rPr>
        <w:t xml:space="preserve"> significant differences separating the parties in terms of what data should populate the models.</w:t>
      </w:r>
      <w:r w:rsidR="006B43B5">
        <w:rPr>
          <w:sz w:val="24"/>
          <w:szCs w:val="24"/>
        </w:rPr>
        <w:t xml:space="preserve"> </w:t>
      </w:r>
      <w:r w:rsidR="006B43B5" w:rsidRPr="006B43B5">
        <w:rPr>
          <w:sz w:val="24"/>
          <w:szCs w:val="24"/>
        </w:rPr>
        <w:t>On rebuttal, Avista abandon</w:t>
      </w:r>
      <w:r w:rsidR="006B43B5">
        <w:rPr>
          <w:sz w:val="24"/>
          <w:szCs w:val="24"/>
        </w:rPr>
        <w:t>ed</w:t>
      </w:r>
      <w:r w:rsidR="006B43B5" w:rsidRPr="006B43B5">
        <w:rPr>
          <w:sz w:val="24"/>
          <w:szCs w:val="24"/>
        </w:rPr>
        <w:t xml:space="preserve"> the attrition study </w:t>
      </w:r>
      <w:r w:rsidR="006B43B5">
        <w:rPr>
          <w:sz w:val="24"/>
          <w:szCs w:val="24"/>
        </w:rPr>
        <w:t xml:space="preserve">it </w:t>
      </w:r>
      <w:r w:rsidR="006B43B5" w:rsidRPr="006B43B5">
        <w:rPr>
          <w:sz w:val="24"/>
          <w:szCs w:val="24"/>
        </w:rPr>
        <w:t>filed in its direct testimony and instead adopt</w:t>
      </w:r>
      <w:r w:rsidR="006B43B5">
        <w:rPr>
          <w:sz w:val="24"/>
          <w:szCs w:val="24"/>
        </w:rPr>
        <w:t>ed</w:t>
      </w:r>
      <w:r w:rsidR="006B43B5" w:rsidRPr="006B43B5">
        <w:rPr>
          <w:sz w:val="24"/>
          <w:szCs w:val="24"/>
        </w:rPr>
        <w:t xml:space="preserve"> Staff’s proposed attrition study and methodologies, </w:t>
      </w:r>
      <w:r w:rsidR="006B43B5">
        <w:rPr>
          <w:sz w:val="24"/>
          <w:szCs w:val="24"/>
        </w:rPr>
        <w:t xml:space="preserve">albeit </w:t>
      </w:r>
      <w:r w:rsidR="006B43B5" w:rsidRPr="006B43B5">
        <w:rPr>
          <w:sz w:val="24"/>
          <w:szCs w:val="24"/>
        </w:rPr>
        <w:t xml:space="preserve">with several changes. </w:t>
      </w:r>
    </w:p>
    <w:p w14:paraId="7BE1D392" w14:textId="77777777" w:rsidR="00193180" w:rsidRDefault="00193180" w:rsidP="007F731F">
      <w:pPr>
        <w:spacing w:line="264" w:lineRule="auto"/>
        <w:ind w:hanging="720"/>
        <w:rPr>
          <w:sz w:val="24"/>
          <w:szCs w:val="24"/>
        </w:rPr>
      </w:pPr>
    </w:p>
    <w:p w14:paraId="217E7762" w14:textId="77777777" w:rsidR="00193180" w:rsidRDefault="00193180" w:rsidP="00E5137E">
      <w:pPr>
        <w:numPr>
          <w:ilvl w:val="0"/>
          <w:numId w:val="1"/>
        </w:numPr>
        <w:tabs>
          <w:tab w:val="num" w:pos="0"/>
        </w:tabs>
        <w:spacing w:line="264" w:lineRule="auto"/>
        <w:ind w:left="0"/>
        <w:rPr>
          <w:sz w:val="24"/>
          <w:szCs w:val="24"/>
        </w:rPr>
      </w:pPr>
      <w:r>
        <w:rPr>
          <w:sz w:val="24"/>
          <w:szCs w:val="24"/>
        </w:rPr>
        <w:t xml:space="preserve">Public Counsel and ICNU opposed making any attrition adjustment in this case. </w:t>
      </w:r>
      <w:r w:rsidR="00B875E5">
        <w:rPr>
          <w:sz w:val="24"/>
          <w:szCs w:val="24"/>
        </w:rPr>
        <w:t xml:space="preserve">For that reason, </w:t>
      </w:r>
      <w:r>
        <w:rPr>
          <w:sz w:val="24"/>
          <w:szCs w:val="24"/>
        </w:rPr>
        <w:t>they did not present their own models, being of the opinion that no study would support such adjustments.</w:t>
      </w:r>
    </w:p>
    <w:p w14:paraId="0BB6C172" w14:textId="77777777" w:rsidR="006B43B5" w:rsidRDefault="006B43B5" w:rsidP="007F731F">
      <w:pPr>
        <w:spacing w:line="264" w:lineRule="auto"/>
        <w:ind w:hanging="720"/>
        <w:rPr>
          <w:sz w:val="24"/>
          <w:szCs w:val="24"/>
        </w:rPr>
      </w:pPr>
    </w:p>
    <w:p w14:paraId="7D27F9E4" w14:textId="77777777" w:rsidR="00193180" w:rsidRDefault="006B43B5" w:rsidP="00E5137E">
      <w:pPr>
        <w:numPr>
          <w:ilvl w:val="0"/>
          <w:numId w:val="1"/>
        </w:numPr>
        <w:tabs>
          <w:tab w:val="num" w:pos="0"/>
        </w:tabs>
        <w:spacing w:line="264" w:lineRule="auto"/>
        <w:ind w:left="0"/>
        <w:rPr>
          <w:sz w:val="24"/>
          <w:szCs w:val="24"/>
        </w:rPr>
      </w:pPr>
      <w:r>
        <w:rPr>
          <w:sz w:val="24"/>
          <w:szCs w:val="24"/>
        </w:rPr>
        <w:t xml:space="preserve">The Commission found “Staff’s approach, </w:t>
      </w:r>
      <w:r w:rsidRPr="006B43B5">
        <w:rPr>
          <w:sz w:val="24"/>
          <w:szCs w:val="24"/>
        </w:rPr>
        <w:t>as adjusted and corrected by the Company,</w:t>
      </w:r>
      <w:r>
        <w:rPr>
          <w:sz w:val="24"/>
          <w:szCs w:val="24"/>
        </w:rPr>
        <w:t xml:space="preserve"> [provided]</w:t>
      </w:r>
      <w:r w:rsidRPr="006B43B5">
        <w:rPr>
          <w:sz w:val="24"/>
          <w:szCs w:val="24"/>
        </w:rPr>
        <w:t xml:space="preserve"> the most appropriate methodology in this docket for supporting an attrition adjustment</w:t>
      </w:r>
      <w:r>
        <w:rPr>
          <w:sz w:val="24"/>
          <w:szCs w:val="24"/>
        </w:rPr>
        <w:t>.”</w:t>
      </w:r>
      <w:r>
        <w:rPr>
          <w:rStyle w:val="FootnoteReference"/>
          <w:sz w:val="24"/>
          <w:szCs w:val="24"/>
        </w:rPr>
        <w:footnoteReference w:id="12"/>
      </w:r>
      <w:r>
        <w:rPr>
          <w:sz w:val="24"/>
          <w:szCs w:val="24"/>
        </w:rPr>
        <w:t xml:space="preserve"> The Commission discusses in considerable detail in Order 05 </w:t>
      </w:r>
      <w:r w:rsidR="00193180">
        <w:rPr>
          <w:sz w:val="24"/>
          <w:szCs w:val="24"/>
        </w:rPr>
        <w:t xml:space="preserve">the ramifications of this finding for the application of an attrition adjustment in this case. </w:t>
      </w:r>
    </w:p>
    <w:p w14:paraId="01AAAAF9" w14:textId="77777777" w:rsidR="00193180" w:rsidRDefault="00193180" w:rsidP="007F731F">
      <w:pPr>
        <w:spacing w:line="264" w:lineRule="auto"/>
        <w:ind w:hanging="720"/>
        <w:rPr>
          <w:sz w:val="24"/>
          <w:szCs w:val="24"/>
        </w:rPr>
      </w:pPr>
    </w:p>
    <w:p w14:paraId="0B6DD1C6" w14:textId="77777777" w:rsidR="00EA3A90" w:rsidRPr="007F731F" w:rsidRDefault="00CD1FDA" w:rsidP="00E5137E">
      <w:pPr>
        <w:numPr>
          <w:ilvl w:val="0"/>
          <w:numId w:val="1"/>
        </w:numPr>
        <w:tabs>
          <w:tab w:val="num" w:pos="0"/>
        </w:tabs>
        <w:spacing w:line="264" w:lineRule="auto"/>
        <w:ind w:left="0"/>
        <w:rPr>
          <w:sz w:val="24"/>
          <w:szCs w:val="24"/>
        </w:rPr>
      </w:pPr>
      <w:r>
        <w:rPr>
          <w:sz w:val="24"/>
          <w:szCs w:val="24"/>
        </w:rPr>
        <w:t xml:space="preserve">After </w:t>
      </w:r>
      <w:r w:rsidR="00B52552">
        <w:rPr>
          <w:sz w:val="24"/>
          <w:szCs w:val="24"/>
        </w:rPr>
        <w:t>careful and thoroughgoing consideration</w:t>
      </w:r>
      <w:r>
        <w:rPr>
          <w:sz w:val="24"/>
          <w:szCs w:val="24"/>
        </w:rPr>
        <w:t xml:space="preserve"> of the record evidence, the Commission </w:t>
      </w:r>
      <w:r w:rsidR="00014C2D">
        <w:rPr>
          <w:sz w:val="24"/>
          <w:szCs w:val="24"/>
        </w:rPr>
        <w:t>c</w:t>
      </w:r>
      <w:r>
        <w:rPr>
          <w:sz w:val="24"/>
          <w:szCs w:val="24"/>
        </w:rPr>
        <w:t>oncluded</w:t>
      </w:r>
      <w:r w:rsidR="00193180">
        <w:rPr>
          <w:sz w:val="24"/>
          <w:szCs w:val="24"/>
        </w:rPr>
        <w:t xml:space="preserve"> that it would allow attrition adjustments affecting both electric and natural gas rates. Order 05 explains, however, that </w:t>
      </w:r>
      <w:r w:rsidR="007E2865">
        <w:rPr>
          <w:sz w:val="24"/>
          <w:szCs w:val="24"/>
        </w:rPr>
        <w:t>the Commission’s</w:t>
      </w:r>
      <w:r w:rsidR="00193180">
        <w:rPr>
          <w:sz w:val="24"/>
          <w:szCs w:val="24"/>
        </w:rPr>
        <w:t xml:space="preserve"> decisions</w:t>
      </w:r>
      <w:r w:rsidR="006B43B5">
        <w:rPr>
          <w:sz w:val="24"/>
          <w:szCs w:val="24"/>
        </w:rPr>
        <w:t xml:space="preserve"> </w:t>
      </w:r>
      <w:r w:rsidR="007E2865">
        <w:rPr>
          <w:sz w:val="24"/>
          <w:szCs w:val="24"/>
        </w:rPr>
        <w:t xml:space="preserve">in awarding attrition </w:t>
      </w:r>
      <w:r w:rsidR="007E2865">
        <w:rPr>
          <w:sz w:val="24"/>
          <w:szCs w:val="24"/>
        </w:rPr>
        <w:lastRenderedPageBreak/>
        <w:t>adjustments would be informed not only by its application of a modified version of Staff’s model, but also by its informed judgment as a regulatory body charged with making decisions that produce end results, regardless of the methods used, that yield rates that are fair, just, reasonable, and sufficient.</w:t>
      </w:r>
      <w:r w:rsidR="00817A3B">
        <w:rPr>
          <w:rStyle w:val="FootnoteReference"/>
          <w:sz w:val="24"/>
          <w:szCs w:val="24"/>
        </w:rPr>
        <w:footnoteReference w:id="13"/>
      </w:r>
    </w:p>
    <w:p w14:paraId="0F155F11" w14:textId="77777777" w:rsidR="00EA3A90" w:rsidRDefault="00EA3A90" w:rsidP="007F731F">
      <w:pPr>
        <w:pStyle w:val="ListParagraph"/>
      </w:pPr>
    </w:p>
    <w:p w14:paraId="41ECDA3F" w14:textId="77777777" w:rsidR="00967A5A" w:rsidRDefault="001A60B3" w:rsidP="00FB5FF1">
      <w:pPr>
        <w:numPr>
          <w:ilvl w:val="0"/>
          <w:numId w:val="1"/>
        </w:numPr>
        <w:tabs>
          <w:tab w:val="num" w:pos="0"/>
        </w:tabs>
        <w:spacing w:line="264" w:lineRule="auto"/>
        <w:ind w:left="0"/>
        <w:rPr>
          <w:sz w:val="24"/>
          <w:szCs w:val="24"/>
        </w:rPr>
      </w:pPr>
      <w:r w:rsidRPr="001560C4">
        <w:rPr>
          <w:sz w:val="24"/>
          <w:szCs w:val="24"/>
        </w:rPr>
        <w:t>Order 0</w:t>
      </w:r>
      <w:r w:rsidR="00295622">
        <w:rPr>
          <w:sz w:val="24"/>
          <w:szCs w:val="24"/>
        </w:rPr>
        <w:t>5</w:t>
      </w:r>
      <w:r w:rsidRPr="001560C4">
        <w:rPr>
          <w:sz w:val="24"/>
          <w:szCs w:val="24"/>
        </w:rPr>
        <w:t xml:space="preserve">, among other things, </w:t>
      </w:r>
      <w:r w:rsidR="00B52552">
        <w:rPr>
          <w:noProof/>
          <w:sz w:val="24"/>
          <w:szCs w:val="24"/>
        </w:rPr>
        <w:t xml:space="preserve">takes into account </w:t>
      </w:r>
      <w:r w:rsidR="00967A5A">
        <w:rPr>
          <w:noProof/>
          <w:sz w:val="24"/>
          <w:szCs w:val="24"/>
        </w:rPr>
        <w:t xml:space="preserve">a positive $28 million </w:t>
      </w:r>
      <w:r w:rsidR="00295622">
        <w:rPr>
          <w:noProof/>
          <w:sz w:val="24"/>
          <w:szCs w:val="24"/>
        </w:rPr>
        <w:t xml:space="preserve">attrition adjustment </w:t>
      </w:r>
      <w:r w:rsidR="00295622">
        <w:rPr>
          <w:sz w:val="24"/>
          <w:szCs w:val="24"/>
        </w:rPr>
        <w:t>to the modified test year amounts for the Company’s electric service</w:t>
      </w:r>
      <w:r w:rsidR="00967A5A">
        <w:rPr>
          <w:sz w:val="24"/>
          <w:szCs w:val="24"/>
        </w:rPr>
        <w:t xml:space="preserve">. The Commission’s decisions on other issues, however, established negative adjustments that more than offset the </w:t>
      </w:r>
      <w:r w:rsidR="00817A3B">
        <w:rPr>
          <w:sz w:val="24"/>
          <w:szCs w:val="24"/>
        </w:rPr>
        <w:t xml:space="preserve">positive </w:t>
      </w:r>
      <w:r w:rsidR="00967A5A">
        <w:rPr>
          <w:sz w:val="24"/>
          <w:szCs w:val="24"/>
        </w:rPr>
        <w:t>attrition adjustment. In the final analysis, the Commission</w:t>
      </w:r>
      <w:r w:rsidR="00295622">
        <w:rPr>
          <w:sz w:val="24"/>
          <w:szCs w:val="24"/>
        </w:rPr>
        <w:t xml:space="preserve"> authorized </w:t>
      </w:r>
      <w:r w:rsidR="00A35416">
        <w:rPr>
          <w:sz w:val="24"/>
          <w:szCs w:val="24"/>
        </w:rPr>
        <w:t>Avista</w:t>
      </w:r>
      <w:r w:rsidR="00295622">
        <w:rPr>
          <w:sz w:val="24"/>
          <w:szCs w:val="24"/>
        </w:rPr>
        <w:t xml:space="preserve"> to file revised tariffs with electric rates that will recover $8.1 million less in revenue, for a 1.63 percent rate decrease</w:t>
      </w:r>
      <w:r w:rsidR="00967A5A">
        <w:rPr>
          <w:sz w:val="24"/>
          <w:szCs w:val="24"/>
        </w:rPr>
        <w:t>, relative to the Company’s rates in effect at the time these dockets were initiated</w:t>
      </w:r>
      <w:r w:rsidR="00295622">
        <w:rPr>
          <w:sz w:val="24"/>
          <w:szCs w:val="24"/>
        </w:rPr>
        <w:t>.</w:t>
      </w:r>
    </w:p>
    <w:p w14:paraId="367D6DA1" w14:textId="77777777" w:rsidR="009510E1" w:rsidRPr="001560C4" w:rsidRDefault="009510E1" w:rsidP="007F731F">
      <w:pPr>
        <w:spacing w:line="264" w:lineRule="auto"/>
        <w:rPr>
          <w:sz w:val="24"/>
          <w:szCs w:val="24"/>
        </w:rPr>
      </w:pPr>
    </w:p>
    <w:p w14:paraId="04E38745" w14:textId="77777777" w:rsidR="00FB5FF1" w:rsidRDefault="00211811" w:rsidP="000455AC">
      <w:pPr>
        <w:numPr>
          <w:ilvl w:val="0"/>
          <w:numId w:val="1"/>
        </w:numPr>
        <w:tabs>
          <w:tab w:val="num" w:pos="0"/>
        </w:tabs>
        <w:spacing w:line="264" w:lineRule="auto"/>
        <w:ind w:left="0"/>
        <w:rPr>
          <w:sz w:val="24"/>
          <w:szCs w:val="24"/>
        </w:rPr>
      </w:pPr>
      <w:r>
        <w:rPr>
          <w:sz w:val="24"/>
          <w:szCs w:val="24"/>
        </w:rPr>
        <w:t>Following the Commission’s entry and service of Order 05 on</w:t>
      </w:r>
      <w:r w:rsidR="0020724C" w:rsidRPr="001560C4">
        <w:rPr>
          <w:sz w:val="24"/>
          <w:szCs w:val="24"/>
        </w:rPr>
        <w:t xml:space="preserve"> </w:t>
      </w:r>
      <w:r w:rsidR="00243DAC">
        <w:rPr>
          <w:sz w:val="24"/>
          <w:szCs w:val="24"/>
        </w:rPr>
        <w:t>January 6, 2016, the Commission</w:t>
      </w:r>
      <w:r w:rsidR="00817A3B">
        <w:rPr>
          <w:sz w:val="24"/>
          <w:szCs w:val="24"/>
        </w:rPr>
        <w:t>,</w:t>
      </w:r>
      <w:r w:rsidR="00243DAC">
        <w:rPr>
          <w:sz w:val="24"/>
          <w:szCs w:val="24"/>
        </w:rPr>
        <w:t xml:space="preserve"> </w:t>
      </w:r>
      <w:r w:rsidRPr="00211811">
        <w:rPr>
          <w:sz w:val="24"/>
          <w:szCs w:val="24"/>
        </w:rPr>
        <w:t xml:space="preserve">at the request of the Company, </w:t>
      </w:r>
      <w:r w:rsidR="00817A3B" w:rsidRPr="00817A3B">
        <w:rPr>
          <w:sz w:val="24"/>
          <w:szCs w:val="24"/>
        </w:rPr>
        <w:t xml:space="preserve">convened </w:t>
      </w:r>
      <w:r w:rsidR="00243DAC">
        <w:rPr>
          <w:sz w:val="24"/>
          <w:szCs w:val="24"/>
        </w:rPr>
        <w:t>a</w:t>
      </w:r>
      <w:r w:rsidR="00F56136">
        <w:rPr>
          <w:sz w:val="24"/>
          <w:szCs w:val="24"/>
        </w:rPr>
        <w:t>n</w:t>
      </w:r>
      <w:r w:rsidR="00243DAC">
        <w:rPr>
          <w:sz w:val="24"/>
          <w:szCs w:val="24"/>
        </w:rPr>
        <w:t xml:space="preserve"> informal telephonic </w:t>
      </w:r>
      <w:r w:rsidR="00FC0F14">
        <w:rPr>
          <w:sz w:val="24"/>
          <w:szCs w:val="24"/>
        </w:rPr>
        <w:t xml:space="preserve">order </w:t>
      </w:r>
      <w:r w:rsidR="00243DAC">
        <w:rPr>
          <w:sz w:val="24"/>
          <w:szCs w:val="24"/>
        </w:rPr>
        <w:t xml:space="preserve">conference with Avista, Commission Staff, Public Counsel, </w:t>
      </w:r>
      <w:r w:rsidR="00F56136">
        <w:rPr>
          <w:sz w:val="24"/>
          <w:szCs w:val="24"/>
        </w:rPr>
        <w:t xml:space="preserve">the </w:t>
      </w:r>
      <w:r w:rsidR="00243DAC">
        <w:rPr>
          <w:sz w:val="24"/>
          <w:szCs w:val="24"/>
        </w:rPr>
        <w:t xml:space="preserve">ICNU, and NWIGU to </w:t>
      </w:r>
      <w:r w:rsidR="00FC0F14">
        <w:rPr>
          <w:sz w:val="24"/>
          <w:szCs w:val="24"/>
        </w:rPr>
        <w:t>“[e]nsure that any compliance filing can be accurately prepared and presented.”</w:t>
      </w:r>
      <w:r w:rsidR="00FC0F14">
        <w:rPr>
          <w:rStyle w:val="FootnoteReference"/>
          <w:sz w:val="24"/>
          <w:szCs w:val="24"/>
        </w:rPr>
        <w:footnoteReference w:id="14"/>
      </w:r>
      <w:r w:rsidR="004E4012" w:rsidRPr="001560C4">
        <w:rPr>
          <w:sz w:val="24"/>
          <w:szCs w:val="24"/>
        </w:rPr>
        <w:t xml:space="preserve"> </w:t>
      </w:r>
      <w:r w:rsidR="00FC0F14">
        <w:rPr>
          <w:sz w:val="24"/>
          <w:szCs w:val="24"/>
        </w:rPr>
        <w:t xml:space="preserve">During the order conference, the Commission’s Accounting Advisor, </w:t>
      </w:r>
      <w:r w:rsidR="00B52552">
        <w:rPr>
          <w:sz w:val="24"/>
          <w:szCs w:val="24"/>
        </w:rPr>
        <w:t xml:space="preserve">Mr. </w:t>
      </w:r>
      <w:r w:rsidR="00FC0F14">
        <w:rPr>
          <w:sz w:val="24"/>
          <w:szCs w:val="24"/>
        </w:rPr>
        <w:t>Danny Kermode, explained</w:t>
      </w:r>
      <w:r w:rsidR="00F56136">
        <w:rPr>
          <w:sz w:val="24"/>
          <w:szCs w:val="24"/>
        </w:rPr>
        <w:t xml:space="preserve"> systematically the </w:t>
      </w:r>
      <w:r w:rsidR="00901447">
        <w:rPr>
          <w:sz w:val="24"/>
          <w:szCs w:val="24"/>
        </w:rPr>
        <w:t>data from the record on which the Commission relied</w:t>
      </w:r>
      <w:r w:rsidR="00A35416">
        <w:rPr>
          <w:sz w:val="24"/>
          <w:szCs w:val="24"/>
        </w:rPr>
        <w:t>,</w:t>
      </w:r>
      <w:r w:rsidR="00F56136">
        <w:rPr>
          <w:sz w:val="24"/>
          <w:szCs w:val="24"/>
        </w:rPr>
        <w:t xml:space="preserve"> how </w:t>
      </w:r>
      <w:r w:rsidR="00DF21E2">
        <w:rPr>
          <w:sz w:val="24"/>
          <w:szCs w:val="24"/>
        </w:rPr>
        <w:t xml:space="preserve">these data inputs were utilized, </w:t>
      </w:r>
      <w:r w:rsidR="00A35416">
        <w:rPr>
          <w:sz w:val="24"/>
          <w:szCs w:val="24"/>
        </w:rPr>
        <w:t xml:space="preserve">, and </w:t>
      </w:r>
      <w:r>
        <w:rPr>
          <w:sz w:val="24"/>
          <w:szCs w:val="24"/>
        </w:rPr>
        <w:t xml:space="preserve">how, </w:t>
      </w:r>
      <w:r w:rsidR="00A35416">
        <w:rPr>
          <w:sz w:val="24"/>
          <w:szCs w:val="24"/>
        </w:rPr>
        <w:t>together</w:t>
      </w:r>
      <w:r>
        <w:rPr>
          <w:sz w:val="24"/>
          <w:szCs w:val="24"/>
        </w:rPr>
        <w:t>, the results</w:t>
      </w:r>
      <w:r w:rsidR="00A35416">
        <w:rPr>
          <w:sz w:val="24"/>
          <w:szCs w:val="24"/>
        </w:rPr>
        <w:t xml:space="preserve"> formed the basis for Avista’s electric revenue requirement decrease of $8.1 million</w:t>
      </w:r>
      <w:r w:rsidR="00F56136">
        <w:rPr>
          <w:sz w:val="24"/>
          <w:szCs w:val="24"/>
        </w:rPr>
        <w:t xml:space="preserve">. </w:t>
      </w:r>
    </w:p>
    <w:p w14:paraId="27C90403" w14:textId="77777777" w:rsidR="00365EC7" w:rsidRDefault="00365EC7" w:rsidP="007F731F">
      <w:pPr>
        <w:spacing w:line="264" w:lineRule="auto"/>
        <w:rPr>
          <w:sz w:val="24"/>
          <w:szCs w:val="24"/>
        </w:rPr>
      </w:pPr>
    </w:p>
    <w:p w14:paraId="65ABA56E" w14:textId="77777777" w:rsidR="00365EC7" w:rsidRDefault="00365EC7" w:rsidP="000455AC">
      <w:pPr>
        <w:numPr>
          <w:ilvl w:val="0"/>
          <w:numId w:val="1"/>
        </w:numPr>
        <w:tabs>
          <w:tab w:val="num" w:pos="0"/>
        </w:tabs>
        <w:spacing w:line="264" w:lineRule="auto"/>
        <w:ind w:left="0"/>
        <w:rPr>
          <w:sz w:val="24"/>
          <w:szCs w:val="24"/>
        </w:rPr>
      </w:pPr>
      <w:r w:rsidRPr="00365EC7">
        <w:rPr>
          <w:sz w:val="24"/>
          <w:szCs w:val="24"/>
        </w:rPr>
        <w:t>On January 7, 2016,</w:t>
      </w:r>
      <w:r>
        <w:rPr>
          <w:sz w:val="24"/>
          <w:szCs w:val="24"/>
        </w:rPr>
        <w:t xml:space="preserve"> </w:t>
      </w:r>
      <w:r w:rsidRPr="00365EC7">
        <w:rPr>
          <w:sz w:val="24"/>
          <w:szCs w:val="24"/>
        </w:rPr>
        <w:t>Avista filed electric and natural gas tariff sheets</w:t>
      </w:r>
      <w:r>
        <w:rPr>
          <w:sz w:val="24"/>
          <w:szCs w:val="24"/>
        </w:rPr>
        <w:t xml:space="preserve"> revising</w:t>
      </w:r>
      <w:r w:rsidRPr="00365EC7">
        <w:rPr>
          <w:sz w:val="24"/>
          <w:szCs w:val="24"/>
        </w:rPr>
        <w:t xml:space="preserve"> Tariff WN U-28 to reflect the $8.1 million reduction in electric base revenue and Tariff WN U-29 to reflect the $10.8 million increase in natural gas base revenue as specified in Order</w:t>
      </w:r>
      <w:r>
        <w:rPr>
          <w:sz w:val="24"/>
          <w:szCs w:val="24"/>
        </w:rPr>
        <w:t xml:space="preserve"> 05</w:t>
      </w:r>
      <w:r w:rsidRPr="00365EC7">
        <w:rPr>
          <w:sz w:val="24"/>
          <w:szCs w:val="24"/>
        </w:rPr>
        <w:t>. The Commission reviewed the tariff sheets and</w:t>
      </w:r>
      <w:r>
        <w:rPr>
          <w:sz w:val="24"/>
          <w:szCs w:val="24"/>
        </w:rPr>
        <w:t xml:space="preserve"> determined that</w:t>
      </w:r>
      <w:r w:rsidRPr="00365EC7">
        <w:rPr>
          <w:sz w:val="24"/>
          <w:szCs w:val="24"/>
        </w:rPr>
        <w:t xml:space="preserve"> they d</w:t>
      </w:r>
      <w:r>
        <w:rPr>
          <w:sz w:val="24"/>
          <w:szCs w:val="24"/>
        </w:rPr>
        <w:t>id</w:t>
      </w:r>
      <w:r w:rsidRPr="00365EC7">
        <w:rPr>
          <w:sz w:val="24"/>
          <w:szCs w:val="24"/>
        </w:rPr>
        <w:t>, in fact, comply with the terms of the Order.</w:t>
      </w:r>
      <w:r>
        <w:rPr>
          <w:sz w:val="24"/>
          <w:szCs w:val="24"/>
        </w:rPr>
        <w:t xml:space="preserve"> The Commission Secretary, as authorized by Order 05, therefore approved the revised tariff sheets by letter, with copies to all parties. Under the terms of the Secretary’s letter, </w:t>
      </w:r>
      <w:r w:rsidRPr="00365EC7">
        <w:rPr>
          <w:sz w:val="24"/>
          <w:szCs w:val="24"/>
        </w:rPr>
        <w:t xml:space="preserve">the </w:t>
      </w:r>
      <w:r>
        <w:rPr>
          <w:sz w:val="24"/>
          <w:szCs w:val="24"/>
        </w:rPr>
        <w:t xml:space="preserve">revised </w:t>
      </w:r>
      <w:r w:rsidRPr="00365EC7">
        <w:rPr>
          <w:sz w:val="24"/>
          <w:szCs w:val="24"/>
        </w:rPr>
        <w:t>tariff sheets bec</w:t>
      </w:r>
      <w:r>
        <w:rPr>
          <w:sz w:val="24"/>
          <w:szCs w:val="24"/>
        </w:rPr>
        <w:t>a</w:t>
      </w:r>
      <w:r w:rsidRPr="00365EC7">
        <w:rPr>
          <w:sz w:val="24"/>
          <w:szCs w:val="24"/>
        </w:rPr>
        <w:t>me effective as filed</w:t>
      </w:r>
      <w:r>
        <w:rPr>
          <w:sz w:val="24"/>
          <w:szCs w:val="24"/>
        </w:rPr>
        <w:t>,</w:t>
      </w:r>
      <w:r w:rsidRPr="00365EC7">
        <w:rPr>
          <w:sz w:val="24"/>
          <w:szCs w:val="24"/>
        </w:rPr>
        <w:t xml:space="preserve"> with an effective date of January 11, 2016.</w:t>
      </w:r>
      <w:r w:rsidR="00EE7B0C">
        <w:rPr>
          <w:sz w:val="24"/>
          <w:szCs w:val="24"/>
        </w:rPr>
        <w:t xml:space="preserve"> This was the last day of the suspension period allowed under RCW 80.04.130(1).</w:t>
      </w:r>
    </w:p>
    <w:p w14:paraId="04F64B99" w14:textId="77777777" w:rsidR="00FB5FF1" w:rsidRPr="001560C4" w:rsidRDefault="00FB5FF1" w:rsidP="00297661"/>
    <w:p w14:paraId="77BEEFDD" w14:textId="77777777" w:rsidR="005A07F3" w:rsidRDefault="00F56136" w:rsidP="001560C4">
      <w:pPr>
        <w:numPr>
          <w:ilvl w:val="0"/>
          <w:numId w:val="1"/>
        </w:numPr>
        <w:tabs>
          <w:tab w:val="num" w:pos="0"/>
        </w:tabs>
        <w:spacing w:line="264" w:lineRule="auto"/>
        <w:ind w:left="0"/>
        <w:rPr>
          <w:sz w:val="24"/>
          <w:szCs w:val="24"/>
        </w:rPr>
      </w:pPr>
      <w:r>
        <w:rPr>
          <w:b/>
          <w:sz w:val="24"/>
          <w:szCs w:val="24"/>
        </w:rPr>
        <w:lastRenderedPageBreak/>
        <w:t xml:space="preserve">ICNU/Public Counsel’s </w:t>
      </w:r>
      <w:r w:rsidR="001971EC">
        <w:rPr>
          <w:b/>
          <w:sz w:val="24"/>
          <w:szCs w:val="24"/>
        </w:rPr>
        <w:t xml:space="preserve">Joint </w:t>
      </w:r>
      <w:r>
        <w:rPr>
          <w:b/>
          <w:sz w:val="24"/>
          <w:szCs w:val="24"/>
        </w:rPr>
        <w:t>Motion</w:t>
      </w:r>
      <w:r w:rsidR="001971EC">
        <w:rPr>
          <w:b/>
          <w:sz w:val="24"/>
          <w:szCs w:val="24"/>
        </w:rPr>
        <w:t xml:space="preserve"> for Clarification</w:t>
      </w:r>
      <w:r>
        <w:rPr>
          <w:b/>
          <w:sz w:val="24"/>
          <w:szCs w:val="24"/>
        </w:rPr>
        <w:t>.</w:t>
      </w:r>
      <w:r w:rsidR="00BD6A2B" w:rsidRPr="001560C4">
        <w:rPr>
          <w:sz w:val="24"/>
          <w:szCs w:val="24"/>
        </w:rPr>
        <w:t xml:space="preserve"> </w:t>
      </w:r>
      <w:r w:rsidR="001A493E">
        <w:rPr>
          <w:sz w:val="24"/>
          <w:szCs w:val="24"/>
        </w:rPr>
        <w:t xml:space="preserve">On </w:t>
      </w:r>
      <w:r>
        <w:rPr>
          <w:sz w:val="24"/>
          <w:szCs w:val="24"/>
        </w:rPr>
        <w:t>January 19, 2016</w:t>
      </w:r>
      <w:r w:rsidR="001A493E">
        <w:rPr>
          <w:sz w:val="24"/>
          <w:szCs w:val="24"/>
        </w:rPr>
        <w:t xml:space="preserve">, ICNU and Public Counsel (Joint Parties) filed a Joint Motion for Clarification of Order 05. Joint Parties </w:t>
      </w:r>
      <w:r>
        <w:rPr>
          <w:sz w:val="24"/>
          <w:szCs w:val="24"/>
        </w:rPr>
        <w:t xml:space="preserve">state that they do not seek to change the outcome of any issues resolved by the Commission in Order 05. Instead, they </w:t>
      </w:r>
      <w:r w:rsidR="00211811">
        <w:rPr>
          <w:sz w:val="24"/>
          <w:szCs w:val="24"/>
        </w:rPr>
        <w:t xml:space="preserve">argue </w:t>
      </w:r>
      <w:r w:rsidR="001A493E">
        <w:rPr>
          <w:sz w:val="24"/>
          <w:szCs w:val="24"/>
        </w:rPr>
        <w:t>that the Commission’s rulings in Order 05</w:t>
      </w:r>
      <w:r>
        <w:rPr>
          <w:sz w:val="24"/>
          <w:szCs w:val="24"/>
        </w:rPr>
        <w:t xml:space="preserve">, taken together, </w:t>
      </w:r>
      <w:r w:rsidR="00211811">
        <w:rPr>
          <w:sz w:val="24"/>
          <w:szCs w:val="24"/>
        </w:rPr>
        <w:t xml:space="preserve">should </w:t>
      </w:r>
      <w:r w:rsidR="001A493E">
        <w:rPr>
          <w:sz w:val="24"/>
          <w:szCs w:val="24"/>
        </w:rPr>
        <w:t>have resulted in a $16.6 million attrition allowance and a</w:t>
      </w:r>
      <w:r w:rsidR="00A8077A">
        <w:rPr>
          <w:sz w:val="24"/>
          <w:szCs w:val="24"/>
        </w:rPr>
        <w:t>n electric revenue requirement reduction of $19.8 million.</w:t>
      </w:r>
      <w:r w:rsidR="00A8077A">
        <w:rPr>
          <w:rStyle w:val="FootnoteReference"/>
          <w:sz w:val="24"/>
          <w:szCs w:val="24"/>
        </w:rPr>
        <w:footnoteReference w:id="15"/>
      </w:r>
      <w:r w:rsidR="00A8077A">
        <w:rPr>
          <w:sz w:val="24"/>
          <w:szCs w:val="24"/>
        </w:rPr>
        <w:t xml:space="preserve"> </w:t>
      </w:r>
      <w:r w:rsidR="00DF6A17">
        <w:rPr>
          <w:sz w:val="24"/>
          <w:szCs w:val="24"/>
        </w:rPr>
        <w:t xml:space="preserve">Joint Parties provided </w:t>
      </w:r>
      <w:r w:rsidR="00DF21E2">
        <w:rPr>
          <w:sz w:val="24"/>
          <w:szCs w:val="24"/>
        </w:rPr>
        <w:t xml:space="preserve">work papers </w:t>
      </w:r>
      <w:r w:rsidR="00DF6A17">
        <w:rPr>
          <w:sz w:val="24"/>
          <w:szCs w:val="24"/>
        </w:rPr>
        <w:t xml:space="preserve">with their filing </w:t>
      </w:r>
      <w:r w:rsidR="00211811">
        <w:rPr>
          <w:sz w:val="24"/>
          <w:szCs w:val="24"/>
        </w:rPr>
        <w:t xml:space="preserve">that </w:t>
      </w:r>
      <w:r w:rsidR="00DF6A17">
        <w:rPr>
          <w:sz w:val="24"/>
          <w:szCs w:val="24"/>
        </w:rPr>
        <w:t>allowed the Commission to</w:t>
      </w:r>
      <w:r w:rsidR="00B52552">
        <w:rPr>
          <w:sz w:val="24"/>
          <w:szCs w:val="24"/>
        </w:rPr>
        <w:t xml:space="preserve"> </w:t>
      </w:r>
      <w:r w:rsidR="00DF21E2">
        <w:rPr>
          <w:sz w:val="24"/>
          <w:szCs w:val="24"/>
        </w:rPr>
        <w:t>identify precisely</w:t>
      </w:r>
      <w:r w:rsidR="00DF6A17">
        <w:rPr>
          <w:sz w:val="24"/>
          <w:szCs w:val="24"/>
        </w:rPr>
        <w:t xml:space="preserve"> the source of the computational difference between Order 05 and Joint Parties’ Motion.</w:t>
      </w:r>
      <w:r w:rsidR="009F67FF">
        <w:rPr>
          <w:sz w:val="24"/>
          <w:szCs w:val="24"/>
        </w:rPr>
        <w:t xml:space="preserve"> The </w:t>
      </w:r>
      <w:r w:rsidR="001971EC">
        <w:rPr>
          <w:sz w:val="24"/>
          <w:szCs w:val="24"/>
        </w:rPr>
        <w:t xml:space="preserve">approximate </w:t>
      </w:r>
      <w:r w:rsidR="009F67FF">
        <w:rPr>
          <w:sz w:val="24"/>
          <w:szCs w:val="24"/>
        </w:rPr>
        <w:t>$12 million difference between the</w:t>
      </w:r>
      <w:r w:rsidR="001971EC">
        <w:rPr>
          <w:sz w:val="24"/>
          <w:szCs w:val="24"/>
        </w:rPr>
        <w:t>ir proposed</w:t>
      </w:r>
      <w:r w:rsidR="009F67FF">
        <w:rPr>
          <w:sz w:val="24"/>
          <w:szCs w:val="24"/>
        </w:rPr>
        <w:t xml:space="preserve"> attrition adjustment </w:t>
      </w:r>
      <w:r w:rsidR="001971EC">
        <w:rPr>
          <w:sz w:val="24"/>
          <w:szCs w:val="24"/>
        </w:rPr>
        <w:t>and w</w:t>
      </w:r>
      <w:r w:rsidR="009F67FF">
        <w:rPr>
          <w:sz w:val="24"/>
          <w:szCs w:val="24"/>
        </w:rPr>
        <w:t>hat the Commission determined for electric service is explained</w:t>
      </w:r>
      <w:r w:rsidR="00DF21E2">
        <w:rPr>
          <w:sz w:val="24"/>
          <w:szCs w:val="24"/>
        </w:rPr>
        <w:t xml:space="preserve"> largely</w:t>
      </w:r>
      <w:r w:rsidR="009F67FF">
        <w:rPr>
          <w:sz w:val="24"/>
          <w:szCs w:val="24"/>
        </w:rPr>
        <w:t xml:space="preserve"> by different treatments of power costs in the attrition model.</w:t>
      </w:r>
      <w:r w:rsidR="00A35416">
        <w:rPr>
          <w:sz w:val="24"/>
          <w:szCs w:val="24"/>
        </w:rPr>
        <w:t xml:space="preserve"> </w:t>
      </w:r>
    </w:p>
    <w:p w14:paraId="7304F5D5" w14:textId="77777777" w:rsidR="005A07F3" w:rsidRDefault="005A07F3" w:rsidP="001971EC">
      <w:pPr>
        <w:spacing w:line="264" w:lineRule="auto"/>
        <w:rPr>
          <w:sz w:val="24"/>
          <w:szCs w:val="24"/>
        </w:rPr>
      </w:pPr>
    </w:p>
    <w:p w14:paraId="2057D2A9" w14:textId="77777777" w:rsidR="001971EC" w:rsidRDefault="00EE7B0C" w:rsidP="001560C4">
      <w:pPr>
        <w:numPr>
          <w:ilvl w:val="0"/>
          <w:numId w:val="1"/>
        </w:numPr>
        <w:tabs>
          <w:tab w:val="num" w:pos="0"/>
        </w:tabs>
        <w:spacing w:line="264" w:lineRule="auto"/>
        <w:ind w:left="0"/>
        <w:rPr>
          <w:sz w:val="24"/>
          <w:szCs w:val="24"/>
        </w:rPr>
      </w:pPr>
      <w:r>
        <w:rPr>
          <w:sz w:val="24"/>
          <w:szCs w:val="24"/>
        </w:rPr>
        <w:t>T</w:t>
      </w:r>
      <w:r w:rsidR="00A35416">
        <w:rPr>
          <w:sz w:val="24"/>
          <w:szCs w:val="24"/>
        </w:rPr>
        <w:t xml:space="preserve">he </w:t>
      </w:r>
      <w:r w:rsidR="001971EC">
        <w:rPr>
          <w:sz w:val="24"/>
          <w:szCs w:val="24"/>
        </w:rPr>
        <w:t>s</w:t>
      </w:r>
      <w:r w:rsidR="00A35416">
        <w:rPr>
          <w:sz w:val="24"/>
          <w:szCs w:val="24"/>
        </w:rPr>
        <w:t>ettlement provide</w:t>
      </w:r>
      <w:r w:rsidR="001971EC">
        <w:rPr>
          <w:sz w:val="24"/>
          <w:szCs w:val="24"/>
        </w:rPr>
        <w:t>s</w:t>
      </w:r>
      <w:r w:rsidR="00A35416">
        <w:rPr>
          <w:sz w:val="24"/>
          <w:szCs w:val="24"/>
        </w:rPr>
        <w:t xml:space="preserve"> that “[t]he Parties agree that Avista shall file with the Commission an updated Power Supply adjustment two months before new electric retail rates from this electric Docket go into effect.”</w:t>
      </w:r>
      <w:r w:rsidR="00A35416">
        <w:rPr>
          <w:rStyle w:val="FootnoteReference"/>
          <w:sz w:val="24"/>
          <w:szCs w:val="24"/>
        </w:rPr>
        <w:footnoteReference w:id="16"/>
      </w:r>
      <w:r w:rsidR="00A35416">
        <w:rPr>
          <w:sz w:val="24"/>
          <w:szCs w:val="24"/>
        </w:rPr>
        <w:t xml:space="preserve"> </w:t>
      </w:r>
      <w:r>
        <w:rPr>
          <w:sz w:val="24"/>
          <w:szCs w:val="24"/>
        </w:rPr>
        <w:t xml:space="preserve">A </w:t>
      </w:r>
      <w:r w:rsidR="00A35416">
        <w:rPr>
          <w:sz w:val="24"/>
          <w:szCs w:val="24"/>
        </w:rPr>
        <w:t>footnote to this Settlement provision states that “[a]s in past proceedings, the purpose of this power supply update would be to: 1) update the three-month average of natural gas and electricity market prices; 2) include new short-term contracts for gas and electric; and 3) update or correct power and transmission service contracts for the 2016 rate year.”</w:t>
      </w:r>
      <w:r w:rsidR="00D13F95">
        <w:rPr>
          <w:sz w:val="24"/>
          <w:szCs w:val="24"/>
        </w:rPr>
        <w:t xml:space="preserve"> </w:t>
      </w:r>
    </w:p>
    <w:p w14:paraId="64394E9F" w14:textId="77777777" w:rsidR="001971EC" w:rsidRDefault="001971EC" w:rsidP="001971EC">
      <w:pPr>
        <w:pStyle w:val="ListParagraph"/>
      </w:pPr>
    </w:p>
    <w:p w14:paraId="058A1091" w14:textId="7C16924B" w:rsidR="001971EC" w:rsidRDefault="00A35416" w:rsidP="001560C4">
      <w:pPr>
        <w:numPr>
          <w:ilvl w:val="0"/>
          <w:numId w:val="1"/>
        </w:numPr>
        <w:tabs>
          <w:tab w:val="num" w:pos="0"/>
        </w:tabs>
        <w:spacing w:line="264" w:lineRule="auto"/>
        <w:ind w:left="0"/>
        <w:rPr>
          <w:sz w:val="24"/>
          <w:szCs w:val="24"/>
        </w:rPr>
      </w:pPr>
      <w:r>
        <w:rPr>
          <w:sz w:val="24"/>
          <w:szCs w:val="24"/>
        </w:rPr>
        <w:t xml:space="preserve">Avista filed its </w:t>
      </w:r>
      <w:r w:rsidR="001971EC">
        <w:rPr>
          <w:sz w:val="24"/>
          <w:szCs w:val="24"/>
        </w:rPr>
        <w:t xml:space="preserve">updated </w:t>
      </w:r>
      <w:r>
        <w:rPr>
          <w:sz w:val="24"/>
          <w:szCs w:val="24"/>
        </w:rPr>
        <w:t xml:space="preserve">power supply adjustment on October 29, 2015. </w:t>
      </w:r>
      <w:r w:rsidR="00D13F95">
        <w:rPr>
          <w:sz w:val="24"/>
          <w:szCs w:val="24"/>
        </w:rPr>
        <w:t>The Commission incorporated</w:t>
      </w:r>
      <w:r w:rsidR="00161B3D">
        <w:rPr>
          <w:sz w:val="24"/>
          <w:szCs w:val="24"/>
        </w:rPr>
        <w:t xml:space="preserve"> the</w:t>
      </w:r>
      <w:r w:rsidR="00DF21E2">
        <w:rPr>
          <w:sz w:val="24"/>
          <w:szCs w:val="24"/>
        </w:rPr>
        <w:t xml:space="preserve"> revised</w:t>
      </w:r>
      <w:r w:rsidR="00161B3D">
        <w:rPr>
          <w:sz w:val="24"/>
          <w:szCs w:val="24"/>
        </w:rPr>
        <w:t xml:space="preserve"> data provided</w:t>
      </w:r>
      <w:r w:rsidR="00DF21E2">
        <w:rPr>
          <w:sz w:val="24"/>
          <w:szCs w:val="24"/>
        </w:rPr>
        <w:t xml:space="preserve">, namely the $12.3 million reduction in pro forma net power costs, by inserting it directly into the appropriate </w:t>
      </w:r>
      <w:r w:rsidR="00DD649A">
        <w:rPr>
          <w:sz w:val="24"/>
          <w:szCs w:val="24"/>
        </w:rPr>
        <w:t>tab</w:t>
      </w:r>
      <w:r w:rsidR="00DF21E2">
        <w:rPr>
          <w:sz w:val="24"/>
          <w:szCs w:val="24"/>
        </w:rPr>
        <w:t xml:space="preserve"> in </w:t>
      </w:r>
      <w:r w:rsidR="00D13F95">
        <w:rPr>
          <w:sz w:val="24"/>
          <w:szCs w:val="24"/>
        </w:rPr>
        <w:t xml:space="preserve">Staff’s </w:t>
      </w:r>
      <w:r w:rsidR="00901447">
        <w:rPr>
          <w:sz w:val="24"/>
          <w:szCs w:val="24"/>
        </w:rPr>
        <w:t>attrition model</w:t>
      </w:r>
      <w:r w:rsidR="00DF21E2">
        <w:rPr>
          <w:sz w:val="24"/>
          <w:szCs w:val="24"/>
        </w:rPr>
        <w:t xml:space="preserve">. </w:t>
      </w:r>
      <w:r w:rsidR="00D13F95">
        <w:rPr>
          <w:sz w:val="24"/>
          <w:szCs w:val="24"/>
        </w:rPr>
        <w:t xml:space="preserve">Joint Parties, however, “believe that the $12.3 million reduction detailed in the Company’s update[d] filing should have been applied as a discrete adjustment </w:t>
      </w:r>
      <w:r w:rsidR="00D13F95" w:rsidRPr="007F731F">
        <w:rPr>
          <w:i/>
          <w:sz w:val="24"/>
          <w:szCs w:val="24"/>
        </w:rPr>
        <w:t>outside</w:t>
      </w:r>
      <w:r w:rsidR="00D13F95">
        <w:rPr>
          <w:sz w:val="24"/>
          <w:szCs w:val="24"/>
        </w:rPr>
        <w:t xml:space="preserve"> of the attrition model.”</w:t>
      </w:r>
      <w:r w:rsidR="00D13F95">
        <w:rPr>
          <w:rStyle w:val="FootnoteReference"/>
          <w:sz w:val="24"/>
          <w:szCs w:val="24"/>
        </w:rPr>
        <w:footnoteReference w:id="17"/>
      </w:r>
      <w:r w:rsidR="009F67FF">
        <w:rPr>
          <w:sz w:val="24"/>
          <w:szCs w:val="24"/>
        </w:rPr>
        <w:t xml:space="preserve"> </w:t>
      </w:r>
    </w:p>
    <w:p w14:paraId="1CAA463F" w14:textId="77777777" w:rsidR="001971EC" w:rsidRDefault="001971EC" w:rsidP="001971EC">
      <w:pPr>
        <w:pStyle w:val="ListParagraph"/>
      </w:pPr>
    </w:p>
    <w:p w14:paraId="4B55A1DF" w14:textId="77777777" w:rsidR="00D13F95" w:rsidRDefault="009F67FF" w:rsidP="001560C4">
      <w:pPr>
        <w:numPr>
          <w:ilvl w:val="0"/>
          <w:numId w:val="1"/>
        </w:numPr>
        <w:tabs>
          <w:tab w:val="num" w:pos="0"/>
        </w:tabs>
        <w:spacing w:line="264" w:lineRule="auto"/>
        <w:ind w:left="0"/>
        <w:rPr>
          <w:sz w:val="24"/>
          <w:szCs w:val="24"/>
        </w:rPr>
      </w:pPr>
      <w:r>
        <w:rPr>
          <w:sz w:val="24"/>
          <w:szCs w:val="24"/>
        </w:rPr>
        <w:t xml:space="preserve">We do not agree that it is appropriate to treat Avista’s power cost update outside of the attrition model. </w:t>
      </w:r>
      <w:r w:rsidR="007E5D4C">
        <w:rPr>
          <w:sz w:val="24"/>
          <w:szCs w:val="24"/>
        </w:rPr>
        <w:t xml:space="preserve">Instead, we believe that overall net power costs, including any update or revision to such costs, should continue to be examined in the context of both the attrition methodology agreed to by </w:t>
      </w:r>
      <w:r w:rsidR="00901447">
        <w:rPr>
          <w:sz w:val="24"/>
          <w:szCs w:val="24"/>
        </w:rPr>
        <w:t>Staff and Avista</w:t>
      </w:r>
      <w:r w:rsidR="007E5D4C">
        <w:rPr>
          <w:sz w:val="24"/>
          <w:szCs w:val="24"/>
        </w:rPr>
        <w:t xml:space="preserve"> in the case, and in the record evidence upon which the Commission relied to make its final decision in Order 05. </w:t>
      </w:r>
      <w:r w:rsidR="00470C44">
        <w:rPr>
          <w:sz w:val="24"/>
          <w:szCs w:val="24"/>
        </w:rPr>
        <w:t xml:space="preserve">A change in any </w:t>
      </w:r>
      <w:r w:rsidR="007E5D4C">
        <w:rPr>
          <w:sz w:val="24"/>
          <w:szCs w:val="24"/>
        </w:rPr>
        <w:t xml:space="preserve">specific data or assumption used </w:t>
      </w:r>
      <w:r w:rsidR="00470C44">
        <w:rPr>
          <w:sz w:val="24"/>
          <w:szCs w:val="24"/>
        </w:rPr>
        <w:t xml:space="preserve">in the attrition model </w:t>
      </w:r>
      <w:r w:rsidR="007E5D4C">
        <w:rPr>
          <w:sz w:val="24"/>
          <w:szCs w:val="24"/>
        </w:rPr>
        <w:t xml:space="preserve">will invariably affect other data in the model and needs to be assessed logically on a holistic basis, not on a </w:t>
      </w:r>
      <w:r w:rsidR="00901447">
        <w:rPr>
          <w:sz w:val="24"/>
          <w:szCs w:val="24"/>
        </w:rPr>
        <w:t>selective</w:t>
      </w:r>
      <w:r w:rsidR="007E5D4C">
        <w:rPr>
          <w:sz w:val="24"/>
          <w:szCs w:val="24"/>
        </w:rPr>
        <w:t xml:space="preserve"> basis</w:t>
      </w:r>
      <w:r w:rsidR="00901447">
        <w:rPr>
          <w:sz w:val="24"/>
          <w:szCs w:val="24"/>
        </w:rPr>
        <w:t xml:space="preserve"> </w:t>
      </w:r>
      <w:r w:rsidR="00901447">
        <w:rPr>
          <w:sz w:val="24"/>
          <w:szCs w:val="24"/>
        </w:rPr>
        <w:lastRenderedPageBreak/>
        <w:t>inside or outside of the model,</w:t>
      </w:r>
      <w:r w:rsidR="007E5D4C">
        <w:rPr>
          <w:sz w:val="24"/>
          <w:szCs w:val="24"/>
        </w:rPr>
        <w:t xml:space="preserve"> especially after the close of the record. We continue to believe that the end result of a</w:t>
      </w:r>
      <w:r w:rsidR="00901447">
        <w:rPr>
          <w:sz w:val="24"/>
          <w:szCs w:val="24"/>
        </w:rPr>
        <w:t>n</w:t>
      </w:r>
      <w:r w:rsidR="007E5D4C">
        <w:rPr>
          <w:sz w:val="24"/>
          <w:szCs w:val="24"/>
        </w:rPr>
        <w:t xml:space="preserve"> $8.1 million decrease in revenue requirement is proper after </w:t>
      </w:r>
      <w:r w:rsidR="00470C44">
        <w:rPr>
          <w:sz w:val="24"/>
          <w:szCs w:val="24"/>
        </w:rPr>
        <w:t>incorporating Avista’s power cost update</w:t>
      </w:r>
      <w:r w:rsidR="007E5D4C">
        <w:rPr>
          <w:sz w:val="24"/>
          <w:szCs w:val="24"/>
        </w:rPr>
        <w:t xml:space="preserve"> directly</w:t>
      </w:r>
      <w:r w:rsidR="00470C44">
        <w:rPr>
          <w:sz w:val="24"/>
          <w:szCs w:val="24"/>
        </w:rPr>
        <w:t xml:space="preserve"> into the attrition model</w:t>
      </w:r>
      <w:r w:rsidR="007E5D4C">
        <w:rPr>
          <w:sz w:val="24"/>
          <w:szCs w:val="24"/>
        </w:rPr>
        <w:t xml:space="preserve">. We believe it is improper to assess the updated net power costs, as the Joint Parties </w:t>
      </w:r>
      <w:r w:rsidR="00901447">
        <w:rPr>
          <w:sz w:val="24"/>
          <w:szCs w:val="24"/>
        </w:rPr>
        <w:t>argue</w:t>
      </w:r>
      <w:r w:rsidR="007E5D4C">
        <w:rPr>
          <w:sz w:val="24"/>
          <w:szCs w:val="24"/>
        </w:rPr>
        <w:t xml:space="preserve">, outside of the agreed-upon attrition methodology, </w:t>
      </w:r>
      <w:r w:rsidR="00B52552">
        <w:rPr>
          <w:sz w:val="24"/>
          <w:szCs w:val="24"/>
        </w:rPr>
        <w:t>resulting in</w:t>
      </w:r>
      <w:r w:rsidR="007E5D4C">
        <w:rPr>
          <w:sz w:val="24"/>
          <w:szCs w:val="24"/>
        </w:rPr>
        <w:t xml:space="preserve"> a further $12.3 million reduction </w:t>
      </w:r>
      <w:r w:rsidR="00B52552">
        <w:rPr>
          <w:sz w:val="24"/>
          <w:szCs w:val="24"/>
        </w:rPr>
        <w:t>in revenue requirement</w:t>
      </w:r>
      <w:r w:rsidR="007E5D4C">
        <w:rPr>
          <w:sz w:val="24"/>
          <w:szCs w:val="24"/>
        </w:rPr>
        <w:t>.</w:t>
      </w:r>
      <w:r w:rsidR="00470C44">
        <w:rPr>
          <w:sz w:val="24"/>
          <w:szCs w:val="24"/>
        </w:rPr>
        <w:t xml:space="preserve"> It </w:t>
      </w:r>
      <w:r w:rsidR="001971EC">
        <w:rPr>
          <w:sz w:val="24"/>
          <w:szCs w:val="24"/>
        </w:rPr>
        <w:t>follows that</w:t>
      </w:r>
      <w:r w:rsidR="00470C44">
        <w:rPr>
          <w:sz w:val="24"/>
          <w:szCs w:val="24"/>
        </w:rPr>
        <w:t xml:space="preserve"> the Joint Parties’</w:t>
      </w:r>
      <w:r w:rsidR="00470C44" w:rsidRPr="00470C44">
        <w:rPr>
          <w:sz w:val="24"/>
          <w:szCs w:val="24"/>
        </w:rPr>
        <w:t xml:space="preserve"> Motion for Clarification of Order 05</w:t>
      </w:r>
      <w:r w:rsidR="00D13F95">
        <w:rPr>
          <w:sz w:val="24"/>
          <w:szCs w:val="24"/>
        </w:rPr>
        <w:t xml:space="preserve"> </w:t>
      </w:r>
      <w:r w:rsidR="00470C44">
        <w:rPr>
          <w:sz w:val="24"/>
          <w:szCs w:val="24"/>
        </w:rPr>
        <w:t>should be denied.</w:t>
      </w:r>
    </w:p>
    <w:p w14:paraId="2F2FD0B0" w14:textId="77777777" w:rsidR="00D13F95" w:rsidRDefault="00D13F95" w:rsidP="00D13F95">
      <w:pPr>
        <w:spacing w:line="264" w:lineRule="auto"/>
        <w:rPr>
          <w:sz w:val="24"/>
          <w:szCs w:val="24"/>
        </w:rPr>
      </w:pPr>
    </w:p>
    <w:p w14:paraId="5865C042" w14:textId="77777777" w:rsidR="003F09BA" w:rsidRDefault="00470C44" w:rsidP="003F09BA">
      <w:pPr>
        <w:numPr>
          <w:ilvl w:val="0"/>
          <w:numId w:val="1"/>
        </w:numPr>
        <w:tabs>
          <w:tab w:val="num" w:pos="0"/>
        </w:tabs>
        <w:spacing w:line="264" w:lineRule="auto"/>
        <w:ind w:left="0"/>
        <w:rPr>
          <w:sz w:val="24"/>
          <w:szCs w:val="24"/>
        </w:rPr>
      </w:pPr>
      <w:r>
        <w:rPr>
          <w:b/>
          <w:sz w:val="24"/>
          <w:szCs w:val="24"/>
        </w:rPr>
        <w:t>Staff Petition for Reconsideration.</w:t>
      </w:r>
      <w:r>
        <w:rPr>
          <w:rStyle w:val="FootnoteReference"/>
          <w:b/>
          <w:sz w:val="24"/>
          <w:szCs w:val="24"/>
        </w:rPr>
        <w:footnoteReference w:id="18"/>
      </w:r>
      <w:r>
        <w:rPr>
          <w:b/>
          <w:sz w:val="24"/>
          <w:szCs w:val="24"/>
        </w:rPr>
        <w:t xml:space="preserve"> </w:t>
      </w:r>
      <w:r w:rsidR="00A35416">
        <w:rPr>
          <w:sz w:val="24"/>
          <w:szCs w:val="24"/>
        </w:rPr>
        <w:t>Also on January 19, 2016</w:t>
      </w:r>
      <w:r w:rsidR="00D13F95">
        <w:rPr>
          <w:sz w:val="24"/>
          <w:szCs w:val="24"/>
        </w:rPr>
        <w:t xml:space="preserve">, Staff filed its </w:t>
      </w:r>
      <w:r w:rsidR="001971EC">
        <w:rPr>
          <w:sz w:val="24"/>
          <w:szCs w:val="24"/>
        </w:rPr>
        <w:t>“</w:t>
      </w:r>
      <w:r w:rsidR="00D13F95">
        <w:rPr>
          <w:sz w:val="24"/>
          <w:szCs w:val="24"/>
        </w:rPr>
        <w:t>Motion to Reconsider</w:t>
      </w:r>
      <w:r w:rsidR="00A35416">
        <w:rPr>
          <w:sz w:val="24"/>
          <w:szCs w:val="24"/>
        </w:rPr>
        <w:t>,</w:t>
      </w:r>
      <w:r w:rsidR="001971EC">
        <w:rPr>
          <w:sz w:val="24"/>
          <w:szCs w:val="24"/>
        </w:rPr>
        <w:t>”</w:t>
      </w:r>
      <w:r w:rsidR="00D13F95">
        <w:rPr>
          <w:sz w:val="24"/>
          <w:szCs w:val="24"/>
        </w:rPr>
        <w:t xml:space="preserve"> seeking </w:t>
      </w:r>
      <w:r w:rsidR="00B875E5">
        <w:rPr>
          <w:sz w:val="24"/>
          <w:szCs w:val="24"/>
        </w:rPr>
        <w:t>“</w:t>
      </w:r>
      <w:r w:rsidR="00D13F95">
        <w:rPr>
          <w:sz w:val="24"/>
          <w:szCs w:val="24"/>
        </w:rPr>
        <w:t>a review of [the Commission’s] calculation of Avista’s overall revenue requirement to ensure that the adjustments set forth in Table 1 have been properly incorporated.”</w:t>
      </w:r>
      <w:r w:rsidR="00D13F95">
        <w:rPr>
          <w:rStyle w:val="FootnoteReference"/>
          <w:sz w:val="24"/>
          <w:szCs w:val="24"/>
        </w:rPr>
        <w:footnoteReference w:id="19"/>
      </w:r>
      <w:r w:rsidR="00D13F95">
        <w:rPr>
          <w:sz w:val="24"/>
          <w:szCs w:val="24"/>
        </w:rPr>
        <w:t xml:space="preserve"> </w:t>
      </w:r>
      <w:r w:rsidR="003F09BA">
        <w:rPr>
          <w:sz w:val="24"/>
          <w:szCs w:val="24"/>
        </w:rPr>
        <w:t>As noted,</w:t>
      </w:r>
      <w:r w:rsidR="003F09BA" w:rsidRPr="003F09BA">
        <w:rPr>
          <w:sz w:val="24"/>
          <w:szCs w:val="24"/>
        </w:rPr>
        <w:t xml:space="preserve"> it appears from the substance of Staff’s filing that it actually seeks clarification by motion under WAC 480-07-835 and 840, rather than reconsideration by petition under WAC 480-07-850. WAC 480-07-835 provides that: </w:t>
      </w:r>
    </w:p>
    <w:p w14:paraId="528D9963" w14:textId="77777777" w:rsidR="003F09BA" w:rsidRDefault="003F09BA" w:rsidP="007F731F">
      <w:pPr>
        <w:pStyle w:val="ListParagraph"/>
      </w:pPr>
    </w:p>
    <w:p w14:paraId="1D425D02" w14:textId="77777777" w:rsidR="003F09BA" w:rsidRDefault="003F09BA" w:rsidP="00415210">
      <w:pPr>
        <w:ind w:left="720" w:right="720"/>
        <w:rPr>
          <w:sz w:val="24"/>
          <w:szCs w:val="24"/>
        </w:rPr>
      </w:pPr>
      <w:r w:rsidRPr="003F09BA">
        <w:rPr>
          <w:sz w:val="24"/>
          <w:szCs w:val="24"/>
        </w:rPr>
        <w:t xml:space="preserve">The purpose of a motion for clarification is to ask for clarification of the meaning of an order so that compliance may be enhanced, so that any compliance filing may be accurately prepared and presented, to suggest technical changes that may be required to correct the application of principle to data, or to correct patent error without the need for parties to request reconsideration and without delaying post-order compliance. </w:t>
      </w:r>
    </w:p>
    <w:p w14:paraId="15F6DABD" w14:textId="77777777" w:rsidR="003F09BA" w:rsidRDefault="003F09BA" w:rsidP="007F731F">
      <w:pPr>
        <w:pStyle w:val="ListParagraph"/>
      </w:pPr>
    </w:p>
    <w:p w14:paraId="3A32434D" w14:textId="77777777" w:rsidR="003F09BA" w:rsidRPr="003F09BA" w:rsidRDefault="003F09BA" w:rsidP="003F09BA">
      <w:pPr>
        <w:numPr>
          <w:ilvl w:val="0"/>
          <w:numId w:val="1"/>
        </w:numPr>
        <w:tabs>
          <w:tab w:val="num" w:pos="0"/>
        </w:tabs>
        <w:spacing w:line="264" w:lineRule="auto"/>
        <w:ind w:left="0"/>
        <w:rPr>
          <w:sz w:val="24"/>
          <w:szCs w:val="24"/>
        </w:rPr>
      </w:pPr>
      <w:r w:rsidRPr="003F09BA">
        <w:rPr>
          <w:sz w:val="24"/>
          <w:szCs w:val="24"/>
        </w:rPr>
        <w:t>Staff’s post-order filing states at ¶</w:t>
      </w:r>
      <w:r w:rsidR="00415210">
        <w:rPr>
          <w:sz w:val="24"/>
          <w:szCs w:val="24"/>
        </w:rPr>
        <w:t xml:space="preserve"> </w:t>
      </w:r>
      <w:r w:rsidRPr="003F09BA">
        <w:rPr>
          <w:sz w:val="24"/>
          <w:szCs w:val="24"/>
        </w:rPr>
        <w:t xml:space="preserve">2 that: “It is merely addressing what it believes to be </w:t>
      </w:r>
      <w:r w:rsidRPr="00E11EB1">
        <w:rPr>
          <w:sz w:val="24"/>
          <w:szCs w:val="24"/>
        </w:rPr>
        <w:t>the appropriate calculation of Avista’s revenue requirement for electric operations, including various adjustments set forth in Order 05.”</w:t>
      </w:r>
      <w:r w:rsidRPr="00CD0E4C">
        <w:rPr>
          <w:sz w:val="24"/>
          <w:szCs w:val="24"/>
        </w:rPr>
        <w:t xml:space="preserve"> Staff reiterates</w:t>
      </w:r>
      <w:r w:rsidRPr="007C7DFC">
        <w:rPr>
          <w:sz w:val="24"/>
          <w:szCs w:val="24"/>
        </w:rPr>
        <w:t xml:space="preserve"> in ¶</w:t>
      </w:r>
      <w:r w:rsidR="00415210">
        <w:rPr>
          <w:sz w:val="24"/>
          <w:szCs w:val="24"/>
        </w:rPr>
        <w:t xml:space="preserve"> </w:t>
      </w:r>
      <w:r w:rsidRPr="007C7DFC">
        <w:rPr>
          <w:sz w:val="24"/>
          <w:szCs w:val="24"/>
        </w:rPr>
        <w:t>4</w:t>
      </w:r>
      <w:r w:rsidRPr="00E86D70">
        <w:rPr>
          <w:sz w:val="24"/>
          <w:szCs w:val="24"/>
        </w:rPr>
        <w:t xml:space="preserve"> that: “Staff’s motion only seeks Commission review of its calculation of Avista’s overall revenue requirement to ensure that the adjustments set </w:t>
      </w:r>
      <w:r w:rsidRPr="007F731F">
        <w:rPr>
          <w:sz w:val="24"/>
          <w:szCs w:val="24"/>
        </w:rPr>
        <w:t>forth in Table 1 have been properly incorporated.” Finally, Staff states at ¶</w:t>
      </w:r>
      <w:r w:rsidR="00415210">
        <w:rPr>
          <w:sz w:val="24"/>
          <w:szCs w:val="24"/>
        </w:rPr>
        <w:t xml:space="preserve"> </w:t>
      </w:r>
      <w:r w:rsidRPr="007F731F">
        <w:rPr>
          <w:sz w:val="24"/>
          <w:szCs w:val="24"/>
        </w:rPr>
        <w:t>11</w:t>
      </w:r>
      <w:r w:rsidR="00B875E5">
        <w:rPr>
          <w:sz w:val="24"/>
          <w:szCs w:val="24"/>
        </w:rPr>
        <w:t xml:space="preserve"> </w:t>
      </w:r>
      <w:r w:rsidRPr="007F731F">
        <w:rPr>
          <w:sz w:val="24"/>
          <w:szCs w:val="24"/>
        </w:rPr>
        <w:t xml:space="preserve">that it believes “the Commission’s application of the principles enunciated in </w:t>
      </w:r>
      <w:r w:rsidRPr="007F731F">
        <w:rPr>
          <w:i/>
          <w:sz w:val="24"/>
          <w:szCs w:val="24"/>
        </w:rPr>
        <w:t>Hope</w:t>
      </w:r>
      <w:r w:rsidRPr="007F731F">
        <w:rPr>
          <w:sz w:val="24"/>
          <w:szCs w:val="24"/>
        </w:rPr>
        <w:t xml:space="preserve"> and </w:t>
      </w:r>
      <w:r w:rsidRPr="007F731F">
        <w:rPr>
          <w:i/>
          <w:sz w:val="24"/>
          <w:szCs w:val="24"/>
        </w:rPr>
        <w:t>Bluefield</w:t>
      </w:r>
      <w:r w:rsidRPr="007F731F">
        <w:rPr>
          <w:sz w:val="24"/>
          <w:szCs w:val="24"/>
        </w:rPr>
        <w:t>” “would benefit from clarification as to the Commission’s intent,” if the Commission agrees with Staff that it has miscalculated Avista’s revenue requirement for electric service. In sum, all of this suggests what Staff is asking for is clarification, not reconsideration, the purpose of which is quite different, as described in WAC 480-07-850.</w:t>
      </w:r>
      <w:r>
        <w:rPr>
          <w:sz w:val="24"/>
          <w:szCs w:val="24"/>
        </w:rPr>
        <w:t xml:space="preserve"> </w:t>
      </w:r>
    </w:p>
    <w:p w14:paraId="354CB51E" w14:textId="77777777" w:rsidR="003F09BA" w:rsidRDefault="003F09BA" w:rsidP="007F731F">
      <w:pPr>
        <w:pStyle w:val="ListParagraph"/>
      </w:pPr>
    </w:p>
    <w:p w14:paraId="5ACD1910" w14:textId="77777777" w:rsidR="00E3582F" w:rsidRDefault="00E3582F" w:rsidP="001560C4">
      <w:pPr>
        <w:numPr>
          <w:ilvl w:val="0"/>
          <w:numId w:val="1"/>
        </w:numPr>
        <w:tabs>
          <w:tab w:val="num" w:pos="0"/>
        </w:tabs>
        <w:spacing w:line="264" w:lineRule="auto"/>
        <w:ind w:left="0"/>
        <w:rPr>
          <w:sz w:val="24"/>
          <w:szCs w:val="24"/>
        </w:rPr>
      </w:pPr>
      <w:r>
        <w:rPr>
          <w:sz w:val="24"/>
          <w:szCs w:val="24"/>
        </w:rPr>
        <w:t>Staff states that it followed the computation of each adjustment and decision that the Commission made in Order 05 and arrive</w:t>
      </w:r>
      <w:r w:rsidR="001932B3">
        <w:rPr>
          <w:sz w:val="24"/>
          <w:szCs w:val="24"/>
        </w:rPr>
        <w:t>d</w:t>
      </w:r>
      <w:r>
        <w:rPr>
          <w:sz w:val="24"/>
          <w:szCs w:val="24"/>
        </w:rPr>
        <w:t xml:space="preserve"> at an electric revenue requirement decrease of $27.4 million.</w:t>
      </w:r>
      <w:r>
        <w:rPr>
          <w:rStyle w:val="FootnoteReference"/>
          <w:sz w:val="24"/>
          <w:szCs w:val="24"/>
        </w:rPr>
        <w:footnoteReference w:id="20"/>
      </w:r>
      <w:r>
        <w:rPr>
          <w:sz w:val="24"/>
          <w:szCs w:val="24"/>
        </w:rPr>
        <w:t xml:space="preserve"> Using Avista’s </w:t>
      </w:r>
      <w:r w:rsidR="00F27449">
        <w:rPr>
          <w:sz w:val="24"/>
          <w:szCs w:val="24"/>
        </w:rPr>
        <w:t xml:space="preserve">proposed </w:t>
      </w:r>
      <w:r>
        <w:rPr>
          <w:sz w:val="24"/>
          <w:szCs w:val="24"/>
        </w:rPr>
        <w:t>attrition model, Staff contends that the Commission may have erred when it updated the Company’s power supply costs within the model.</w:t>
      </w:r>
      <w:r>
        <w:rPr>
          <w:rStyle w:val="FootnoteReference"/>
          <w:sz w:val="24"/>
          <w:szCs w:val="24"/>
        </w:rPr>
        <w:footnoteReference w:id="21"/>
      </w:r>
      <w:r>
        <w:rPr>
          <w:sz w:val="24"/>
          <w:szCs w:val="24"/>
        </w:rPr>
        <w:t xml:space="preserve"> Staff explains that:</w:t>
      </w:r>
    </w:p>
    <w:p w14:paraId="09475A80" w14:textId="77777777" w:rsidR="00E3582F" w:rsidRDefault="00E3582F" w:rsidP="00E3582F">
      <w:pPr>
        <w:pStyle w:val="ListParagraph"/>
      </w:pPr>
    </w:p>
    <w:p w14:paraId="11679241" w14:textId="77777777" w:rsidR="00E3582F" w:rsidRDefault="00415210" w:rsidP="00E3582F">
      <w:pPr>
        <w:spacing w:line="264" w:lineRule="auto"/>
        <w:ind w:left="720"/>
        <w:rPr>
          <w:sz w:val="24"/>
          <w:szCs w:val="24"/>
        </w:rPr>
      </w:pPr>
      <w:r>
        <w:rPr>
          <w:sz w:val="24"/>
          <w:szCs w:val="24"/>
        </w:rPr>
        <w:t>[T]</w:t>
      </w:r>
      <w:r w:rsidR="00E3582F">
        <w:rPr>
          <w:sz w:val="24"/>
          <w:szCs w:val="24"/>
        </w:rPr>
        <w:t>he cells in the pro forma power supply worksheet (“PF Power Supply 09.2014 load”) would have linked to dependent cells in a hidden worksheet related to incremental load expense (“incremental load expense”). If not controlled for, these dependent cells would have updated column [J] of the attrition tab (“Attrition 09.2014 to 2016”). The resulting update would have, in effect, offset changes in column [I] of the attrition tab that would have been carried forward from the pro forma power supply worksheet.</w:t>
      </w:r>
      <w:r w:rsidR="00E3582F">
        <w:rPr>
          <w:rStyle w:val="FootnoteReference"/>
          <w:sz w:val="24"/>
          <w:szCs w:val="24"/>
        </w:rPr>
        <w:footnoteReference w:id="22"/>
      </w:r>
    </w:p>
    <w:p w14:paraId="4D629277" w14:textId="77777777" w:rsidR="00893418" w:rsidRDefault="00893418" w:rsidP="00893418">
      <w:pPr>
        <w:spacing w:line="264" w:lineRule="auto"/>
        <w:rPr>
          <w:sz w:val="24"/>
          <w:szCs w:val="24"/>
        </w:rPr>
      </w:pPr>
    </w:p>
    <w:p w14:paraId="5999CAAD" w14:textId="77777777" w:rsidR="0074063F" w:rsidRDefault="0074063F" w:rsidP="00893418">
      <w:pPr>
        <w:spacing w:line="264" w:lineRule="auto"/>
        <w:rPr>
          <w:sz w:val="24"/>
          <w:szCs w:val="24"/>
        </w:rPr>
      </w:pPr>
      <w:r>
        <w:rPr>
          <w:sz w:val="24"/>
          <w:szCs w:val="24"/>
        </w:rPr>
        <w:t xml:space="preserve">Staff, like Joint Parties, “recommends </w:t>
      </w:r>
      <w:r w:rsidRPr="0074063F">
        <w:rPr>
          <w:sz w:val="24"/>
          <w:szCs w:val="24"/>
        </w:rPr>
        <w:t>that the Commission input the October 29, 2015, power supply update ($12.3 million) outside of, rather than within, the attrition model.</w:t>
      </w:r>
      <w:r>
        <w:rPr>
          <w:sz w:val="24"/>
          <w:szCs w:val="24"/>
        </w:rPr>
        <w:t>”</w:t>
      </w:r>
      <w:r>
        <w:rPr>
          <w:rStyle w:val="FootnoteReference"/>
          <w:sz w:val="24"/>
          <w:szCs w:val="24"/>
        </w:rPr>
        <w:footnoteReference w:id="23"/>
      </w:r>
      <w:r>
        <w:rPr>
          <w:sz w:val="24"/>
          <w:szCs w:val="24"/>
        </w:rPr>
        <w:t xml:space="preserve"> This is in spite of Staff’s recognition that “</w:t>
      </w:r>
      <w:r w:rsidRPr="0074063F">
        <w:rPr>
          <w:sz w:val="24"/>
          <w:szCs w:val="24"/>
        </w:rPr>
        <w:t xml:space="preserve">there are multiple interdependent </w:t>
      </w:r>
      <w:r>
        <w:rPr>
          <w:sz w:val="24"/>
          <w:szCs w:val="24"/>
        </w:rPr>
        <w:t>formulas in the attrition model,”</w:t>
      </w:r>
      <w:r>
        <w:rPr>
          <w:rStyle w:val="FootnoteReference"/>
          <w:sz w:val="24"/>
          <w:szCs w:val="24"/>
        </w:rPr>
        <w:footnoteReference w:id="24"/>
      </w:r>
      <w:r>
        <w:rPr>
          <w:sz w:val="24"/>
          <w:szCs w:val="24"/>
        </w:rPr>
        <w:t xml:space="preserve"> which, as previously discussed, is precisely why it is inappropriate to consider Avista’s power cost update outside the attrition model.</w:t>
      </w:r>
    </w:p>
    <w:p w14:paraId="7C013AD1" w14:textId="77777777" w:rsidR="0074063F" w:rsidRDefault="0074063F" w:rsidP="00893418">
      <w:pPr>
        <w:spacing w:line="264" w:lineRule="auto"/>
        <w:rPr>
          <w:sz w:val="24"/>
          <w:szCs w:val="24"/>
        </w:rPr>
      </w:pPr>
    </w:p>
    <w:p w14:paraId="563A5A50" w14:textId="77777777" w:rsidR="00E11EB1" w:rsidRDefault="00893418" w:rsidP="007F731F">
      <w:pPr>
        <w:numPr>
          <w:ilvl w:val="0"/>
          <w:numId w:val="1"/>
        </w:numPr>
        <w:tabs>
          <w:tab w:val="num" w:pos="0"/>
        </w:tabs>
        <w:spacing w:line="264" w:lineRule="auto"/>
        <w:ind w:left="0"/>
        <w:rPr>
          <w:sz w:val="24"/>
          <w:szCs w:val="24"/>
        </w:rPr>
      </w:pPr>
      <w:r>
        <w:rPr>
          <w:sz w:val="24"/>
          <w:szCs w:val="24"/>
        </w:rPr>
        <w:t xml:space="preserve">Staff did not provide its </w:t>
      </w:r>
      <w:r w:rsidR="00F1700C">
        <w:rPr>
          <w:sz w:val="24"/>
          <w:szCs w:val="24"/>
        </w:rPr>
        <w:t xml:space="preserve">work papers </w:t>
      </w:r>
      <w:r w:rsidR="003F1B5E">
        <w:rPr>
          <w:sz w:val="24"/>
          <w:szCs w:val="24"/>
        </w:rPr>
        <w:t xml:space="preserve">with </w:t>
      </w:r>
      <w:r w:rsidR="0074063F">
        <w:rPr>
          <w:sz w:val="24"/>
          <w:szCs w:val="24"/>
        </w:rPr>
        <w:t>its Petition</w:t>
      </w:r>
      <w:r w:rsidR="003F1B5E">
        <w:rPr>
          <w:sz w:val="24"/>
          <w:szCs w:val="24"/>
        </w:rPr>
        <w:t xml:space="preserve"> to Reconsider</w:t>
      </w:r>
      <w:r w:rsidR="0074063F">
        <w:rPr>
          <w:sz w:val="24"/>
          <w:szCs w:val="24"/>
        </w:rPr>
        <w:t xml:space="preserve">. The Commission accordingly issued </w:t>
      </w:r>
      <w:r>
        <w:rPr>
          <w:sz w:val="24"/>
          <w:szCs w:val="24"/>
        </w:rPr>
        <w:t xml:space="preserve">Bench Request </w:t>
      </w:r>
      <w:r w:rsidR="003F1B5E">
        <w:rPr>
          <w:sz w:val="24"/>
          <w:szCs w:val="24"/>
        </w:rPr>
        <w:t>Nos. 19 and 20</w:t>
      </w:r>
      <w:r>
        <w:rPr>
          <w:sz w:val="24"/>
          <w:szCs w:val="24"/>
        </w:rPr>
        <w:t>. Upon examination of Staff’s computations, filed</w:t>
      </w:r>
      <w:r w:rsidR="0074063F">
        <w:rPr>
          <w:sz w:val="24"/>
          <w:szCs w:val="24"/>
        </w:rPr>
        <w:t xml:space="preserve"> in response to the Bench Requests</w:t>
      </w:r>
      <w:r>
        <w:rPr>
          <w:sz w:val="24"/>
          <w:szCs w:val="24"/>
        </w:rPr>
        <w:t xml:space="preserve"> on January 26, 2016, it became clear that </w:t>
      </w:r>
      <w:r w:rsidR="003F1B5E">
        <w:rPr>
          <w:sz w:val="24"/>
          <w:szCs w:val="24"/>
        </w:rPr>
        <w:t xml:space="preserve">the </w:t>
      </w:r>
      <w:r>
        <w:rPr>
          <w:sz w:val="24"/>
          <w:szCs w:val="24"/>
        </w:rPr>
        <w:t xml:space="preserve">Staff’s </w:t>
      </w:r>
      <w:r w:rsidR="003F1B5E">
        <w:rPr>
          <w:sz w:val="24"/>
          <w:szCs w:val="24"/>
        </w:rPr>
        <w:t>revised</w:t>
      </w:r>
      <w:r>
        <w:rPr>
          <w:sz w:val="24"/>
          <w:szCs w:val="24"/>
        </w:rPr>
        <w:t xml:space="preserve"> revenue requirement decrease, now $27.7 million, was due</w:t>
      </w:r>
      <w:r w:rsidR="00655CA2">
        <w:rPr>
          <w:sz w:val="24"/>
          <w:szCs w:val="24"/>
        </w:rPr>
        <w:t>, in part,</w:t>
      </w:r>
      <w:r>
        <w:rPr>
          <w:sz w:val="24"/>
          <w:szCs w:val="24"/>
        </w:rPr>
        <w:t xml:space="preserve"> to various errors </w:t>
      </w:r>
      <w:r w:rsidR="00F27449">
        <w:rPr>
          <w:sz w:val="24"/>
          <w:szCs w:val="24"/>
        </w:rPr>
        <w:t xml:space="preserve">and erroneous assumptions </w:t>
      </w:r>
      <w:r>
        <w:rPr>
          <w:sz w:val="24"/>
          <w:szCs w:val="24"/>
        </w:rPr>
        <w:t>in Staff’s calculations</w:t>
      </w:r>
      <w:r w:rsidR="00655CA2">
        <w:rPr>
          <w:sz w:val="24"/>
          <w:szCs w:val="24"/>
        </w:rPr>
        <w:t>.</w:t>
      </w:r>
      <w:r w:rsidR="0049233D">
        <w:rPr>
          <w:sz w:val="24"/>
          <w:szCs w:val="24"/>
        </w:rPr>
        <w:t xml:space="preserve"> </w:t>
      </w:r>
      <w:r w:rsidR="00655CA2">
        <w:rPr>
          <w:sz w:val="24"/>
          <w:szCs w:val="24"/>
        </w:rPr>
        <w:t xml:space="preserve">Staff also made </w:t>
      </w:r>
      <w:r w:rsidR="00F27449">
        <w:rPr>
          <w:sz w:val="24"/>
          <w:szCs w:val="24"/>
        </w:rPr>
        <w:t>changes to the attrition model</w:t>
      </w:r>
      <w:r w:rsidR="0049233D">
        <w:rPr>
          <w:sz w:val="24"/>
          <w:szCs w:val="24"/>
        </w:rPr>
        <w:t xml:space="preserve"> </w:t>
      </w:r>
      <w:r w:rsidR="00655CA2">
        <w:rPr>
          <w:sz w:val="24"/>
          <w:szCs w:val="24"/>
        </w:rPr>
        <w:t>relative to what is in the evidentiary record</w:t>
      </w:r>
      <w:r w:rsidR="0049233D">
        <w:rPr>
          <w:sz w:val="24"/>
          <w:szCs w:val="24"/>
        </w:rPr>
        <w:t xml:space="preserve"> </w:t>
      </w:r>
      <w:r w:rsidR="00655CA2">
        <w:rPr>
          <w:sz w:val="24"/>
          <w:szCs w:val="24"/>
        </w:rPr>
        <w:t>that</w:t>
      </w:r>
      <w:r>
        <w:rPr>
          <w:sz w:val="24"/>
          <w:szCs w:val="24"/>
        </w:rPr>
        <w:t xml:space="preserve"> the Commission</w:t>
      </w:r>
      <w:r w:rsidR="00655CA2">
        <w:rPr>
          <w:sz w:val="24"/>
          <w:szCs w:val="24"/>
        </w:rPr>
        <w:t xml:space="preserve"> relied on in </w:t>
      </w:r>
      <w:r w:rsidR="0074063F">
        <w:rPr>
          <w:sz w:val="24"/>
          <w:szCs w:val="24"/>
        </w:rPr>
        <w:t>Order 05</w:t>
      </w:r>
      <w:r>
        <w:rPr>
          <w:sz w:val="24"/>
          <w:szCs w:val="24"/>
        </w:rPr>
        <w:t>.</w:t>
      </w:r>
    </w:p>
    <w:p w14:paraId="40CDD2C3" w14:textId="77777777" w:rsidR="00712F81" w:rsidRDefault="00712F81" w:rsidP="00415210">
      <w:pPr>
        <w:spacing w:line="264" w:lineRule="auto"/>
        <w:rPr>
          <w:sz w:val="24"/>
          <w:szCs w:val="24"/>
        </w:rPr>
      </w:pPr>
    </w:p>
    <w:p w14:paraId="1130581C" w14:textId="77777777" w:rsidR="00E11EB1" w:rsidRPr="007F731F" w:rsidRDefault="00E11EB1" w:rsidP="007F731F">
      <w:pPr>
        <w:numPr>
          <w:ilvl w:val="0"/>
          <w:numId w:val="1"/>
        </w:numPr>
        <w:tabs>
          <w:tab w:val="num" w:pos="0"/>
        </w:tabs>
        <w:spacing w:line="264" w:lineRule="auto"/>
        <w:ind w:left="0"/>
        <w:rPr>
          <w:sz w:val="24"/>
          <w:szCs w:val="24"/>
        </w:rPr>
      </w:pPr>
      <w:r w:rsidRPr="007F731F">
        <w:rPr>
          <w:sz w:val="24"/>
          <w:szCs w:val="24"/>
        </w:rPr>
        <w:t xml:space="preserve">Joint Parties </w:t>
      </w:r>
      <w:r>
        <w:rPr>
          <w:sz w:val="24"/>
          <w:szCs w:val="24"/>
        </w:rPr>
        <w:t xml:space="preserve">also </w:t>
      </w:r>
      <w:r w:rsidRPr="007F731F">
        <w:rPr>
          <w:sz w:val="24"/>
          <w:szCs w:val="24"/>
        </w:rPr>
        <w:t xml:space="preserve">filed </w:t>
      </w:r>
      <w:r>
        <w:rPr>
          <w:sz w:val="24"/>
          <w:szCs w:val="24"/>
        </w:rPr>
        <w:t>r</w:t>
      </w:r>
      <w:r w:rsidRPr="007F731F">
        <w:rPr>
          <w:sz w:val="24"/>
          <w:szCs w:val="24"/>
        </w:rPr>
        <w:t>esponses to Bench Request Nos. 19 and 20</w:t>
      </w:r>
      <w:r>
        <w:rPr>
          <w:sz w:val="24"/>
          <w:szCs w:val="24"/>
        </w:rPr>
        <w:t>, replying to Staff’s responses to the Bench Requests and</w:t>
      </w:r>
      <w:r w:rsidRPr="007F731F">
        <w:rPr>
          <w:sz w:val="24"/>
          <w:szCs w:val="24"/>
        </w:rPr>
        <w:t xml:space="preserve"> referencing several instances where </w:t>
      </w:r>
      <w:r>
        <w:rPr>
          <w:sz w:val="24"/>
          <w:szCs w:val="24"/>
        </w:rPr>
        <w:t>Joint Parties</w:t>
      </w:r>
      <w:r w:rsidRPr="007F731F">
        <w:rPr>
          <w:sz w:val="24"/>
          <w:szCs w:val="24"/>
        </w:rPr>
        <w:t xml:space="preserve"> disagree with Staff’s interpretation of Order 05. Most notably, Joint Parties used Staff’s attrition model to calculate the attrition allowance authorized in Order 05, while Staff </w:t>
      </w:r>
      <w:r w:rsidRPr="007F731F">
        <w:rPr>
          <w:sz w:val="24"/>
          <w:szCs w:val="24"/>
        </w:rPr>
        <w:lastRenderedPageBreak/>
        <w:t>derived its calculations from Avista’s model</w:t>
      </w:r>
      <w:r w:rsidR="00B875E5">
        <w:rPr>
          <w:sz w:val="24"/>
          <w:szCs w:val="24"/>
        </w:rPr>
        <w:t>.</w:t>
      </w:r>
      <w:r w:rsidRPr="007F731F">
        <w:rPr>
          <w:sz w:val="24"/>
          <w:szCs w:val="24"/>
        </w:rPr>
        <w:t xml:space="preserve"> Joint Parties included Avista’s post-attrition adjustment for Project Compass as Order 05 rejected Staff’s removal of certain Project Compass expenditures, while Staff removed the Project Compass adjustment in its entirety</w:t>
      </w:r>
      <w:r w:rsidR="00B875E5">
        <w:rPr>
          <w:sz w:val="24"/>
          <w:szCs w:val="24"/>
        </w:rPr>
        <w:t xml:space="preserve">. </w:t>
      </w:r>
      <w:r w:rsidRPr="007F731F">
        <w:rPr>
          <w:sz w:val="24"/>
          <w:szCs w:val="24"/>
        </w:rPr>
        <w:t>Joint Parties applied the power supply cost update as an adjustment outside of the attrition model, while Staff</w:t>
      </w:r>
      <w:r>
        <w:rPr>
          <w:sz w:val="24"/>
          <w:szCs w:val="24"/>
        </w:rPr>
        <w:t>, according to Joint Parties,</w:t>
      </w:r>
      <w:r w:rsidR="0049233D" w:rsidRPr="0049233D">
        <w:rPr>
          <w:sz w:val="24"/>
          <w:szCs w:val="20"/>
        </w:rPr>
        <w:t xml:space="preserve"> </w:t>
      </w:r>
      <w:r w:rsidR="0049233D">
        <w:rPr>
          <w:sz w:val="24"/>
          <w:szCs w:val="20"/>
        </w:rPr>
        <w:t>“</w:t>
      </w:r>
      <w:r w:rsidR="0049233D" w:rsidRPr="0049233D">
        <w:rPr>
          <w:sz w:val="24"/>
          <w:szCs w:val="20"/>
        </w:rPr>
        <w:t xml:space="preserve">was not opposed to applying this adjustment outside of the model, </w:t>
      </w:r>
      <w:r w:rsidR="0049233D">
        <w:rPr>
          <w:sz w:val="24"/>
          <w:szCs w:val="20"/>
        </w:rPr>
        <w:t xml:space="preserve">[but] </w:t>
      </w:r>
      <w:r w:rsidR="0049233D" w:rsidRPr="0049233D">
        <w:rPr>
          <w:sz w:val="24"/>
          <w:szCs w:val="20"/>
        </w:rPr>
        <w:t>Staff has also proposed a methodology that would estimate 2016 power costs in the attrition model.</w:t>
      </w:r>
      <w:r w:rsidR="0049233D">
        <w:rPr>
          <w:sz w:val="24"/>
          <w:szCs w:val="24"/>
        </w:rPr>
        <w:t>”</w:t>
      </w:r>
      <w:r w:rsidRPr="007F731F">
        <w:rPr>
          <w:sz w:val="24"/>
          <w:szCs w:val="24"/>
        </w:rPr>
        <w:t xml:space="preserve">.   </w:t>
      </w:r>
    </w:p>
    <w:p w14:paraId="06B0EDB0" w14:textId="77777777" w:rsidR="00893418" w:rsidRDefault="00893418" w:rsidP="00893418">
      <w:pPr>
        <w:spacing w:line="264" w:lineRule="auto"/>
        <w:rPr>
          <w:sz w:val="24"/>
          <w:szCs w:val="24"/>
        </w:rPr>
      </w:pPr>
    </w:p>
    <w:p w14:paraId="4C9B1F4D" w14:textId="77777777" w:rsidR="00885134" w:rsidRDefault="000D40A6" w:rsidP="00817EB2">
      <w:pPr>
        <w:numPr>
          <w:ilvl w:val="0"/>
          <w:numId w:val="1"/>
        </w:numPr>
        <w:tabs>
          <w:tab w:val="num" w:pos="0"/>
        </w:tabs>
        <w:spacing w:line="264" w:lineRule="auto"/>
        <w:ind w:left="0"/>
        <w:rPr>
          <w:sz w:val="24"/>
          <w:szCs w:val="24"/>
        </w:rPr>
      </w:pPr>
      <w:r w:rsidRPr="00893418">
        <w:rPr>
          <w:sz w:val="24"/>
          <w:szCs w:val="24"/>
        </w:rPr>
        <w:t>On January 28, 2016, Avista filed a Motion for Waiver of Rules Allowing for an Answer to ICNU and Public Counsel’s Joint Motion for Clarification and Staff’s Motion to Reconsider (Avista’s Motion for Waiver)</w:t>
      </w:r>
      <w:r w:rsidR="00885134">
        <w:rPr>
          <w:sz w:val="24"/>
          <w:szCs w:val="24"/>
        </w:rPr>
        <w:t>. Avista’ filing included its responses to the Joint Motion for Clarification and Staff’s Petition for Reconsideration</w:t>
      </w:r>
      <w:r w:rsidRPr="00893418">
        <w:rPr>
          <w:sz w:val="24"/>
          <w:szCs w:val="24"/>
        </w:rPr>
        <w:t xml:space="preserve">. </w:t>
      </w:r>
      <w:r w:rsidR="00885134">
        <w:rPr>
          <w:sz w:val="24"/>
          <w:szCs w:val="24"/>
        </w:rPr>
        <w:t xml:space="preserve">We grant </w:t>
      </w:r>
      <w:r w:rsidR="00B52552">
        <w:rPr>
          <w:sz w:val="24"/>
          <w:szCs w:val="24"/>
        </w:rPr>
        <w:t xml:space="preserve">the request for a </w:t>
      </w:r>
      <w:r w:rsidR="00885134">
        <w:rPr>
          <w:sz w:val="24"/>
          <w:szCs w:val="24"/>
        </w:rPr>
        <w:t>waive</w:t>
      </w:r>
      <w:r w:rsidR="00415210">
        <w:rPr>
          <w:sz w:val="24"/>
          <w:szCs w:val="24"/>
        </w:rPr>
        <w:t>r</w:t>
      </w:r>
      <w:r w:rsidR="00885134">
        <w:rPr>
          <w:sz w:val="24"/>
          <w:szCs w:val="24"/>
        </w:rPr>
        <w:t xml:space="preserve"> and consider Avista’s responses.</w:t>
      </w:r>
      <w:r w:rsidRPr="00893418">
        <w:rPr>
          <w:sz w:val="24"/>
          <w:szCs w:val="24"/>
        </w:rPr>
        <w:t xml:space="preserve"> </w:t>
      </w:r>
    </w:p>
    <w:p w14:paraId="760CA6CF" w14:textId="77777777" w:rsidR="00885134" w:rsidRDefault="00885134" w:rsidP="007F731F">
      <w:pPr>
        <w:pStyle w:val="ListParagraph"/>
      </w:pPr>
    </w:p>
    <w:p w14:paraId="5E684B3C" w14:textId="77777777" w:rsidR="003C78E3" w:rsidRDefault="000D40A6" w:rsidP="00817EB2">
      <w:pPr>
        <w:numPr>
          <w:ilvl w:val="0"/>
          <w:numId w:val="1"/>
        </w:numPr>
        <w:tabs>
          <w:tab w:val="num" w:pos="0"/>
        </w:tabs>
        <w:spacing w:line="264" w:lineRule="auto"/>
        <w:ind w:left="0"/>
        <w:rPr>
          <w:sz w:val="24"/>
          <w:szCs w:val="24"/>
        </w:rPr>
      </w:pPr>
      <w:r w:rsidRPr="00893418">
        <w:rPr>
          <w:sz w:val="24"/>
          <w:szCs w:val="24"/>
        </w:rPr>
        <w:t xml:space="preserve">Avista </w:t>
      </w:r>
      <w:r w:rsidR="00885134">
        <w:rPr>
          <w:sz w:val="24"/>
          <w:szCs w:val="24"/>
        </w:rPr>
        <w:t>state</w:t>
      </w:r>
      <w:r w:rsidR="00885134" w:rsidRPr="00893418">
        <w:rPr>
          <w:sz w:val="24"/>
          <w:szCs w:val="24"/>
        </w:rPr>
        <w:t xml:space="preserve">s </w:t>
      </w:r>
      <w:r w:rsidR="00D50429" w:rsidRPr="00893418">
        <w:rPr>
          <w:sz w:val="24"/>
          <w:szCs w:val="24"/>
        </w:rPr>
        <w:t>that</w:t>
      </w:r>
      <w:r w:rsidR="00C65FBE">
        <w:rPr>
          <w:sz w:val="24"/>
          <w:szCs w:val="24"/>
        </w:rPr>
        <w:t xml:space="preserve"> it d</w:t>
      </w:r>
      <w:r w:rsidR="00767F19">
        <w:rPr>
          <w:sz w:val="24"/>
          <w:szCs w:val="24"/>
        </w:rPr>
        <w:t xml:space="preserve">oes not challenge the end result of the Commission’s order decreasing the Company’s electric revenue requirement by </w:t>
      </w:r>
      <w:r w:rsidR="00D50429" w:rsidRPr="00893418">
        <w:rPr>
          <w:sz w:val="24"/>
          <w:szCs w:val="24"/>
        </w:rPr>
        <w:t>$8.1 million</w:t>
      </w:r>
      <w:r w:rsidR="00C65FBE">
        <w:rPr>
          <w:sz w:val="24"/>
          <w:szCs w:val="24"/>
        </w:rPr>
        <w:t>,</w:t>
      </w:r>
      <w:r w:rsidR="00D50429" w:rsidRPr="00893418">
        <w:rPr>
          <w:sz w:val="24"/>
          <w:szCs w:val="24"/>
        </w:rPr>
        <w:t xml:space="preserve"> </w:t>
      </w:r>
      <w:r w:rsidR="00767F19">
        <w:rPr>
          <w:sz w:val="24"/>
          <w:szCs w:val="24"/>
        </w:rPr>
        <w:t xml:space="preserve">and </w:t>
      </w:r>
      <w:r w:rsidR="00885134">
        <w:rPr>
          <w:sz w:val="24"/>
          <w:szCs w:val="24"/>
        </w:rPr>
        <w:t xml:space="preserve">argues </w:t>
      </w:r>
      <w:r w:rsidR="00767F19">
        <w:rPr>
          <w:sz w:val="24"/>
          <w:szCs w:val="24"/>
        </w:rPr>
        <w:t>that the</w:t>
      </w:r>
      <w:r w:rsidR="00D50429" w:rsidRPr="00893418">
        <w:rPr>
          <w:sz w:val="24"/>
          <w:szCs w:val="24"/>
        </w:rPr>
        <w:t xml:space="preserve"> decrease is within the “bounds of reasonableness” when compared to the </w:t>
      </w:r>
      <w:r w:rsidR="00CD74BF">
        <w:rPr>
          <w:sz w:val="24"/>
          <w:szCs w:val="24"/>
        </w:rPr>
        <w:t xml:space="preserve">Company’s </w:t>
      </w:r>
      <w:r w:rsidR="00D50429" w:rsidRPr="00893418">
        <w:rPr>
          <w:sz w:val="24"/>
          <w:szCs w:val="24"/>
        </w:rPr>
        <w:t xml:space="preserve">recommendation  of </w:t>
      </w:r>
      <w:r w:rsidR="00655CA2">
        <w:rPr>
          <w:sz w:val="24"/>
          <w:szCs w:val="24"/>
        </w:rPr>
        <w:t>a de</w:t>
      </w:r>
      <w:r w:rsidR="00CD74BF">
        <w:rPr>
          <w:sz w:val="24"/>
          <w:szCs w:val="24"/>
        </w:rPr>
        <w:t xml:space="preserve">crease in </w:t>
      </w:r>
      <w:r w:rsidR="00655CA2">
        <w:rPr>
          <w:sz w:val="24"/>
          <w:szCs w:val="24"/>
        </w:rPr>
        <w:t xml:space="preserve">electric </w:t>
      </w:r>
      <w:r w:rsidR="00CD74BF">
        <w:rPr>
          <w:sz w:val="24"/>
          <w:szCs w:val="24"/>
        </w:rPr>
        <w:t xml:space="preserve">revenues of </w:t>
      </w:r>
      <w:r w:rsidR="00D50429" w:rsidRPr="00893418">
        <w:rPr>
          <w:sz w:val="24"/>
          <w:szCs w:val="24"/>
        </w:rPr>
        <w:t>$5.7 million</w:t>
      </w:r>
      <w:r w:rsidR="00F27449">
        <w:rPr>
          <w:sz w:val="24"/>
          <w:szCs w:val="24"/>
        </w:rPr>
        <w:t xml:space="preserve"> </w:t>
      </w:r>
      <w:r w:rsidR="00885134">
        <w:rPr>
          <w:sz w:val="24"/>
          <w:szCs w:val="24"/>
        </w:rPr>
        <w:t>and other parties’ recommendations</w:t>
      </w:r>
      <w:r w:rsidR="00655CA2">
        <w:rPr>
          <w:sz w:val="24"/>
          <w:szCs w:val="24"/>
        </w:rPr>
        <w:t xml:space="preserve"> for much larger decreases</w:t>
      </w:r>
      <w:r w:rsidR="00D50429" w:rsidRPr="00893418">
        <w:rPr>
          <w:sz w:val="24"/>
          <w:szCs w:val="24"/>
        </w:rPr>
        <w:t>.</w:t>
      </w:r>
      <w:r w:rsidR="00D50429">
        <w:rPr>
          <w:rStyle w:val="FootnoteReference"/>
          <w:sz w:val="24"/>
          <w:szCs w:val="24"/>
        </w:rPr>
        <w:footnoteReference w:id="25"/>
      </w:r>
      <w:r w:rsidR="00D50429" w:rsidRPr="00893418">
        <w:rPr>
          <w:sz w:val="24"/>
          <w:szCs w:val="24"/>
        </w:rPr>
        <w:t xml:space="preserve"> </w:t>
      </w:r>
      <w:r w:rsidR="00767F19">
        <w:rPr>
          <w:sz w:val="24"/>
          <w:szCs w:val="24"/>
        </w:rPr>
        <w:t>Avista notes that, during the January 6</w:t>
      </w:r>
      <w:r w:rsidR="00C65FBE">
        <w:rPr>
          <w:sz w:val="24"/>
          <w:szCs w:val="24"/>
        </w:rPr>
        <w:t>, 2016,</w:t>
      </w:r>
      <w:r w:rsidR="00767F19">
        <w:rPr>
          <w:sz w:val="24"/>
          <w:szCs w:val="24"/>
        </w:rPr>
        <w:t xml:space="preserve"> telephonic order conference, Staff asked “a question related to the significant difference between the attrition adjustment proposed by [it] and that approved by the Commission.”</w:t>
      </w:r>
      <w:r w:rsidR="00767F19">
        <w:rPr>
          <w:rStyle w:val="FootnoteReference"/>
          <w:sz w:val="24"/>
          <w:szCs w:val="24"/>
        </w:rPr>
        <w:footnoteReference w:id="26"/>
      </w:r>
      <w:r w:rsidR="00767F19">
        <w:rPr>
          <w:sz w:val="24"/>
          <w:szCs w:val="24"/>
        </w:rPr>
        <w:t xml:space="preserve"> The Company states that Mr. Kermode explained the derivation and further answered in the affirmative when asked by ICNU whether the updated power supply costs had been incorporated into the Commission’s calculations.</w:t>
      </w:r>
      <w:r w:rsidR="00767F19">
        <w:rPr>
          <w:rStyle w:val="FootnoteReference"/>
          <w:sz w:val="24"/>
          <w:szCs w:val="24"/>
        </w:rPr>
        <w:footnoteReference w:id="27"/>
      </w:r>
      <w:r w:rsidR="00767F19">
        <w:rPr>
          <w:sz w:val="24"/>
          <w:szCs w:val="24"/>
        </w:rPr>
        <w:t xml:space="preserve"> </w:t>
      </w:r>
      <w:r w:rsidR="00206153">
        <w:rPr>
          <w:sz w:val="24"/>
          <w:szCs w:val="24"/>
        </w:rPr>
        <w:t xml:space="preserve">The Commission’s reduction of $8.1 million to the Company’s revenue requirement, according to Avista, will still allow it </w:t>
      </w:r>
      <w:r w:rsidR="00C65FBE">
        <w:rPr>
          <w:sz w:val="24"/>
          <w:szCs w:val="24"/>
        </w:rPr>
        <w:t xml:space="preserve">an actual </w:t>
      </w:r>
      <w:r w:rsidR="00206153">
        <w:rPr>
          <w:sz w:val="24"/>
          <w:szCs w:val="24"/>
        </w:rPr>
        <w:t>opportunity to earn the stipulated 9.5 percent return on equity (ROE)</w:t>
      </w:r>
      <w:r w:rsidR="00415210">
        <w:rPr>
          <w:sz w:val="24"/>
          <w:szCs w:val="24"/>
        </w:rPr>
        <w:t>, in accordance with the parties’ settlement</w:t>
      </w:r>
      <w:r w:rsidR="00206153">
        <w:rPr>
          <w:sz w:val="24"/>
          <w:szCs w:val="24"/>
        </w:rPr>
        <w:t>.</w:t>
      </w:r>
      <w:r w:rsidR="00206153">
        <w:rPr>
          <w:rStyle w:val="FootnoteReference"/>
          <w:sz w:val="24"/>
          <w:szCs w:val="24"/>
        </w:rPr>
        <w:footnoteReference w:id="28"/>
      </w:r>
      <w:r w:rsidR="00206153">
        <w:rPr>
          <w:sz w:val="24"/>
          <w:szCs w:val="24"/>
        </w:rPr>
        <w:t xml:space="preserve"> The Company argues that the $19.8 million revenue requirement decrease proposed by </w:t>
      </w:r>
      <w:r w:rsidR="003F1B5E">
        <w:rPr>
          <w:sz w:val="24"/>
          <w:szCs w:val="24"/>
        </w:rPr>
        <w:t>Joint Parties</w:t>
      </w:r>
      <w:r w:rsidR="00206153">
        <w:rPr>
          <w:sz w:val="24"/>
          <w:szCs w:val="24"/>
        </w:rPr>
        <w:t xml:space="preserve"> and the $27.7 million decrease recommended by Staff “would not come close to providing a reasonable opportunity for Avista to earn the agreed-upon 9.5 [percent] authorized ROE for 2016.”</w:t>
      </w:r>
      <w:r w:rsidR="00206153">
        <w:rPr>
          <w:rStyle w:val="FootnoteReference"/>
          <w:sz w:val="24"/>
          <w:szCs w:val="24"/>
        </w:rPr>
        <w:footnoteReference w:id="29"/>
      </w:r>
      <w:r w:rsidR="00206153">
        <w:rPr>
          <w:sz w:val="24"/>
          <w:szCs w:val="24"/>
        </w:rPr>
        <w:t xml:space="preserve"> </w:t>
      </w:r>
      <w:r w:rsidR="00885134">
        <w:rPr>
          <w:sz w:val="24"/>
          <w:szCs w:val="24"/>
        </w:rPr>
        <w:t xml:space="preserve">Thus, Avista focuses appropriately on the end result </w:t>
      </w:r>
      <w:r w:rsidR="00885134">
        <w:rPr>
          <w:sz w:val="24"/>
          <w:szCs w:val="24"/>
        </w:rPr>
        <w:lastRenderedPageBreak/>
        <w:t>reflected in Order 05 and cites specifically to</w:t>
      </w:r>
      <w:r w:rsidR="00E3426D">
        <w:rPr>
          <w:sz w:val="24"/>
          <w:szCs w:val="24"/>
        </w:rPr>
        <w:t xml:space="preserve"> </w:t>
      </w:r>
      <w:r w:rsidR="00206153">
        <w:rPr>
          <w:sz w:val="24"/>
          <w:szCs w:val="24"/>
        </w:rPr>
        <w:t>the Commission</w:t>
      </w:r>
      <w:r w:rsidR="00E3426D">
        <w:rPr>
          <w:sz w:val="24"/>
          <w:szCs w:val="24"/>
        </w:rPr>
        <w:t xml:space="preserve">’s </w:t>
      </w:r>
      <w:r w:rsidR="003F1B5E">
        <w:rPr>
          <w:sz w:val="24"/>
          <w:szCs w:val="24"/>
        </w:rPr>
        <w:t>reliance on the ‘end result</w:t>
      </w:r>
      <w:r w:rsidR="00B52552">
        <w:rPr>
          <w:sz w:val="24"/>
          <w:szCs w:val="24"/>
        </w:rPr>
        <w:t>”</w:t>
      </w:r>
      <w:r w:rsidR="003F1B5E">
        <w:rPr>
          <w:sz w:val="24"/>
          <w:szCs w:val="24"/>
        </w:rPr>
        <w:t xml:space="preserve"> principle in</w:t>
      </w:r>
      <w:r w:rsidR="00E3426D">
        <w:rPr>
          <w:sz w:val="24"/>
          <w:szCs w:val="24"/>
        </w:rPr>
        <w:t xml:space="preserve"> the </w:t>
      </w:r>
      <w:r w:rsidR="00E3426D">
        <w:rPr>
          <w:i/>
          <w:sz w:val="24"/>
          <w:szCs w:val="24"/>
        </w:rPr>
        <w:t>Hope Natural Gas Co.</w:t>
      </w:r>
      <w:r w:rsidR="00E3426D">
        <w:rPr>
          <w:sz w:val="24"/>
          <w:szCs w:val="24"/>
        </w:rPr>
        <w:t xml:space="preserve"> case</w:t>
      </w:r>
      <w:r w:rsidR="00885134">
        <w:rPr>
          <w:sz w:val="24"/>
          <w:szCs w:val="24"/>
        </w:rPr>
        <w:t xml:space="preserve"> that provides</w:t>
      </w:r>
      <w:r w:rsidR="00E3426D">
        <w:rPr>
          <w:sz w:val="24"/>
          <w:szCs w:val="24"/>
        </w:rPr>
        <w:t xml:space="preserve"> “it is the result reached not the method employed which is controlling.”</w:t>
      </w:r>
      <w:r w:rsidR="00E3426D">
        <w:rPr>
          <w:rStyle w:val="FootnoteReference"/>
          <w:sz w:val="24"/>
          <w:szCs w:val="24"/>
        </w:rPr>
        <w:footnoteReference w:id="30"/>
      </w:r>
      <w:r w:rsidR="00E3426D">
        <w:rPr>
          <w:sz w:val="24"/>
          <w:szCs w:val="24"/>
        </w:rPr>
        <w:t xml:space="preserve">  </w:t>
      </w:r>
    </w:p>
    <w:p w14:paraId="621B1656" w14:textId="77777777" w:rsidR="005C54D3" w:rsidRDefault="005C54D3" w:rsidP="005C54D3">
      <w:pPr>
        <w:pStyle w:val="ListParagraph"/>
      </w:pPr>
    </w:p>
    <w:p w14:paraId="4434BD67" w14:textId="77777777" w:rsidR="00415210" w:rsidRDefault="003F1B5E" w:rsidP="005C54D3">
      <w:pPr>
        <w:numPr>
          <w:ilvl w:val="0"/>
          <w:numId w:val="1"/>
        </w:numPr>
        <w:tabs>
          <w:tab w:val="num" w:pos="0"/>
        </w:tabs>
        <w:spacing w:line="264" w:lineRule="auto"/>
        <w:ind w:left="0"/>
        <w:rPr>
          <w:sz w:val="24"/>
          <w:szCs w:val="24"/>
        </w:rPr>
      </w:pPr>
      <w:r>
        <w:rPr>
          <w:sz w:val="24"/>
          <w:szCs w:val="24"/>
        </w:rPr>
        <w:t>To</w:t>
      </w:r>
      <w:r w:rsidR="005C54D3">
        <w:rPr>
          <w:sz w:val="24"/>
          <w:szCs w:val="24"/>
        </w:rPr>
        <w:t xml:space="preserve"> address the computational questions raised in both Joint Parties’ and Staff’s Motions, the Commission convened </w:t>
      </w:r>
      <w:r w:rsidR="00E11EB1">
        <w:rPr>
          <w:sz w:val="24"/>
          <w:szCs w:val="24"/>
        </w:rPr>
        <w:t xml:space="preserve">in its main hearing room </w:t>
      </w:r>
      <w:r w:rsidR="00C53A15" w:rsidRPr="00C53A15">
        <w:rPr>
          <w:sz w:val="24"/>
          <w:szCs w:val="24"/>
        </w:rPr>
        <w:t>on February 3, 2016</w:t>
      </w:r>
      <w:r w:rsidR="00C53A15">
        <w:rPr>
          <w:sz w:val="24"/>
          <w:szCs w:val="24"/>
        </w:rPr>
        <w:t xml:space="preserve">, </w:t>
      </w:r>
      <w:r w:rsidR="005C54D3">
        <w:rPr>
          <w:sz w:val="24"/>
          <w:szCs w:val="24"/>
        </w:rPr>
        <w:t>a second order conference</w:t>
      </w:r>
      <w:r w:rsidR="002C5F4E">
        <w:rPr>
          <w:sz w:val="24"/>
          <w:szCs w:val="24"/>
        </w:rPr>
        <w:t xml:space="preserve"> </w:t>
      </w:r>
      <w:r w:rsidR="00C53A15">
        <w:rPr>
          <w:sz w:val="24"/>
          <w:szCs w:val="24"/>
        </w:rPr>
        <w:t xml:space="preserve">with </w:t>
      </w:r>
      <w:r w:rsidR="00B875E5">
        <w:rPr>
          <w:sz w:val="24"/>
          <w:szCs w:val="24"/>
        </w:rPr>
        <w:t>Administrative Law Judge Marguerite Friedlander</w:t>
      </w:r>
      <w:r w:rsidR="00C53A15">
        <w:rPr>
          <w:sz w:val="24"/>
          <w:szCs w:val="24"/>
        </w:rPr>
        <w:t xml:space="preserve"> presiding</w:t>
      </w:r>
      <w:r w:rsidR="00B875E5">
        <w:rPr>
          <w:sz w:val="24"/>
          <w:szCs w:val="24"/>
        </w:rPr>
        <w:t xml:space="preserve"> and </w:t>
      </w:r>
      <w:r w:rsidR="002C5F4E">
        <w:rPr>
          <w:sz w:val="24"/>
          <w:szCs w:val="24"/>
        </w:rPr>
        <w:t xml:space="preserve">led by the Commission’s Accounting Advisor. Having reviewed the </w:t>
      </w:r>
      <w:r w:rsidR="007E0D77">
        <w:rPr>
          <w:sz w:val="24"/>
          <w:szCs w:val="24"/>
        </w:rPr>
        <w:t xml:space="preserve">work papers </w:t>
      </w:r>
      <w:r w:rsidR="002C5F4E">
        <w:rPr>
          <w:sz w:val="24"/>
          <w:szCs w:val="24"/>
        </w:rPr>
        <w:t>supporting the Motion</w:t>
      </w:r>
      <w:r w:rsidR="00E11EB1">
        <w:rPr>
          <w:sz w:val="24"/>
          <w:szCs w:val="24"/>
        </w:rPr>
        <w:t xml:space="preserve"> for Clarification and </w:t>
      </w:r>
      <w:r w:rsidR="00415210">
        <w:rPr>
          <w:sz w:val="24"/>
          <w:szCs w:val="24"/>
        </w:rPr>
        <w:t xml:space="preserve">the </w:t>
      </w:r>
      <w:r w:rsidR="00E11EB1">
        <w:rPr>
          <w:sz w:val="24"/>
          <w:szCs w:val="24"/>
        </w:rPr>
        <w:t>Petition for Reconsideration</w:t>
      </w:r>
      <w:r w:rsidR="002C5F4E">
        <w:rPr>
          <w:sz w:val="24"/>
          <w:szCs w:val="24"/>
        </w:rPr>
        <w:t>, Mr. Kermode presented a</w:t>
      </w:r>
      <w:r w:rsidR="00E11EB1">
        <w:rPr>
          <w:sz w:val="24"/>
          <w:szCs w:val="24"/>
        </w:rPr>
        <w:t xml:space="preserve"> careful,</w:t>
      </w:r>
      <w:r w:rsidR="002C5F4E">
        <w:rPr>
          <w:sz w:val="24"/>
          <w:szCs w:val="24"/>
        </w:rPr>
        <w:t xml:space="preserve"> </w:t>
      </w:r>
      <w:r w:rsidR="00E11EB1">
        <w:rPr>
          <w:sz w:val="24"/>
          <w:szCs w:val="24"/>
        </w:rPr>
        <w:t>step-by-step explanation of</w:t>
      </w:r>
      <w:r w:rsidR="002C5F4E">
        <w:rPr>
          <w:sz w:val="24"/>
          <w:szCs w:val="24"/>
        </w:rPr>
        <w:t xml:space="preserve"> the Commission’s </w:t>
      </w:r>
      <w:r w:rsidR="007E0D77">
        <w:rPr>
          <w:sz w:val="24"/>
          <w:szCs w:val="24"/>
        </w:rPr>
        <w:t xml:space="preserve">use of data, </w:t>
      </w:r>
      <w:r w:rsidR="00C53A15">
        <w:rPr>
          <w:sz w:val="24"/>
          <w:szCs w:val="24"/>
        </w:rPr>
        <w:t xml:space="preserve">and </w:t>
      </w:r>
      <w:r w:rsidR="007E0D77">
        <w:rPr>
          <w:sz w:val="24"/>
          <w:szCs w:val="24"/>
        </w:rPr>
        <w:t xml:space="preserve">its </w:t>
      </w:r>
      <w:r w:rsidR="002C5F4E">
        <w:rPr>
          <w:sz w:val="24"/>
          <w:szCs w:val="24"/>
        </w:rPr>
        <w:t xml:space="preserve">calculations </w:t>
      </w:r>
      <w:r w:rsidR="00F80DC0" w:rsidRPr="00F80DC0">
        <w:rPr>
          <w:sz w:val="24"/>
          <w:szCs w:val="24"/>
        </w:rPr>
        <w:t xml:space="preserve">and the resulting impacts when the various adjustments are included in Staff’s attrition model </w:t>
      </w:r>
      <w:r w:rsidR="00E11EB1">
        <w:rPr>
          <w:sz w:val="24"/>
          <w:szCs w:val="24"/>
        </w:rPr>
        <w:t>reflected in Order 05</w:t>
      </w:r>
      <w:r w:rsidR="00F80DC0">
        <w:rPr>
          <w:sz w:val="24"/>
          <w:szCs w:val="24"/>
        </w:rPr>
        <w:t>. Mr. Kermode</w:t>
      </w:r>
      <w:r w:rsidR="00E11EB1">
        <w:rPr>
          <w:sz w:val="24"/>
          <w:szCs w:val="24"/>
        </w:rPr>
        <w:t xml:space="preserve"> demonstrated</w:t>
      </w:r>
      <w:r w:rsidR="00415210">
        <w:rPr>
          <w:sz w:val="24"/>
          <w:szCs w:val="24"/>
        </w:rPr>
        <w:t xml:space="preserve"> conclusively </w:t>
      </w:r>
      <w:r w:rsidR="00E11EB1">
        <w:rPr>
          <w:sz w:val="24"/>
          <w:szCs w:val="24"/>
        </w:rPr>
        <w:t xml:space="preserve">that the results reflected in Order 05 </w:t>
      </w:r>
      <w:r w:rsidR="00F80DC0">
        <w:rPr>
          <w:sz w:val="24"/>
          <w:szCs w:val="24"/>
        </w:rPr>
        <w:t>a</w:t>
      </w:r>
      <w:r w:rsidR="00E11EB1">
        <w:rPr>
          <w:sz w:val="24"/>
          <w:szCs w:val="24"/>
        </w:rPr>
        <w:t xml:space="preserve">re correct, </w:t>
      </w:r>
      <w:r w:rsidR="002C5F4E">
        <w:rPr>
          <w:sz w:val="24"/>
          <w:szCs w:val="24"/>
        </w:rPr>
        <w:t>based on the evidentiary record in these proceedings</w:t>
      </w:r>
      <w:r w:rsidR="00415210">
        <w:rPr>
          <w:sz w:val="24"/>
          <w:szCs w:val="24"/>
        </w:rPr>
        <w:t xml:space="preserve"> and </w:t>
      </w:r>
      <w:r w:rsidR="007E0D77">
        <w:rPr>
          <w:sz w:val="24"/>
          <w:szCs w:val="24"/>
        </w:rPr>
        <w:t xml:space="preserve">that </w:t>
      </w:r>
      <w:r w:rsidR="00415210">
        <w:rPr>
          <w:sz w:val="24"/>
          <w:szCs w:val="24"/>
        </w:rPr>
        <w:t xml:space="preserve">the Commission’s application of Staff’s </w:t>
      </w:r>
      <w:r w:rsidR="007E0D77">
        <w:rPr>
          <w:sz w:val="24"/>
          <w:szCs w:val="24"/>
        </w:rPr>
        <w:t>attrition methodology is proper.</w:t>
      </w:r>
      <w:r w:rsidR="002C5F4E">
        <w:rPr>
          <w:sz w:val="24"/>
          <w:szCs w:val="24"/>
        </w:rPr>
        <w:t xml:space="preserve"> </w:t>
      </w:r>
    </w:p>
    <w:p w14:paraId="3653024B" w14:textId="77777777" w:rsidR="00415210" w:rsidRDefault="00415210" w:rsidP="00415210">
      <w:pPr>
        <w:spacing w:line="264" w:lineRule="auto"/>
        <w:rPr>
          <w:sz w:val="24"/>
          <w:szCs w:val="24"/>
        </w:rPr>
      </w:pPr>
    </w:p>
    <w:p w14:paraId="298BC3F9" w14:textId="77777777" w:rsidR="00F11928" w:rsidRDefault="00F11928" w:rsidP="004F48FE">
      <w:pPr>
        <w:numPr>
          <w:ilvl w:val="0"/>
          <w:numId w:val="1"/>
        </w:numPr>
        <w:tabs>
          <w:tab w:val="num" w:pos="0"/>
        </w:tabs>
        <w:spacing w:line="264" w:lineRule="auto"/>
        <w:ind w:left="0"/>
        <w:rPr>
          <w:sz w:val="24"/>
          <w:szCs w:val="24"/>
        </w:rPr>
      </w:pPr>
      <w:r>
        <w:rPr>
          <w:sz w:val="24"/>
          <w:szCs w:val="24"/>
        </w:rPr>
        <w:t>We determine, on the basis of the preceding discussion, that Staff’s Petition for Reconsideration, whether considered as a request for reconsideration or clarification, should be denied.</w:t>
      </w:r>
    </w:p>
    <w:p w14:paraId="71EA014B" w14:textId="77777777" w:rsidR="009B5924" w:rsidRDefault="009B5924" w:rsidP="009B5924">
      <w:pPr>
        <w:pStyle w:val="ListParagraph"/>
      </w:pPr>
    </w:p>
    <w:p w14:paraId="39409248" w14:textId="77777777" w:rsidR="00C4374D" w:rsidRDefault="00F80DC0" w:rsidP="00817EB2">
      <w:pPr>
        <w:numPr>
          <w:ilvl w:val="0"/>
          <w:numId w:val="1"/>
        </w:numPr>
        <w:tabs>
          <w:tab w:val="num" w:pos="0"/>
        </w:tabs>
        <w:spacing w:line="264" w:lineRule="auto"/>
        <w:ind w:left="0"/>
        <w:rPr>
          <w:sz w:val="24"/>
          <w:szCs w:val="24"/>
        </w:rPr>
      </w:pPr>
      <w:r>
        <w:rPr>
          <w:b/>
          <w:sz w:val="24"/>
          <w:szCs w:val="24"/>
        </w:rPr>
        <w:t xml:space="preserve">Motion to Reopen the Record. </w:t>
      </w:r>
      <w:r w:rsidR="009B5924">
        <w:rPr>
          <w:sz w:val="24"/>
          <w:szCs w:val="24"/>
        </w:rPr>
        <w:t xml:space="preserve">On February 4, 2016, </w:t>
      </w:r>
      <w:r w:rsidR="00D50429" w:rsidRPr="00893418">
        <w:rPr>
          <w:sz w:val="24"/>
          <w:szCs w:val="24"/>
        </w:rPr>
        <w:t xml:space="preserve">Staff filed a Motion to Reopen the Record </w:t>
      </w:r>
      <w:r w:rsidR="00653744">
        <w:rPr>
          <w:sz w:val="24"/>
          <w:szCs w:val="24"/>
        </w:rPr>
        <w:t xml:space="preserve">for the Limited Purpose of Receiving into Evidence Instruction on Use and Application of Staff’s Attrition Model (Staff’s Motion to Reopen). Staff requests that the Commission waive its </w:t>
      </w:r>
      <w:r w:rsidR="00126662">
        <w:rPr>
          <w:sz w:val="24"/>
          <w:szCs w:val="24"/>
        </w:rPr>
        <w:t xml:space="preserve">rule </w:t>
      </w:r>
      <w:r w:rsidR="00CD0E4C">
        <w:rPr>
          <w:sz w:val="24"/>
          <w:szCs w:val="24"/>
        </w:rPr>
        <w:t>that provides for</w:t>
      </w:r>
      <w:r w:rsidR="00653744">
        <w:rPr>
          <w:sz w:val="24"/>
          <w:szCs w:val="24"/>
        </w:rPr>
        <w:t xml:space="preserve"> reopen</w:t>
      </w:r>
      <w:r w:rsidR="00CD0E4C">
        <w:rPr>
          <w:sz w:val="24"/>
          <w:szCs w:val="24"/>
        </w:rPr>
        <w:t>ing</w:t>
      </w:r>
      <w:r w:rsidR="00653744">
        <w:rPr>
          <w:sz w:val="24"/>
          <w:szCs w:val="24"/>
        </w:rPr>
        <w:t xml:space="preserve"> the record in a proceeding</w:t>
      </w:r>
      <w:r w:rsidR="00222AC0">
        <w:rPr>
          <w:sz w:val="24"/>
          <w:szCs w:val="24"/>
        </w:rPr>
        <w:t xml:space="preserve">, only </w:t>
      </w:r>
      <w:r w:rsidR="00653744">
        <w:rPr>
          <w:sz w:val="24"/>
          <w:szCs w:val="24"/>
        </w:rPr>
        <w:t xml:space="preserve">“after the close of the record and </w:t>
      </w:r>
      <w:r w:rsidR="00653744" w:rsidRPr="007F731F">
        <w:rPr>
          <w:i/>
          <w:sz w:val="24"/>
          <w:szCs w:val="24"/>
        </w:rPr>
        <w:t>before</w:t>
      </w:r>
      <w:r w:rsidR="00653744">
        <w:rPr>
          <w:sz w:val="24"/>
          <w:szCs w:val="24"/>
        </w:rPr>
        <w:t xml:space="preserve"> entry of the final order</w:t>
      </w:r>
      <w:r w:rsidR="007D5B8D">
        <w:rPr>
          <w:sz w:val="24"/>
          <w:szCs w:val="24"/>
        </w:rPr>
        <w:t>.</w:t>
      </w:r>
      <w:r w:rsidR="00653744">
        <w:rPr>
          <w:sz w:val="24"/>
          <w:szCs w:val="24"/>
        </w:rPr>
        <w:t>”</w:t>
      </w:r>
      <w:r w:rsidR="00CD0E4C">
        <w:rPr>
          <w:rStyle w:val="FootnoteReference"/>
          <w:sz w:val="24"/>
          <w:szCs w:val="24"/>
        </w:rPr>
        <w:footnoteReference w:id="31"/>
      </w:r>
      <w:r w:rsidR="00E00EC9">
        <w:rPr>
          <w:sz w:val="24"/>
          <w:szCs w:val="24"/>
        </w:rPr>
        <w:t xml:space="preserve"> By waiving this </w:t>
      </w:r>
      <w:r w:rsidR="00126662">
        <w:rPr>
          <w:sz w:val="24"/>
          <w:szCs w:val="24"/>
        </w:rPr>
        <w:t>rule</w:t>
      </w:r>
      <w:r w:rsidR="00E00EC9">
        <w:rPr>
          <w:sz w:val="24"/>
          <w:szCs w:val="24"/>
        </w:rPr>
        <w:t xml:space="preserve">, Staff argues that the Commission could address the “perceived limitations on the Commission’s ability to effectively use Staff’s attrition model and input the results of </w:t>
      </w:r>
      <w:r w:rsidR="00E00EC9">
        <w:rPr>
          <w:sz w:val="24"/>
          <w:szCs w:val="24"/>
        </w:rPr>
        <w:lastRenderedPageBreak/>
        <w:t>Avista’s [power cost update] filed October 29, 2015.”</w:t>
      </w:r>
      <w:r w:rsidR="00E00EC9">
        <w:rPr>
          <w:rStyle w:val="FootnoteReference"/>
          <w:sz w:val="24"/>
          <w:szCs w:val="24"/>
        </w:rPr>
        <w:footnoteReference w:id="32"/>
      </w:r>
      <w:r w:rsidR="00E00EC9">
        <w:rPr>
          <w:sz w:val="24"/>
          <w:szCs w:val="24"/>
        </w:rPr>
        <w:t xml:space="preserve"> </w:t>
      </w:r>
      <w:r w:rsidR="008B44E7">
        <w:rPr>
          <w:sz w:val="24"/>
          <w:szCs w:val="24"/>
        </w:rPr>
        <w:t xml:space="preserve">It </w:t>
      </w:r>
      <w:r w:rsidR="00C4374D">
        <w:rPr>
          <w:sz w:val="24"/>
          <w:szCs w:val="24"/>
        </w:rPr>
        <w:t>recommends that the evidentiary record</w:t>
      </w:r>
      <w:r w:rsidR="00CD0E4C">
        <w:rPr>
          <w:sz w:val="24"/>
          <w:szCs w:val="24"/>
        </w:rPr>
        <w:t xml:space="preserve"> be reopened to allow introduction of</w:t>
      </w:r>
      <w:r w:rsidR="00C4374D">
        <w:rPr>
          <w:sz w:val="24"/>
          <w:szCs w:val="24"/>
        </w:rPr>
        <w:t xml:space="preserve"> “helpful information </w:t>
      </w:r>
      <w:r w:rsidR="00CD0E4C">
        <w:rPr>
          <w:sz w:val="24"/>
          <w:szCs w:val="24"/>
        </w:rPr>
        <w:t>. . .</w:t>
      </w:r>
      <w:r w:rsidR="00C4374D">
        <w:rPr>
          <w:sz w:val="24"/>
          <w:szCs w:val="24"/>
        </w:rPr>
        <w:t xml:space="preserve"> on the application and use of its attrition model, including the impacts of Commission determinations in Order 05.”</w:t>
      </w:r>
      <w:r w:rsidR="00C4374D">
        <w:rPr>
          <w:rStyle w:val="FootnoteReference"/>
          <w:sz w:val="24"/>
          <w:szCs w:val="24"/>
        </w:rPr>
        <w:footnoteReference w:id="33"/>
      </w:r>
      <w:r w:rsidR="00C4374D">
        <w:rPr>
          <w:sz w:val="24"/>
          <w:szCs w:val="24"/>
        </w:rPr>
        <w:t xml:space="preserve"> According to Staff:</w:t>
      </w:r>
    </w:p>
    <w:p w14:paraId="7D38ADB1" w14:textId="77777777" w:rsidR="00C4374D" w:rsidRDefault="00C4374D" w:rsidP="00C4374D">
      <w:pPr>
        <w:pStyle w:val="ListParagraph"/>
      </w:pPr>
    </w:p>
    <w:p w14:paraId="026C61D4" w14:textId="77777777" w:rsidR="00C4374D" w:rsidRDefault="00C4374D" w:rsidP="00F11928">
      <w:pPr>
        <w:ind w:left="720" w:right="720"/>
        <w:rPr>
          <w:sz w:val="24"/>
          <w:szCs w:val="24"/>
        </w:rPr>
      </w:pPr>
      <w:r>
        <w:rPr>
          <w:sz w:val="24"/>
          <w:szCs w:val="24"/>
        </w:rPr>
        <w:t xml:space="preserve">By reopening the record, the Commission will be able to address its specific issues, and remove any limitations on its ability to calculate Avista’s revenue requirement based on Staff’s </w:t>
      </w:r>
      <w:r w:rsidRPr="00C4374D">
        <w:rPr>
          <w:i/>
          <w:sz w:val="24"/>
          <w:szCs w:val="24"/>
        </w:rPr>
        <w:t>updated</w:t>
      </w:r>
      <w:r>
        <w:rPr>
          <w:sz w:val="24"/>
          <w:szCs w:val="24"/>
        </w:rPr>
        <w:t xml:space="preserve"> attrition model. Moreover, reopening the record would not prejudice any party. This is so even </w:t>
      </w:r>
      <w:r w:rsidR="00E900A3">
        <w:rPr>
          <w:sz w:val="24"/>
          <w:szCs w:val="24"/>
        </w:rPr>
        <w:t xml:space="preserve">if </w:t>
      </w:r>
      <w:r>
        <w:rPr>
          <w:sz w:val="24"/>
          <w:szCs w:val="24"/>
        </w:rPr>
        <w:t xml:space="preserve">the Commission’s review results in a properly revised revenue requirement. No party can claim to be harmed by Commission action </w:t>
      </w:r>
      <w:r w:rsidRPr="00C4374D">
        <w:rPr>
          <w:i/>
          <w:sz w:val="24"/>
          <w:szCs w:val="24"/>
        </w:rPr>
        <w:t>correcting</w:t>
      </w:r>
      <w:r>
        <w:rPr>
          <w:sz w:val="24"/>
          <w:szCs w:val="24"/>
        </w:rPr>
        <w:t xml:space="preserve"> a calculation.</w:t>
      </w:r>
      <w:r>
        <w:rPr>
          <w:rStyle w:val="FootnoteReference"/>
          <w:sz w:val="24"/>
          <w:szCs w:val="24"/>
        </w:rPr>
        <w:footnoteReference w:id="34"/>
      </w:r>
    </w:p>
    <w:p w14:paraId="12F1C5AE" w14:textId="77777777" w:rsidR="00C4374D" w:rsidRDefault="00C4374D" w:rsidP="00C4374D">
      <w:pPr>
        <w:spacing w:line="264" w:lineRule="auto"/>
        <w:ind w:left="720"/>
        <w:rPr>
          <w:sz w:val="24"/>
          <w:szCs w:val="24"/>
        </w:rPr>
      </w:pPr>
    </w:p>
    <w:p w14:paraId="60395883" w14:textId="77777777" w:rsidR="00ED1C44" w:rsidRDefault="00ED1C44" w:rsidP="00ED1C44">
      <w:pPr>
        <w:spacing w:line="264" w:lineRule="auto"/>
        <w:rPr>
          <w:sz w:val="24"/>
          <w:szCs w:val="24"/>
        </w:rPr>
      </w:pPr>
      <w:r>
        <w:rPr>
          <w:sz w:val="24"/>
          <w:szCs w:val="24"/>
        </w:rPr>
        <w:t>In its Motion to Reopen, Staff propose</w:t>
      </w:r>
      <w:r w:rsidR="00222AC0">
        <w:rPr>
          <w:sz w:val="24"/>
          <w:szCs w:val="24"/>
        </w:rPr>
        <w:t>s</w:t>
      </w:r>
      <w:r>
        <w:rPr>
          <w:sz w:val="24"/>
          <w:szCs w:val="24"/>
        </w:rPr>
        <w:t xml:space="preserve"> </w:t>
      </w:r>
      <w:r w:rsidR="00E900A3">
        <w:rPr>
          <w:sz w:val="24"/>
          <w:szCs w:val="24"/>
        </w:rPr>
        <w:t>its</w:t>
      </w:r>
      <w:r>
        <w:rPr>
          <w:sz w:val="24"/>
          <w:szCs w:val="24"/>
        </w:rPr>
        <w:t xml:space="preserve"> </w:t>
      </w:r>
      <w:r w:rsidR="005A4374">
        <w:rPr>
          <w:sz w:val="24"/>
          <w:szCs w:val="24"/>
        </w:rPr>
        <w:t xml:space="preserve">third </w:t>
      </w:r>
      <w:r>
        <w:rPr>
          <w:sz w:val="24"/>
          <w:szCs w:val="24"/>
        </w:rPr>
        <w:t xml:space="preserve">electric revenue requirement reduction amount </w:t>
      </w:r>
      <w:r w:rsidR="00222AC0">
        <w:rPr>
          <w:sz w:val="24"/>
          <w:szCs w:val="24"/>
        </w:rPr>
        <w:t>– this time in the amount of $19.6 million.</w:t>
      </w:r>
      <w:r>
        <w:rPr>
          <w:rStyle w:val="FootnoteReference"/>
          <w:sz w:val="24"/>
          <w:szCs w:val="24"/>
        </w:rPr>
        <w:footnoteReference w:id="35"/>
      </w:r>
      <w:r>
        <w:rPr>
          <w:sz w:val="24"/>
          <w:szCs w:val="24"/>
        </w:rPr>
        <w:t xml:space="preserve"> </w:t>
      </w:r>
    </w:p>
    <w:p w14:paraId="13058231" w14:textId="77777777" w:rsidR="00ED1C44" w:rsidRDefault="00ED1C44" w:rsidP="00ED1C44">
      <w:pPr>
        <w:spacing w:line="264" w:lineRule="auto"/>
        <w:rPr>
          <w:sz w:val="24"/>
          <w:szCs w:val="24"/>
        </w:rPr>
      </w:pPr>
    </w:p>
    <w:p w14:paraId="55605B28" w14:textId="77777777" w:rsidR="003F047D" w:rsidRDefault="00C4374D" w:rsidP="00C4374D">
      <w:pPr>
        <w:numPr>
          <w:ilvl w:val="0"/>
          <w:numId w:val="1"/>
        </w:numPr>
        <w:tabs>
          <w:tab w:val="num" w:pos="0"/>
        </w:tabs>
        <w:spacing w:line="264" w:lineRule="auto"/>
        <w:ind w:left="0"/>
        <w:rPr>
          <w:sz w:val="24"/>
          <w:szCs w:val="24"/>
        </w:rPr>
      </w:pPr>
      <w:r>
        <w:rPr>
          <w:sz w:val="24"/>
          <w:szCs w:val="24"/>
        </w:rPr>
        <w:t xml:space="preserve">On February 9, 2016, Avista and Joint Parties filed responses to Staff’s Motion to Reopen. Avista opposes Staff’s Motion to Reopen, </w:t>
      </w:r>
      <w:r w:rsidR="00463AA8">
        <w:rPr>
          <w:sz w:val="24"/>
          <w:szCs w:val="24"/>
        </w:rPr>
        <w:t xml:space="preserve">emphasizing </w:t>
      </w:r>
      <w:r>
        <w:rPr>
          <w:sz w:val="24"/>
          <w:szCs w:val="24"/>
        </w:rPr>
        <w:t xml:space="preserve">the </w:t>
      </w:r>
      <w:r w:rsidR="00ED1C44">
        <w:rPr>
          <w:sz w:val="24"/>
          <w:szCs w:val="24"/>
        </w:rPr>
        <w:t>importance</w:t>
      </w:r>
      <w:r w:rsidR="007C7DFC">
        <w:rPr>
          <w:sz w:val="24"/>
          <w:szCs w:val="24"/>
        </w:rPr>
        <w:t xml:space="preserve"> and fundamental nature</w:t>
      </w:r>
      <w:r w:rsidR="00ED1C44">
        <w:rPr>
          <w:sz w:val="24"/>
          <w:szCs w:val="24"/>
        </w:rPr>
        <w:t xml:space="preserve"> of the </w:t>
      </w:r>
      <w:r>
        <w:rPr>
          <w:sz w:val="24"/>
          <w:szCs w:val="24"/>
        </w:rPr>
        <w:t xml:space="preserve">end result test that the Commission and the U.S. Supreme Court </w:t>
      </w:r>
      <w:r w:rsidR="00ED1C44">
        <w:rPr>
          <w:sz w:val="24"/>
          <w:szCs w:val="24"/>
        </w:rPr>
        <w:t xml:space="preserve">use as a </w:t>
      </w:r>
      <w:r w:rsidR="00F11928">
        <w:rPr>
          <w:sz w:val="24"/>
          <w:szCs w:val="24"/>
        </w:rPr>
        <w:t xml:space="preserve">key </w:t>
      </w:r>
      <w:r>
        <w:rPr>
          <w:sz w:val="24"/>
          <w:szCs w:val="24"/>
        </w:rPr>
        <w:t xml:space="preserve">guiding principle in determining rates for jurisdictional </w:t>
      </w:r>
      <w:r w:rsidR="00463AA8">
        <w:rPr>
          <w:sz w:val="24"/>
          <w:szCs w:val="24"/>
        </w:rPr>
        <w:t>utilities such as</w:t>
      </w:r>
      <w:r>
        <w:rPr>
          <w:sz w:val="24"/>
          <w:szCs w:val="24"/>
        </w:rPr>
        <w:t xml:space="preserve"> Avista.</w:t>
      </w:r>
      <w:r>
        <w:rPr>
          <w:rStyle w:val="FootnoteReference"/>
          <w:sz w:val="24"/>
          <w:szCs w:val="24"/>
        </w:rPr>
        <w:footnoteReference w:id="36"/>
      </w:r>
      <w:r>
        <w:rPr>
          <w:sz w:val="24"/>
          <w:szCs w:val="24"/>
        </w:rPr>
        <w:t xml:space="preserve"> Even with Staff’s </w:t>
      </w:r>
      <w:r w:rsidR="00F11928">
        <w:rPr>
          <w:sz w:val="24"/>
          <w:szCs w:val="24"/>
        </w:rPr>
        <w:t xml:space="preserve">third </w:t>
      </w:r>
      <w:r>
        <w:rPr>
          <w:sz w:val="24"/>
          <w:szCs w:val="24"/>
        </w:rPr>
        <w:t>revised electric revenue requirement</w:t>
      </w:r>
      <w:r w:rsidR="00F11928">
        <w:rPr>
          <w:sz w:val="24"/>
          <w:szCs w:val="24"/>
        </w:rPr>
        <w:t xml:space="preserve"> of $19.6 million,</w:t>
      </w:r>
      <w:r>
        <w:rPr>
          <w:sz w:val="24"/>
          <w:szCs w:val="24"/>
        </w:rPr>
        <w:t xml:space="preserve"> calculated using </w:t>
      </w:r>
      <w:r w:rsidR="00F11928">
        <w:rPr>
          <w:sz w:val="24"/>
          <w:szCs w:val="24"/>
        </w:rPr>
        <w:t>Staff’</w:t>
      </w:r>
      <w:r>
        <w:rPr>
          <w:sz w:val="24"/>
          <w:szCs w:val="24"/>
        </w:rPr>
        <w:t xml:space="preserve">s </w:t>
      </w:r>
      <w:r w:rsidR="00E900A3">
        <w:rPr>
          <w:sz w:val="24"/>
          <w:szCs w:val="24"/>
        </w:rPr>
        <w:t xml:space="preserve">“corrected” </w:t>
      </w:r>
      <w:r>
        <w:rPr>
          <w:sz w:val="24"/>
          <w:szCs w:val="24"/>
        </w:rPr>
        <w:t>attrition model, Avista argues it would have an opportunity to earn</w:t>
      </w:r>
      <w:r w:rsidR="001932B3" w:rsidRPr="001932B3">
        <w:rPr>
          <w:sz w:val="24"/>
          <w:szCs w:val="24"/>
        </w:rPr>
        <w:t xml:space="preserve"> </w:t>
      </w:r>
      <w:r>
        <w:rPr>
          <w:sz w:val="24"/>
          <w:szCs w:val="24"/>
        </w:rPr>
        <w:t xml:space="preserve">an ROE of </w:t>
      </w:r>
      <w:r w:rsidR="003F047D">
        <w:rPr>
          <w:sz w:val="24"/>
          <w:szCs w:val="24"/>
        </w:rPr>
        <w:t xml:space="preserve">no more than </w:t>
      </w:r>
      <w:r>
        <w:rPr>
          <w:sz w:val="24"/>
          <w:szCs w:val="24"/>
        </w:rPr>
        <w:t>8.2</w:t>
      </w:r>
      <w:r w:rsidR="004E03BE">
        <w:rPr>
          <w:sz w:val="24"/>
          <w:szCs w:val="24"/>
        </w:rPr>
        <w:t xml:space="preserve">2 percent, </w:t>
      </w:r>
      <w:r w:rsidR="00463AA8">
        <w:rPr>
          <w:sz w:val="24"/>
          <w:szCs w:val="24"/>
        </w:rPr>
        <w:t xml:space="preserve">which is </w:t>
      </w:r>
      <w:r w:rsidR="003F047D">
        <w:rPr>
          <w:sz w:val="24"/>
          <w:szCs w:val="24"/>
        </w:rPr>
        <w:t>nearly 130 basis points lower</w:t>
      </w:r>
      <w:r w:rsidR="004E03BE">
        <w:rPr>
          <w:sz w:val="24"/>
          <w:szCs w:val="24"/>
        </w:rPr>
        <w:t xml:space="preserve"> than the 9.5 percent</w:t>
      </w:r>
      <w:r w:rsidR="00ED1C44">
        <w:rPr>
          <w:sz w:val="24"/>
          <w:szCs w:val="24"/>
        </w:rPr>
        <w:t xml:space="preserve"> agreed</w:t>
      </w:r>
      <w:r w:rsidR="00222AC0">
        <w:rPr>
          <w:sz w:val="24"/>
          <w:szCs w:val="24"/>
        </w:rPr>
        <w:t xml:space="preserve"> </w:t>
      </w:r>
      <w:r w:rsidR="00ED1C44">
        <w:rPr>
          <w:sz w:val="24"/>
          <w:szCs w:val="24"/>
        </w:rPr>
        <w:t xml:space="preserve">to in the </w:t>
      </w:r>
      <w:r w:rsidR="00463AA8">
        <w:rPr>
          <w:sz w:val="24"/>
          <w:szCs w:val="24"/>
        </w:rPr>
        <w:t>parties’ s</w:t>
      </w:r>
      <w:r w:rsidR="00ED1C44">
        <w:rPr>
          <w:sz w:val="24"/>
          <w:szCs w:val="24"/>
        </w:rPr>
        <w:t>ettlement</w:t>
      </w:r>
      <w:r w:rsidR="003F047D">
        <w:rPr>
          <w:sz w:val="24"/>
          <w:szCs w:val="24"/>
        </w:rPr>
        <w:t xml:space="preserve"> and approved by the Commission</w:t>
      </w:r>
      <w:r w:rsidR="004E03BE">
        <w:rPr>
          <w:sz w:val="24"/>
          <w:szCs w:val="24"/>
        </w:rPr>
        <w:t>.</w:t>
      </w:r>
      <w:r w:rsidR="004E03BE">
        <w:rPr>
          <w:rStyle w:val="FootnoteReference"/>
          <w:sz w:val="24"/>
          <w:szCs w:val="24"/>
        </w:rPr>
        <w:footnoteReference w:id="37"/>
      </w:r>
      <w:r w:rsidR="00E0303F">
        <w:rPr>
          <w:sz w:val="24"/>
          <w:szCs w:val="24"/>
        </w:rPr>
        <w:t xml:space="preserve"> </w:t>
      </w:r>
    </w:p>
    <w:p w14:paraId="6C95E0B3" w14:textId="77777777" w:rsidR="003F047D" w:rsidRDefault="003F047D" w:rsidP="003F047D">
      <w:pPr>
        <w:spacing w:line="264" w:lineRule="auto"/>
        <w:rPr>
          <w:sz w:val="24"/>
          <w:szCs w:val="24"/>
        </w:rPr>
      </w:pPr>
    </w:p>
    <w:p w14:paraId="4CDA24B1" w14:textId="77777777" w:rsidR="00C4374D" w:rsidRDefault="00E0303F" w:rsidP="00C4374D">
      <w:pPr>
        <w:numPr>
          <w:ilvl w:val="0"/>
          <w:numId w:val="1"/>
        </w:numPr>
        <w:tabs>
          <w:tab w:val="num" w:pos="0"/>
        </w:tabs>
        <w:spacing w:line="264" w:lineRule="auto"/>
        <w:ind w:left="0"/>
        <w:rPr>
          <w:sz w:val="24"/>
          <w:szCs w:val="24"/>
        </w:rPr>
      </w:pPr>
      <w:r>
        <w:rPr>
          <w:sz w:val="24"/>
          <w:szCs w:val="24"/>
        </w:rPr>
        <w:t xml:space="preserve">Avista </w:t>
      </w:r>
      <w:r w:rsidR="00463AA8">
        <w:rPr>
          <w:sz w:val="24"/>
          <w:szCs w:val="24"/>
        </w:rPr>
        <w:t>says</w:t>
      </w:r>
      <w:r w:rsidR="003F047D">
        <w:rPr>
          <w:sz w:val="24"/>
          <w:szCs w:val="24"/>
        </w:rPr>
        <w:t xml:space="preserve"> in addition</w:t>
      </w:r>
      <w:r w:rsidR="00463AA8">
        <w:rPr>
          <w:sz w:val="24"/>
          <w:szCs w:val="24"/>
        </w:rPr>
        <w:t xml:space="preserve"> </w:t>
      </w:r>
      <w:r>
        <w:rPr>
          <w:sz w:val="24"/>
          <w:szCs w:val="24"/>
        </w:rPr>
        <w:t>that the entire record may need to be reopened if the Commission decides to allow additional, however limited, attrition evidence.</w:t>
      </w:r>
      <w:r>
        <w:rPr>
          <w:rStyle w:val="FootnoteReference"/>
          <w:sz w:val="24"/>
          <w:szCs w:val="24"/>
        </w:rPr>
        <w:footnoteReference w:id="38"/>
      </w:r>
      <w:r>
        <w:rPr>
          <w:sz w:val="24"/>
          <w:szCs w:val="24"/>
        </w:rPr>
        <w:t xml:space="preserve"> </w:t>
      </w:r>
      <w:r w:rsidR="003F047D">
        <w:rPr>
          <w:sz w:val="24"/>
          <w:szCs w:val="24"/>
        </w:rPr>
        <w:t xml:space="preserve">In the Company’s </w:t>
      </w:r>
      <w:r w:rsidR="003F047D">
        <w:rPr>
          <w:sz w:val="24"/>
          <w:szCs w:val="24"/>
        </w:rPr>
        <w:lastRenderedPageBreak/>
        <w:t>view,</w:t>
      </w:r>
      <w:r w:rsidR="00222AC0">
        <w:rPr>
          <w:sz w:val="24"/>
          <w:szCs w:val="24"/>
        </w:rPr>
        <w:t xml:space="preserve"> </w:t>
      </w:r>
      <w:r w:rsidR="00ED1C44">
        <w:rPr>
          <w:sz w:val="24"/>
          <w:szCs w:val="24"/>
        </w:rPr>
        <w:t>t</w:t>
      </w:r>
      <w:r>
        <w:rPr>
          <w:sz w:val="24"/>
          <w:szCs w:val="24"/>
        </w:rPr>
        <w:t xml:space="preserve">he </w:t>
      </w:r>
      <w:r w:rsidR="003F047D">
        <w:rPr>
          <w:sz w:val="24"/>
          <w:szCs w:val="24"/>
        </w:rPr>
        <w:t xml:space="preserve">Commission’s </w:t>
      </w:r>
      <w:r>
        <w:rPr>
          <w:sz w:val="24"/>
          <w:szCs w:val="24"/>
        </w:rPr>
        <w:t xml:space="preserve">decision resulting in an $8.1 million reduction </w:t>
      </w:r>
      <w:r w:rsidR="003F047D">
        <w:rPr>
          <w:sz w:val="24"/>
          <w:szCs w:val="24"/>
        </w:rPr>
        <w:t>is based on a full examination of</w:t>
      </w:r>
      <w:r>
        <w:rPr>
          <w:sz w:val="24"/>
          <w:szCs w:val="24"/>
        </w:rPr>
        <w:t xml:space="preserve"> </w:t>
      </w:r>
      <w:r w:rsidR="003F047D">
        <w:rPr>
          <w:sz w:val="24"/>
          <w:szCs w:val="24"/>
        </w:rPr>
        <w:t>the record evidence relevant to each</w:t>
      </w:r>
      <w:r>
        <w:rPr>
          <w:sz w:val="24"/>
          <w:szCs w:val="24"/>
        </w:rPr>
        <w:t xml:space="preserve"> issue and adjustment that affect</w:t>
      </w:r>
      <w:r w:rsidR="003F047D">
        <w:rPr>
          <w:sz w:val="24"/>
          <w:szCs w:val="24"/>
        </w:rPr>
        <w:t>s</w:t>
      </w:r>
      <w:r>
        <w:rPr>
          <w:sz w:val="24"/>
          <w:szCs w:val="24"/>
        </w:rPr>
        <w:t xml:space="preserve"> Avista’s revenue requirement</w:t>
      </w:r>
      <w:r w:rsidR="003F047D">
        <w:rPr>
          <w:sz w:val="24"/>
          <w:szCs w:val="24"/>
        </w:rPr>
        <w:t>, and leads to fair, just,</w:t>
      </w:r>
      <w:r>
        <w:rPr>
          <w:sz w:val="24"/>
          <w:szCs w:val="24"/>
        </w:rPr>
        <w:t xml:space="preserve"> reasonable</w:t>
      </w:r>
      <w:r w:rsidR="003F047D">
        <w:rPr>
          <w:sz w:val="24"/>
          <w:szCs w:val="24"/>
        </w:rPr>
        <w:t>, and sufficient</w:t>
      </w:r>
      <w:r>
        <w:rPr>
          <w:sz w:val="24"/>
          <w:szCs w:val="24"/>
        </w:rPr>
        <w:t xml:space="preserve"> end result</w:t>
      </w:r>
      <w:r w:rsidR="003F047D">
        <w:rPr>
          <w:sz w:val="24"/>
          <w:szCs w:val="24"/>
        </w:rPr>
        <w:t>s</w:t>
      </w:r>
      <w:r>
        <w:rPr>
          <w:sz w:val="24"/>
          <w:szCs w:val="24"/>
        </w:rPr>
        <w:t>.</w:t>
      </w:r>
      <w:r>
        <w:rPr>
          <w:rStyle w:val="FootnoteReference"/>
          <w:sz w:val="24"/>
          <w:szCs w:val="24"/>
        </w:rPr>
        <w:footnoteReference w:id="39"/>
      </w:r>
      <w:r w:rsidR="007C7DFC">
        <w:rPr>
          <w:sz w:val="24"/>
          <w:szCs w:val="24"/>
        </w:rPr>
        <w:t xml:space="preserve"> </w:t>
      </w:r>
      <w:r w:rsidR="003F047D">
        <w:rPr>
          <w:sz w:val="24"/>
          <w:szCs w:val="24"/>
        </w:rPr>
        <w:t xml:space="preserve">This is a reduction that still allows Avista a reasonable opportunity to earn its authorized return. </w:t>
      </w:r>
      <w:r w:rsidR="00C53A15">
        <w:rPr>
          <w:sz w:val="24"/>
          <w:szCs w:val="24"/>
        </w:rPr>
        <w:t>T</w:t>
      </w:r>
      <w:r w:rsidR="007C7DFC">
        <w:rPr>
          <w:sz w:val="24"/>
          <w:szCs w:val="24"/>
        </w:rPr>
        <w:t>o the extent the adjustments proposed by Staff and Joint Parties result in rates that make it highly unlikely</w:t>
      </w:r>
      <w:r w:rsidR="00126662">
        <w:rPr>
          <w:sz w:val="24"/>
          <w:szCs w:val="24"/>
        </w:rPr>
        <w:t xml:space="preserve"> </w:t>
      </w:r>
      <w:r w:rsidR="00C53A15">
        <w:rPr>
          <w:sz w:val="24"/>
          <w:szCs w:val="24"/>
        </w:rPr>
        <w:t xml:space="preserve">that </w:t>
      </w:r>
      <w:r w:rsidR="007C7DFC">
        <w:rPr>
          <w:sz w:val="24"/>
          <w:szCs w:val="24"/>
        </w:rPr>
        <w:t xml:space="preserve">Avista </w:t>
      </w:r>
      <w:r w:rsidR="00C53A15">
        <w:rPr>
          <w:sz w:val="24"/>
          <w:szCs w:val="24"/>
        </w:rPr>
        <w:t xml:space="preserve">could </w:t>
      </w:r>
      <w:r w:rsidR="007C7DFC">
        <w:rPr>
          <w:sz w:val="24"/>
          <w:szCs w:val="24"/>
        </w:rPr>
        <w:t>earn the rate of return</w:t>
      </w:r>
      <w:r w:rsidR="00126662">
        <w:rPr>
          <w:sz w:val="24"/>
          <w:szCs w:val="24"/>
        </w:rPr>
        <w:t xml:space="preserve"> </w:t>
      </w:r>
      <w:r w:rsidR="007E0D77">
        <w:rPr>
          <w:sz w:val="24"/>
          <w:szCs w:val="24"/>
        </w:rPr>
        <w:t xml:space="preserve">the Commission </w:t>
      </w:r>
      <w:r w:rsidR="00C53A15">
        <w:rPr>
          <w:sz w:val="24"/>
          <w:szCs w:val="24"/>
        </w:rPr>
        <w:t xml:space="preserve">approved </w:t>
      </w:r>
      <w:r w:rsidR="007E0D77">
        <w:rPr>
          <w:sz w:val="24"/>
          <w:szCs w:val="24"/>
        </w:rPr>
        <w:t>in Order 05</w:t>
      </w:r>
      <w:r w:rsidR="007C7DFC">
        <w:rPr>
          <w:sz w:val="24"/>
          <w:szCs w:val="24"/>
        </w:rPr>
        <w:t xml:space="preserve">, </w:t>
      </w:r>
      <w:r w:rsidR="00C53A15" w:rsidRPr="00C53A15">
        <w:rPr>
          <w:sz w:val="24"/>
          <w:szCs w:val="24"/>
        </w:rPr>
        <w:t>Avista is correct that</w:t>
      </w:r>
      <w:r w:rsidR="00C53A15">
        <w:rPr>
          <w:sz w:val="24"/>
          <w:szCs w:val="24"/>
        </w:rPr>
        <w:t xml:space="preserve"> </w:t>
      </w:r>
      <w:r w:rsidR="007E0D77">
        <w:rPr>
          <w:sz w:val="24"/>
          <w:szCs w:val="24"/>
        </w:rPr>
        <w:t>such</w:t>
      </w:r>
      <w:r w:rsidR="007C7DFC">
        <w:rPr>
          <w:sz w:val="24"/>
          <w:szCs w:val="24"/>
        </w:rPr>
        <w:t xml:space="preserve"> adjustments do not produce acceptable end results</w:t>
      </w:r>
      <w:r w:rsidR="007E0D77">
        <w:rPr>
          <w:sz w:val="24"/>
          <w:szCs w:val="24"/>
        </w:rPr>
        <w:t xml:space="preserve"> in accordance with the </w:t>
      </w:r>
      <w:r w:rsidR="007E0D77" w:rsidRPr="0049552B">
        <w:rPr>
          <w:i/>
          <w:sz w:val="24"/>
          <w:szCs w:val="24"/>
        </w:rPr>
        <w:t>Hope</w:t>
      </w:r>
      <w:r w:rsidR="007E0D77">
        <w:rPr>
          <w:sz w:val="24"/>
          <w:szCs w:val="24"/>
        </w:rPr>
        <w:t xml:space="preserve"> and </w:t>
      </w:r>
      <w:r w:rsidR="007E0D77" w:rsidRPr="0049552B">
        <w:rPr>
          <w:i/>
          <w:sz w:val="24"/>
          <w:szCs w:val="24"/>
        </w:rPr>
        <w:t>Bluefield</w:t>
      </w:r>
      <w:r w:rsidR="007E0D77">
        <w:rPr>
          <w:sz w:val="24"/>
          <w:szCs w:val="24"/>
        </w:rPr>
        <w:t xml:space="preserve"> standards</w:t>
      </w:r>
      <w:r w:rsidR="007C7DFC">
        <w:rPr>
          <w:sz w:val="24"/>
          <w:szCs w:val="24"/>
        </w:rPr>
        <w:t xml:space="preserve">. Rates that have such an effect cannot be said to </w:t>
      </w:r>
      <w:r w:rsidR="00C53A15">
        <w:rPr>
          <w:sz w:val="24"/>
          <w:szCs w:val="24"/>
        </w:rPr>
        <w:t xml:space="preserve">be </w:t>
      </w:r>
      <w:r w:rsidR="007C7DFC">
        <w:rPr>
          <w:sz w:val="24"/>
          <w:szCs w:val="24"/>
        </w:rPr>
        <w:t>fair, just, reasonable, and sufficient.</w:t>
      </w:r>
    </w:p>
    <w:p w14:paraId="67BE8944" w14:textId="77777777" w:rsidR="00C4374D" w:rsidRDefault="00C4374D" w:rsidP="00C4374D">
      <w:pPr>
        <w:pStyle w:val="ListParagraph"/>
      </w:pPr>
    </w:p>
    <w:p w14:paraId="13A4F648" w14:textId="77777777" w:rsidR="00E0303F" w:rsidRDefault="00222AC0" w:rsidP="00817EB2">
      <w:pPr>
        <w:numPr>
          <w:ilvl w:val="0"/>
          <w:numId w:val="1"/>
        </w:numPr>
        <w:tabs>
          <w:tab w:val="num" w:pos="0"/>
        </w:tabs>
        <w:spacing w:line="264" w:lineRule="auto"/>
        <w:ind w:left="0"/>
        <w:rPr>
          <w:sz w:val="24"/>
          <w:szCs w:val="24"/>
        </w:rPr>
      </w:pPr>
      <w:r>
        <w:rPr>
          <w:sz w:val="24"/>
          <w:szCs w:val="24"/>
        </w:rPr>
        <w:t xml:space="preserve">In their response, </w:t>
      </w:r>
      <w:r w:rsidR="00E0303F">
        <w:rPr>
          <w:sz w:val="24"/>
          <w:szCs w:val="24"/>
        </w:rPr>
        <w:t>Joint Parties support Staff’s</w:t>
      </w:r>
      <w:r w:rsidR="00446D25">
        <w:rPr>
          <w:sz w:val="24"/>
          <w:szCs w:val="24"/>
        </w:rPr>
        <w:t xml:space="preserve"> Motion to Reopen</w:t>
      </w:r>
      <w:r>
        <w:rPr>
          <w:sz w:val="24"/>
          <w:szCs w:val="24"/>
        </w:rPr>
        <w:t>.</w:t>
      </w:r>
      <w:r w:rsidR="00446D25">
        <w:rPr>
          <w:sz w:val="24"/>
          <w:szCs w:val="24"/>
        </w:rPr>
        <w:t xml:space="preserve"> They argue that a waiver of the rule </w:t>
      </w:r>
      <w:r w:rsidR="00E900A3">
        <w:rPr>
          <w:sz w:val="24"/>
          <w:szCs w:val="24"/>
        </w:rPr>
        <w:t xml:space="preserve">requiring the </w:t>
      </w:r>
      <w:r w:rsidR="00446D25">
        <w:rPr>
          <w:sz w:val="24"/>
          <w:szCs w:val="24"/>
        </w:rPr>
        <w:t>timeliness of motions to reopen the record should be granted</w:t>
      </w:r>
      <w:r>
        <w:rPr>
          <w:sz w:val="24"/>
          <w:szCs w:val="24"/>
        </w:rPr>
        <w:t xml:space="preserve">, </w:t>
      </w:r>
      <w:r w:rsidR="007C7DFC">
        <w:rPr>
          <w:sz w:val="24"/>
          <w:szCs w:val="24"/>
        </w:rPr>
        <w:t xml:space="preserve">arguing </w:t>
      </w:r>
      <w:r>
        <w:rPr>
          <w:sz w:val="24"/>
          <w:szCs w:val="24"/>
        </w:rPr>
        <w:t xml:space="preserve">that </w:t>
      </w:r>
      <w:r w:rsidR="002C5431">
        <w:rPr>
          <w:sz w:val="24"/>
          <w:szCs w:val="24"/>
        </w:rPr>
        <w:t xml:space="preserve">the Commission’s Order 05, </w:t>
      </w:r>
      <w:r w:rsidR="00446D25">
        <w:rPr>
          <w:sz w:val="24"/>
          <w:szCs w:val="24"/>
        </w:rPr>
        <w:t>is</w:t>
      </w:r>
      <w:r w:rsidR="007D5B8D">
        <w:rPr>
          <w:sz w:val="24"/>
          <w:szCs w:val="24"/>
        </w:rPr>
        <w:t xml:space="preserve"> not</w:t>
      </w:r>
      <w:r w:rsidR="00446D25">
        <w:rPr>
          <w:sz w:val="24"/>
          <w:szCs w:val="24"/>
        </w:rPr>
        <w:t xml:space="preserve"> truly a final order</w:t>
      </w:r>
      <w:r w:rsidR="007C7DFC">
        <w:rPr>
          <w:sz w:val="24"/>
          <w:szCs w:val="24"/>
        </w:rPr>
        <w:t xml:space="preserve"> because</w:t>
      </w:r>
      <w:r w:rsidR="00446D25">
        <w:rPr>
          <w:sz w:val="24"/>
          <w:szCs w:val="24"/>
        </w:rPr>
        <w:t xml:space="preserve"> the Commission still ha</w:t>
      </w:r>
      <w:r>
        <w:rPr>
          <w:sz w:val="24"/>
          <w:szCs w:val="24"/>
        </w:rPr>
        <w:t>s</w:t>
      </w:r>
      <w:r w:rsidR="00446D25">
        <w:rPr>
          <w:sz w:val="24"/>
          <w:szCs w:val="24"/>
        </w:rPr>
        <w:t xml:space="preserve"> to resolve two outstanding post-Final Order motions.</w:t>
      </w:r>
      <w:r w:rsidR="00446D25">
        <w:rPr>
          <w:rStyle w:val="FootnoteReference"/>
          <w:sz w:val="24"/>
          <w:szCs w:val="24"/>
        </w:rPr>
        <w:footnoteReference w:id="40"/>
      </w:r>
      <w:r w:rsidR="00446D25">
        <w:rPr>
          <w:sz w:val="24"/>
          <w:szCs w:val="24"/>
        </w:rPr>
        <w:t xml:space="preserve"> </w:t>
      </w:r>
      <w:r w:rsidR="00E900A3">
        <w:rPr>
          <w:sz w:val="24"/>
          <w:szCs w:val="24"/>
        </w:rPr>
        <w:t xml:space="preserve">In addition, </w:t>
      </w:r>
      <w:r w:rsidR="00446D25">
        <w:rPr>
          <w:sz w:val="24"/>
          <w:szCs w:val="24"/>
        </w:rPr>
        <w:t xml:space="preserve">Joint Parties assert that Staff’s attrition model is not functioning as intended when Avista’s updated power cost data </w:t>
      </w:r>
      <w:r w:rsidR="00B36C0A">
        <w:rPr>
          <w:sz w:val="24"/>
          <w:szCs w:val="24"/>
        </w:rPr>
        <w:t xml:space="preserve">are </w:t>
      </w:r>
      <w:r w:rsidR="00446D25">
        <w:rPr>
          <w:sz w:val="24"/>
          <w:szCs w:val="24"/>
        </w:rPr>
        <w:t>added.</w:t>
      </w:r>
      <w:r w:rsidR="00446D25">
        <w:rPr>
          <w:rStyle w:val="FootnoteReference"/>
          <w:sz w:val="24"/>
          <w:szCs w:val="24"/>
        </w:rPr>
        <w:footnoteReference w:id="41"/>
      </w:r>
      <w:r w:rsidR="00446D25">
        <w:rPr>
          <w:sz w:val="24"/>
          <w:szCs w:val="24"/>
        </w:rPr>
        <w:t xml:space="preserve"> </w:t>
      </w:r>
      <w:r w:rsidR="00ED1C44">
        <w:rPr>
          <w:sz w:val="24"/>
          <w:szCs w:val="24"/>
        </w:rPr>
        <w:t>Specifically</w:t>
      </w:r>
      <w:r w:rsidR="00446D25">
        <w:rPr>
          <w:sz w:val="24"/>
          <w:szCs w:val="24"/>
        </w:rPr>
        <w:t xml:space="preserve">, </w:t>
      </w:r>
      <w:r w:rsidR="00ED1C44">
        <w:rPr>
          <w:sz w:val="24"/>
          <w:szCs w:val="24"/>
        </w:rPr>
        <w:t xml:space="preserve">Joint Parties allege that </w:t>
      </w:r>
      <w:r w:rsidR="00446D25">
        <w:rPr>
          <w:sz w:val="24"/>
          <w:szCs w:val="24"/>
        </w:rPr>
        <w:t>Avista did not provide the pro forma 2016 load information in its October 29, 2015, update.</w:t>
      </w:r>
      <w:r w:rsidR="00446D25">
        <w:rPr>
          <w:rStyle w:val="FootnoteReference"/>
          <w:sz w:val="24"/>
          <w:szCs w:val="24"/>
        </w:rPr>
        <w:footnoteReference w:id="42"/>
      </w:r>
      <w:r w:rsidR="0049395F">
        <w:rPr>
          <w:sz w:val="24"/>
          <w:szCs w:val="24"/>
        </w:rPr>
        <w:t xml:space="preserve"> While </w:t>
      </w:r>
      <w:r w:rsidR="003F047D">
        <w:rPr>
          <w:sz w:val="24"/>
          <w:szCs w:val="24"/>
        </w:rPr>
        <w:t xml:space="preserve">they acknowledge that </w:t>
      </w:r>
      <w:r w:rsidR="0049395F">
        <w:rPr>
          <w:sz w:val="24"/>
          <w:szCs w:val="24"/>
        </w:rPr>
        <w:t>Staff’s attriti</w:t>
      </w:r>
      <w:r w:rsidR="00866BBF">
        <w:rPr>
          <w:sz w:val="24"/>
          <w:szCs w:val="24"/>
        </w:rPr>
        <w:t>on model functions</w:t>
      </w:r>
      <w:r w:rsidR="00B36C0A">
        <w:rPr>
          <w:sz w:val="24"/>
          <w:szCs w:val="24"/>
        </w:rPr>
        <w:t xml:space="preserve"> as designed</w:t>
      </w:r>
      <w:r w:rsidR="0017743D">
        <w:rPr>
          <w:sz w:val="24"/>
          <w:szCs w:val="24"/>
        </w:rPr>
        <w:t xml:space="preserve"> “using the information provided to it</w:t>
      </w:r>
      <w:r w:rsidR="00866BBF">
        <w:rPr>
          <w:sz w:val="24"/>
          <w:szCs w:val="24"/>
        </w:rPr>
        <w:t>,</w:t>
      </w:r>
      <w:r w:rsidR="0017743D">
        <w:rPr>
          <w:sz w:val="24"/>
          <w:szCs w:val="24"/>
        </w:rPr>
        <w:t>”</w:t>
      </w:r>
      <w:r w:rsidR="00866BBF">
        <w:rPr>
          <w:sz w:val="24"/>
          <w:szCs w:val="24"/>
        </w:rPr>
        <w:t xml:space="preserve"> Joint Parties claim that </w:t>
      </w:r>
      <w:r w:rsidR="00ED1C44">
        <w:rPr>
          <w:sz w:val="24"/>
          <w:szCs w:val="24"/>
        </w:rPr>
        <w:t>this “missing information” produces a number that is incorrect.</w:t>
      </w:r>
      <w:r w:rsidR="00866BBF">
        <w:rPr>
          <w:rStyle w:val="FootnoteReference"/>
          <w:sz w:val="24"/>
          <w:szCs w:val="24"/>
        </w:rPr>
        <w:footnoteReference w:id="43"/>
      </w:r>
      <w:r w:rsidR="00866BBF">
        <w:rPr>
          <w:sz w:val="24"/>
          <w:szCs w:val="24"/>
        </w:rPr>
        <w:t xml:space="preserve"> </w:t>
      </w:r>
      <w:r w:rsidR="00ED1C44">
        <w:rPr>
          <w:sz w:val="24"/>
          <w:szCs w:val="24"/>
        </w:rPr>
        <w:t>They</w:t>
      </w:r>
      <w:r w:rsidR="00866BBF">
        <w:rPr>
          <w:sz w:val="24"/>
          <w:szCs w:val="24"/>
        </w:rPr>
        <w:t xml:space="preserve"> recommend that the Commission either recalculate Avista’s power supply cost update outside of Staff’s attrition model or reopen the record for </w:t>
      </w:r>
      <w:r w:rsidR="00E900A3">
        <w:rPr>
          <w:sz w:val="24"/>
          <w:szCs w:val="24"/>
        </w:rPr>
        <w:t xml:space="preserve">the limited purpose of the </w:t>
      </w:r>
      <w:r w:rsidR="00866BBF">
        <w:rPr>
          <w:sz w:val="24"/>
          <w:szCs w:val="24"/>
        </w:rPr>
        <w:t>inclusion of Staff’s additional updates to its model.</w:t>
      </w:r>
      <w:r w:rsidR="00866BBF">
        <w:rPr>
          <w:rStyle w:val="FootnoteReference"/>
          <w:sz w:val="24"/>
          <w:szCs w:val="24"/>
        </w:rPr>
        <w:footnoteReference w:id="44"/>
      </w:r>
    </w:p>
    <w:p w14:paraId="3A88F64F" w14:textId="77777777" w:rsidR="00F445D1" w:rsidRDefault="00F445D1" w:rsidP="00F445D1">
      <w:pPr>
        <w:pStyle w:val="ListParagraph"/>
      </w:pPr>
    </w:p>
    <w:p w14:paraId="335DF97C" w14:textId="77777777" w:rsidR="00885CB4" w:rsidRDefault="00F445D1" w:rsidP="00640266">
      <w:pPr>
        <w:numPr>
          <w:ilvl w:val="0"/>
          <w:numId w:val="1"/>
        </w:numPr>
        <w:tabs>
          <w:tab w:val="num" w:pos="0"/>
          <w:tab w:val="num" w:pos="1440"/>
        </w:tabs>
        <w:spacing w:line="264" w:lineRule="auto"/>
        <w:ind w:left="0"/>
        <w:rPr>
          <w:sz w:val="24"/>
          <w:szCs w:val="24"/>
        </w:rPr>
      </w:pPr>
      <w:r w:rsidRPr="00F445D1">
        <w:rPr>
          <w:b/>
          <w:sz w:val="24"/>
          <w:szCs w:val="24"/>
        </w:rPr>
        <w:t>COMMISSION DETERMINATION</w:t>
      </w:r>
      <w:r w:rsidR="003F047D">
        <w:rPr>
          <w:b/>
          <w:sz w:val="24"/>
          <w:szCs w:val="24"/>
        </w:rPr>
        <w:t>S</w:t>
      </w:r>
      <w:r w:rsidRPr="00F445D1">
        <w:rPr>
          <w:b/>
          <w:sz w:val="24"/>
          <w:szCs w:val="24"/>
        </w:rPr>
        <w:t>:</w:t>
      </w:r>
      <w:r>
        <w:rPr>
          <w:sz w:val="24"/>
          <w:szCs w:val="24"/>
        </w:rPr>
        <w:t xml:space="preserve"> </w:t>
      </w:r>
      <w:r w:rsidR="00F11203">
        <w:rPr>
          <w:sz w:val="24"/>
          <w:szCs w:val="24"/>
        </w:rPr>
        <w:t>WAC 480-07-850(1)</w:t>
      </w:r>
      <w:r w:rsidR="00622DA9">
        <w:rPr>
          <w:sz w:val="24"/>
          <w:szCs w:val="24"/>
        </w:rPr>
        <w:t xml:space="preserve"> describes</w:t>
      </w:r>
      <w:r w:rsidR="00F11203">
        <w:rPr>
          <w:sz w:val="24"/>
          <w:szCs w:val="24"/>
        </w:rPr>
        <w:t xml:space="preserve"> a petition for reconsideration </w:t>
      </w:r>
      <w:r w:rsidR="00622DA9">
        <w:rPr>
          <w:sz w:val="24"/>
          <w:szCs w:val="24"/>
        </w:rPr>
        <w:t xml:space="preserve">as a filing that </w:t>
      </w:r>
      <w:r w:rsidR="00FD2893">
        <w:rPr>
          <w:sz w:val="24"/>
          <w:szCs w:val="24"/>
        </w:rPr>
        <w:t>allows a party “</w:t>
      </w:r>
      <w:r w:rsidR="00F11203">
        <w:rPr>
          <w:sz w:val="24"/>
          <w:szCs w:val="24"/>
        </w:rPr>
        <w:t xml:space="preserve">to request that the commission change the outcome with respect to one or more </w:t>
      </w:r>
      <w:r w:rsidR="00F11203" w:rsidRPr="007F731F">
        <w:rPr>
          <w:i/>
          <w:sz w:val="24"/>
          <w:szCs w:val="24"/>
        </w:rPr>
        <w:t>issues</w:t>
      </w:r>
      <w:r w:rsidR="00F11203">
        <w:rPr>
          <w:sz w:val="24"/>
          <w:szCs w:val="24"/>
        </w:rPr>
        <w:t xml:space="preserve"> determined by the commission’s final order</w:t>
      </w:r>
      <w:r w:rsidR="00FD2893">
        <w:rPr>
          <w:sz w:val="24"/>
          <w:szCs w:val="24"/>
        </w:rPr>
        <w:t>.”</w:t>
      </w:r>
      <w:r w:rsidR="00675C06">
        <w:rPr>
          <w:rStyle w:val="FootnoteReference"/>
          <w:sz w:val="24"/>
          <w:szCs w:val="24"/>
        </w:rPr>
        <w:footnoteReference w:id="45"/>
      </w:r>
      <w:r w:rsidR="00F11203">
        <w:rPr>
          <w:sz w:val="24"/>
          <w:szCs w:val="24"/>
        </w:rPr>
        <w:t xml:space="preserve"> </w:t>
      </w:r>
      <w:r w:rsidR="00622DA9">
        <w:rPr>
          <w:sz w:val="24"/>
          <w:szCs w:val="24"/>
        </w:rPr>
        <w:t xml:space="preserve">In regard to its </w:t>
      </w:r>
      <w:r w:rsidR="003F047D">
        <w:rPr>
          <w:sz w:val="24"/>
          <w:szCs w:val="24"/>
        </w:rPr>
        <w:t>Petition for Reconsideration</w:t>
      </w:r>
      <w:r w:rsidR="00622DA9">
        <w:rPr>
          <w:sz w:val="24"/>
          <w:szCs w:val="24"/>
        </w:rPr>
        <w:t xml:space="preserve">, </w:t>
      </w:r>
      <w:r w:rsidR="00FD2893">
        <w:rPr>
          <w:sz w:val="24"/>
          <w:szCs w:val="24"/>
        </w:rPr>
        <w:t>Staff</w:t>
      </w:r>
      <w:r w:rsidR="00675C06">
        <w:rPr>
          <w:sz w:val="24"/>
          <w:szCs w:val="24"/>
        </w:rPr>
        <w:t xml:space="preserve"> explained</w:t>
      </w:r>
      <w:r w:rsidR="00FD2893">
        <w:rPr>
          <w:sz w:val="24"/>
          <w:szCs w:val="24"/>
        </w:rPr>
        <w:t xml:space="preserve"> that it is not questioning the Commission’s decisions on the contested issues in the case.</w:t>
      </w:r>
      <w:r w:rsidR="00885CB4">
        <w:rPr>
          <w:sz w:val="24"/>
          <w:szCs w:val="24"/>
        </w:rPr>
        <w:t xml:space="preserve"> Instead, </w:t>
      </w:r>
      <w:r w:rsidR="00DF581E">
        <w:rPr>
          <w:sz w:val="24"/>
          <w:szCs w:val="24"/>
        </w:rPr>
        <w:t>it</w:t>
      </w:r>
      <w:r w:rsidR="00885CB4">
        <w:rPr>
          <w:sz w:val="24"/>
          <w:szCs w:val="24"/>
        </w:rPr>
        <w:t xml:space="preserve"> only s</w:t>
      </w:r>
      <w:r w:rsidR="00B36C0A">
        <w:rPr>
          <w:sz w:val="24"/>
          <w:szCs w:val="24"/>
        </w:rPr>
        <w:t xml:space="preserve">eeks </w:t>
      </w:r>
      <w:r w:rsidR="00885CB4">
        <w:rPr>
          <w:sz w:val="24"/>
          <w:szCs w:val="24"/>
        </w:rPr>
        <w:t xml:space="preserve">Commission review of </w:t>
      </w:r>
      <w:r w:rsidR="004F51F1">
        <w:rPr>
          <w:sz w:val="24"/>
          <w:szCs w:val="24"/>
        </w:rPr>
        <w:t>its</w:t>
      </w:r>
      <w:r w:rsidR="00885CB4">
        <w:rPr>
          <w:sz w:val="24"/>
          <w:szCs w:val="24"/>
        </w:rPr>
        <w:t xml:space="preserve"> “calculation of Avista’s overall revenue requirement to ensure that the adjustments set forth in Table 1 have been properly </w:t>
      </w:r>
      <w:r w:rsidR="00885CB4">
        <w:rPr>
          <w:sz w:val="24"/>
          <w:szCs w:val="24"/>
        </w:rPr>
        <w:lastRenderedPageBreak/>
        <w:t>incorporated.”</w:t>
      </w:r>
      <w:r w:rsidR="00885CB4">
        <w:rPr>
          <w:rStyle w:val="FootnoteReference"/>
          <w:sz w:val="24"/>
          <w:szCs w:val="24"/>
        </w:rPr>
        <w:footnoteReference w:id="46"/>
      </w:r>
      <w:r w:rsidR="00885CB4">
        <w:rPr>
          <w:sz w:val="24"/>
          <w:szCs w:val="24"/>
        </w:rPr>
        <w:t xml:space="preserve"> While Staff characterized its </w:t>
      </w:r>
      <w:r w:rsidR="00622DA9">
        <w:rPr>
          <w:sz w:val="24"/>
          <w:szCs w:val="24"/>
        </w:rPr>
        <w:t>first</w:t>
      </w:r>
      <w:r w:rsidR="00885CB4">
        <w:rPr>
          <w:sz w:val="24"/>
          <w:szCs w:val="24"/>
        </w:rPr>
        <w:t xml:space="preserve">, post-Final Order motion as a </w:t>
      </w:r>
      <w:r w:rsidR="004F51F1">
        <w:rPr>
          <w:sz w:val="24"/>
          <w:szCs w:val="24"/>
        </w:rPr>
        <w:t>“Motion</w:t>
      </w:r>
      <w:r w:rsidR="00817EB2">
        <w:rPr>
          <w:sz w:val="24"/>
          <w:szCs w:val="24"/>
        </w:rPr>
        <w:t xml:space="preserve"> </w:t>
      </w:r>
      <w:r w:rsidR="00885CB4">
        <w:rPr>
          <w:sz w:val="24"/>
          <w:szCs w:val="24"/>
        </w:rPr>
        <w:t>to Reconsider,</w:t>
      </w:r>
      <w:r w:rsidR="004F51F1">
        <w:rPr>
          <w:sz w:val="24"/>
          <w:szCs w:val="24"/>
        </w:rPr>
        <w:t>”</w:t>
      </w:r>
      <w:r w:rsidR="00885CB4">
        <w:rPr>
          <w:sz w:val="24"/>
          <w:szCs w:val="24"/>
        </w:rPr>
        <w:t xml:space="preserve"> it is more akin to a Motion for Clarification</w:t>
      </w:r>
      <w:r w:rsidR="00817EB2">
        <w:rPr>
          <w:sz w:val="24"/>
          <w:szCs w:val="24"/>
        </w:rPr>
        <w:t>, as previously discussed.</w:t>
      </w:r>
      <w:r w:rsidR="00885CB4">
        <w:rPr>
          <w:sz w:val="24"/>
          <w:szCs w:val="24"/>
        </w:rPr>
        <w:t xml:space="preserve"> </w:t>
      </w:r>
      <w:r w:rsidR="00FD2893">
        <w:rPr>
          <w:sz w:val="24"/>
          <w:szCs w:val="24"/>
        </w:rPr>
        <w:t xml:space="preserve"> </w:t>
      </w:r>
    </w:p>
    <w:p w14:paraId="3738DA25" w14:textId="77777777" w:rsidR="00885CB4" w:rsidRDefault="00885CB4" w:rsidP="00885CB4">
      <w:pPr>
        <w:pStyle w:val="ListParagraph"/>
      </w:pPr>
    </w:p>
    <w:p w14:paraId="1B159DF4" w14:textId="77777777" w:rsidR="009C24BD" w:rsidRDefault="00622DA9" w:rsidP="00640266">
      <w:pPr>
        <w:numPr>
          <w:ilvl w:val="0"/>
          <w:numId w:val="1"/>
        </w:numPr>
        <w:tabs>
          <w:tab w:val="num" w:pos="0"/>
          <w:tab w:val="num" w:pos="1440"/>
        </w:tabs>
        <w:spacing w:line="264" w:lineRule="auto"/>
        <w:ind w:left="0"/>
        <w:rPr>
          <w:sz w:val="24"/>
          <w:szCs w:val="24"/>
        </w:rPr>
      </w:pPr>
      <w:r>
        <w:rPr>
          <w:sz w:val="24"/>
          <w:szCs w:val="24"/>
        </w:rPr>
        <w:t xml:space="preserve">That said, </w:t>
      </w:r>
      <w:r w:rsidR="004F51F1">
        <w:rPr>
          <w:sz w:val="24"/>
          <w:szCs w:val="24"/>
        </w:rPr>
        <w:t>during</w:t>
      </w:r>
      <w:r w:rsidR="00885CB4">
        <w:rPr>
          <w:sz w:val="24"/>
          <w:szCs w:val="24"/>
        </w:rPr>
        <w:t xml:space="preserve"> two order conferences the Commission’s Accounting Advisor clarified </w:t>
      </w:r>
      <w:r w:rsidR="004F51F1">
        <w:rPr>
          <w:sz w:val="24"/>
          <w:szCs w:val="24"/>
        </w:rPr>
        <w:t>why and how</w:t>
      </w:r>
      <w:r w:rsidR="00885CB4">
        <w:rPr>
          <w:sz w:val="24"/>
          <w:szCs w:val="24"/>
        </w:rPr>
        <w:t xml:space="preserve"> Staff</w:t>
      </w:r>
      <w:r>
        <w:rPr>
          <w:sz w:val="24"/>
          <w:szCs w:val="24"/>
        </w:rPr>
        <w:t>’s and Joint Parties’</w:t>
      </w:r>
      <w:r w:rsidR="00885CB4">
        <w:rPr>
          <w:sz w:val="24"/>
          <w:szCs w:val="24"/>
        </w:rPr>
        <w:t xml:space="preserve"> computations </w:t>
      </w:r>
      <w:r w:rsidR="004F51F1">
        <w:rPr>
          <w:sz w:val="24"/>
          <w:szCs w:val="24"/>
        </w:rPr>
        <w:t>produce incorrect results in the context of the record in this proceeding. During these conferences,</w:t>
      </w:r>
      <w:r w:rsidR="00885CB4">
        <w:rPr>
          <w:sz w:val="24"/>
          <w:szCs w:val="24"/>
        </w:rPr>
        <w:t xml:space="preserve"> all parties, including Staff, Public Counsel, and ICNU</w:t>
      </w:r>
      <w:r w:rsidR="00B36C0A">
        <w:rPr>
          <w:sz w:val="24"/>
          <w:szCs w:val="24"/>
        </w:rPr>
        <w:t>,</w:t>
      </w:r>
      <w:r w:rsidR="00885CB4">
        <w:rPr>
          <w:sz w:val="24"/>
          <w:szCs w:val="24"/>
        </w:rPr>
        <w:t xml:space="preserve"> were </w:t>
      </w:r>
      <w:r w:rsidR="00B36C0A">
        <w:rPr>
          <w:sz w:val="24"/>
          <w:szCs w:val="24"/>
        </w:rPr>
        <w:t xml:space="preserve">invited </w:t>
      </w:r>
      <w:r w:rsidR="00885CB4">
        <w:rPr>
          <w:sz w:val="24"/>
          <w:szCs w:val="24"/>
        </w:rPr>
        <w:t>to ask unlimited clarifying questions regarding the calculations and incorporations of the Commission’s various decisions into Staff’s attrition model</w:t>
      </w:r>
      <w:r w:rsidR="004F51F1">
        <w:rPr>
          <w:sz w:val="24"/>
          <w:szCs w:val="24"/>
        </w:rPr>
        <w:t>. Given all of this,</w:t>
      </w:r>
      <w:r w:rsidR="00885CB4">
        <w:rPr>
          <w:sz w:val="24"/>
          <w:szCs w:val="24"/>
        </w:rPr>
        <w:t xml:space="preserve"> we </w:t>
      </w:r>
      <w:r w:rsidR="004F51F1">
        <w:rPr>
          <w:sz w:val="24"/>
          <w:szCs w:val="24"/>
        </w:rPr>
        <w:t>certainly</w:t>
      </w:r>
      <w:r w:rsidR="00885CB4">
        <w:rPr>
          <w:sz w:val="24"/>
          <w:szCs w:val="24"/>
        </w:rPr>
        <w:t xml:space="preserve"> have </w:t>
      </w:r>
      <w:r w:rsidR="00C53A15">
        <w:rPr>
          <w:sz w:val="24"/>
          <w:szCs w:val="24"/>
        </w:rPr>
        <w:t xml:space="preserve">made clear </w:t>
      </w:r>
      <w:r w:rsidR="00885CB4">
        <w:rPr>
          <w:sz w:val="24"/>
          <w:szCs w:val="24"/>
        </w:rPr>
        <w:t xml:space="preserve">the </w:t>
      </w:r>
      <w:r w:rsidR="004F51F1">
        <w:rPr>
          <w:sz w:val="24"/>
          <w:szCs w:val="24"/>
        </w:rPr>
        <w:t xml:space="preserve">Commission’s </w:t>
      </w:r>
      <w:r w:rsidR="00885CB4">
        <w:rPr>
          <w:sz w:val="24"/>
          <w:szCs w:val="24"/>
        </w:rPr>
        <w:t>result</w:t>
      </w:r>
      <w:r w:rsidR="004F51F1">
        <w:rPr>
          <w:sz w:val="24"/>
          <w:szCs w:val="24"/>
        </w:rPr>
        <w:t>s determined in</w:t>
      </w:r>
      <w:r w:rsidR="00885CB4">
        <w:rPr>
          <w:sz w:val="24"/>
          <w:szCs w:val="24"/>
        </w:rPr>
        <w:t xml:space="preserve"> Order 05</w:t>
      </w:r>
      <w:r w:rsidR="004F51F1">
        <w:rPr>
          <w:sz w:val="24"/>
          <w:szCs w:val="24"/>
        </w:rPr>
        <w:t xml:space="preserve"> and have demonstrated their correctness</w:t>
      </w:r>
      <w:r w:rsidR="00885CB4">
        <w:rPr>
          <w:sz w:val="24"/>
          <w:szCs w:val="24"/>
        </w:rPr>
        <w:t xml:space="preserve"> as simply and as </w:t>
      </w:r>
      <w:r w:rsidR="009C24BD">
        <w:rPr>
          <w:sz w:val="24"/>
          <w:szCs w:val="24"/>
        </w:rPr>
        <w:t>comprehensively</w:t>
      </w:r>
      <w:r w:rsidR="00885CB4">
        <w:rPr>
          <w:sz w:val="24"/>
          <w:szCs w:val="24"/>
        </w:rPr>
        <w:t xml:space="preserve"> as </w:t>
      </w:r>
      <w:r w:rsidR="004F51F1">
        <w:rPr>
          <w:sz w:val="24"/>
          <w:szCs w:val="24"/>
        </w:rPr>
        <w:t>we can</w:t>
      </w:r>
      <w:r w:rsidR="00885CB4">
        <w:rPr>
          <w:sz w:val="24"/>
          <w:szCs w:val="24"/>
        </w:rPr>
        <w:t>.</w:t>
      </w:r>
      <w:r w:rsidR="00FD2893">
        <w:rPr>
          <w:sz w:val="24"/>
          <w:szCs w:val="24"/>
        </w:rPr>
        <w:t xml:space="preserve"> </w:t>
      </w:r>
      <w:r w:rsidR="00817EB2">
        <w:rPr>
          <w:sz w:val="24"/>
          <w:szCs w:val="24"/>
        </w:rPr>
        <w:t xml:space="preserve">To the extent not </w:t>
      </w:r>
      <w:r w:rsidR="004F51F1">
        <w:rPr>
          <w:sz w:val="24"/>
          <w:szCs w:val="24"/>
        </w:rPr>
        <w:t>fully</w:t>
      </w:r>
      <w:r w:rsidR="00817EB2">
        <w:rPr>
          <w:sz w:val="24"/>
          <w:szCs w:val="24"/>
        </w:rPr>
        <w:t xml:space="preserve"> resolved</w:t>
      </w:r>
      <w:r w:rsidR="004F51F1">
        <w:rPr>
          <w:sz w:val="24"/>
          <w:szCs w:val="24"/>
        </w:rPr>
        <w:t xml:space="preserve"> to the satisfaction of the parties by Order 05 itself and</w:t>
      </w:r>
      <w:r w:rsidR="00817EB2">
        <w:rPr>
          <w:sz w:val="24"/>
          <w:szCs w:val="24"/>
        </w:rPr>
        <w:t xml:space="preserve"> by these post-Final Order clarification conferences, we</w:t>
      </w:r>
      <w:r w:rsidR="00E074AE">
        <w:rPr>
          <w:sz w:val="24"/>
          <w:szCs w:val="24"/>
        </w:rPr>
        <w:t xml:space="preserve"> conclude</w:t>
      </w:r>
      <w:r w:rsidR="00C53A15">
        <w:rPr>
          <w:sz w:val="24"/>
          <w:szCs w:val="24"/>
        </w:rPr>
        <w:t xml:space="preserve"> that no further clarification is required and</w:t>
      </w:r>
      <w:r w:rsidR="00817EB2">
        <w:rPr>
          <w:sz w:val="24"/>
          <w:szCs w:val="24"/>
        </w:rPr>
        <w:t xml:space="preserve"> </w:t>
      </w:r>
      <w:r w:rsidR="003C510C">
        <w:rPr>
          <w:sz w:val="24"/>
          <w:szCs w:val="24"/>
        </w:rPr>
        <w:t xml:space="preserve">determine </w:t>
      </w:r>
      <w:r w:rsidR="00817EB2">
        <w:rPr>
          <w:sz w:val="24"/>
          <w:szCs w:val="24"/>
        </w:rPr>
        <w:t xml:space="preserve">that </w:t>
      </w:r>
      <w:r w:rsidR="009C24BD">
        <w:rPr>
          <w:sz w:val="24"/>
          <w:szCs w:val="24"/>
        </w:rPr>
        <w:t xml:space="preserve">Staff’s </w:t>
      </w:r>
      <w:r w:rsidR="00817EB2">
        <w:rPr>
          <w:sz w:val="24"/>
          <w:szCs w:val="24"/>
        </w:rPr>
        <w:t>Petition for Reconsideration</w:t>
      </w:r>
      <w:r w:rsidR="009C24BD">
        <w:rPr>
          <w:sz w:val="24"/>
          <w:szCs w:val="24"/>
        </w:rPr>
        <w:t xml:space="preserve"> and Joint Parties’ Motion for Clarification </w:t>
      </w:r>
      <w:r w:rsidR="00817EB2">
        <w:rPr>
          <w:sz w:val="24"/>
          <w:szCs w:val="24"/>
        </w:rPr>
        <w:t xml:space="preserve">should be </w:t>
      </w:r>
      <w:r w:rsidR="009C24BD">
        <w:rPr>
          <w:sz w:val="24"/>
          <w:szCs w:val="24"/>
        </w:rPr>
        <w:t>denied.</w:t>
      </w:r>
    </w:p>
    <w:p w14:paraId="27594B52" w14:textId="77777777" w:rsidR="009C24BD" w:rsidRDefault="009C24BD" w:rsidP="009C24BD">
      <w:pPr>
        <w:pStyle w:val="ListParagraph"/>
      </w:pPr>
    </w:p>
    <w:p w14:paraId="27AB4CAD" w14:textId="77777777" w:rsidR="00D77FBB" w:rsidRDefault="009C24BD" w:rsidP="00640266">
      <w:pPr>
        <w:numPr>
          <w:ilvl w:val="0"/>
          <w:numId w:val="1"/>
        </w:numPr>
        <w:tabs>
          <w:tab w:val="num" w:pos="0"/>
          <w:tab w:val="num" w:pos="1440"/>
        </w:tabs>
        <w:spacing w:line="264" w:lineRule="auto"/>
        <w:ind w:left="0"/>
        <w:rPr>
          <w:sz w:val="24"/>
          <w:szCs w:val="24"/>
        </w:rPr>
      </w:pPr>
      <w:r>
        <w:rPr>
          <w:sz w:val="24"/>
          <w:szCs w:val="24"/>
        </w:rPr>
        <w:t xml:space="preserve">As Staff and Joint Parties acknowledge, the appropriate time, indeed the time mandated by our own </w:t>
      </w:r>
      <w:r w:rsidR="00126662">
        <w:rPr>
          <w:sz w:val="24"/>
          <w:szCs w:val="24"/>
        </w:rPr>
        <w:t>rules</w:t>
      </w:r>
      <w:r>
        <w:rPr>
          <w:sz w:val="24"/>
          <w:szCs w:val="24"/>
        </w:rPr>
        <w:t xml:space="preserve">, to file </w:t>
      </w:r>
      <w:r w:rsidR="00622DA9">
        <w:rPr>
          <w:sz w:val="24"/>
          <w:szCs w:val="24"/>
        </w:rPr>
        <w:t>a motion to reopen</w:t>
      </w:r>
      <w:r>
        <w:rPr>
          <w:sz w:val="24"/>
          <w:szCs w:val="24"/>
        </w:rPr>
        <w:t xml:space="preserve"> the record is after the close of the record and prior to the entry of a final order in the proceeding.</w:t>
      </w:r>
      <w:r>
        <w:rPr>
          <w:rStyle w:val="FootnoteReference"/>
          <w:sz w:val="24"/>
          <w:szCs w:val="24"/>
        </w:rPr>
        <w:footnoteReference w:id="47"/>
      </w:r>
      <w:r>
        <w:rPr>
          <w:sz w:val="24"/>
          <w:szCs w:val="24"/>
        </w:rPr>
        <w:t xml:space="preserve"> </w:t>
      </w:r>
      <w:r w:rsidR="00DF581E">
        <w:rPr>
          <w:sz w:val="24"/>
          <w:szCs w:val="24"/>
        </w:rPr>
        <w:t xml:space="preserve">Order 05, the Final Order, was entered on January 6, 2016. Staff’s Motion to Reopen was filed on February 4, 2016, </w:t>
      </w:r>
      <w:r w:rsidR="00622DA9">
        <w:rPr>
          <w:sz w:val="24"/>
          <w:szCs w:val="24"/>
        </w:rPr>
        <w:t>nearly</w:t>
      </w:r>
      <w:r w:rsidR="00DF581E">
        <w:rPr>
          <w:sz w:val="24"/>
          <w:szCs w:val="24"/>
        </w:rPr>
        <w:t xml:space="preserve"> </w:t>
      </w:r>
      <w:r w:rsidR="004F51F1">
        <w:rPr>
          <w:sz w:val="24"/>
          <w:szCs w:val="24"/>
        </w:rPr>
        <w:t>a</w:t>
      </w:r>
      <w:r w:rsidR="00DF581E">
        <w:rPr>
          <w:sz w:val="24"/>
          <w:szCs w:val="24"/>
        </w:rPr>
        <w:t xml:space="preserve"> month after the Final Order was </w:t>
      </w:r>
      <w:r w:rsidR="00817EB2">
        <w:rPr>
          <w:sz w:val="24"/>
          <w:szCs w:val="24"/>
        </w:rPr>
        <w:t>served</w:t>
      </w:r>
      <w:r w:rsidR="00DF581E">
        <w:rPr>
          <w:sz w:val="24"/>
          <w:szCs w:val="24"/>
        </w:rPr>
        <w:t xml:space="preserve">. </w:t>
      </w:r>
      <w:r>
        <w:rPr>
          <w:sz w:val="24"/>
          <w:szCs w:val="24"/>
        </w:rPr>
        <w:t xml:space="preserve">Staff recommends </w:t>
      </w:r>
      <w:r w:rsidR="00126662">
        <w:rPr>
          <w:sz w:val="24"/>
          <w:szCs w:val="24"/>
        </w:rPr>
        <w:t>an exemption from</w:t>
      </w:r>
      <w:r>
        <w:rPr>
          <w:sz w:val="24"/>
          <w:szCs w:val="24"/>
        </w:rPr>
        <w:t xml:space="preserve"> this timeliness requirement</w:t>
      </w:r>
      <w:r w:rsidR="00DF581E">
        <w:rPr>
          <w:sz w:val="24"/>
          <w:szCs w:val="24"/>
        </w:rPr>
        <w:t xml:space="preserve">, stating that the Commission may </w:t>
      </w:r>
      <w:r w:rsidR="00126662">
        <w:rPr>
          <w:sz w:val="24"/>
          <w:szCs w:val="24"/>
        </w:rPr>
        <w:t>grant an exemption of its own rules</w:t>
      </w:r>
      <w:r w:rsidR="00DF581E">
        <w:rPr>
          <w:sz w:val="24"/>
          <w:szCs w:val="24"/>
        </w:rPr>
        <w:t>, yet provides no showing of good cause for</w:t>
      </w:r>
      <w:r w:rsidR="00AD21B5">
        <w:rPr>
          <w:sz w:val="24"/>
          <w:szCs w:val="24"/>
        </w:rPr>
        <w:t xml:space="preserve"> </w:t>
      </w:r>
      <w:r w:rsidR="00E074AE">
        <w:rPr>
          <w:sz w:val="24"/>
          <w:szCs w:val="24"/>
        </w:rPr>
        <w:t>taking such an unusual step after the entry of a Final Order.</w:t>
      </w:r>
      <w:r w:rsidR="00E21B46">
        <w:rPr>
          <w:sz w:val="24"/>
          <w:szCs w:val="24"/>
        </w:rPr>
        <w:t xml:space="preserve">  </w:t>
      </w:r>
      <w:r w:rsidR="00BD246E">
        <w:rPr>
          <w:sz w:val="24"/>
          <w:szCs w:val="24"/>
        </w:rPr>
        <w:t xml:space="preserve"> </w:t>
      </w:r>
      <w:r w:rsidR="00DF581E">
        <w:rPr>
          <w:sz w:val="24"/>
          <w:szCs w:val="24"/>
        </w:rPr>
        <w:t xml:space="preserve">  </w:t>
      </w:r>
      <w:r w:rsidR="00E21B46">
        <w:rPr>
          <w:sz w:val="24"/>
          <w:szCs w:val="24"/>
        </w:rPr>
        <w:t xml:space="preserve"> </w:t>
      </w:r>
    </w:p>
    <w:p w14:paraId="71A9520D" w14:textId="77777777" w:rsidR="00D77FBB" w:rsidRDefault="00D77FBB" w:rsidP="00D77FBB">
      <w:pPr>
        <w:pStyle w:val="ListParagraph"/>
      </w:pPr>
    </w:p>
    <w:p w14:paraId="07BDA853" w14:textId="77777777" w:rsidR="00EF393B" w:rsidRDefault="00D77FBB" w:rsidP="00640266">
      <w:pPr>
        <w:numPr>
          <w:ilvl w:val="0"/>
          <w:numId w:val="1"/>
        </w:numPr>
        <w:tabs>
          <w:tab w:val="num" w:pos="0"/>
          <w:tab w:val="num" w:pos="1440"/>
        </w:tabs>
        <w:spacing w:line="264" w:lineRule="auto"/>
        <w:ind w:left="0"/>
        <w:rPr>
          <w:sz w:val="24"/>
          <w:szCs w:val="24"/>
        </w:rPr>
      </w:pPr>
      <w:r>
        <w:rPr>
          <w:sz w:val="24"/>
          <w:szCs w:val="24"/>
        </w:rPr>
        <w:t>WAC 480-07-830</w:t>
      </w:r>
      <w:r w:rsidR="00622DA9">
        <w:rPr>
          <w:sz w:val="24"/>
          <w:szCs w:val="24"/>
        </w:rPr>
        <w:t>,</w:t>
      </w:r>
      <w:r>
        <w:rPr>
          <w:sz w:val="24"/>
          <w:szCs w:val="24"/>
        </w:rPr>
        <w:t xml:space="preserve"> also provides that the Commission may reopen a record to take additional evidence “that is essential to a decision and that was unavailable and not reasonably discoverable with due diligence at the time of the hearing or for any other good and sufficient cause.” </w:t>
      </w:r>
      <w:r w:rsidR="00A84D48">
        <w:rPr>
          <w:sz w:val="24"/>
          <w:szCs w:val="24"/>
        </w:rPr>
        <w:t xml:space="preserve">Avista filed its </w:t>
      </w:r>
      <w:r w:rsidR="003E11CC">
        <w:rPr>
          <w:sz w:val="24"/>
          <w:szCs w:val="24"/>
        </w:rPr>
        <w:t xml:space="preserve">power cost </w:t>
      </w:r>
      <w:r w:rsidR="00A84D48">
        <w:rPr>
          <w:sz w:val="24"/>
          <w:szCs w:val="24"/>
        </w:rPr>
        <w:t>update on October 29, 2015, after the hearing but well before the Commission entered its Final Order on January 6, 2016.</w:t>
      </w:r>
      <w:r w:rsidR="004041E3">
        <w:rPr>
          <w:rStyle w:val="FootnoteReference"/>
          <w:sz w:val="24"/>
          <w:szCs w:val="24"/>
        </w:rPr>
        <w:footnoteReference w:id="48"/>
      </w:r>
      <w:r w:rsidR="00A84D48">
        <w:rPr>
          <w:sz w:val="24"/>
          <w:szCs w:val="24"/>
        </w:rPr>
        <w:t xml:space="preserve"> </w:t>
      </w:r>
      <w:r w:rsidR="00A84D48">
        <w:rPr>
          <w:sz w:val="24"/>
          <w:szCs w:val="24"/>
        </w:rPr>
        <w:lastRenderedPageBreak/>
        <w:t>Staff</w:t>
      </w:r>
      <w:r w:rsidR="00BD246E">
        <w:rPr>
          <w:sz w:val="24"/>
          <w:szCs w:val="24"/>
        </w:rPr>
        <w:t>,</w:t>
      </w:r>
      <w:r w:rsidR="00A84D48">
        <w:rPr>
          <w:sz w:val="24"/>
          <w:szCs w:val="24"/>
        </w:rPr>
        <w:t xml:space="preserve"> and the other parties had ample time</w:t>
      </w:r>
      <w:r w:rsidR="00817EB2">
        <w:rPr>
          <w:sz w:val="24"/>
          <w:szCs w:val="24"/>
        </w:rPr>
        <w:t xml:space="preserve"> - </w:t>
      </w:r>
      <w:r w:rsidR="00A84D48">
        <w:rPr>
          <w:sz w:val="24"/>
          <w:szCs w:val="24"/>
        </w:rPr>
        <w:t>over two months</w:t>
      </w:r>
      <w:r w:rsidR="00817EB2">
        <w:rPr>
          <w:sz w:val="24"/>
          <w:szCs w:val="24"/>
        </w:rPr>
        <w:t xml:space="preserve"> - </w:t>
      </w:r>
      <w:r w:rsidR="00A84D48">
        <w:rPr>
          <w:sz w:val="24"/>
          <w:szCs w:val="24"/>
        </w:rPr>
        <w:t xml:space="preserve">to </w:t>
      </w:r>
      <w:r w:rsidR="00E074AE">
        <w:rPr>
          <w:sz w:val="24"/>
          <w:szCs w:val="24"/>
        </w:rPr>
        <w:t xml:space="preserve">assess the comprehensive impact of the net power cost update within the context of the attrition </w:t>
      </w:r>
      <w:r w:rsidR="003C510C">
        <w:rPr>
          <w:sz w:val="24"/>
          <w:szCs w:val="24"/>
        </w:rPr>
        <w:t>model</w:t>
      </w:r>
      <w:r w:rsidR="00E074AE">
        <w:rPr>
          <w:sz w:val="24"/>
          <w:szCs w:val="24"/>
        </w:rPr>
        <w:t>.</w:t>
      </w:r>
      <w:r w:rsidR="003E11CC">
        <w:rPr>
          <w:sz w:val="24"/>
          <w:szCs w:val="24"/>
        </w:rPr>
        <w:t xml:space="preserve"> They had ample time to</w:t>
      </w:r>
      <w:r w:rsidR="00A84D48">
        <w:rPr>
          <w:sz w:val="24"/>
          <w:szCs w:val="24"/>
        </w:rPr>
        <w:t xml:space="preserve"> </w:t>
      </w:r>
      <w:r w:rsidR="00622DA9">
        <w:rPr>
          <w:sz w:val="24"/>
          <w:szCs w:val="24"/>
        </w:rPr>
        <w:t xml:space="preserve">raise </w:t>
      </w:r>
      <w:r w:rsidR="003E11CC" w:rsidRPr="003E11CC">
        <w:rPr>
          <w:sz w:val="24"/>
          <w:szCs w:val="24"/>
        </w:rPr>
        <w:t xml:space="preserve">with the Commission </w:t>
      </w:r>
      <w:r w:rsidR="003E11CC">
        <w:rPr>
          <w:sz w:val="24"/>
          <w:szCs w:val="24"/>
        </w:rPr>
        <w:t xml:space="preserve">any </w:t>
      </w:r>
      <w:r w:rsidR="00622DA9">
        <w:rPr>
          <w:sz w:val="24"/>
          <w:szCs w:val="24"/>
        </w:rPr>
        <w:t>issue</w:t>
      </w:r>
      <w:r w:rsidR="003E11CC">
        <w:rPr>
          <w:sz w:val="24"/>
          <w:szCs w:val="24"/>
        </w:rPr>
        <w:t>s they had</w:t>
      </w:r>
      <w:r w:rsidR="00622DA9">
        <w:rPr>
          <w:sz w:val="24"/>
          <w:szCs w:val="24"/>
        </w:rPr>
        <w:t xml:space="preserve"> </w:t>
      </w:r>
      <w:r w:rsidR="003E11CC">
        <w:rPr>
          <w:sz w:val="24"/>
          <w:szCs w:val="24"/>
        </w:rPr>
        <w:t>with</w:t>
      </w:r>
      <w:r w:rsidR="00622DA9">
        <w:rPr>
          <w:sz w:val="24"/>
          <w:szCs w:val="24"/>
        </w:rPr>
        <w:t xml:space="preserve"> </w:t>
      </w:r>
      <w:r w:rsidR="003E11CC">
        <w:rPr>
          <w:sz w:val="24"/>
          <w:szCs w:val="24"/>
        </w:rPr>
        <w:t>results</w:t>
      </w:r>
      <w:r w:rsidR="00A84D48">
        <w:rPr>
          <w:sz w:val="24"/>
          <w:szCs w:val="24"/>
        </w:rPr>
        <w:t xml:space="preserve"> </w:t>
      </w:r>
      <w:r w:rsidR="00622DA9">
        <w:rPr>
          <w:sz w:val="24"/>
          <w:szCs w:val="24"/>
        </w:rPr>
        <w:t xml:space="preserve">that </w:t>
      </w:r>
      <w:r w:rsidR="00A84D48">
        <w:rPr>
          <w:sz w:val="24"/>
          <w:szCs w:val="24"/>
        </w:rPr>
        <w:t>w</w:t>
      </w:r>
      <w:r w:rsidR="003E11CC">
        <w:rPr>
          <w:sz w:val="24"/>
          <w:szCs w:val="24"/>
        </w:rPr>
        <w:t>ere</w:t>
      </w:r>
      <w:r w:rsidR="00B36C0A">
        <w:rPr>
          <w:sz w:val="24"/>
          <w:szCs w:val="24"/>
        </w:rPr>
        <w:t xml:space="preserve"> </w:t>
      </w:r>
      <w:r w:rsidR="00A84D48">
        <w:rPr>
          <w:sz w:val="24"/>
          <w:szCs w:val="24"/>
        </w:rPr>
        <w:t>n</w:t>
      </w:r>
      <w:r w:rsidR="00B36C0A">
        <w:rPr>
          <w:sz w:val="24"/>
          <w:szCs w:val="24"/>
        </w:rPr>
        <w:t>o</w:t>
      </w:r>
      <w:r w:rsidR="00A84D48">
        <w:rPr>
          <w:sz w:val="24"/>
          <w:szCs w:val="24"/>
        </w:rPr>
        <w:t xml:space="preserve">t what </w:t>
      </w:r>
      <w:r w:rsidR="003E11CC">
        <w:rPr>
          <w:sz w:val="24"/>
          <w:szCs w:val="24"/>
        </w:rPr>
        <w:t>they</w:t>
      </w:r>
      <w:r w:rsidR="00A84D48">
        <w:rPr>
          <w:sz w:val="24"/>
          <w:szCs w:val="24"/>
        </w:rPr>
        <w:t xml:space="preserve"> wanted</w:t>
      </w:r>
      <w:r w:rsidR="00E93130">
        <w:rPr>
          <w:sz w:val="24"/>
          <w:szCs w:val="24"/>
        </w:rPr>
        <w:t xml:space="preserve"> or expected</w:t>
      </w:r>
      <w:r w:rsidR="00A84D48">
        <w:rPr>
          <w:sz w:val="24"/>
          <w:szCs w:val="24"/>
        </w:rPr>
        <w:t xml:space="preserve">. </w:t>
      </w:r>
      <w:r w:rsidR="00BD246E">
        <w:rPr>
          <w:sz w:val="24"/>
          <w:szCs w:val="24"/>
        </w:rPr>
        <w:t>In fact, not only did Staff and Joint Parties fail to recognize</w:t>
      </w:r>
      <w:r w:rsidR="003E11CC" w:rsidRPr="003E11CC">
        <w:rPr>
          <w:sz w:val="24"/>
          <w:szCs w:val="24"/>
        </w:rPr>
        <w:t xml:space="preserve"> timely</w:t>
      </w:r>
      <w:r w:rsidR="00BD246E">
        <w:rPr>
          <w:sz w:val="24"/>
          <w:szCs w:val="24"/>
        </w:rPr>
        <w:t xml:space="preserve"> that Staff’s own model </w:t>
      </w:r>
      <w:r w:rsidR="00E93130">
        <w:rPr>
          <w:sz w:val="24"/>
          <w:szCs w:val="24"/>
        </w:rPr>
        <w:t>appear</w:t>
      </w:r>
      <w:r w:rsidR="00756D31">
        <w:rPr>
          <w:sz w:val="24"/>
          <w:szCs w:val="24"/>
        </w:rPr>
        <w:t xml:space="preserve">ed </w:t>
      </w:r>
      <w:r w:rsidR="00E93130">
        <w:rPr>
          <w:sz w:val="24"/>
          <w:szCs w:val="24"/>
        </w:rPr>
        <w:t>not</w:t>
      </w:r>
      <w:r w:rsidR="00756D31">
        <w:rPr>
          <w:sz w:val="24"/>
          <w:szCs w:val="24"/>
        </w:rPr>
        <w:t xml:space="preserve"> to</w:t>
      </w:r>
      <w:r w:rsidR="00E93130">
        <w:rPr>
          <w:sz w:val="24"/>
          <w:szCs w:val="24"/>
        </w:rPr>
        <w:t xml:space="preserve"> </w:t>
      </w:r>
      <w:r w:rsidR="00BD246E">
        <w:rPr>
          <w:sz w:val="24"/>
          <w:szCs w:val="24"/>
        </w:rPr>
        <w:t xml:space="preserve">produce the result that these parties </w:t>
      </w:r>
      <w:r w:rsidR="00756D31">
        <w:rPr>
          <w:sz w:val="24"/>
          <w:szCs w:val="24"/>
        </w:rPr>
        <w:t>expected</w:t>
      </w:r>
      <w:r w:rsidR="00BD246E">
        <w:rPr>
          <w:sz w:val="24"/>
          <w:szCs w:val="24"/>
        </w:rPr>
        <w:t xml:space="preserve">, they also failed to bring to the Commission’s attention their </w:t>
      </w:r>
      <w:r w:rsidR="003E11CC">
        <w:rPr>
          <w:sz w:val="24"/>
          <w:szCs w:val="24"/>
        </w:rPr>
        <w:t xml:space="preserve">belated </w:t>
      </w:r>
      <w:r w:rsidR="00BD246E">
        <w:rPr>
          <w:sz w:val="24"/>
          <w:szCs w:val="24"/>
        </w:rPr>
        <w:t xml:space="preserve">allegation that Avista only supplied one-half of the power cost update. </w:t>
      </w:r>
      <w:r w:rsidR="00EF393B">
        <w:rPr>
          <w:sz w:val="24"/>
          <w:szCs w:val="24"/>
        </w:rPr>
        <w:t xml:space="preserve">Staff </w:t>
      </w:r>
      <w:r w:rsidR="00BD246E">
        <w:rPr>
          <w:sz w:val="24"/>
          <w:szCs w:val="24"/>
        </w:rPr>
        <w:t xml:space="preserve">and Joint Parties </w:t>
      </w:r>
      <w:r w:rsidR="00675C06">
        <w:rPr>
          <w:sz w:val="24"/>
          <w:szCs w:val="24"/>
        </w:rPr>
        <w:t>omit any</w:t>
      </w:r>
      <w:r w:rsidR="00EF393B">
        <w:rPr>
          <w:sz w:val="24"/>
          <w:szCs w:val="24"/>
        </w:rPr>
        <w:t xml:space="preserve"> </w:t>
      </w:r>
      <w:r w:rsidR="004C0FC4">
        <w:rPr>
          <w:sz w:val="24"/>
          <w:szCs w:val="24"/>
        </w:rPr>
        <w:t>explanation</w:t>
      </w:r>
      <w:r w:rsidR="00EF393B">
        <w:rPr>
          <w:sz w:val="24"/>
          <w:szCs w:val="24"/>
        </w:rPr>
        <w:t xml:space="preserve"> why </w:t>
      </w:r>
      <w:r w:rsidR="00BD246E">
        <w:rPr>
          <w:sz w:val="24"/>
          <w:szCs w:val="24"/>
        </w:rPr>
        <w:t>either of these “discoveries” were</w:t>
      </w:r>
      <w:r w:rsidR="00EF393B">
        <w:rPr>
          <w:sz w:val="24"/>
          <w:szCs w:val="24"/>
        </w:rPr>
        <w:t xml:space="preserve"> not reasonably </w:t>
      </w:r>
      <w:r w:rsidR="00BD246E">
        <w:rPr>
          <w:sz w:val="24"/>
          <w:szCs w:val="24"/>
        </w:rPr>
        <w:t>known,</w:t>
      </w:r>
      <w:r w:rsidR="00EF393B">
        <w:rPr>
          <w:sz w:val="24"/>
          <w:szCs w:val="24"/>
        </w:rPr>
        <w:t xml:space="preserve"> </w:t>
      </w:r>
      <w:r w:rsidR="00622DA9">
        <w:rPr>
          <w:sz w:val="24"/>
          <w:szCs w:val="24"/>
        </w:rPr>
        <w:t>if they</w:t>
      </w:r>
      <w:r w:rsidR="00BD246E">
        <w:rPr>
          <w:sz w:val="24"/>
          <w:szCs w:val="24"/>
        </w:rPr>
        <w:t xml:space="preserve"> acting with</w:t>
      </w:r>
      <w:r w:rsidR="00EF393B">
        <w:rPr>
          <w:sz w:val="24"/>
          <w:szCs w:val="24"/>
        </w:rPr>
        <w:t xml:space="preserve"> due diligence</w:t>
      </w:r>
      <w:r w:rsidR="00BD246E">
        <w:rPr>
          <w:sz w:val="24"/>
          <w:szCs w:val="24"/>
        </w:rPr>
        <w:t>,</w:t>
      </w:r>
      <w:r w:rsidR="00EF393B">
        <w:rPr>
          <w:sz w:val="24"/>
          <w:szCs w:val="24"/>
        </w:rPr>
        <w:t xml:space="preserve"> </w:t>
      </w:r>
      <w:r w:rsidR="00817EB2">
        <w:rPr>
          <w:sz w:val="24"/>
          <w:szCs w:val="24"/>
        </w:rPr>
        <w:t xml:space="preserve">well before </w:t>
      </w:r>
      <w:r w:rsidR="00EF393B">
        <w:rPr>
          <w:sz w:val="24"/>
          <w:szCs w:val="24"/>
        </w:rPr>
        <w:t>January 6, 2016.</w:t>
      </w:r>
    </w:p>
    <w:p w14:paraId="11EF2556" w14:textId="77777777" w:rsidR="00EF393B" w:rsidRDefault="00EF393B" w:rsidP="00EF393B">
      <w:pPr>
        <w:pStyle w:val="ListParagraph"/>
      </w:pPr>
    </w:p>
    <w:p w14:paraId="1E781C07" w14:textId="77777777" w:rsidR="0007716D" w:rsidRPr="00622DA9" w:rsidRDefault="00BD246E" w:rsidP="00622DA9">
      <w:pPr>
        <w:numPr>
          <w:ilvl w:val="0"/>
          <w:numId w:val="1"/>
        </w:numPr>
        <w:tabs>
          <w:tab w:val="num" w:pos="0"/>
          <w:tab w:val="num" w:pos="1440"/>
        </w:tabs>
        <w:spacing w:line="264" w:lineRule="auto"/>
        <w:ind w:left="0"/>
        <w:rPr>
          <w:sz w:val="24"/>
          <w:szCs w:val="24"/>
        </w:rPr>
      </w:pPr>
      <w:r>
        <w:rPr>
          <w:sz w:val="24"/>
          <w:szCs w:val="24"/>
        </w:rPr>
        <w:t xml:space="preserve">While </w:t>
      </w:r>
      <w:r w:rsidR="00EF393B">
        <w:rPr>
          <w:sz w:val="24"/>
          <w:szCs w:val="24"/>
        </w:rPr>
        <w:t>Joint Parties support Staff’</w:t>
      </w:r>
      <w:r w:rsidR="00675C06">
        <w:rPr>
          <w:sz w:val="24"/>
          <w:szCs w:val="24"/>
        </w:rPr>
        <w:t>s</w:t>
      </w:r>
      <w:r w:rsidR="00126662">
        <w:rPr>
          <w:sz w:val="24"/>
          <w:szCs w:val="24"/>
        </w:rPr>
        <w:t xml:space="preserve"> </w:t>
      </w:r>
      <w:r w:rsidR="00E074AE">
        <w:rPr>
          <w:sz w:val="24"/>
          <w:szCs w:val="24"/>
        </w:rPr>
        <w:t>Motion</w:t>
      </w:r>
      <w:r w:rsidR="00675C06">
        <w:rPr>
          <w:sz w:val="24"/>
          <w:szCs w:val="24"/>
        </w:rPr>
        <w:t xml:space="preserve">, they </w:t>
      </w:r>
      <w:r>
        <w:rPr>
          <w:sz w:val="24"/>
          <w:szCs w:val="24"/>
        </w:rPr>
        <w:t xml:space="preserve">still </w:t>
      </w:r>
      <w:r w:rsidR="00675C06">
        <w:rPr>
          <w:sz w:val="24"/>
          <w:szCs w:val="24"/>
        </w:rPr>
        <w:t>acknowledge that “the attrition model functioned”</w:t>
      </w:r>
      <w:r w:rsidR="00675C06">
        <w:rPr>
          <w:rStyle w:val="FootnoteReference"/>
          <w:sz w:val="24"/>
          <w:szCs w:val="24"/>
        </w:rPr>
        <w:footnoteReference w:id="49"/>
      </w:r>
      <w:r w:rsidR="00675C06">
        <w:rPr>
          <w:sz w:val="24"/>
          <w:szCs w:val="24"/>
        </w:rPr>
        <w:t xml:space="preserve"> and </w:t>
      </w:r>
      <w:r w:rsidR="00622DA9">
        <w:rPr>
          <w:sz w:val="24"/>
          <w:szCs w:val="24"/>
        </w:rPr>
        <w:t xml:space="preserve">that </w:t>
      </w:r>
      <w:r w:rsidR="00675C06">
        <w:rPr>
          <w:sz w:val="24"/>
          <w:szCs w:val="24"/>
        </w:rPr>
        <w:t>“the model will calculate an attrition revenue requirement using the information provided to it.”</w:t>
      </w:r>
      <w:r w:rsidR="00675C06">
        <w:rPr>
          <w:rStyle w:val="FootnoteReference"/>
          <w:sz w:val="24"/>
          <w:szCs w:val="24"/>
        </w:rPr>
        <w:footnoteReference w:id="50"/>
      </w:r>
      <w:r w:rsidR="0007716D">
        <w:rPr>
          <w:sz w:val="24"/>
          <w:szCs w:val="24"/>
        </w:rPr>
        <w:t xml:space="preserve"> If </w:t>
      </w:r>
      <w:r w:rsidR="00622DA9">
        <w:rPr>
          <w:sz w:val="24"/>
          <w:szCs w:val="24"/>
        </w:rPr>
        <w:t xml:space="preserve">Avista’s </w:t>
      </w:r>
      <w:r w:rsidR="00E074AE">
        <w:rPr>
          <w:sz w:val="24"/>
          <w:szCs w:val="24"/>
        </w:rPr>
        <w:t xml:space="preserve">power cost </w:t>
      </w:r>
      <w:r w:rsidR="00A35416" w:rsidRPr="00622DA9">
        <w:rPr>
          <w:sz w:val="24"/>
          <w:szCs w:val="24"/>
        </w:rPr>
        <w:t>update</w:t>
      </w:r>
      <w:r w:rsidR="0007716D" w:rsidRPr="00622DA9">
        <w:rPr>
          <w:sz w:val="24"/>
          <w:szCs w:val="24"/>
        </w:rPr>
        <w:t xml:space="preserve">, as Joint Parties allege, </w:t>
      </w:r>
      <w:r w:rsidR="00817EB2" w:rsidRPr="00817EB2">
        <w:rPr>
          <w:sz w:val="24"/>
          <w:szCs w:val="24"/>
        </w:rPr>
        <w:t xml:space="preserve">was </w:t>
      </w:r>
      <w:r w:rsidR="0007716D" w:rsidRPr="00622DA9">
        <w:rPr>
          <w:sz w:val="24"/>
          <w:szCs w:val="24"/>
        </w:rPr>
        <w:t xml:space="preserve">incomplete in any way, the time to bring that to the Commission’s attention </w:t>
      </w:r>
      <w:r w:rsidR="003E11CC">
        <w:rPr>
          <w:sz w:val="24"/>
          <w:szCs w:val="24"/>
        </w:rPr>
        <w:t>was at,</w:t>
      </w:r>
      <w:r w:rsidR="0007716D" w:rsidRPr="00622DA9">
        <w:rPr>
          <w:sz w:val="24"/>
          <w:szCs w:val="24"/>
        </w:rPr>
        <w:t xml:space="preserve"> or shortly after</w:t>
      </w:r>
      <w:r w:rsidR="003E11CC">
        <w:rPr>
          <w:sz w:val="24"/>
          <w:szCs w:val="24"/>
        </w:rPr>
        <w:t>,</w:t>
      </w:r>
      <w:r w:rsidR="0007716D" w:rsidRPr="00622DA9">
        <w:rPr>
          <w:sz w:val="24"/>
          <w:szCs w:val="24"/>
        </w:rPr>
        <w:t xml:space="preserve"> </w:t>
      </w:r>
      <w:r w:rsidR="00E074AE">
        <w:rPr>
          <w:sz w:val="24"/>
          <w:szCs w:val="24"/>
        </w:rPr>
        <w:t xml:space="preserve">its filing </w:t>
      </w:r>
      <w:r w:rsidR="0007716D" w:rsidRPr="00622DA9">
        <w:rPr>
          <w:sz w:val="24"/>
          <w:szCs w:val="24"/>
        </w:rPr>
        <w:t>on October 29</w:t>
      </w:r>
      <w:r w:rsidR="00E074AE" w:rsidRPr="004F48FE">
        <w:rPr>
          <w:sz w:val="24"/>
          <w:szCs w:val="24"/>
          <w:vertAlign w:val="superscript"/>
        </w:rPr>
        <w:t>th</w:t>
      </w:r>
      <w:r w:rsidR="00E074AE">
        <w:rPr>
          <w:sz w:val="24"/>
          <w:szCs w:val="24"/>
        </w:rPr>
        <w:t>.</w:t>
      </w:r>
      <w:r w:rsidR="00126662">
        <w:rPr>
          <w:sz w:val="24"/>
          <w:szCs w:val="24"/>
        </w:rPr>
        <w:t xml:space="preserve"> </w:t>
      </w:r>
      <w:r w:rsidR="0007716D" w:rsidRPr="00622DA9">
        <w:rPr>
          <w:sz w:val="24"/>
          <w:szCs w:val="24"/>
        </w:rPr>
        <w:t xml:space="preserve">Simply because Joint Parties and Staff </w:t>
      </w:r>
      <w:r w:rsidR="00800CB0">
        <w:rPr>
          <w:sz w:val="24"/>
          <w:szCs w:val="24"/>
        </w:rPr>
        <w:t>expected</w:t>
      </w:r>
      <w:r w:rsidR="00800CB0" w:rsidRPr="00622DA9">
        <w:rPr>
          <w:sz w:val="24"/>
          <w:szCs w:val="24"/>
        </w:rPr>
        <w:t xml:space="preserve"> </w:t>
      </w:r>
      <w:r w:rsidR="0007716D" w:rsidRPr="00622DA9">
        <w:rPr>
          <w:sz w:val="24"/>
          <w:szCs w:val="24"/>
        </w:rPr>
        <w:t>a different</w:t>
      </w:r>
      <w:r w:rsidR="003C510C">
        <w:rPr>
          <w:sz w:val="24"/>
          <w:szCs w:val="24"/>
        </w:rPr>
        <w:t xml:space="preserve"> result</w:t>
      </w:r>
      <w:r w:rsidR="0007716D" w:rsidRPr="00622DA9">
        <w:rPr>
          <w:sz w:val="24"/>
          <w:szCs w:val="24"/>
        </w:rPr>
        <w:t xml:space="preserve"> </w:t>
      </w:r>
      <w:r w:rsidR="003C510C">
        <w:rPr>
          <w:sz w:val="24"/>
          <w:szCs w:val="24"/>
        </w:rPr>
        <w:t>from</w:t>
      </w:r>
      <w:r w:rsidR="0007716D" w:rsidRPr="00622DA9">
        <w:rPr>
          <w:sz w:val="24"/>
          <w:szCs w:val="24"/>
        </w:rPr>
        <w:t xml:space="preserve"> Staff’s attrition model </w:t>
      </w:r>
      <w:r w:rsidR="00B35C90">
        <w:rPr>
          <w:sz w:val="24"/>
          <w:szCs w:val="24"/>
        </w:rPr>
        <w:t>than what the model</w:t>
      </w:r>
      <w:r w:rsidR="00B35C90" w:rsidRPr="00B35C90">
        <w:rPr>
          <w:sz w:val="24"/>
          <w:szCs w:val="24"/>
        </w:rPr>
        <w:t xml:space="preserve"> </w:t>
      </w:r>
      <w:r w:rsidR="00B35C90">
        <w:rPr>
          <w:sz w:val="24"/>
          <w:szCs w:val="24"/>
        </w:rPr>
        <w:t xml:space="preserve">actually produced </w:t>
      </w:r>
      <w:r w:rsidR="00B35C90" w:rsidRPr="00B35C90">
        <w:rPr>
          <w:sz w:val="24"/>
          <w:szCs w:val="24"/>
        </w:rPr>
        <w:t>when updated with</w:t>
      </w:r>
      <w:r w:rsidR="00B35C90">
        <w:rPr>
          <w:sz w:val="24"/>
          <w:szCs w:val="24"/>
        </w:rPr>
        <w:t xml:space="preserve"> revised</w:t>
      </w:r>
      <w:r w:rsidR="00B35C90" w:rsidRPr="00B35C90">
        <w:rPr>
          <w:sz w:val="24"/>
          <w:szCs w:val="24"/>
        </w:rPr>
        <w:t xml:space="preserve"> power costs</w:t>
      </w:r>
      <w:r w:rsidR="00B35C90">
        <w:rPr>
          <w:sz w:val="24"/>
          <w:szCs w:val="24"/>
        </w:rPr>
        <w:t xml:space="preserve"> in late October</w:t>
      </w:r>
      <w:r w:rsidR="00800CB0">
        <w:rPr>
          <w:sz w:val="24"/>
          <w:szCs w:val="24"/>
        </w:rPr>
        <w:t xml:space="preserve"> </w:t>
      </w:r>
      <w:r w:rsidR="0007716D" w:rsidRPr="00622DA9">
        <w:rPr>
          <w:sz w:val="24"/>
          <w:szCs w:val="24"/>
        </w:rPr>
        <w:t xml:space="preserve">does not provide good cause for </w:t>
      </w:r>
      <w:r w:rsidR="00622DA9">
        <w:rPr>
          <w:sz w:val="24"/>
          <w:szCs w:val="24"/>
        </w:rPr>
        <w:t>re</w:t>
      </w:r>
      <w:r w:rsidR="0007716D" w:rsidRPr="00622DA9">
        <w:rPr>
          <w:sz w:val="24"/>
          <w:szCs w:val="24"/>
        </w:rPr>
        <w:t>opening the record</w:t>
      </w:r>
      <w:r w:rsidR="00B35C90">
        <w:rPr>
          <w:sz w:val="24"/>
          <w:szCs w:val="24"/>
        </w:rPr>
        <w:t xml:space="preserve"> at this time</w:t>
      </w:r>
      <w:r w:rsidR="0007716D" w:rsidRPr="00622DA9">
        <w:rPr>
          <w:sz w:val="24"/>
          <w:szCs w:val="24"/>
        </w:rPr>
        <w:t>.</w:t>
      </w:r>
    </w:p>
    <w:p w14:paraId="00D7EC79" w14:textId="77777777" w:rsidR="0007716D" w:rsidRDefault="0007716D" w:rsidP="0007716D">
      <w:pPr>
        <w:tabs>
          <w:tab w:val="num" w:pos="1440"/>
        </w:tabs>
        <w:spacing w:line="264" w:lineRule="auto"/>
        <w:rPr>
          <w:sz w:val="24"/>
          <w:szCs w:val="24"/>
        </w:rPr>
      </w:pPr>
    </w:p>
    <w:p w14:paraId="76978CB6" w14:textId="77777777" w:rsidR="00126662" w:rsidRPr="0049552B" w:rsidRDefault="0007716D" w:rsidP="004F48FE">
      <w:pPr>
        <w:numPr>
          <w:ilvl w:val="0"/>
          <w:numId w:val="1"/>
        </w:numPr>
        <w:tabs>
          <w:tab w:val="num" w:pos="0"/>
          <w:tab w:val="num" w:pos="1440"/>
        </w:tabs>
        <w:spacing w:line="264" w:lineRule="auto"/>
        <w:ind w:left="0"/>
      </w:pPr>
      <w:r>
        <w:rPr>
          <w:sz w:val="24"/>
          <w:szCs w:val="24"/>
        </w:rPr>
        <w:t xml:space="preserve">As Avista aptly notes, much more goes into the revenue requirement number than simply the power supply adjustment or even </w:t>
      </w:r>
      <w:r w:rsidR="003C510C">
        <w:rPr>
          <w:sz w:val="24"/>
          <w:szCs w:val="24"/>
        </w:rPr>
        <w:t xml:space="preserve">the </w:t>
      </w:r>
      <w:r>
        <w:rPr>
          <w:sz w:val="24"/>
          <w:szCs w:val="24"/>
        </w:rPr>
        <w:t>attrition</w:t>
      </w:r>
      <w:r w:rsidR="003C510C">
        <w:rPr>
          <w:sz w:val="24"/>
          <w:szCs w:val="24"/>
        </w:rPr>
        <w:t xml:space="preserve"> model results</w:t>
      </w:r>
      <w:r>
        <w:rPr>
          <w:sz w:val="24"/>
          <w:szCs w:val="24"/>
        </w:rPr>
        <w:t xml:space="preserve">. If we were to open up the record for either of those issues, </w:t>
      </w:r>
      <w:r w:rsidR="00E074AE">
        <w:rPr>
          <w:sz w:val="24"/>
          <w:szCs w:val="24"/>
        </w:rPr>
        <w:t xml:space="preserve">we </w:t>
      </w:r>
      <w:r w:rsidR="003C510C">
        <w:rPr>
          <w:sz w:val="24"/>
          <w:szCs w:val="24"/>
        </w:rPr>
        <w:t>might</w:t>
      </w:r>
      <w:r w:rsidR="00E074AE">
        <w:rPr>
          <w:sz w:val="24"/>
          <w:szCs w:val="24"/>
        </w:rPr>
        <w:t xml:space="preserve"> be required </w:t>
      </w:r>
      <w:r>
        <w:rPr>
          <w:sz w:val="24"/>
          <w:szCs w:val="24"/>
        </w:rPr>
        <w:t xml:space="preserve">to reopen the record in </w:t>
      </w:r>
      <w:r w:rsidR="00D5291E">
        <w:rPr>
          <w:sz w:val="24"/>
          <w:szCs w:val="24"/>
        </w:rPr>
        <w:t>its entirety</w:t>
      </w:r>
      <w:r w:rsidR="003C510C">
        <w:rPr>
          <w:sz w:val="24"/>
          <w:szCs w:val="24"/>
        </w:rPr>
        <w:t xml:space="preserve"> to protect all parties’ rights to due process</w:t>
      </w:r>
      <w:r w:rsidR="00B35C90">
        <w:rPr>
          <w:sz w:val="24"/>
          <w:szCs w:val="24"/>
        </w:rPr>
        <w:t>. The myriad adjustments in the interrelated cells of the models that inform our decisions in this matter</w:t>
      </w:r>
      <w:r w:rsidR="00D5291E">
        <w:rPr>
          <w:sz w:val="24"/>
          <w:szCs w:val="24"/>
        </w:rPr>
        <w:t xml:space="preserve"> </w:t>
      </w:r>
      <w:r w:rsidR="00B35C90">
        <w:rPr>
          <w:sz w:val="24"/>
          <w:szCs w:val="24"/>
        </w:rPr>
        <w:t xml:space="preserve">that </w:t>
      </w:r>
      <w:r w:rsidR="00D5291E">
        <w:rPr>
          <w:sz w:val="24"/>
          <w:szCs w:val="24"/>
        </w:rPr>
        <w:t>create final revenue requirement</w:t>
      </w:r>
      <w:r w:rsidR="00B35C90">
        <w:rPr>
          <w:sz w:val="24"/>
          <w:szCs w:val="24"/>
        </w:rPr>
        <w:t>s</w:t>
      </w:r>
      <w:r w:rsidR="00622DA9">
        <w:rPr>
          <w:sz w:val="24"/>
          <w:szCs w:val="24"/>
        </w:rPr>
        <w:t xml:space="preserve"> number</w:t>
      </w:r>
      <w:r w:rsidR="00B35C90">
        <w:rPr>
          <w:sz w:val="24"/>
          <w:szCs w:val="24"/>
        </w:rPr>
        <w:t xml:space="preserve">s cannot be considered </w:t>
      </w:r>
      <w:r w:rsidR="00E074AE">
        <w:rPr>
          <w:sz w:val="24"/>
          <w:szCs w:val="24"/>
        </w:rPr>
        <w:t xml:space="preserve">separately or </w:t>
      </w:r>
      <w:r w:rsidR="00126662">
        <w:rPr>
          <w:sz w:val="24"/>
          <w:szCs w:val="24"/>
        </w:rPr>
        <w:t xml:space="preserve">on </w:t>
      </w:r>
      <w:r w:rsidR="00E074AE">
        <w:rPr>
          <w:sz w:val="24"/>
          <w:szCs w:val="24"/>
        </w:rPr>
        <w:t>an ad hoc basis.</w:t>
      </w:r>
    </w:p>
    <w:p w14:paraId="2EFE0925" w14:textId="77777777" w:rsidR="00126662" w:rsidRDefault="00126662" w:rsidP="0049552B">
      <w:pPr>
        <w:pStyle w:val="ListParagraph"/>
      </w:pPr>
    </w:p>
    <w:p w14:paraId="62B1AC87" w14:textId="77777777" w:rsidR="00D5291E" w:rsidRDefault="00E86D70" w:rsidP="0007716D">
      <w:pPr>
        <w:numPr>
          <w:ilvl w:val="0"/>
          <w:numId w:val="1"/>
        </w:numPr>
        <w:tabs>
          <w:tab w:val="num" w:pos="0"/>
          <w:tab w:val="num" w:pos="1440"/>
        </w:tabs>
        <w:spacing w:line="264" w:lineRule="auto"/>
        <w:ind w:left="0"/>
        <w:rPr>
          <w:sz w:val="24"/>
          <w:szCs w:val="24"/>
        </w:rPr>
      </w:pPr>
      <w:r>
        <w:rPr>
          <w:sz w:val="24"/>
          <w:szCs w:val="24"/>
        </w:rPr>
        <w:t xml:space="preserve">Finally, Avista has made clear, contrary to Staff’s </w:t>
      </w:r>
      <w:r w:rsidR="00995279">
        <w:rPr>
          <w:sz w:val="24"/>
          <w:szCs w:val="24"/>
        </w:rPr>
        <w:t>a</w:t>
      </w:r>
      <w:r>
        <w:rPr>
          <w:sz w:val="24"/>
          <w:szCs w:val="24"/>
        </w:rPr>
        <w:t>ssertion, that it would be prejudiced, perhaps seriously prejudiced, by our reopening the record at this late date, a date well after the statutory deadline for the Commission to reach finality in these dockets.</w:t>
      </w:r>
      <w:r w:rsidR="00D5291E">
        <w:rPr>
          <w:sz w:val="24"/>
          <w:szCs w:val="24"/>
        </w:rPr>
        <w:t xml:space="preserve"> </w:t>
      </w:r>
      <w:r>
        <w:rPr>
          <w:sz w:val="24"/>
          <w:szCs w:val="24"/>
        </w:rPr>
        <w:t>There comes a point in any case when parties directly impacted by the outcome are entitled to repose. We reach that point today insofar as our rules governing adjudicative proceedings take us.</w:t>
      </w:r>
      <w:r w:rsidR="00D5291E">
        <w:rPr>
          <w:sz w:val="24"/>
          <w:szCs w:val="24"/>
        </w:rPr>
        <w:t xml:space="preserve"> </w:t>
      </w:r>
      <w:r>
        <w:rPr>
          <w:sz w:val="24"/>
          <w:szCs w:val="24"/>
        </w:rPr>
        <w:t xml:space="preserve">We determine that </w:t>
      </w:r>
      <w:r w:rsidRPr="00E86D70">
        <w:rPr>
          <w:sz w:val="24"/>
          <w:szCs w:val="24"/>
        </w:rPr>
        <w:t xml:space="preserve">Staff’s Motion to Reopen </w:t>
      </w:r>
      <w:r>
        <w:rPr>
          <w:sz w:val="24"/>
          <w:szCs w:val="24"/>
        </w:rPr>
        <w:t>should be</w:t>
      </w:r>
      <w:r w:rsidRPr="00E86D70">
        <w:rPr>
          <w:sz w:val="24"/>
          <w:szCs w:val="24"/>
        </w:rPr>
        <w:t xml:space="preserve"> denied</w:t>
      </w:r>
      <w:r>
        <w:rPr>
          <w:sz w:val="24"/>
          <w:szCs w:val="24"/>
        </w:rPr>
        <w:t xml:space="preserve"> along with Staff’s Petition for Reconsideration and Joint Parties’ Motion for Clarification</w:t>
      </w:r>
      <w:r w:rsidRPr="00E86D70">
        <w:rPr>
          <w:sz w:val="24"/>
          <w:szCs w:val="24"/>
        </w:rPr>
        <w:t>.</w:t>
      </w:r>
    </w:p>
    <w:p w14:paraId="553499F3" w14:textId="77777777" w:rsidR="00D5291E" w:rsidRDefault="00D5291E" w:rsidP="00D5291E">
      <w:pPr>
        <w:pStyle w:val="ListParagraph"/>
      </w:pPr>
    </w:p>
    <w:p w14:paraId="5E02D020" w14:textId="77777777" w:rsidR="00F445D1" w:rsidRPr="00F445D1" w:rsidRDefault="00D5291E" w:rsidP="0007716D">
      <w:pPr>
        <w:numPr>
          <w:ilvl w:val="0"/>
          <w:numId w:val="1"/>
        </w:numPr>
        <w:tabs>
          <w:tab w:val="num" w:pos="0"/>
          <w:tab w:val="num" w:pos="1440"/>
        </w:tabs>
        <w:spacing w:line="264" w:lineRule="auto"/>
        <w:ind w:left="0"/>
        <w:rPr>
          <w:sz w:val="24"/>
          <w:szCs w:val="24"/>
        </w:rPr>
      </w:pPr>
      <w:r>
        <w:rPr>
          <w:sz w:val="24"/>
          <w:szCs w:val="24"/>
        </w:rPr>
        <w:t xml:space="preserve">The Commission’s Final Order, Order 05, approved an $8.1 million </w:t>
      </w:r>
      <w:r w:rsidR="00E074AE">
        <w:rPr>
          <w:sz w:val="24"/>
          <w:szCs w:val="24"/>
        </w:rPr>
        <w:t xml:space="preserve">decrease in Avista’s </w:t>
      </w:r>
      <w:r>
        <w:rPr>
          <w:sz w:val="24"/>
          <w:szCs w:val="24"/>
        </w:rPr>
        <w:t xml:space="preserve">electric revenue requirement as a </w:t>
      </w:r>
      <w:r w:rsidR="00E86D70">
        <w:rPr>
          <w:sz w:val="24"/>
          <w:szCs w:val="24"/>
        </w:rPr>
        <w:t xml:space="preserve">fair, </w:t>
      </w:r>
      <w:r>
        <w:rPr>
          <w:sz w:val="24"/>
          <w:szCs w:val="24"/>
        </w:rPr>
        <w:t>just</w:t>
      </w:r>
      <w:r w:rsidR="00E86D70">
        <w:rPr>
          <w:sz w:val="24"/>
          <w:szCs w:val="24"/>
        </w:rPr>
        <w:t>,</w:t>
      </w:r>
      <w:r>
        <w:rPr>
          <w:sz w:val="24"/>
          <w:szCs w:val="24"/>
        </w:rPr>
        <w:t xml:space="preserve"> reasonable</w:t>
      </w:r>
      <w:r w:rsidR="00E86D70">
        <w:rPr>
          <w:sz w:val="24"/>
          <w:szCs w:val="24"/>
        </w:rPr>
        <w:t>, and sufficient</w:t>
      </w:r>
      <w:r>
        <w:rPr>
          <w:sz w:val="24"/>
          <w:szCs w:val="24"/>
        </w:rPr>
        <w:t xml:space="preserve"> end result</w:t>
      </w:r>
      <w:r w:rsidR="00E074AE">
        <w:rPr>
          <w:sz w:val="24"/>
          <w:szCs w:val="24"/>
        </w:rPr>
        <w:t>, base</w:t>
      </w:r>
      <w:r w:rsidR="00CB538A">
        <w:rPr>
          <w:sz w:val="24"/>
          <w:szCs w:val="24"/>
        </w:rPr>
        <w:t>d on substantial record evidence.</w:t>
      </w:r>
      <w:r>
        <w:rPr>
          <w:sz w:val="24"/>
          <w:szCs w:val="24"/>
        </w:rPr>
        <w:t xml:space="preserve"> None of the </w:t>
      </w:r>
      <w:r w:rsidR="00E86D70">
        <w:rPr>
          <w:sz w:val="24"/>
          <w:szCs w:val="24"/>
        </w:rPr>
        <w:t xml:space="preserve">Petitions, </w:t>
      </w:r>
      <w:r>
        <w:rPr>
          <w:sz w:val="24"/>
          <w:szCs w:val="24"/>
        </w:rPr>
        <w:t>Motion</w:t>
      </w:r>
      <w:r w:rsidR="00E86D70">
        <w:rPr>
          <w:sz w:val="24"/>
          <w:szCs w:val="24"/>
        </w:rPr>
        <w:t>s, or Replies</w:t>
      </w:r>
      <w:r>
        <w:rPr>
          <w:sz w:val="24"/>
          <w:szCs w:val="24"/>
        </w:rPr>
        <w:t xml:space="preserve"> </w:t>
      </w:r>
      <w:r w:rsidR="008A5ACD">
        <w:rPr>
          <w:sz w:val="24"/>
          <w:szCs w:val="24"/>
        </w:rPr>
        <w:t xml:space="preserve">discussed in this order </w:t>
      </w:r>
      <w:r>
        <w:rPr>
          <w:sz w:val="24"/>
          <w:szCs w:val="24"/>
        </w:rPr>
        <w:t>have offered</w:t>
      </w:r>
      <w:r w:rsidR="00E86D70">
        <w:rPr>
          <w:sz w:val="24"/>
          <w:szCs w:val="24"/>
        </w:rPr>
        <w:t xml:space="preserve"> convincing</w:t>
      </w:r>
      <w:r>
        <w:rPr>
          <w:sz w:val="24"/>
          <w:szCs w:val="24"/>
        </w:rPr>
        <w:t xml:space="preserve"> factual or legal arguments to alter that decision. </w:t>
      </w:r>
    </w:p>
    <w:p w14:paraId="2CF73517" w14:textId="77777777" w:rsidR="001560C4" w:rsidRPr="001560C4" w:rsidRDefault="001560C4" w:rsidP="00302C05">
      <w:pPr>
        <w:rPr>
          <w:sz w:val="24"/>
          <w:szCs w:val="24"/>
        </w:rPr>
      </w:pPr>
    </w:p>
    <w:p w14:paraId="22BC888D" w14:textId="77777777" w:rsidR="00FA7775" w:rsidRPr="002F52F4" w:rsidRDefault="00FA7775" w:rsidP="00302C05">
      <w:pPr>
        <w:pStyle w:val="Heading1"/>
        <w:keepLines/>
        <w:spacing w:before="0" w:after="0"/>
        <w:jc w:val="center"/>
        <w:rPr>
          <w:rFonts w:cs="Times New Roman"/>
          <w:sz w:val="24"/>
          <w:szCs w:val="24"/>
          <w:u w:val="single"/>
        </w:rPr>
      </w:pPr>
      <w:bookmarkStart w:id="3" w:name="_Toc419884270"/>
      <w:bookmarkStart w:id="4" w:name="_Toc252797503"/>
      <w:r w:rsidRPr="002F52F4">
        <w:rPr>
          <w:rFonts w:cs="Times New Roman"/>
          <w:sz w:val="24"/>
          <w:szCs w:val="24"/>
          <w:u w:val="single"/>
        </w:rPr>
        <w:t>ORDER</w:t>
      </w:r>
      <w:bookmarkEnd w:id="3"/>
    </w:p>
    <w:p w14:paraId="35CF50DB" w14:textId="77777777" w:rsidR="00FA7775" w:rsidRPr="002F52F4" w:rsidRDefault="00FA7775" w:rsidP="00302C05">
      <w:pPr>
        <w:pStyle w:val="NoSpacing"/>
        <w:rPr>
          <w:szCs w:val="24"/>
        </w:rPr>
      </w:pPr>
    </w:p>
    <w:p w14:paraId="6D5DADE8" w14:textId="77777777" w:rsidR="00FA7775" w:rsidRPr="002F52F4" w:rsidRDefault="00FA7775" w:rsidP="000455AC">
      <w:pPr>
        <w:pStyle w:val="NoSpacing"/>
        <w:spacing w:line="264" w:lineRule="auto"/>
        <w:rPr>
          <w:color w:val="000000"/>
          <w:szCs w:val="24"/>
        </w:rPr>
      </w:pPr>
      <w:r w:rsidRPr="002F52F4">
        <w:rPr>
          <w:szCs w:val="24"/>
        </w:rPr>
        <w:t>THE COMMISSION ORDERS THAT:</w:t>
      </w:r>
    </w:p>
    <w:p w14:paraId="3DE5A101" w14:textId="77777777" w:rsidR="00FA7775" w:rsidRPr="001B4540" w:rsidRDefault="00FA7775" w:rsidP="000455AC">
      <w:pPr>
        <w:pStyle w:val="NoSpacing"/>
        <w:spacing w:line="264" w:lineRule="auto"/>
        <w:rPr>
          <w:szCs w:val="24"/>
        </w:rPr>
      </w:pPr>
    </w:p>
    <w:p w14:paraId="2D5E89CB" w14:textId="77777777" w:rsidR="001560C4" w:rsidRPr="002F52F4" w:rsidRDefault="001B4540" w:rsidP="00D5291E">
      <w:pPr>
        <w:numPr>
          <w:ilvl w:val="0"/>
          <w:numId w:val="1"/>
        </w:numPr>
        <w:tabs>
          <w:tab w:val="num" w:pos="0"/>
          <w:tab w:val="num" w:pos="1440"/>
        </w:tabs>
        <w:spacing w:line="264" w:lineRule="auto"/>
        <w:ind w:hanging="1440"/>
        <w:rPr>
          <w:bCs/>
          <w:color w:val="000000"/>
          <w:sz w:val="24"/>
          <w:szCs w:val="24"/>
        </w:rPr>
      </w:pPr>
      <w:r w:rsidRPr="001B4540">
        <w:rPr>
          <w:bCs/>
          <w:sz w:val="24"/>
          <w:szCs w:val="24"/>
        </w:rPr>
        <w:t>(1)</w:t>
      </w:r>
      <w:r w:rsidRPr="001B4540">
        <w:rPr>
          <w:bCs/>
          <w:sz w:val="24"/>
          <w:szCs w:val="24"/>
        </w:rPr>
        <w:tab/>
      </w:r>
      <w:r w:rsidR="00D5291E">
        <w:rPr>
          <w:bCs/>
          <w:sz w:val="24"/>
          <w:szCs w:val="24"/>
        </w:rPr>
        <w:t xml:space="preserve">The Motion for Clarification filed by the Industrial Customers of Northwest Utilities and the Public Counsel Section of the Washington Office of Attorney General and the </w:t>
      </w:r>
      <w:r w:rsidR="001F3187">
        <w:rPr>
          <w:bCs/>
          <w:sz w:val="24"/>
          <w:szCs w:val="24"/>
        </w:rPr>
        <w:t>“Motion</w:t>
      </w:r>
      <w:r w:rsidR="00E86D70">
        <w:rPr>
          <w:bCs/>
          <w:sz w:val="24"/>
          <w:szCs w:val="24"/>
        </w:rPr>
        <w:t xml:space="preserve"> </w:t>
      </w:r>
      <w:r w:rsidR="00D5291E">
        <w:rPr>
          <w:bCs/>
          <w:sz w:val="24"/>
          <w:szCs w:val="24"/>
        </w:rPr>
        <w:t>to Reconsider</w:t>
      </w:r>
      <w:r w:rsidR="001F3187">
        <w:rPr>
          <w:bCs/>
          <w:sz w:val="24"/>
          <w:szCs w:val="24"/>
        </w:rPr>
        <w:t>”</w:t>
      </w:r>
      <w:r w:rsidR="00D5291E">
        <w:rPr>
          <w:bCs/>
          <w:sz w:val="24"/>
          <w:szCs w:val="24"/>
        </w:rPr>
        <w:t xml:space="preserve"> filed by the Commission’s regulatory staff (Staff) are denied.</w:t>
      </w:r>
    </w:p>
    <w:p w14:paraId="1ED8EFD7" w14:textId="77777777" w:rsidR="00D5291E" w:rsidRDefault="00D5291E" w:rsidP="00D5291E">
      <w:pPr>
        <w:spacing w:line="264" w:lineRule="auto"/>
        <w:rPr>
          <w:bCs/>
          <w:color w:val="000000"/>
          <w:sz w:val="24"/>
          <w:szCs w:val="24"/>
        </w:rPr>
      </w:pPr>
    </w:p>
    <w:p w14:paraId="0375BC56" w14:textId="77777777" w:rsidR="002F52F4" w:rsidRPr="002F52F4" w:rsidRDefault="00D5291E" w:rsidP="00D5291E">
      <w:pPr>
        <w:numPr>
          <w:ilvl w:val="0"/>
          <w:numId w:val="1"/>
        </w:numPr>
        <w:tabs>
          <w:tab w:val="num" w:pos="0"/>
          <w:tab w:val="num" w:pos="1440"/>
        </w:tabs>
        <w:spacing w:line="264" w:lineRule="auto"/>
        <w:ind w:hanging="1440"/>
        <w:rPr>
          <w:bCs/>
          <w:color w:val="000000"/>
          <w:sz w:val="24"/>
          <w:szCs w:val="24"/>
        </w:rPr>
      </w:pPr>
      <w:r>
        <w:rPr>
          <w:bCs/>
          <w:color w:val="000000"/>
          <w:sz w:val="24"/>
          <w:szCs w:val="24"/>
        </w:rPr>
        <w:t>(2)</w:t>
      </w:r>
      <w:r>
        <w:rPr>
          <w:bCs/>
          <w:color w:val="000000"/>
          <w:sz w:val="24"/>
          <w:szCs w:val="24"/>
        </w:rPr>
        <w:tab/>
      </w:r>
      <w:r w:rsidR="001F3187">
        <w:rPr>
          <w:bCs/>
          <w:color w:val="000000"/>
          <w:sz w:val="24"/>
          <w:szCs w:val="24"/>
        </w:rPr>
        <w:t>Staff’s</w:t>
      </w:r>
      <w:r>
        <w:rPr>
          <w:bCs/>
          <w:color w:val="000000"/>
          <w:sz w:val="24"/>
          <w:szCs w:val="24"/>
        </w:rPr>
        <w:t xml:space="preserve"> Motion to Reopen the Record for the Limited Purpose of Receiving into Evidence Instruction on Use and Application of Staff’s Attrition Model is denied. </w:t>
      </w:r>
    </w:p>
    <w:p w14:paraId="56C6EFAE" w14:textId="77777777" w:rsidR="002F52F4" w:rsidRPr="002F52F4" w:rsidRDefault="002F52F4" w:rsidP="00853172">
      <w:pPr>
        <w:ind w:left="720"/>
        <w:rPr>
          <w:bCs/>
          <w:color w:val="000000"/>
          <w:sz w:val="24"/>
          <w:szCs w:val="24"/>
        </w:rPr>
      </w:pPr>
    </w:p>
    <w:p w14:paraId="28E5C825" w14:textId="77777777" w:rsidR="00FA7775" w:rsidRPr="002F52F4" w:rsidRDefault="00FA7775" w:rsidP="00853172">
      <w:pPr>
        <w:rPr>
          <w:sz w:val="24"/>
          <w:szCs w:val="24"/>
        </w:rPr>
      </w:pPr>
      <w:r w:rsidRPr="002F52F4">
        <w:rPr>
          <w:sz w:val="24"/>
          <w:szCs w:val="24"/>
        </w:rPr>
        <w:t xml:space="preserve">Dated at Olympia, Washington, and effective </w:t>
      </w:r>
      <w:r w:rsidR="00D5291E">
        <w:rPr>
          <w:sz w:val="24"/>
          <w:szCs w:val="24"/>
        </w:rPr>
        <w:t xml:space="preserve">February </w:t>
      </w:r>
      <w:r w:rsidR="00AD21B5">
        <w:rPr>
          <w:sz w:val="24"/>
          <w:szCs w:val="24"/>
        </w:rPr>
        <w:t>19</w:t>
      </w:r>
      <w:r w:rsidR="00D5291E">
        <w:rPr>
          <w:sz w:val="24"/>
          <w:szCs w:val="24"/>
        </w:rPr>
        <w:t>, 2016</w:t>
      </w:r>
      <w:r w:rsidRPr="002F52F4">
        <w:rPr>
          <w:sz w:val="24"/>
          <w:szCs w:val="24"/>
        </w:rPr>
        <w:t>.</w:t>
      </w:r>
    </w:p>
    <w:p w14:paraId="123BF66E" w14:textId="77777777" w:rsidR="00FA7775" w:rsidRPr="002F52F4" w:rsidRDefault="00FA7775" w:rsidP="00853172">
      <w:pPr>
        <w:pStyle w:val="Header"/>
        <w:tabs>
          <w:tab w:val="clear" w:pos="4320"/>
          <w:tab w:val="clear" w:pos="8640"/>
        </w:tabs>
      </w:pPr>
    </w:p>
    <w:p w14:paraId="21699C46" w14:textId="77777777" w:rsidR="00FA7775" w:rsidRPr="002F52F4" w:rsidRDefault="00FA7775" w:rsidP="00853172">
      <w:pPr>
        <w:jc w:val="center"/>
        <w:rPr>
          <w:sz w:val="24"/>
          <w:szCs w:val="24"/>
        </w:rPr>
      </w:pPr>
      <w:r w:rsidRPr="002F52F4">
        <w:rPr>
          <w:sz w:val="24"/>
          <w:szCs w:val="24"/>
        </w:rPr>
        <w:t>WASHINGTON UTILITIES AND TRANSPORTATION COMMISSION</w:t>
      </w:r>
    </w:p>
    <w:p w14:paraId="6B9CF9C0" w14:textId="77777777" w:rsidR="00FA7775" w:rsidRDefault="00FA7775" w:rsidP="00712F81">
      <w:pPr>
        <w:rPr>
          <w:sz w:val="24"/>
          <w:szCs w:val="24"/>
        </w:rPr>
      </w:pPr>
    </w:p>
    <w:p w14:paraId="50895B7A" w14:textId="77777777" w:rsidR="00712F81" w:rsidRDefault="00712F81" w:rsidP="00712F81">
      <w:pPr>
        <w:rPr>
          <w:sz w:val="24"/>
          <w:szCs w:val="24"/>
        </w:rPr>
      </w:pPr>
    </w:p>
    <w:p w14:paraId="19576FAA" w14:textId="77777777" w:rsidR="00853172" w:rsidRPr="002F52F4" w:rsidRDefault="00853172" w:rsidP="00712F81">
      <w:pPr>
        <w:rPr>
          <w:sz w:val="24"/>
          <w:szCs w:val="24"/>
        </w:rPr>
      </w:pPr>
    </w:p>
    <w:bookmarkEnd w:id="4"/>
    <w:p w14:paraId="54128702" w14:textId="77777777" w:rsidR="009C5627" w:rsidRPr="002F52F4" w:rsidRDefault="009C5627" w:rsidP="00712F81">
      <w:pPr>
        <w:rPr>
          <w:sz w:val="24"/>
          <w:szCs w:val="24"/>
        </w:rPr>
      </w:pPr>
    </w:p>
    <w:p w14:paraId="65D24A11" w14:textId="77777777" w:rsidR="009C5627" w:rsidRPr="002F52F4" w:rsidRDefault="000B7867" w:rsidP="00712F81">
      <w:pPr>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r>
      <w:r w:rsidR="002E298E" w:rsidRPr="002F52F4">
        <w:rPr>
          <w:sz w:val="24"/>
          <w:szCs w:val="24"/>
        </w:rPr>
        <w:t>DAVID W. DANNER</w:t>
      </w:r>
      <w:r w:rsidRPr="002F52F4">
        <w:rPr>
          <w:sz w:val="24"/>
          <w:szCs w:val="24"/>
        </w:rPr>
        <w:t>, Chairman</w:t>
      </w:r>
    </w:p>
    <w:p w14:paraId="4F705D72" w14:textId="77777777" w:rsidR="009C5627" w:rsidRPr="002F52F4" w:rsidRDefault="009C5627" w:rsidP="00712F81">
      <w:pPr>
        <w:rPr>
          <w:sz w:val="24"/>
          <w:szCs w:val="24"/>
        </w:rPr>
      </w:pPr>
    </w:p>
    <w:p w14:paraId="24BDAE24" w14:textId="77777777" w:rsidR="00154667" w:rsidRDefault="00154667" w:rsidP="00712F81">
      <w:pPr>
        <w:rPr>
          <w:sz w:val="24"/>
          <w:szCs w:val="24"/>
        </w:rPr>
      </w:pPr>
    </w:p>
    <w:p w14:paraId="614AAD5D" w14:textId="77777777" w:rsidR="00712F81" w:rsidRPr="002F52F4" w:rsidRDefault="00712F81" w:rsidP="00712F81">
      <w:pPr>
        <w:rPr>
          <w:sz w:val="24"/>
          <w:szCs w:val="24"/>
        </w:rPr>
      </w:pPr>
    </w:p>
    <w:p w14:paraId="562F5DAB" w14:textId="77777777" w:rsidR="00154667" w:rsidRPr="002F52F4" w:rsidRDefault="000B7867" w:rsidP="00712F81">
      <w:pPr>
        <w:rPr>
          <w:sz w:val="24"/>
          <w:szCs w:val="24"/>
        </w:rPr>
      </w:pPr>
      <w:r w:rsidRPr="002F52F4">
        <w:rPr>
          <w:sz w:val="24"/>
          <w:szCs w:val="24"/>
        </w:rPr>
        <w:tab/>
      </w:r>
      <w:r w:rsidRPr="002F52F4">
        <w:rPr>
          <w:sz w:val="24"/>
          <w:szCs w:val="24"/>
        </w:rPr>
        <w:tab/>
      </w:r>
      <w:r w:rsidRPr="002F52F4">
        <w:rPr>
          <w:sz w:val="24"/>
          <w:szCs w:val="24"/>
        </w:rPr>
        <w:tab/>
      </w:r>
      <w:r w:rsidRPr="002F52F4">
        <w:rPr>
          <w:sz w:val="24"/>
          <w:szCs w:val="24"/>
        </w:rPr>
        <w:tab/>
      </w:r>
      <w:r w:rsidRPr="002F52F4">
        <w:rPr>
          <w:sz w:val="24"/>
          <w:szCs w:val="24"/>
        </w:rPr>
        <w:tab/>
        <w:t>PHILIP B. JONES, Commissioner</w:t>
      </w:r>
    </w:p>
    <w:p w14:paraId="7229517E" w14:textId="77777777" w:rsidR="002E298E" w:rsidRPr="002F52F4" w:rsidRDefault="002E298E" w:rsidP="00712F81">
      <w:pPr>
        <w:rPr>
          <w:sz w:val="24"/>
          <w:szCs w:val="24"/>
        </w:rPr>
      </w:pPr>
    </w:p>
    <w:p w14:paraId="438FFCD0" w14:textId="77777777" w:rsidR="002E298E" w:rsidRDefault="002E298E" w:rsidP="00712F81">
      <w:pPr>
        <w:rPr>
          <w:sz w:val="24"/>
          <w:szCs w:val="24"/>
        </w:rPr>
      </w:pPr>
    </w:p>
    <w:p w14:paraId="783A8AF3" w14:textId="77777777" w:rsidR="00712F81" w:rsidRPr="002F52F4" w:rsidRDefault="00712F81" w:rsidP="00712F81">
      <w:pPr>
        <w:rPr>
          <w:sz w:val="24"/>
          <w:szCs w:val="24"/>
        </w:rPr>
      </w:pPr>
    </w:p>
    <w:p w14:paraId="05E281BF" w14:textId="77777777" w:rsidR="001A7DD7" w:rsidRPr="002F52F4" w:rsidRDefault="008D3150" w:rsidP="00712F81">
      <w:pPr>
        <w:ind w:left="2880" w:firstLine="720"/>
        <w:rPr>
          <w:sz w:val="24"/>
          <w:szCs w:val="24"/>
        </w:rPr>
      </w:pPr>
      <w:r w:rsidRPr="002F52F4">
        <w:rPr>
          <w:sz w:val="24"/>
          <w:szCs w:val="24"/>
        </w:rPr>
        <w:t xml:space="preserve">ANN </w:t>
      </w:r>
      <w:r w:rsidR="00BC50E0" w:rsidRPr="002F52F4">
        <w:rPr>
          <w:sz w:val="24"/>
          <w:szCs w:val="24"/>
        </w:rPr>
        <w:t xml:space="preserve">E. </w:t>
      </w:r>
      <w:r w:rsidRPr="002F52F4">
        <w:rPr>
          <w:sz w:val="24"/>
          <w:szCs w:val="24"/>
        </w:rPr>
        <w:t>RENDAHL</w:t>
      </w:r>
      <w:r w:rsidR="002E298E" w:rsidRPr="002F52F4">
        <w:rPr>
          <w:sz w:val="24"/>
          <w:szCs w:val="24"/>
        </w:rPr>
        <w:t>, Commissioner</w:t>
      </w:r>
    </w:p>
    <w:sectPr w:rsidR="001A7DD7" w:rsidRPr="002F52F4" w:rsidSect="00302C05">
      <w:headerReference w:type="default" r:id="rId8"/>
      <w:headerReference w:type="first" r:id="rId9"/>
      <w:pgSz w:w="12240" w:h="15840" w:code="1"/>
      <w:pgMar w:top="1440" w:right="1440" w:bottom="1440" w:left="2160" w:header="1440" w:footer="720" w:gutter="0"/>
      <w:paperSrc w:first="1025" w:other="102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9040B" w14:textId="77777777" w:rsidR="00DA5BF9" w:rsidRDefault="00DA5BF9">
      <w:r>
        <w:separator/>
      </w:r>
    </w:p>
  </w:endnote>
  <w:endnote w:type="continuationSeparator" w:id="0">
    <w:p w14:paraId="27E96CB0" w14:textId="77777777" w:rsidR="00DA5BF9" w:rsidRDefault="00DA5BF9">
      <w:r>
        <w:continuationSeparator/>
      </w:r>
    </w:p>
  </w:endnote>
  <w:endnote w:type="continuationNotice" w:id="1">
    <w:p w14:paraId="06C0290D" w14:textId="77777777" w:rsidR="00DA5BF9" w:rsidRDefault="00DA5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3CA91" w14:textId="77777777" w:rsidR="00DA5BF9" w:rsidRDefault="00DA5BF9">
      <w:r>
        <w:separator/>
      </w:r>
    </w:p>
  </w:footnote>
  <w:footnote w:type="continuationSeparator" w:id="0">
    <w:p w14:paraId="36E70928" w14:textId="77777777" w:rsidR="00DA5BF9" w:rsidRDefault="00DA5BF9">
      <w:r>
        <w:continuationSeparator/>
      </w:r>
    </w:p>
  </w:footnote>
  <w:footnote w:type="continuationNotice" w:id="1">
    <w:p w14:paraId="21CF2E85" w14:textId="77777777" w:rsidR="00DA5BF9" w:rsidRDefault="00DA5BF9"/>
  </w:footnote>
  <w:footnote w:id="2">
    <w:p w14:paraId="190AE7A3" w14:textId="77777777" w:rsidR="00817EB2" w:rsidRDefault="00817EB2">
      <w:pPr>
        <w:pStyle w:val="FootnoteText"/>
      </w:pPr>
      <w:r>
        <w:rPr>
          <w:rStyle w:val="FootnoteReference"/>
        </w:rPr>
        <w:footnoteRef/>
      </w:r>
      <w:r>
        <w:t xml:space="preserve"> </w:t>
      </w:r>
      <w:r w:rsidRPr="00211811">
        <w:t xml:space="preserve">In formal proceedings, such as this, the Commission’s regulatory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211811">
        <w:rPr>
          <w:i/>
        </w:rPr>
        <w:t>See</w:t>
      </w:r>
      <w:r w:rsidRPr="00211811">
        <w:t xml:space="preserve">, </w:t>
      </w:r>
      <w:r w:rsidRPr="00211811">
        <w:rPr>
          <w:iCs/>
        </w:rPr>
        <w:t>RCW 34.05.455.</w:t>
      </w:r>
    </w:p>
  </w:footnote>
  <w:footnote w:id="3">
    <w:p w14:paraId="52651ECC" w14:textId="77777777" w:rsidR="00817EB2" w:rsidRDefault="00817EB2" w:rsidP="00060E1A">
      <w:pPr>
        <w:pStyle w:val="FootnoteText"/>
      </w:pPr>
      <w:r>
        <w:rPr>
          <w:rStyle w:val="FootnoteReference"/>
        </w:rPr>
        <w:footnoteRef/>
      </w:r>
      <w:r>
        <w:t xml:space="preserve"> Settlement ¶ 3.</w:t>
      </w:r>
    </w:p>
  </w:footnote>
  <w:footnote w:id="4">
    <w:p w14:paraId="0C5B55FF" w14:textId="77777777" w:rsidR="00817EB2" w:rsidRDefault="00817EB2" w:rsidP="00060E1A">
      <w:pPr>
        <w:pStyle w:val="FootnoteText"/>
      </w:pPr>
      <w:r>
        <w:rPr>
          <w:rStyle w:val="FootnoteReference"/>
        </w:rPr>
        <w:footnoteRef/>
      </w:r>
      <w:r>
        <w:t xml:space="preserve"> Joint Motion for an Order Approving Settlement ¶ 2.</w:t>
      </w:r>
    </w:p>
  </w:footnote>
  <w:footnote w:id="5">
    <w:p w14:paraId="26FEE1F8" w14:textId="77777777" w:rsidR="00817EB2" w:rsidRPr="00254189" w:rsidRDefault="00817EB2" w:rsidP="00060E1A">
      <w:pPr>
        <w:pStyle w:val="FootnoteText"/>
      </w:pPr>
      <w:r>
        <w:rPr>
          <w:rStyle w:val="FootnoteReference"/>
        </w:rPr>
        <w:footnoteRef/>
      </w:r>
      <w:r>
        <w:t xml:space="preserve"> </w:t>
      </w:r>
      <w:r>
        <w:rPr>
          <w:i/>
        </w:rPr>
        <w:t>Id.</w:t>
      </w:r>
      <w:r>
        <w:t xml:space="preserve"> ¶ 4.</w:t>
      </w:r>
    </w:p>
  </w:footnote>
  <w:footnote w:id="6">
    <w:p w14:paraId="1B2FA1C4" w14:textId="77777777" w:rsidR="00817EB2" w:rsidRPr="00254189" w:rsidRDefault="00817EB2" w:rsidP="00060E1A">
      <w:pPr>
        <w:pStyle w:val="FootnoteText"/>
      </w:pPr>
      <w:r>
        <w:rPr>
          <w:rStyle w:val="FootnoteReference"/>
        </w:rPr>
        <w:footnoteRef/>
      </w:r>
      <w:r>
        <w:t xml:space="preserve"> </w:t>
      </w:r>
      <w:r>
        <w:rPr>
          <w:i/>
        </w:rPr>
        <w:t>Id.</w:t>
      </w:r>
      <w:r>
        <w:t xml:space="preserve"> ¶ 5. The statutory effective date of Avista’s general rate request in these combined dockets</w:t>
      </w:r>
      <w:r w:rsidR="00E5137E">
        <w:t>, absent a Commission final order,</w:t>
      </w:r>
      <w:r>
        <w:t xml:space="preserve"> is January 11, 2016.</w:t>
      </w:r>
    </w:p>
  </w:footnote>
  <w:footnote w:id="7">
    <w:p w14:paraId="0D5D984D" w14:textId="77777777" w:rsidR="00817EB2" w:rsidRPr="004A0AAC" w:rsidRDefault="00817EB2" w:rsidP="00060E1A">
      <w:pPr>
        <w:pStyle w:val="FootnoteText"/>
        <w:rPr>
          <w:i/>
        </w:rPr>
      </w:pPr>
      <w:r>
        <w:rPr>
          <w:rStyle w:val="FootnoteReference"/>
        </w:rPr>
        <w:footnoteRef/>
      </w:r>
      <w:r>
        <w:t xml:space="preserve"> </w:t>
      </w:r>
      <w:r>
        <w:rPr>
          <w:i/>
        </w:rPr>
        <w:t>Id.</w:t>
      </w:r>
    </w:p>
  </w:footnote>
  <w:footnote w:id="8">
    <w:p w14:paraId="5AA86902" w14:textId="77777777" w:rsidR="00014C2D" w:rsidRDefault="00014C2D" w:rsidP="00014C2D">
      <w:pPr>
        <w:pStyle w:val="FootnoteText"/>
      </w:pPr>
      <w:r>
        <w:rPr>
          <w:rStyle w:val="FootnoteReference"/>
        </w:rPr>
        <w:footnoteRef/>
      </w:r>
      <w:r>
        <w:t xml:space="preserve"> RCW 34.05.461(4).</w:t>
      </w:r>
    </w:p>
  </w:footnote>
  <w:footnote w:id="9">
    <w:p w14:paraId="09D163EC" w14:textId="77777777" w:rsidR="00817EB2" w:rsidRDefault="00817EB2">
      <w:pPr>
        <w:pStyle w:val="FootnoteText"/>
      </w:pPr>
      <w:r>
        <w:rPr>
          <w:rStyle w:val="FootnoteReference"/>
        </w:rPr>
        <w:footnoteRef/>
      </w:r>
      <w:r>
        <w:t xml:space="preserve"> RCW 80.04.130(1).</w:t>
      </w:r>
    </w:p>
  </w:footnote>
  <w:footnote w:id="10">
    <w:p w14:paraId="40F30151" w14:textId="77777777" w:rsidR="00817EB2" w:rsidRDefault="00817EB2">
      <w:pPr>
        <w:pStyle w:val="FootnoteText"/>
      </w:pPr>
      <w:r>
        <w:rPr>
          <w:rStyle w:val="FootnoteReference"/>
        </w:rPr>
        <w:footnoteRef/>
      </w:r>
      <w:r>
        <w:t xml:space="preserve"> </w:t>
      </w:r>
      <w:r w:rsidRPr="00664C57">
        <w:t>On February 2, 2015, Avista replaced its legacy Customer Information and Work Asset Management System following a multiyear project it called Project Compass.</w:t>
      </w:r>
      <w:r w:rsidRPr="00664C57">
        <w:rPr>
          <w:vertAlign w:val="superscript"/>
        </w:rPr>
        <w:footnoteRef/>
      </w:r>
      <w:r w:rsidRPr="00664C57">
        <w:t xml:space="preserve"> As the result of Project Compass, the Company installed and now uses Oracle’s </w:t>
      </w:r>
      <w:r w:rsidRPr="00664C57">
        <w:rPr>
          <w:i/>
        </w:rPr>
        <w:t>Customer Care &amp; Billing</w:t>
      </w:r>
      <w:r w:rsidRPr="00664C57">
        <w:t xml:space="preserve"> system and IBM’s </w:t>
      </w:r>
      <w:r w:rsidRPr="00664C57">
        <w:rPr>
          <w:i/>
        </w:rPr>
        <w:t>Maximo</w:t>
      </w:r>
      <w:r w:rsidRPr="00664C57">
        <w:t xml:space="preserve"> work and asset management application.</w:t>
      </w:r>
      <w:r>
        <w:t xml:space="preserve"> In this case, Avista sought recovery of costs associated with the project.</w:t>
      </w:r>
    </w:p>
  </w:footnote>
  <w:footnote w:id="11">
    <w:p w14:paraId="45865D30" w14:textId="77777777" w:rsidR="00817EB2" w:rsidRDefault="00817EB2">
      <w:pPr>
        <w:pStyle w:val="FootnoteText"/>
      </w:pPr>
      <w:r>
        <w:rPr>
          <w:rStyle w:val="FootnoteReference"/>
        </w:rPr>
        <w:footnoteRef/>
      </w:r>
      <w:r>
        <w:t xml:space="preserve"> Order 05 ¶</w:t>
      </w:r>
      <w:r w:rsidR="00D85A2D">
        <w:t xml:space="preserve"> </w:t>
      </w:r>
      <w:r>
        <w:t>47 and accompanying n. 60.</w:t>
      </w:r>
    </w:p>
  </w:footnote>
  <w:footnote w:id="12">
    <w:p w14:paraId="4EB1CF55" w14:textId="77777777" w:rsidR="00817EB2" w:rsidRDefault="00817EB2">
      <w:pPr>
        <w:pStyle w:val="FootnoteText"/>
      </w:pPr>
      <w:r>
        <w:rPr>
          <w:rStyle w:val="FootnoteReference"/>
        </w:rPr>
        <w:footnoteRef/>
      </w:r>
      <w:r>
        <w:t xml:space="preserve"> Order 05 ¶</w:t>
      </w:r>
      <w:r w:rsidR="00D85A2D">
        <w:t xml:space="preserve"> </w:t>
      </w:r>
      <w:r>
        <w:t>111.</w:t>
      </w:r>
    </w:p>
  </w:footnote>
  <w:footnote w:id="13">
    <w:p w14:paraId="166BC201" w14:textId="77777777" w:rsidR="00817EB2" w:rsidRDefault="00817EB2">
      <w:pPr>
        <w:pStyle w:val="FootnoteText"/>
      </w:pPr>
      <w:r>
        <w:rPr>
          <w:rStyle w:val="FootnoteReference"/>
        </w:rPr>
        <w:footnoteRef/>
      </w:r>
      <w:r>
        <w:t xml:space="preserve"> </w:t>
      </w:r>
      <w:r w:rsidRPr="007F731F">
        <w:rPr>
          <w:i/>
        </w:rPr>
        <w:t xml:space="preserve">See </w:t>
      </w:r>
      <w:r>
        <w:t xml:space="preserve">Order 05 ¶¶ 129, 132 – 135. </w:t>
      </w:r>
    </w:p>
  </w:footnote>
  <w:footnote w:id="14">
    <w:p w14:paraId="3EFE56D6" w14:textId="77777777" w:rsidR="00817EB2" w:rsidRDefault="00817EB2">
      <w:pPr>
        <w:pStyle w:val="FootnoteText"/>
      </w:pPr>
      <w:r>
        <w:rPr>
          <w:rStyle w:val="FootnoteReference"/>
        </w:rPr>
        <w:footnoteRef/>
      </w:r>
      <w:r>
        <w:t xml:space="preserve"> Email from Marguerite E. Friedlander, Administrative Law Judge, Commission, to parties in Dockets UE-150204 and UG-150205 (consolidated), January 6, 2016 (citing WAC 480-07-840(1)(b)</w:t>
      </w:r>
      <w:r w:rsidR="001971EC">
        <w:t>)</w:t>
      </w:r>
      <w:r>
        <w:t xml:space="preserve">. The Energy Project was unable to </w:t>
      </w:r>
      <w:r w:rsidR="001971EC">
        <w:t>participate in</w:t>
      </w:r>
      <w:r>
        <w:t xml:space="preserve"> the conference but raise</w:t>
      </w:r>
      <w:r w:rsidR="001971EC">
        <w:t>d no</w:t>
      </w:r>
      <w:r>
        <w:t xml:space="preserve"> objection</w:t>
      </w:r>
      <w:r w:rsidR="001971EC">
        <w:t xml:space="preserve"> to it</w:t>
      </w:r>
      <w:r>
        <w:t>.</w:t>
      </w:r>
    </w:p>
  </w:footnote>
  <w:footnote w:id="15">
    <w:p w14:paraId="3E562B9B" w14:textId="77777777" w:rsidR="00817EB2" w:rsidRDefault="00817EB2">
      <w:pPr>
        <w:pStyle w:val="FootnoteText"/>
      </w:pPr>
      <w:r>
        <w:rPr>
          <w:rStyle w:val="FootnoteReference"/>
        </w:rPr>
        <w:footnoteRef/>
      </w:r>
      <w:r>
        <w:t xml:space="preserve"> Joint Motion for Clarification ¶ 6. Joint Parties also request a typographical correction to Footnote 72 in Order 05 removing reference to Public Counsel. We agree that this typographical error needs editing and will address the issue in a subsequent errata order.</w:t>
      </w:r>
    </w:p>
  </w:footnote>
  <w:footnote w:id="16">
    <w:p w14:paraId="0AD3A750" w14:textId="77777777" w:rsidR="00817EB2" w:rsidRDefault="00817EB2" w:rsidP="00A35416">
      <w:pPr>
        <w:pStyle w:val="FootnoteText"/>
      </w:pPr>
      <w:r>
        <w:rPr>
          <w:rStyle w:val="FootnoteReference"/>
        </w:rPr>
        <w:footnoteRef/>
      </w:r>
      <w:r>
        <w:t xml:space="preserve"> Settlement ¶ 5(a) (May 1, 2015).</w:t>
      </w:r>
    </w:p>
  </w:footnote>
  <w:footnote w:id="17">
    <w:p w14:paraId="74C65EE8" w14:textId="77777777" w:rsidR="00817EB2" w:rsidRPr="009F67FF" w:rsidRDefault="00817EB2">
      <w:pPr>
        <w:pStyle w:val="FootnoteText"/>
      </w:pPr>
      <w:r>
        <w:rPr>
          <w:rStyle w:val="FootnoteReference"/>
        </w:rPr>
        <w:footnoteRef/>
      </w:r>
      <w:r>
        <w:t xml:space="preserve"> </w:t>
      </w:r>
      <w:r>
        <w:rPr>
          <w:i/>
        </w:rPr>
        <w:t xml:space="preserve">Id. </w:t>
      </w:r>
      <w:r>
        <w:t>(emphasis added).</w:t>
      </w:r>
    </w:p>
  </w:footnote>
  <w:footnote w:id="18">
    <w:p w14:paraId="7933E8FB" w14:textId="77777777" w:rsidR="00817EB2" w:rsidRDefault="00817EB2">
      <w:pPr>
        <w:pStyle w:val="FootnoteText"/>
      </w:pPr>
      <w:r>
        <w:rPr>
          <w:rStyle w:val="FootnoteReference"/>
        </w:rPr>
        <w:footnoteRef/>
      </w:r>
      <w:r>
        <w:t xml:space="preserve"> Staff styles its filing as a “Motion to Reconsider.” The Commission’s procedural rules, however, call for “Reconsideration of a final order by petition,” not by motion. This, in itself, is a technicality of no particular consequence. However, as discussed in the body of this order, it appears that what Staff seeks is clarification by motion, not reconsideration by petition. We nevertheless will refer in this order to</w:t>
      </w:r>
      <w:r w:rsidRPr="003F09BA">
        <w:rPr>
          <w:sz w:val="26"/>
          <w:szCs w:val="26"/>
        </w:rPr>
        <w:t xml:space="preserve"> </w:t>
      </w:r>
      <w:r w:rsidRPr="003F09BA">
        <w:t xml:space="preserve">Staff’s filing as a “Petition for Reconsideration.” </w:t>
      </w:r>
      <w:r>
        <w:t xml:space="preserve"> </w:t>
      </w:r>
    </w:p>
  </w:footnote>
  <w:footnote w:id="19">
    <w:p w14:paraId="577DEB61" w14:textId="77777777" w:rsidR="00817EB2" w:rsidRDefault="00817EB2">
      <w:pPr>
        <w:pStyle w:val="FootnoteText"/>
      </w:pPr>
      <w:r>
        <w:rPr>
          <w:rStyle w:val="FootnoteReference"/>
        </w:rPr>
        <w:footnoteRef/>
      </w:r>
      <w:r>
        <w:t xml:space="preserve"> Staff’s Petition </w:t>
      </w:r>
      <w:r w:rsidR="001971EC">
        <w:t>for</w:t>
      </w:r>
      <w:r>
        <w:t xml:space="preserve"> Reconsider</w:t>
      </w:r>
      <w:r w:rsidR="001971EC">
        <w:t>ation</w:t>
      </w:r>
      <w:r>
        <w:t xml:space="preserve"> ¶</w:t>
      </w:r>
      <w:r w:rsidR="00415210">
        <w:t xml:space="preserve"> </w:t>
      </w:r>
      <w:r>
        <w:t>4.</w:t>
      </w:r>
    </w:p>
  </w:footnote>
  <w:footnote w:id="20">
    <w:p w14:paraId="14BBCE5E" w14:textId="77777777" w:rsidR="00817EB2" w:rsidRPr="00E3582F" w:rsidRDefault="00817EB2">
      <w:pPr>
        <w:pStyle w:val="FootnoteText"/>
      </w:pPr>
      <w:r>
        <w:rPr>
          <w:rStyle w:val="FootnoteReference"/>
        </w:rPr>
        <w:footnoteRef/>
      </w:r>
      <w:r>
        <w:t xml:space="preserve"> </w:t>
      </w:r>
      <w:r>
        <w:rPr>
          <w:i/>
        </w:rPr>
        <w:t>Id.</w:t>
      </w:r>
      <w:r>
        <w:t xml:space="preserve"> ¶ 7 (Table 2).</w:t>
      </w:r>
    </w:p>
  </w:footnote>
  <w:footnote w:id="21">
    <w:p w14:paraId="03E8B5BB" w14:textId="77777777" w:rsidR="00817EB2" w:rsidRPr="00E3582F" w:rsidRDefault="00817EB2">
      <w:pPr>
        <w:pStyle w:val="FootnoteText"/>
      </w:pPr>
      <w:r>
        <w:rPr>
          <w:rStyle w:val="FootnoteReference"/>
        </w:rPr>
        <w:footnoteRef/>
      </w:r>
      <w:r>
        <w:t xml:space="preserve"> </w:t>
      </w:r>
      <w:r>
        <w:rPr>
          <w:i/>
        </w:rPr>
        <w:t>Id.</w:t>
      </w:r>
      <w:r>
        <w:t xml:space="preserve"> ¶ 9.</w:t>
      </w:r>
    </w:p>
  </w:footnote>
  <w:footnote w:id="22">
    <w:p w14:paraId="119088A6" w14:textId="77777777" w:rsidR="00817EB2" w:rsidRPr="00E3582F" w:rsidRDefault="00817EB2">
      <w:pPr>
        <w:pStyle w:val="FootnoteText"/>
        <w:rPr>
          <w:i/>
        </w:rPr>
      </w:pPr>
      <w:r>
        <w:rPr>
          <w:rStyle w:val="FootnoteReference"/>
        </w:rPr>
        <w:footnoteRef/>
      </w:r>
      <w:r>
        <w:t xml:space="preserve"> </w:t>
      </w:r>
      <w:r>
        <w:rPr>
          <w:i/>
        </w:rPr>
        <w:t>Id.</w:t>
      </w:r>
    </w:p>
  </w:footnote>
  <w:footnote w:id="23">
    <w:p w14:paraId="70D7073E" w14:textId="77777777" w:rsidR="00817EB2" w:rsidRDefault="00817EB2">
      <w:pPr>
        <w:pStyle w:val="FootnoteText"/>
      </w:pPr>
      <w:r>
        <w:rPr>
          <w:rStyle w:val="FootnoteReference"/>
        </w:rPr>
        <w:footnoteRef/>
      </w:r>
      <w:r>
        <w:t xml:space="preserve"> </w:t>
      </w:r>
      <w:r w:rsidRPr="007F731F">
        <w:rPr>
          <w:i/>
        </w:rPr>
        <w:t>Id.</w:t>
      </w:r>
      <w:r>
        <w:t xml:space="preserve"> ¶10.</w:t>
      </w:r>
    </w:p>
  </w:footnote>
  <w:footnote w:id="24">
    <w:p w14:paraId="043DC58C" w14:textId="77777777" w:rsidR="00817EB2" w:rsidRDefault="00817EB2">
      <w:pPr>
        <w:pStyle w:val="FootnoteText"/>
      </w:pPr>
      <w:r>
        <w:rPr>
          <w:rStyle w:val="FootnoteReference"/>
        </w:rPr>
        <w:footnoteRef/>
      </w:r>
      <w:r>
        <w:t xml:space="preserve"> </w:t>
      </w:r>
      <w:r w:rsidRPr="007F731F">
        <w:rPr>
          <w:i/>
        </w:rPr>
        <w:t>Id.</w:t>
      </w:r>
    </w:p>
  </w:footnote>
  <w:footnote w:id="25">
    <w:p w14:paraId="50D02E40" w14:textId="77777777" w:rsidR="00817EB2" w:rsidRPr="00D50429" w:rsidRDefault="00817EB2">
      <w:pPr>
        <w:pStyle w:val="FootnoteText"/>
      </w:pPr>
      <w:r>
        <w:rPr>
          <w:rStyle w:val="FootnoteReference"/>
        </w:rPr>
        <w:footnoteRef/>
      </w:r>
      <w:r>
        <w:t xml:space="preserve"> </w:t>
      </w:r>
      <w:r>
        <w:rPr>
          <w:i/>
        </w:rPr>
        <w:t>Id.</w:t>
      </w:r>
      <w:r>
        <w:t xml:space="preserve"> ¶ 16 (Table 1).</w:t>
      </w:r>
    </w:p>
  </w:footnote>
  <w:footnote w:id="26">
    <w:p w14:paraId="5D8B3566" w14:textId="77777777" w:rsidR="00817EB2" w:rsidRPr="00767F19" w:rsidRDefault="00817EB2">
      <w:pPr>
        <w:pStyle w:val="FootnoteText"/>
      </w:pPr>
      <w:r>
        <w:rPr>
          <w:rStyle w:val="FootnoteReference"/>
        </w:rPr>
        <w:footnoteRef/>
      </w:r>
      <w:r>
        <w:t xml:space="preserve"> </w:t>
      </w:r>
      <w:r>
        <w:rPr>
          <w:i/>
        </w:rPr>
        <w:t>Id.</w:t>
      </w:r>
      <w:r>
        <w:t xml:space="preserve"> ¶ 9.</w:t>
      </w:r>
    </w:p>
  </w:footnote>
  <w:footnote w:id="27">
    <w:p w14:paraId="408C7654" w14:textId="77777777" w:rsidR="00817EB2" w:rsidRPr="00767F19" w:rsidRDefault="00817EB2">
      <w:pPr>
        <w:pStyle w:val="FootnoteText"/>
        <w:rPr>
          <w:i/>
        </w:rPr>
      </w:pPr>
      <w:r>
        <w:rPr>
          <w:rStyle w:val="FootnoteReference"/>
        </w:rPr>
        <w:footnoteRef/>
      </w:r>
      <w:r>
        <w:t xml:space="preserve"> </w:t>
      </w:r>
      <w:r>
        <w:rPr>
          <w:i/>
        </w:rPr>
        <w:t>Id.</w:t>
      </w:r>
    </w:p>
  </w:footnote>
  <w:footnote w:id="28">
    <w:p w14:paraId="67A43A0C" w14:textId="77777777" w:rsidR="00817EB2" w:rsidRPr="00206153" w:rsidRDefault="00817EB2">
      <w:pPr>
        <w:pStyle w:val="FootnoteText"/>
      </w:pPr>
      <w:r>
        <w:rPr>
          <w:rStyle w:val="FootnoteReference"/>
        </w:rPr>
        <w:footnoteRef/>
      </w:r>
      <w:r>
        <w:t xml:space="preserve"> </w:t>
      </w:r>
      <w:r>
        <w:rPr>
          <w:i/>
        </w:rPr>
        <w:t>Id.</w:t>
      </w:r>
      <w:r>
        <w:t xml:space="preserve"> ¶ 16.</w:t>
      </w:r>
    </w:p>
  </w:footnote>
  <w:footnote w:id="29">
    <w:p w14:paraId="2253CDC8" w14:textId="77777777" w:rsidR="00817EB2" w:rsidRPr="00206153" w:rsidRDefault="00817EB2">
      <w:pPr>
        <w:pStyle w:val="FootnoteText"/>
      </w:pPr>
      <w:r>
        <w:rPr>
          <w:rStyle w:val="FootnoteReference"/>
        </w:rPr>
        <w:footnoteRef/>
      </w:r>
      <w:r>
        <w:t xml:space="preserve"> </w:t>
      </w:r>
      <w:r>
        <w:rPr>
          <w:i/>
        </w:rPr>
        <w:t>Id.</w:t>
      </w:r>
      <w:r>
        <w:t xml:space="preserve"> ¶ 18. Avista calculates the ROE opportunities for either ICNU/Public Counsel’s or Staff’s Motions at 8.21 percent and 7.50 percent, respectively.</w:t>
      </w:r>
    </w:p>
  </w:footnote>
  <w:footnote w:id="30">
    <w:p w14:paraId="040A28F5" w14:textId="77777777" w:rsidR="00817EB2" w:rsidRPr="00E3426D" w:rsidRDefault="00817EB2">
      <w:pPr>
        <w:pStyle w:val="FootnoteText"/>
      </w:pPr>
      <w:r>
        <w:rPr>
          <w:rStyle w:val="FootnoteReference"/>
        </w:rPr>
        <w:footnoteRef/>
      </w:r>
      <w:r>
        <w:t xml:space="preserve"> </w:t>
      </w:r>
      <w:r>
        <w:rPr>
          <w:i/>
        </w:rPr>
        <w:t>Id.</w:t>
      </w:r>
      <w:r>
        <w:t xml:space="preserve"> ¶ 21 (citing </w:t>
      </w:r>
      <w:r>
        <w:rPr>
          <w:i/>
        </w:rPr>
        <w:t>Fed. Power Comm’n v. Hope Natural Gas Co.,</w:t>
      </w:r>
      <w:r>
        <w:t xml:space="preserve"> 320 U.S. 591, 603, 64 S. Ct. 281, 88 L. Ed. 333 (1944)).</w:t>
      </w:r>
    </w:p>
  </w:footnote>
  <w:footnote w:id="31">
    <w:p w14:paraId="14D1F46E" w14:textId="77777777" w:rsidR="00126662" w:rsidRPr="00126662" w:rsidRDefault="00817EB2" w:rsidP="00126662">
      <w:pPr>
        <w:pStyle w:val="FootnoteText"/>
      </w:pPr>
      <w:r>
        <w:rPr>
          <w:rStyle w:val="FootnoteReference"/>
        </w:rPr>
        <w:footnoteRef/>
      </w:r>
      <w:r>
        <w:t xml:space="preserve"> </w:t>
      </w:r>
      <w:r w:rsidRPr="00CD0E4C">
        <w:t>WAC 480-07-830</w:t>
      </w:r>
      <w:r>
        <w:t xml:space="preserve"> (emphasis added).</w:t>
      </w:r>
      <w:r w:rsidR="00126662" w:rsidRPr="00126662">
        <w:t xml:space="preserve"> The Commission’s procedural rules provide: </w:t>
      </w:r>
    </w:p>
    <w:p w14:paraId="559AE6FE" w14:textId="77777777" w:rsidR="00126662" w:rsidRPr="00126662" w:rsidRDefault="00126662" w:rsidP="0049552B">
      <w:pPr>
        <w:pStyle w:val="FootnoteText"/>
        <w:ind w:left="720" w:right="720"/>
      </w:pPr>
      <w:r w:rsidRPr="00126662">
        <w:t>The commission may grant an exemption from or modify the application of its rules in individual cases if consistent with the public interest, the purposes underlying regulation, and applicable statutes. The commission may modify the application of procedural rules in this chapter during a particular adjudication consistent with other adjudicative decisions, without following the process identified in subsection (2) of this section.</w:t>
      </w:r>
    </w:p>
    <w:p w14:paraId="329C7F9B" w14:textId="77777777" w:rsidR="00817EB2" w:rsidRDefault="00126662" w:rsidP="00126662">
      <w:pPr>
        <w:pStyle w:val="FootnoteText"/>
      </w:pPr>
      <w:r w:rsidRPr="00126662">
        <w:t>WAC 480-07-110(1). While Staff’s motion and Avista’s answer refer to a “waiver” of the rules, the rule refers to a exemption, which the Commission may grant during an adjudication.</w:t>
      </w:r>
    </w:p>
  </w:footnote>
  <w:footnote w:id="32">
    <w:p w14:paraId="38D83546" w14:textId="77777777" w:rsidR="00817EB2" w:rsidRDefault="00817EB2">
      <w:pPr>
        <w:pStyle w:val="FootnoteText"/>
      </w:pPr>
      <w:r>
        <w:rPr>
          <w:rStyle w:val="FootnoteReference"/>
        </w:rPr>
        <w:footnoteRef/>
      </w:r>
      <w:r>
        <w:t xml:space="preserve"> Staff’s Motion to Reopen at 2-3.</w:t>
      </w:r>
    </w:p>
  </w:footnote>
  <w:footnote w:id="33">
    <w:p w14:paraId="5980A1B5" w14:textId="77777777" w:rsidR="00817EB2" w:rsidRDefault="00817EB2">
      <w:pPr>
        <w:pStyle w:val="FootnoteText"/>
      </w:pPr>
      <w:r>
        <w:rPr>
          <w:rStyle w:val="FootnoteReference"/>
        </w:rPr>
        <w:footnoteRef/>
      </w:r>
      <w:r>
        <w:t xml:space="preserve"> </w:t>
      </w:r>
      <w:r>
        <w:rPr>
          <w:i/>
        </w:rPr>
        <w:t>Id.</w:t>
      </w:r>
      <w:r>
        <w:t xml:space="preserve"> at 3.</w:t>
      </w:r>
    </w:p>
  </w:footnote>
  <w:footnote w:id="34">
    <w:p w14:paraId="36C89072" w14:textId="77777777" w:rsidR="00817EB2" w:rsidRPr="00C4374D" w:rsidRDefault="00817EB2">
      <w:pPr>
        <w:pStyle w:val="FootnoteText"/>
        <w:rPr>
          <w:i/>
        </w:rPr>
      </w:pPr>
      <w:r>
        <w:rPr>
          <w:rStyle w:val="FootnoteReference"/>
        </w:rPr>
        <w:footnoteRef/>
      </w:r>
      <w:r>
        <w:t xml:space="preserve"> </w:t>
      </w:r>
      <w:r>
        <w:rPr>
          <w:i/>
        </w:rPr>
        <w:t>Id. (</w:t>
      </w:r>
      <w:r w:rsidR="00126662">
        <w:rPr>
          <w:i/>
        </w:rPr>
        <w:t xml:space="preserve">emphasis </w:t>
      </w:r>
      <w:r>
        <w:rPr>
          <w:i/>
        </w:rPr>
        <w:t>added)</w:t>
      </w:r>
    </w:p>
  </w:footnote>
  <w:footnote w:id="35">
    <w:p w14:paraId="475A2A46" w14:textId="77777777" w:rsidR="00817EB2" w:rsidRPr="00C4374D" w:rsidRDefault="00817EB2" w:rsidP="00ED1C44">
      <w:pPr>
        <w:pStyle w:val="FootnoteText"/>
      </w:pPr>
      <w:r>
        <w:rPr>
          <w:rStyle w:val="FootnoteReference"/>
        </w:rPr>
        <w:footnoteRef/>
      </w:r>
      <w:r>
        <w:t xml:space="preserve"> </w:t>
      </w:r>
      <w:r>
        <w:rPr>
          <w:i/>
        </w:rPr>
        <w:t>Id.</w:t>
      </w:r>
      <w:r>
        <w:t xml:space="preserve"> </w:t>
      </w:r>
      <w:r w:rsidR="00F11928">
        <w:t>Commission Staff’s Petition for Reconsideration supports a $27.4 million adjustment. Staff’s response to Bench Request 19 shows an adjustment of $27.7 million. Staff’s Motion to Reopen the Record, based on a third set of calculations shows an adjustment of $19.6 million.</w:t>
      </w:r>
    </w:p>
  </w:footnote>
  <w:footnote w:id="36">
    <w:p w14:paraId="6914967F" w14:textId="77777777" w:rsidR="00817EB2" w:rsidRDefault="00817EB2">
      <w:pPr>
        <w:pStyle w:val="FootnoteText"/>
      </w:pPr>
      <w:r>
        <w:rPr>
          <w:rStyle w:val="FootnoteReference"/>
        </w:rPr>
        <w:footnoteRef/>
      </w:r>
      <w:r>
        <w:t xml:space="preserve"> Avista’s Response ¶¶ 19-20.</w:t>
      </w:r>
    </w:p>
  </w:footnote>
  <w:footnote w:id="37">
    <w:p w14:paraId="55DE6286" w14:textId="77777777" w:rsidR="00817EB2" w:rsidRPr="004E03BE" w:rsidRDefault="00817EB2">
      <w:pPr>
        <w:pStyle w:val="FootnoteText"/>
      </w:pPr>
      <w:r>
        <w:rPr>
          <w:rStyle w:val="FootnoteReference"/>
        </w:rPr>
        <w:footnoteRef/>
      </w:r>
      <w:r>
        <w:t xml:space="preserve"> </w:t>
      </w:r>
      <w:r>
        <w:rPr>
          <w:i/>
        </w:rPr>
        <w:t>Id.</w:t>
      </w:r>
      <w:r>
        <w:t xml:space="preserve"> ¶ 24.</w:t>
      </w:r>
    </w:p>
  </w:footnote>
  <w:footnote w:id="38">
    <w:p w14:paraId="4F768718" w14:textId="77777777" w:rsidR="00817EB2" w:rsidRPr="00E0303F" w:rsidRDefault="00817EB2">
      <w:pPr>
        <w:pStyle w:val="FootnoteText"/>
      </w:pPr>
      <w:r>
        <w:rPr>
          <w:rStyle w:val="FootnoteReference"/>
        </w:rPr>
        <w:footnoteRef/>
      </w:r>
      <w:r>
        <w:t xml:space="preserve"> </w:t>
      </w:r>
      <w:r>
        <w:rPr>
          <w:i/>
        </w:rPr>
        <w:t>Id.</w:t>
      </w:r>
      <w:r>
        <w:t xml:space="preserve"> ¶ 28.</w:t>
      </w:r>
    </w:p>
  </w:footnote>
  <w:footnote w:id="39">
    <w:p w14:paraId="11298A73" w14:textId="77777777" w:rsidR="00817EB2" w:rsidRPr="00E0303F" w:rsidRDefault="00817EB2">
      <w:pPr>
        <w:pStyle w:val="FootnoteText"/>
      </w:pPr>
      <w:r>
        <w:rPr>
          <w:rStyle w:val="FootnoteReference"/>
        </w:rPr>
        <w:footnoteRef/>
      </w:r>
      <w:r>
        <w:t xml:space="preserve"> </w:t>
      </w:r>
      <w:r>
        <w:rPr>
          <w:i/>
        </w:rPr>
        <w:t>Id.</w:t>
      </w:r>
      <w:r>
        <w:t xml:space="preserve"> ¶¶ 28-29.</w:t>
      </w:r>
    </w:p>
  </w:footnote>
  <w:footnote w:id="40">
    <w:p w14:paraId="01B11262" w14:textId="77777777" w:rsidR="00817EB2" w:rsidRDefault="00817EB2" w:rsidP="004F48FE">
      <w:pPr>
        <w:pStyle w:val="FootnoteText"/>
      </w:pPr>
      <w:r>
        <w:rPr>
          <w:rStyle w:val="FootnoteReference"/>
        </w:rPr>
        <w:footnoteRef/>
      </w:r>
      <w:r>
        <w:t xml:space="preserve"> Joint Parties’ Response ¶¶ 3-5. </w:t>
      </w:r>
    </w:p>
  </w:footnote>
  <w:footnote w:id="41">
    <w:p w14:paraId="011ADA59" w14:textId="77777777" w:rsidR="00817EB2" w:rsidRPr="00446D25" w:rsidRDefault="00817EB2">
      <w:pPr>
        <w:pStyle w:val="FootnoteText"/>
      </w:pPr>
      <w:r>
        <w:rPr>
          <w:rStyle w:val="FootnoteReference"/>
        </w:rPr>
        <w:footnoteRef/>
      </w:r>
      <w:r>
        <w:t xml:space="preserve"> </w:t>
      </w:r>
      <w:r>
        <w:rPr>
          <w:i/>
        </w:rPr>
        <w:t>Id.</w:t>
      </w:r>
      <w:r>
        <w:t xml:space="preserve"> ¶ 6.</w:t>
      </w:r>
    </w:p>
  </w:footnote>
  <w:footnote w:id="42">
    <w:p w14:paraId="7E374A45" w14:textId="77777777" w:rsidR="00817EB2" w:rsidRPr="00866BBF" w:rsidRDefault="00817EB2">
      <w:pPr>
        <w:pStyle w:val="FootnoteText"/>
      </w:pPr>
      <w:r>
        <w:rPr>
          <w:rStyle w:val="FootnoteReference"/>
        </w:rPr>
        <w:footnoteRef/>
      </w:r>
      <w:r>
        <w:t xml:space="preserve"> </w:t>
      </w:r>
      <w:r>
        <w:rPr>
          <w:i/>
        </w:rPr>
        <w:t>Id.</w:t>
      </w:r>
    </w:p>
  </w:footnote>
  <w:footnote w:id="43">
    <w:p w14:paraId="2A2923E9" w14:textId="77777777" w:rsidR="00817EB2" w:rsidRPr="00866BBF" w:rsidRDefault="00817EB2">
      <w:pPr>
        <w:pStyle w:val="FootnoteText"/>
      </w:pPr>
      <w:r>
        <w:rPr>
          <w:rStyle w:val="FootnoteReference"/>
        </w:rPr>
        <w:footnoteRef/>
      </w:r>
      <w:r>
        <w:t xml:space="preserve"> </w:t>
      </w:r>
      <w:r>
        <w:rPr>
          <w:i/>
        </w:rPr>
        <w:t>Id.</w:t>
      </w:r>
      <w:r>
        <w:t xml:space="preserve"> ¶ 9.</w:t>
      </w:r>
    </w:p>
  </w:footnote>
  <w:footnote w:id="44">
    <w:p w14:paraId="07536934" w14:textId="77777777" w:rsidR="00817EB2" w:rsidRPr="00866BBF" w:rsidRDefault="00817EB2">
      <w:pPr>
        <w:pStyle w:val="FootnoteText"/>
      </w:pPr>
      <w:r>
        <w:rPr>
          <w:rStyle w:val="FootnoteReference"/>
        </w:rPr>
        <w:footnoteRef/>
      </w:r>
      <w:r>
        <w:t xml:space="preserve"> </w:t>
      </w:r>
      <w:r>
        <w:rPr>
          <w:i/>
        </w:rPr>
        <w:t>Id</w:t>
      </w:r>
      <w:r w:rsidR="003F047D">
        <w:rPr>
          <w:i/>
        </w:rPr>
        <w:t>.</w:t>
      </w:r>
      <w:r>
        <w:t xml:space="preserve"> ¶ 15.</w:t>
      </w:r>
    </w:p>
  </w:footnote>
  <w:footnote w:id="45">
    <w:p w14:paraId="25F7B547" w14:textId="77777777" w:rsidR="00817EB2" w:rsidRDefault="00817EB2">
      <w:pPr>
        <w:pStyle w:val="FootnoteText"/>
      </w:pPr>
      <w:r>
        <w:rPr>
          <w:rStyle w:val="FootnoteReference"/>
        </w:rPr>
        <w:footnoteRef/>
      </w:r>
      <w:r>
        <w:t xml:space="preserve"> Emphasis added.</w:t>
      </w:r>
    </w:p>
  </w:footnote>
  <w:footnote w:id="46">
    <w:p w14:paraId="2AF21FEA" w14:textId="77777777" w:rsidR="00817EB2" w:rsidRDefault="00817EB2">
      <w:pPr>
        <w:pStyle w:val="FootnoteText"/>
      </w:pPr>
      <w:r>
        <w:rPr>
          <w:rStyle w:val="FootnoteReference"/>
        </w:rPr>
        <w:footnoteRef/>
      </w:r>
      <w:r>
        <w:t xml:space="preserve"> Staff’s </w:t>
      </w:r>
      <w:r w:rsidR="0017743D">
        <w:t>Petition for Reconsideration</w:t>
      </w:r>
      <w:r>
        <w:t xml:space="preserve"> ¶ 4.</w:t>
      </w:r>
    </w:p>
  </w:footnote>
  <w:footnote w:id="47">
    <w:p w14:paraId="25BF138D" w14:textId="77777777" w:rsidR="00817EB2" w:rsidRDefault="00817EB2">
      <w:pPr>
        <w:pStyle w:val="FootnoteText"/>
      </w:pPr>
      <w:r>
        <w:rPr>
          <w:rStyle w:val="FootnoteReference"/>
        </w:rPr>
        <w:footnoteRef/>
      </w:r>
      <w:r>
        <w:t xml:space="preserve"> WAC 480-07-830.</w:t>
      </w:r>
    </w:p>
  </w:footnote>
  <w:footnote w:id="48">
    <w:p w14:paraId="2E5DBCE6" w14:textId="77777777" w:rsidR="00995279" w:rsidRDefault="004041E3" w:rsidP="00995279">
      <w:pPr>
        <w:pStyle w:val="FootnoteText"/>
      </w:pPr>
      <w:r>
        <w:rPr>
          <w:rStyle w:val="FootnoteReference"/>
        </w:rPr>
        <w:footnoteRef/>
      </w:r>
      <w:r>
        <w:t xml:space="preserve"> </w:t>
      </w:r>
      <w:r w:rsidR="00995279">
        <w:t xml:space="preserve">We reject out of hand the Joint Parties’ argument that Order 05 is not a final order. That </w:t>
      </w:r>
      <w:r w:rsidR="00126662">
        <w:t xml:space="preserve">this </w:t>
      </w:r>
      <w:r w:rsidR="00995279">
        <w:t>argument is incorrect is demonstrated, among other things, by language in the Commission’s rules governing motions for clarification and petitions for reconsideration. WAC 480-07-835 provides:</w:t>
      </w:r>
    </w:p>
    <w:p w14:paraId="5D2491A1" w14:textId="77777777" w:rsidR="00995279" w:rsidRDefault="00995279" w:rsidP="00995279">
      <w:pPr>
        <w:pStyle w:val="FootnoteText"/>
        <w:ind w:left="720" w:right="720"/>
      </w:pPr>
      <w:r w:rsidRPr="007C7DFC">
        <w:t>Filing a petition for clarification tolls the time for judicial review but does not toll the time for compliance with the final order of which clarification is sought.</w:t>
      </w:r>
    </w:p>
    <w:p w14:paraId="5EF3B1AA" w14:textId="77777777" w:rsidR="00995279" w:rsidRDefault="00995279" w:rsidP="00995279">
      <w:pPr>
        <w:pStyle w:val="FootnoteText"/>
      </w:pPr>
      <w:r>
        <w:t>WAC 480-07-840 provides:</w:t>
      </w:r>
    </w:p>
    <w:p w14:paraId="45F3C157" w14:textId="77777777" w:rsidR="00995279" w:rsidRDefault="00995279" w:rsidP="00995279">
      <w:pPr>
        <w:pStyle w:val="FootnoteText"/>
        <w:ind w:left="720" w:right="720"/>
      </w:pPr>
      <w:r w:rsidRPr="00817EB2">
        <w:t>An order conference will not stay the effect of an order, the time for compliance, the time for securing post-order review, or the time for petitioning for judicial review, unless the conference results in a supplemental commission order, which then becomes a final order subject to review. An order conference does not constitute a formal interpretation of an order. The final order that is the subject of an order conference will remain the sole expression of the commission's decision unless supplemented through an additional order.</w:t>
      </w:r>
    </w:p>
    <w:p w14:paraId="334D06BD" w14:textId="77777777" w:rsidR="00995279" w:rsidRDefault="00995279" w:rsidP="00995279">
      <w:pPr>
        <w:pStyle w:val="FootnoteText"/>
      </w:pPr>
      <w:r>
        <w:t xml:space="preserve">WAC 480-07-850 provides: </w:t>
      </w:r>
    </w:p>
    <w:p w14:paraId="2D085C39" w14:textId="77777777" w:rsidR="004041E3" w:rsidRDefault="00995279" w:rsidP="0049552B">
      <w:pPr>
        <w:pStyle w:val="FootnoteText"/>
        <w:ind w:left="720" w:right="720"/>
      </w:pPr>
      <w:r w:rsidRPr="007C7DFC">
        <w:t xml:space="preserve">Filing a petition for reconsideration does not automatically stay the effect of an order or serve as a request for a stay. A party may request that the commission stay the effectiveness of an order pending reconsideration by filing a petition for stay pursuant to WAC </w:t>
      </w:r>
      <w:hyperlink r:id="rId1" w:history="1">
        <w:r w:rsidRPr="007C7DFC">
          <w:rPr>
            <w:rStyle w:val="Hyperlink"/>
          </w:rPr>
          <w:t>480-07-860</w:t>
        </w:r>
      </w:hyperlink>
      <w:r>
        <w:t>.</w:t>
      </w:r>
    </w:p>
  </w:footnote>
  <w:footnote w:id="49">
    <w:p w14:paraId="34C6CF33" w14:textId="77777777" w:rsidR="00817EB2" w:rsidRDefault="00817EB2">
      <w:pPr>
        <w:pStyle w:val="FootnoteText"/>
      </w:pPr>
      <w:r>
        <w:rPr>
          <w:rStyle w:val="FootnoteReference"/>
        </w:rPr>
        <w:footnoteRef/>
      </w:r>
      <w:r>
        <w:t xml:space="preserve"> Joint Parties’ Response ¶ 9.</w:t>
      </w:r>
    </w:p>
  </w:footnote>
  <w:footnote w:id="50">
    <w:p w14:paraId="4A079EDC" w14:textId="77777777" w:rsidR="00817EB2" w:rsidRPr="00675C06" w:rsidRDefault="00817EB2">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397EA" w14:textId="77777777" w:rsidR="00EE423C" w:rsidRPr="00AD21B5" w:rsidRDefault="00AD21B5">
    <w:pPr>
      <w:pStyle w:val="Header"/>
      <w:rPr>
        <w:b/>
        <w:sz w:val="20"/>
        <w:szCs w:val="20"/>
      </w:rPr>
    </w:pPr>
    <w:r w:rsidRPr="00AD21B5">
      <w:rPr>
        <w:b/>
        <w:sz w:val="20"/>
        <w:szCs w:val="20"/>
      </w:rPr>
      <w:t>DOCKETS UE-150204 AND UG-150205 (consolidated)</w:t>
    </w:r>
    <w:r w:rsidRPr="00AD21B5">
      <w:rPr>
        <w:b/>
        <w:sz w:val="20"/>
        <w:szCs w:val="20"/>
      </w:rPr>
      <w:tab/>
      <w:t xml:space="preserve">PAGE </w:t>
    </w:r>
    <w:r w:rsidRPr="00AD21B5">
      <w:rPr>
        <w:b/>
        <w:sz w:val="20"/>
        <w:szCs w:val="20"/>
      </w:rPr>
      <w:fldChar w:fldCharType="begin"/>
    </w:r>
    <w:r w:rsidRPr="00AD21B5">
      <w:rPr>
        <w:b/>
        <w:sz w:val="20"/>
        <w:szCs w:val="20"/>
      </w:rPr>
      <w:instrText xml:space="preserve"> PAGE   \* MERGEFORMAT </w:instrText>
    </w:r>
    <w:r w:rsidRPr="00AD21B5">
      <w:rPr>
        <w:b/>
        <w:sz w:val="20"/>
        <w:szCs w:val="20"/>
      </w:rPr>
      <w:fldChar w:fldCharType="separate"/>
    </w:r>
    <w:r w:rsidR="00D97771">
      <w:rPr>
        <w:b/>
        <w:noProof/>
        <w:sz w:val="20"/>
        <w:szCs w:val="20"/>
      </w:rPr>
      <w:t>14</w:t>
    </w:r>
    <w:r w:rsidRPr="00AD21B5">
      <w:rPr>
        <w:b/>
        <w:noProof/>
        <w:sz w:val="20"/>
        <w:szCs w:val="20"/>
      </w:rPr>
      <w:fldChar w:fldCharType="end"/>
    </w:r>
  </w:p>
  <w:p w14:paraId="6517CF36" w14:textId="77777777" w:rsidR="00817EB2" w:rsidRPr="00AD21B5" w:rsidRDefault="00AD21B5">
    <w:pPr>
      <w:rPr>
        <w:b/>
        <w:sz w:val="20"/>
        <w:szCs w:val="20"/>
      </w:rPr>
    </w:pPr>
    <w:r w:rsidRPr="00AD21B5">
      <w:rPr>
        <w:b/>
        <w:sz w:val="20"/>
        <w:szCs w:val="20"/>
      </w:rPr>
      <w:t>ORDER 06</w:t>
    </w:r>
  </w:p>
  <w:p w14:paraId="5D753756" w14:textId="77777777" w:rsidR="00AD21B5" w:rsidRPr="004A53E4" w:rsidRDefault="00AD21B5">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CA2F" w14:textId="7577A60C" w:rsidR="00817EB2" w:rsidRPr="00B6537E" w:rsidRDefault="00817EB2" w:rsidP="00ED7CF8">
    <w:pPr>
      <w:pStyle w:val="Header"/>
      <w:tabs>
        <w:tab w:val="clear" w:pos="4320"/>
        <w:tab w:val="clear" w:pos="8640"/>
        <w:tab w:val="right" w:pos="8460"/>
      </w:tabs>
      <w:rPr>
        <w:b/>
        <w:sz w:val="20"/>
        <w:szCs w:val="20"/>
      </w:rPr>
    </w:pPr>
    <w:r>
      <w:rPr>
        <w:b/>
        <w:sz w:val="20"/>
        <w:szCs w:val="20"/>
      </w:rPr>
      <w:tab/>
    </w:r>
    <w:r w:rsidR="00E033AD">
      <w:rPr>
        <w:b/>
        <w:sz w:val="20"/>
        <w:szCs w:val="20"/>
      </w:rPr>
      <w:t>[Service Date February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72488F"/>
    <w:multiLevelType w:val="hybridMultilevel"/>
    <w:tmpl w:val="A4DCF4CE"/>
    <w:lvl w:ilvl="0" w:tplc="934A2B92">
      <w:start w:val="1"/>
      <w:numFmt w:val="lowerLetter"/>
      <w:pStyle w:val="Heading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64C2"/>
    <w:multiLevelType w:val="hybridMultilevel"/>
    <w:tmpl w:val="D80282F6"/>
    <w:lvl w:ilvl="0" w:tplc="53ECEAD6">
      <w:start w:val="1"/>
      <w:numFmt w:val="lowerLetter"/>
      <w:pStyle w:val="Heading5"/>
      <w:lvlText w:val="%1)"/>
      <w:lvlJc w:val="left"/>
      <w:pPr>
        <w:ind w:left="720" w:hanging="360"/>
      </w:pPr>
      <w:rPr>
        <w:rFonts w:hint="default"/>
        <w:b/>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07AF"/>
    <w:multiLevelType w:val="hybridMultilevel"/>
    <w:tmpl w:val="923CA380"/>
    <w:lvl w:ilvl="0" w:tplc="4F12E548">
      <w:start w:val="1"/>
      <w:numFmt w:val="lowerRoman"/>
      <w:pStyle w:val="Heading7"/>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27407"/>
    <w:multiLevelType w:val="hybridMultilevel"/>
    <w:tmpl w:val="19FAF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0C07"/>
    <w:multiLevelType w:val="hybridMultilevel"/>
    <w:tmpl w:val="3F62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7B3E8E"/>
    <w:multiLevelType w:val="hybridMultilevel"/>
    <w:tmpl w:val="F4CA9314"/>
    <w:lvl w:ilvl="0" w:tplc="8B301124">
      <w:start w:val="1"/>
      <w:numFmt w:val="lowerRoman"/>
      <w:pStyle w:val="Heading9"/>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011C0"/>
    <w:multiLevelType w:val="hybridMultilevel"/>
    <w:tmpl w:val="352E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60CE1"/>
    <w:multiLevelType w:val="hybridMultilevel"/>
    <w:tmpl w:val="A3DC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2" w15:restartNumberingAfterBreak="0">
    <w:nsid w:val="2D427969"/>
    <w:multiLevelType w:val="hybridMultilevel"/>
    <w:tmpl w:val="22E2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82B39"/>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4" w15:restartNumberingAfterBreak="0">
    <w:nsid w:val="36C438FC"/>
    <w:multiLevelType w:val="hybridMultilevel"/>
    <w:tmpl w:val="BF6E8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C2F"/>
    <w:multiLevelType w:val="hybridMultilevel"/>
    <w:tmpl w:val="2EBA23E4"/>
    <w:lvl w:ilvl="0" w:tplc="E7E4A26C">
      <w:start w:val="6"/>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76873"/>
    <w:multiLevelType w:val="hybridMultilevel"/>
    <w:tmpl w:val="5664A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0CD1"/>
    <w:multiLevelType w:val="multilevel"/>
    <w:tmpl w:val="A3F8FE32"/>
    <w:lvl w:ilvl="0">
      <w:start w:val="1"/>
      <w:numFmt w:val="decimal"/>
      <w:pStyle w:val="PSENum"/>
      <w:lvlText w:val="%1)"/>
      <w:lvlJc w:val="left"/>
      <w:pPr>
        <w:tabs>
          <w:tab w:val="num" w:pos="810"/>
        </w:tabs>
        <w:ind w:left="1242" w:hanging="432"/>
      </w:pPr>
      <w:rPr>
        <w:rFonts w:hint="default"/>
      </w:rPr>
    </w:lvl>
    <w:lvl w:ilvl="1">
      <w:start w:val="1"/>
      <w:numFmt w:val="lowerLetter"/>
      <w:lvlText w:val="%2)"/>
      <w:lvlJc w:val="left"/>
      <w:pPr>
        <w:ind w:left="1584"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FC0021"/>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19" w15:restartNumberingAfterBreak="0">
    <w:nsid w:val="53361200"/>
    <w:multiLevelType w:val="hybridMultilevel"/>
    <w:tmpl w:val="6830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77AD3"/>
    <w:multiLevelType w:val="hybridMultilevel"/>
    <w:tmpl w:val="9BD4B372"/>
    <w:lvl w:ilvl="0" w:tplc="8B8859B4">
      <w:start w:val="20"/>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B7562"/>
    <w:multiLevelType w:val="hybridMultilevel"/>
    <w:tmpl w:val="018A7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F47CB"/>
    <w:multiLevelType w:val="hybridMultilevel"/>
    <w:tmpl w:val="1AB62A98"/>
    <w:lvl w:ilvl="0" w:tplc="574EA474">
      <w:start w:val="1"/>
      <w:numFmt w:val="upperLetter"/>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E2D19"/>
    <w:multiLevelType w:val="hybridMultilevel"/>
    <w:tmpl w:val="CA1E6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265FD"/>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5" w15:restartNumberingAfterBreak="0">
    <w:nsid w:val="5F865CE6"/>
    <w:multiLevelType w:val="hybridMultilevel"/>
    <w:tmpl w:val="45C894FA"/>
    <w:lvl w:ilvl="0" w:tplc="7616BCD0">
      <w:start w:val="1"/>
      <w:numFmt w:val="decimal"/>
      <w:lvlText w:val="%1"/>
      <w:lvlJc w:val="left"/>
      <w:pPr>
        <w:ind w:left="0" w:hanging="360"/>
      </w:pPr>
      <w:rPr>
        <w:rFonts w:ascii="Palatino Linotype" w:hAnsi="Palatino Linotype" w:hint="default"/>
        <w:b w:val="0"/>
        <w:i/>
        <w:color w:val="000000"/>
        <w:sz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1E02CB8"/>
    <w:multiLevelType w:val="hybridMultilevel"/>
    <w:tmpl w:val="62500FBC"/>
    <w:lvl w:ilvl="0" w:tplc="C70CAD86">
      <w:start w:val="1"/>
      <w:numFmt w:val="decimal"/>
      <w:lvlText w:val="%1"/>
      <w:lvlJc w:val="left"/>
      <w:pPr>
        <w:ind w:left="0" w:hanging="720"/>
      </w:pPr>
      <w:rPr>
        <w:rFonts w:hint="default"/>
        <w:i/>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3AB5C43"/>
    <w:multiLevelType w:val="hybridMultilevel"/>
    <w:tmpl w:val="84C0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14F87"/>
    <w:multiLevelType w:val="hybridMultilevel"/>
    <w:tmpl w:val="865CF6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7C42705"/>
    <w:multiLevelType w:val="multilevel"/>
    <w:tmpl w:val="AF422406"/>
    <w:lvl w:ilvl="0">
      <w:start w:val="1"/>
      <w:numFmt w:val="decimal"/>
      <w:pStyle w:val="Int3ATMText"/>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7FD0F6D"/>
    <w:multiLevelType w:val="multilevel"/>
    <w:tmpl w:val="30FEEC8E"/>
    <w:lvl w:ilvl="0">
      <w:start w:val="1"/>
      <w:numFmt w:val="decimal"/>
      <w:pStyle w:val="Tab5Data-EnDash"/>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571075"/>
    <w:multiLevelType w:val="hybridMultilevel"/>
    <w:tmpl w:val="F14CA3B2"/>
    <w:lvl w:ilvl="0" w:tplc="C5F28FCA">
      <w:start w:val="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504A8"/>
    <w:multiLevelType w:val="hybridMultilevel"/>
    <w:tmpl w:val="E4680472"/>
    <w:lvl w:ilvl="0" w:tplc="C172EDCA">
      <w:start w:val="1"/>
      <w:numFmt w:val="decimal"/>
      <w:lvlText w:val="1%1"/>
      <w:lvlJc w:val="left"/>
      <w:pPr>
        <w:ind w:left="0" w:hanging="360"/>
      </w:pPr>
      <w:rPr>
        <w:rFonts w:ascii="Times New Roman" w:hAnsi="Times New Roman" w:hint="default"/>
        <w:b w:val="0"/>
        <w:i/>
        <w:caps w:val="0"/>
        <w:strike w:val="0"/>
        <w:dstrike w:val="0"/>
        <w:vanish w:val="0"/>
        <w:color w:val="000000"/>
        <w:sz w:val="20"/>
        <w:szCs w:val="25"/>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18302A4"/>
    <w:multiLevelType w:val="multilevel"/>
    <w:tmpl w:val="022C9E36"/>
    <w:lvl w:ilvl="0">
      <w:start w:val="1"/>
      <w:numFmt w:val="upperRoman"/>
      <w:lvlText w:val="%1."/>
      <w:lvlJc w:val="left"/>
      <w:pPr>
        <w:ind w:left="0" w:firstLine="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72AA32DC"/>
    <w:multiLevelType w:val="hybridMultilevel"/>
    <w:tmpl w:val="BEDC8A10"/>
    <w:lvl w:ilvl="0" w:tplc="B05076C0">
      <w:start w:val="9"/>
      <w:numFmt w:val="upperLetter"/>
      <w:lvlText w:val="%1."/>
      <w:lvlJc w:val="left"/>
      <w:pPr>
        <w:tabs>
          <w:tab w:val="num" w:pos="720"/>
        </w:tabs>
        <w:ind w:left="720" w:hanging="360"/>
      </w:pPr>
      <w:rPr>
        <w:rFonts w:hint="default"/>
      </w:rPr>
    </w:lvl>
    <w:lvl w:ilvl="1" w:tplc="2D742844">
      <w:start w:val="1"/>
      <w:numFmt w:val="upperLetter"/>
      <w:lvlText w:val="%2."/>
      <w:lvlJc w:val="left"/>
      <w:pPr>
        <w:tabs>
          <w:tab w:val="num" w:pos="450"/>
        </w:tabs>
        <w:ind w:left="450" w:hanging="360"/>
      </w:pPr>
      <w:rPr>
        <w:rFonts w:ascii="Times New Roman" w:eastAsia="Times New Roman" w:hAnsi="Times New Roman" w:cs="Times New Roman"/>
      </w:rPr>
    </w:lvl>
    <w:lvl w:ilvl="2" w:tplc="39640320">
      <w:start w:val="1"/>
      <w:numFmt w:val="decimal"/>
      <w:lvlText w:val="%3."/>
      <w:lvlJc w:val="right"/>
      <w:pPr>
        <w:tabs>
          <w:tab w:val="num" w:pos="180"/>
        </w:tabs>
        <w:ind w:left="180" w:hanging="180"/>
      </w:pPr>
      <w:rPr>
        <w:rFonts w:ascii="Times New Roman" w:eastAsia="Times New Roman" w:hAnsi="Times New Roman" w:cs="Times New Roman"/>
        <w:b/>
      </w:rPr>
    </w:lvl>
    <w:lvl w:ilvl="3" w:tplc="DF181820">
      <w:start w:val="1"/>
      <w:numFmt w:val="decimal"/>
      <w:lvlText w:val="%4."/>
      <w:lvlJc w:val="left"/>
      <w:pPr>
        <w:tabs>
          <w:tab w:val="num" w:pos="2880"/>
        </w:tabs>
        <w:ind w:left="2880" w:hanging="360"/>
      </w:pPr>
    </w:lvl>
    <w:lvl w:ilvl="4" w:tplc="04090019">
      <w:start w:val="2"/>
      <w:numFmt w:val="lowerRoman"/>
      <w:lvlText w:val="%5."/>
      <w:lvlJc w:val="left"/>
      <w:pPr>
        <w:tabs>
          <w:tab w:val="num" w:pos="3960"/>
        </w:tabs>
        <w:ind w:left="3960" w:hanging="720"/>
      </w:pPr>
      <w:rPr>
        <w:rFonts w:hint="default"/>
        <w:sz w:val="24"/>
      </w:rPr>
    </w:lvl>
    <w:lvl w:ilvl="5" w:tplc="0409000F">
      <w:start w:val="1"/>
      <w:numFmt w:val="decimal"/>
      <w:lvlText w:val="%6."/>
      <w:lvlJc w:val="left"/>
      <w:pPr>
        <w:tabs>
          <w:tab w:val="num" w:pos="4500"/>
        </w:tabs>
        <w:ind w:left="4500" w:hanging="360"/>
      </w:pPr>
      <w:rPr>
        <w:rFonts w:hint="default"/>
        <w:i w:val="0"/>
      </w:rPr>
    </w:lvl>
    <w:lvl w:ilvl="6" w:tplc="9A8A3250">
      <w:start w:val="2"/>
      <w:numFmt w:val="lowerLetter"/>
      <w:lvlText w:val="%7."/>
      <w:lvlJc w:val="left"/>
      <w:pPr>
        <w:ind w:left="5040" w:hanging="360"/>
      </w:pPr>
      <w:rPr>
        <w:rFonts w:hint="default"/>
      </w:rPr>
    </w:lvl>
    <w:lvl w:ilvl="7" w:tplc="59E6484E">
      <w:start w:val="7"/>
      <w:numFmt w:val="bullet"/>
      <w:lvlText w:val=""/>
      <w:lvlJc w:val="left"/>
      <w:pPr>
        <w:ind w:left="5760" w:hanging="360"/>
      </w:pPr>
      <w:rPr>
        <w:rFonts w:ascii="Symbol" w:eastAsia="Times New Roman" w:hAnsi="Symbol" w:cs="Times New Roman" w:hint="default"/>
      </w:rPr>
    </w:lvl>
    <w:lvl w:ilvl="8" w:tplc="36B29752">
      <w:start w:val="1"/>
      <w:numFmt w:val="decimal"/>
      <w:lvlText w:val="%9)"/>
      <w:lvlJc w:val="left"/>
      <w:pPr>
        <w:ind w:left="6660" w:hanging="360"/>
      </w:pPr>
      <w:rPr>
        <w:rFonts w:hint="default"/>
      </w:rPr>
    </w:lvl>
  </w:abstractNum>
  <w:abstractNum w:abstractNumId="36" w15:restartNumberingAfterBreak="0">
    <w:nsid w:val="73CB0633"/>
    <w:multiLevelType w:val="hybridMultilevel"/>
    <w:tmpl w:val="1EBA4DE8"/>
    <w:lvl w:ilvl="0" w:tplc="FC96945A">
      <w:start w:val="17"/>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E7220"/>
    <w:multiLevelType w:val="hybridMultilevel"/>
    <w:tmpl w:val="2572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8171C"/>
    <w:multiLevelType w:val="multilevel"/>
    <w:tmpl w:val="0CAC5ECC"/>
    <w:lvl w:ilvl="0">
      <w:start w:val="1"/>
      <w:numFmt w:val="decimal"/>
      <w:pStyle w:val="Heading4"/>
      <w:lvlText w:val="%1."/>
      <w:lvlJc w:val="left"/>
      <w:pPr>
        <w:ind w:left="270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9" w15:restartNumberingAfterBreak="0">
    <w:nsid w:val="776A6DD5"/>
    <w:multiLevelType w:val="multilevel"/>
    <w:tmpl w:val="5DAADE22"/>
    <w:lvl w:ilvl="0">
      <w:start w:val="1"/>
      <w:numFmt w:val="decimal"/>
      <w:lvlText w:val="%1"/>
      <w:lvlJc w:val="left"/>
      <w:pPr>
        <w:tabs>
          <w:tab w:val="num" w:pos="1440"/>
        </w:tabs>
        <w:ind w:left="720" w:hanging="720"/>
      </w:pPr>
      <w:rPr>
        <w:rFonts w:hint="default"/>
        <w:b w:val="0"/>
        <w:i/>
        <w:caps w:val="0"/>
        <w:strike w:val="0"/>
        <w:dstrike w:val="0"/>
        <w:vanish w:val="0"/>
        <w:color w:val="auto"/>
        <w:sz w:val="24"/>
        <w:vertAlign w:val="baseline"/>
      </w:rPr>
    </w:lvl>
    <w:lvl w:ilvl="1">
      <w:start w:val="1"/>
      <w:numFmt w:val="decimal"/>
      <w:lvlText w:val="%2."/>
      <w:lvlJc w:val="left"/>
      <w:pPr>
        <w:ind w:left="5040" w:hanging="720"/>
      </w:pPr>
      <w:rPr>
        <w:rFonts w:hint="default"/>
      </w:rPr>
    </w:lvl>
    <w:lvl w:ilvl="2">
      <w:start w:val="1"/>
      <w:numFmt w:val="decimal"/>
      <w:lvlText w:val="%3."/>
      <w:lvlJc w:val="left"/>
      <w:pPr>
        <w:tabs>
          <w:tab w:val="num" w:pos="5040"/>
        </w:tabs>
        <w:ind w:left="5760" w:hanging="720"/>
      </w:pPr>
      <w:rPr>
        <w:rFonts w:hint="default"/>
      </w:rPr>
    </w:lvl>
    <w:lvl w:ilvl="3">
      <w:start w:val="1"/>
      <w:numFmt w:val="lowerLetter"/>
      <w:lvlText w:val="%4."/>
      <w:lvlJc w:val="left"/>
      <w:pPr>
        <w:tabs>
          <w:tab w:val="num" w:pos="5760"/>
        </w:tabs>
        <w:ind w:left="6480" w:hanging="720"/>
      </w:pPr>
      <w:rPr>
        <w:rFonts w:hint="default"/>
      </w:rPr>
    </w:lvl>
    <w:lvl w:ilvl="4">
      <w:start w:val="1"/>
      <w:numFmt w:val="lowerRoman"/>
      <w:lvlText w:val="%5."/>
      <w:lvlJc w:val="left"/>
      <w:pPr>
        <w:ind w:left="7200" w:hanging="72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40" w15:restartNumberingAfterBreak="0">
    <w:nsid w:val="7A9A2A82"/>
    <w:multiLevelType w:val="hybridMultilevel"/>
    <w:tmpl w:val="C270D33C"/>
    <w:lvl w:ilvl="0" w:tplc="97AE799E">
      <w:start w:val="1"/>
      <w:numFmt w:val="lowerRoman"/>
      <w:pStyle w:val="Heading6"/>
      <w:lvlText w:val="%1."/>
      <w:lvlJc w:val="right"/>
      <w:pPr>
        <w:ind w:left="900" w:hanging="360"/>
      </w:pPr>
      <w:rPr>
        <w:rFonts w:hint="default"/>
        <w:sz w:val="25"/>
        <w:szCs w:val="25"/>
      </w:rPr>
    </w:lvl>
    <w:lvl w:ilvl="1" w:tplc="04090019">
      <w:start w:val="1"/>
      <w:numFmt w:val="lowerLetter"/>
      <w:lvlText w:val="%2."/>
      <w:lvlJc w:val="left"/>
      <w:pPr>
        <w:ind w:left="1710" w:hanging="360"/>
      </w:pPr>
    </w:lvl>
    <w:lvl w:ilvl="2" w:tplc="0409001B">
      <w:start w:val="1"/>
      <w:numFmt w:val="lowerRoman"/>
      <w:lvlText w:val="%3."/>
      <w:lvlJc w:val="right"/>
      <w:pPr>
        <w:ind w:left="225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abstractNum w:abstractNumId="42" w15:restartNumberingAfterBreak="0">
    <w:nsid w:val="7C8B3335"/>
    <w:multiLevelType w:val="hybridMultilevel"/>
    <w:tmpl w:val="837EE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353681"/>
    <w:multiLevelType w:val="hybridMultilevel"/>
    <w:tmpl w:val="48847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5"/>
  </w:num>
  <w:num w:numId="3">
    <w:abstractNumId w:val="41"/>
  </w:num>
  <w:num w:numId="4">
    <w:abstractNumId w:val="9"/>
  </w:num>
  <w:num w:numId="5">
    <w:abstractNumId w:val="31"/>
  </w:num>
  <w:num w:numId="6">
    <w:abstractNumId w:val="29"/>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30"/>
  </w:num>
  <w:num w:numId="11">
    <w:abstractNumId w:val="0"/>
  </w:num>
  <w:num w:numId="12">
    <w:abstractNumId w:val="4"/>
  </w:num>
  <w:num w:numId="13">
    <w:abstractNumId w:val="2"/>
  </w:num>
  <w:num w:numId="14">
    <w:abstractNumId w:val="7"/>
  </w:num>
  <w:num w:numId="15">
    <w:abstractNumId w:val="22"/>
  </w:num>
  <w:num w:numId="16">
    <w:abstractNumId w:val="38"/>
  </w:num>
  <w:num w:numId="17">
    <w:abstractNumId w:val="27"/>
  </w:num>
  <w:num w:numId="18">
    <w:abstractNumId w:val="42"/>
  </w:num>
  <w:num w:numId="19">
    <w:abstractNumId w:val="8"/>
  </w:num>
  <w:num w:numId="20">
    <w:abstractNumId w:val="22"/>
  </w:num>
  <w:num w:numId="21">
    <w:abstractNumId w:val="22"/>
  </w:num>
  <w:num w:numId="22">
    <w:abstractNumId w:val="13"/>
  </w:num>
  <w:num w:numId="23">
    <w:abstractNumId w:val="43"/>
  </w:num>
  <w:num w:numId="24">
    <w:abstractNumId w:val="24"/>
  </w:num>
  <w:num w:numId="25">
    <w:abstractNumId w:val="6"/>
  </w:num>
  <w:num w:numId="26">
    <w:abstractNumId w:val="19"/>
  </w:num>
  <w:num w:numId="27">
    <w:abstractNumId w:val="22"/>
  </w:num>
  <w:num w:numId="28">
    <w:abstractNumId w:val="22"/>
  </w:num>
  <w:num w:numId="29">
    <w:abstractNumId w:val="5"/>
  </w:num>
  <w:num w:numId="30">
    <w:abstractNumId w:val="12"/>
  </w:num>
  <w:num w:numId="31">
    <w:abstractNumId w:val="21"/>
  </w:num>
  <w:num w:numId="32">
    <w:abstractNumId w:val="14"/>
  </w:num>
  <w:num w:numId="33">
    <w:abstractNumId w:val="23"/>
  </w:num>
  <w:num w:numId="34">
    <w:abstractNumId w:val="28"/>
  </w:num>
  <w:num w:numId="35">
    <w:abstractNumId w:val="36"/>
  </w:num>
  <w:num w:numId="36">
    <w:abstractNumId w:val="33"/>
  </w:num>
  <w:num w:numId="37">
    <w:abstractNumId w:val="25"/>
  </w:num>
  <w:num w:numId="38">
    <w:abstractNumId w:val="20"/>
  </w:num>
  <w:num w:numId="39">
    <w:abstractNumId w:val="26"/>
  </w:num>
  <w:num w:numId="40">
    <w:abstractNumId w:val="39"/>
  </w:num>
  <w:num w:numId="41">
    <w:abstractNumId w:val="10"/>
  </w:num>
  <w:num w:numId="42">
    <w:abstractNumId w:val="37"/>
  </w:num>
  <w:num w:numId="43">
    <w:abstractNumId w:val="16"/>
  </w:num>
  <w:num w:numId="44">
    <w:abstractNumId w:val="15"/>
  </w:num>
  <w:num w:numId="45">
    <w:abstractNumId w:val="18"/>
  </w:num>
  <w:num w:numId="46">
    <w:abstractNumId w:val="32"/>
  </w:num>
  <w:num w:numId="4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60"/>
    <w:rsid w:val="0000055C"/>
    <w:rsid w:val="0000063B"/>
    <w:rsid w:val="00001461"/>
    <w:rsid w:val="0000149F"/>
    <w:rsid w:val="000016C1"/>
    <w:rsid w:val="00001717"/>
    <w:rsid w:val="000019A5"/>
    <w:rsid w:val="00001D79"/>
    <w:rsid w:val="00001ECE"/>
    <w:rsid w:val="00001F28"/>
    <w:rsid w:val="0000208F"/>
    <w:rsid w:val="00002093"/>
    <w:rsid w:val="00002B74"/>
    <w:rsid w:val="00002E52"/>
    <w:rsid w:val="0000301B"/>
    <w:rsid w:val="00003AEF"/>
    <w:rsid w:val="00003C66"/>
    <w:rsid w:val="00003C68"/>
    <w:rsid w:val="0000458C"/>
    <w:rsid w:val="000049DC"/>
    <w:rsid w:val="00004E2E"/>
    <w:rsid w:val="00004EEA"/>
    <w:rsid w:val="000054FA"/>
    <w:rsid w:val="00005619"/>
    <w:rsid w:val="00005C75"/>
    <w:rsid w:val="00005DAD"/>
    <w:rsid w:val="00005E34"/>
    <w:rsid w:val="00005FE0"/>
    <w:rsid w:val="00006413"/>
    <w:rsid w:val="000065F7"/>
    <w:rsid w:val="000066B3"/>
    <w:rsid w:val="00006D86"/>
    <w:rsid w:val="00007518"/>
    <w:rsid w:val="00007896"/>
    <w:rsid w:val="00011BF8"/>
    <w:rsid w:val="00012B13"/>
    <w:rsid w:val="00012F38"/>
    <w:rsid w:val="00013407"/>
    <w:rsid w:val="000136B0"/>
    <w:rsid w:val="00013A00"/>
    <w:rsid w:val="00013CD2"/>
    <w:rsid w:val="000141D8"/>
    <w:rsid w:val="000144C9"/>
    <w:rsid w:val="000144F3"/>
    <w:rsid w:val="00014779"/>
    <w:rsid w:val="00014C2D"/>
    <w:rsid w:val="000159DB"/>
    <w:rsid w:val="00016122"/>
    <w:rsid w:val="0001628B"/>
    <w:rsid w:val="00016377"/>
    <w:rsid w:val="00016895"/>
    <w:rsid w:val="00017DD7"/>
    <w:rsid w:val="000205B4"/>
    <w:rsid w:val="000207D7"/>
    <w:rsid w:val="00020A36"/>
    <w:rsid w:val="00020B52"/>
    <w:rsid w:val="00020B9E"/>
    <w:rsid w:val="00020E45"/>
    <w:rsid w:val="00021388"/>
    <w:rsid w:val="0002150A"/>
    <w:rsid w:val="00022409"/>
    <w:rsid w:val="00022884"/>
    <w:rsid w:val="00022895"/>
    <w:rsid w:val="0002400F"/>
    <w:rsid w:val="000240BB"/>
    <w:rsid w:val="0002430C"/>
    <w:rsid w:val="00024543"/>
    <w:rsid w:val="00024F13"/>
    <w:rsid w:val="000250A0"/>
    <w:rsid w:val="00025108"/>
    <w:rsid w:val="0002520E"/>
    <w:rsid w:val="000263BC"/>
    <w:rsid w:val="00026B82"/>
    <w:rsid w:val="00026FE2"/>
    <w:rsid w:val="00027512"/>
    <w:rsid w:val="00027A95"/>
    <w:rsid w:val="00027BA4"/>
    <w:rsid w:val="000301FB"/>
    <w:rsid w:val="000302A8"/>
    <w:rsid w:val="0003056D"/>
    <w:rsid w:val="000309D2"/>
    <w:rsid w:val="00030A5F"/>
    <w:rsid w:val="00031370"/>
    <w:rsid w:val="000318DA"/>
    <w:rsid w:val="00031FFB"/>
    <w:rsid w:val="00032009"/>
    <w:rsid w:val="0003231D"/>
    <w:rsid w:val="0003238F"/>
    <w:rsid w:val="00032D89"/>
    <w:rsid w:val="00033618"/>
    <w:rsid w:val="0003437A"/>
    <w:rsid w:val="00034710"/>
    <w:rsid w:val="000347E1"/>
    <w:rsid w:val="0003494A"/>
    <w:rsid w:val="00034AF0"/>
    <w:rsid w:val="000352E6"/>
    <w:rsid w:val="00035BD3"/>
    <w:rsid w:val="000371DC"/>
    <w:rsid w:val="00037778"/>
    <w:rsid w:val="00037B5E"/>
    <w:rsid w:val="000406B3"/>
    <w:rsid w:val="00040925"/>
    <w:rsid w:val="00040AD2"/>
    <w:rsid w:val="00040EAC"/>
    <w:rsid w:val="00041793"/>
    <w:rsid w:val="00041977"/>
    <w:rsid w:val="0004235A"/>
    <w:rsid w:val="000427FA"/>
    <w:rsid w:val="0004295E"/>
    <w:rsid w:val="00042F28"/>
    <w:rsid w:val="000431A0"/>
    <w:rsid w:val="00043801"/>
    <w:rsid w:val="00043CA6"/>
    <w:rsid w:val="00043D03"/>
    <w:rsid w:val="000441E3"/>
    <w:rsid w:val="000455AC"/>
    <w:rsid w:val="00045A31"/>
    <w:rsid w:val="0004628A"/>
    <w:rsid w:val="0004709E"/>
    <w:rsid w:val="000479CB"/>
    <w:rsid w:val="00047A74"/>
    <w:rsid w:val="00047ABB"/>
    <w:rsid w:val="000505B8"/>
    <w:rsid w:val="00050622"/>
    <w:rsid w:val="00050E3A"/>
    <w:rsid w:val="00050ED5"/>
    <w:rsid w:val="0005159D"/>
    <w:rsid w:val="00051B56"/>
    <w:rsid w:val="00051C9E"/>
    <w:rsid w:val="00051F82"/>
    <w:rsid w:val="000533A3"/>
    <w:rsid w:val="00053B83"/>
    <w:rsid w:val="00053C3F"/>
    <w:rsid w:val="00054142"/>
    <w:rsid w:val="000542E9"/>
    <w:rsid w:val="0005523A"/>
    <w:rsid w:val="000552A7"/>
    <w:rsid w:val="0005533A"/>
    <w:rsid w:val="00056483"/>
    <w:rsid w:val="000569C5"/>
    <w:rsid w:val="00056C7D"/>
    <w:rsid w:val="000576C4"/>
    <w:rsid w:val="000579A6"/>
    <w:rsid w:val="00057B86"/>
    <w:rsid w:val="00060DE0"/>
    <w:rsid w:val="00060E1A"/>
    <w:rsid w:val="0006157F"/>
    <w:rsid w:val="000615A1"/>
    <w:rsid w:val="00061E50"/>
    <w:rsid w:val="00062AD4"/>
    <w:rsid w:val="00062C06"/>
    <w:rsid w:val="00062F25"/>
    <w:rsid w:val="00063268"/>
    <w:rsid w:val="00063B88"/>
    <w:rsid w:val="00064151"/>
    <w:rsid w:val="00064619"/>
    <w:rsid w:val="00064639"/>
    <w:rsid w:val="00064744"/>
    <w:rsid w:val="000647A2"/>
    <w:rsid w:val="00064952"/>
    <w:rsid w:val="00064DFC"/>
    <w:rsid w:val="00064ECF"/>
    <w:rsid w:val="00064F03"/>
    <w:rsid w:val="00065BAA"/>
    <w:rsid w:val="00065EA1"/>
    <w:rsid w:val="00067105"/>
    <w:rsid w:val="000671C2"/>
    <w:rsid w:val="000702E3"/>
    <w:rsid w:val="000705E3"/>
    <w:rsid w:val="00070727"/>
    <w:rsid w:val="00070E69"/>
    <w:rsid w:val="0007111B"/>
    <w:rsid w:val="0007174A"/>
    <w:rsid w:val="00071DD5"/>
    <w:rsid w:val="0007226C"/>
    <w:rsid w:val="00073037"/>
    <w:rsid w:val="00073550"/>
    <w:rsid w:val="00073E49"/>
    <w:rsid w:val="00073E8B"/>
    <w:rsid w:val="0007410A"/>
    <w:rsid w:val="0007426A"/>
    <w:rsid w:val="00074377"/>
    <w:rsid w:val="00074C2D"/>
    <w:rsid w:val="00074C8D"/>
    <w:rsid w:val="00076C29"/>
    <w:rsid w:val="0007716D"/>
    <w:rsid w:val="00077EC9"/>
    <w:rsid w:val="00081A4A"/>
    <w:rsid w:val="000820CE"/>
    <w:rsid w:val="000827AD"/>
    <w:rsid w:val="000829BF"/>
    <w:rsid w:val="00082E2F"/>
    <w:rsid w:val="0008521D"/>
    <w:rsid w:val="00086EDC"/>
    <w:rsid w:val="000871C9"/>
    <w:rsid w:val="00087620"/>
    <w:rsid w:val="00087860"/>
    <w:rsid w:val="00087D7B"/>
    <w:rsid w:val="00087F01"/>
    <w:rsid w:val="00087F4B"/>
    <w:rsid w:val="00090C0D"/>
    <w:rsid w:val="000913E6"/>
    <w:rsid w:val="00091D49"/>
    <w:rsid w:val="000925F4"/>
    <w:rsid w:val="00093918"/>
    <w:rsid w:val="00093A94"/>
    <w:rsid w:val="00093C20"/>
    <w:rsid w:val="0009498B"/>
    <w:rsid w:val="00094AD3"/>
    <w:rsid w:val="00094B97"/>
    <w:rsid w:val="00094CF0"/>
    <w:rsid w:val="00095690"/>
    <w:rsid w:val="0009665F"/>
    <w:rsid w:val="00096773"/>
    <w:rsid w:val="0009760A"/>
    <w:rsid w:val="000A0045"/>
    <w:rsid w:val="000A0894"/>
    <w:rsid w:val="000A0A26"/>
    <w:rsid w:val="000A0E5C"/>
    <w:rsid w:val="000A1068"/>
    <w:rsid w:val="000A30D7"/>
    <w:rsid w:val="000A4BD7"/>
    <w:rsid w:val="000A5108"/>
    <w:rsid w:val="000A515B"/>
    <w:rsid w:val="000A5567"/>
    <w:rsid w:val="000A6570"/>
    <w:rsid w:val="000A6632"/>
    <w:rsid w:val="000A6729"/>
    <w:rsid w:val="000A675C"/>
    <w:rsid w:val="000A6968"/>
    <w:rsid w:val="000A69D1"/>
    <w:rsid w:val="000A6DE3"/>
    <w:rsid w:val="000A72BB"/>
    <w:rsid w:val="000A7C04"/>
    <w:rsid w:val="000B036E"/>
    <w:rsid w:val="000B037B"/>
    <w:rsid w:val="000B0A50"/>
    <w:rsid w:val="000B10F9"/>
    <w:rsid w:val="000B120E"/>
    <w:rsid w:val="000B209F"/>
    <w:rsid w:val="000B2100"/>
    <w:rsid w:val="000B2144"/>
    <w:rsid w:val="000B2405"/>
    <w:rsid w:val="000B305A"/>
    <w:rsid w:val="000B3526"/>
    <w:rsid w:val="000B36D5"/>
    <w:rsid w:val="000B372A"/>
    <w:rsid w:val="000B38E3"/>
    <w:rsid w:val="000B5B97"/>
    <w:rsid w:val="000B5EAA"/>
    <w:rsid w:val="000B645E"/>
    <w:rsid w:val="000B7867"/>
    <w:rsid w:val="000B7A57"/>
    <w:rsid w:val="000C05D9"/>
    <w:rsid w:val="000C0601"/>
    <w:rsid w:val="000C07A5"/>
    <w:rsid w:val="000C0E45"/>
    <w:rsid w:val="000C146B"/>
    <w:rsid w:val="000C14B7"/>
    <w:rsid w:val="000C1A1C"/>
    <w:rsid w:val="000C1C7E"/>
    <w:rsid w:val="000C23A8"/>
    <w:rsid w:val="000C2813"/>
    <w:rsid w:val="000C33BA"/>
    <w:rsid w:val="000C34D0"/>
    <w:rsid w:val="000C4330"/>
    <w:rsid w:val="000C45D8"/>
    <w:rsid w:val="000C4F53"/>
    <w:rsid w:val="000C5B92"/>
    <w:rsid w:val="000C5D75"/>
    <w:rsid w:val="000C5F1A"/>
    <w:rsid w:val="000C697D"/>
    <w:rsid w:val="000C6C47"/>
    <w:rsid w:val="000C7261"/>
    <w:rsid w:val="000C7607"/>
    <w:rsid w:val="000C7885"/>
    <w:rsid w:val="000D0515"/>
    <w:rsid w:val="000D0A89"/>
    <w:rsid w:val="000D0C8E"/>
    <w:rsid w:val="000D0CE2"/>
    <w:rsid w:val="000D0F7B"/>
    <w:rsid w:val="000D1501"/>
    <w:rsid w:val="000D1538"/>
    <w:rsid w:val="000D17F5"/>
    <w:rsid w:val="000D2457"/>
    <w:rsid w:val="000D27FC"/>
    <w:rsid w:val="000D3047"/>
    <w:rsid w:val="000D3258"/>
    <w:rsid w:val="000D40A6"/>
    <w:rsid w:val="000D424B"/>
    <w:rsid w:val="000D4785"/>
    <w:rsid w:val="000D487A"/>
    <w:rsid w:val="000D4D8B"/>
    <w:rsid w:val="000D5489"/>
    <w:rsid w:val="000D5636"/>
    <w:rsid w:val="000D5702"/>
    <w:rsid w:val="000D6221"/>
    <w:rsid w:val="000D6288"/>
    <w:rsid w:val="000D63B4"/>
    <w:rsid w:val="000D6418"/>
    <w:rsid w:val="000D7602"/>
    <w:rsid w:val="000D7ABC"/>
    <w:rsid w:val="000E0035"/>
    <w:rsid w:val="000E15AC"/>
    <w:rsid w:val="000E16F4"/>
    <w:rsid w:val="000E21F9"/>
    <w:rsid w:val="000E2229"/>
    <w:rsid w:val="000E2634"/>
    <w:rsid w:val="000E2838"/>
    <w:rsid w:val="000E2CA2"/>
    <w:rsid w:val="000E2D91"/>
    <w:rsid w:val="000E3B63"/>
    <w:rsid w:val="000E3BED"/>
    <w:rsid w:val="000E3F57"/>
    <w:rsid w:val="000E4040"/>
    <w:rsid w:val="000E4D40"/>
    <w:rsid w:val="000E4E6C"/>
    <w:rsid w:val="000E4F15"/>
    <w:rsid w:val="000E54C7"/>
    <w:rsid w:val="000E6127"/>
    <w:rsid w:val="000E6F8C"/>
    <w:rsid w:val="000E70F9"/>
    <w:rsid w:val="000E7790"/>
    <w:rsid w:val="000E7B6C"/>
    <w:rsid w:val="000F0ADC"/>
    <w:rsid w:val="000F0CF6"/>
    <w:rsid w:val="000F17A3"/>
    <w:rsid w:val="000F207F"/>
    <w:rsid w:val="000F3D54"/>
    <w:rsid w:val="000F3E86"/>
    <w:rsid w:val="000F5093"/>
    <w:rsid w:val="000F5304"/>
    <w:rsid w:val="000F5764"/>
    <w:rsid w:val="000F585F"/>
    <w:rsid w:val="000F5B90"/>
    <w:rsid w:val="000F62B8"/>
    <w:rsid w:val="000F6D47"/>
    <w:rsid w:val="000F6E48"/>
    <w:rsid w:val="000F7991"/>
    <w:rsid w:val="000F79F1"/>
    <w:rsid w:val="000F7A93"/>
    <w:rsid w:val="000F7BCB"/>
    <w:rsid w:val="000F7E01"/>
    <w:rsid w:val="0010018A"/>
    <w:rsid w:val="00100C85"/>
    <w:rsid w:val="00100DDE"/>
    <w:rsid w:val="00100FAA"/>
    <w:rsid w:val="00101012"/>
    <w:rsid w:val="00101393"/>
    <w:rsid w:val="00101576"/>
    <w:rsid w:val="00101864"/>
    <w:rsid w:val="00101FE0"/>
    <w:rsid w:val="00103753"/>
    <w:rsid w:val="00103AB6"/>
    <w:rsid w:val="00103B81"/>
    <w:rsid w:val="00103C10"/>
    <w:rsid w:val="00105A73"/>
    <w:rsid w:val="00105F4A"/>
    <w:rsid w:val="00106420"/>
    <w:rsid w:val="001067B2"/>
    <w:rsid w:val="001078A1"/>
    <w:rsid w:val="00107A74"/>
    <w:rsid w:val="00107A84"/>
    <w:rsid w:val="00107E3E"/>
    <w:rsid w:val="001102C4"/>
    <w:rsid w:val="001103F0"/>
    <w:rsid w:val="00110620"/>
    <w:rsid w:val="001110E2"/>
    <w:rsid w:val="0011142E"/>
    <w:rsid w:val="00111736"/>
    <w:rsid w:val="0011268C"/>
    <w:rsid w:val="001129C7"/>
    <w:rsid w:val="00112A37"/>
    <w:rsid w:val="0011303E"/>
    <w:rsid w:val="00113EB1"/>
    <w:rsid w:val="00113FFD"/>
    <w:rsid w:val="0011500E"/>
    <w:rsid w:val="0011554B"/>
    <w:rsid w:val="00115973"/>
    <w:rsid w:val="00116353"/>
    <w:rsid w:val="00116709"/>
    <w:rsid w:val="00116898"/>
    <w:rsid w:val="00116D78"/>
    <w:rsid w:val="001170F4"/>
    <w:rsid w:val="001172F9"/>
    <w:rsid w:val="00117FFA"/>
    <w:rsid w:val="00120248"/>
    <w:rsid w:val="00121236"/>
    <w:rsid w:val="00121EB4"/>
    <w:rsid w:val="00123560"/>
    <w:rsid w:val="0012363E"/>
    <w:rsid w:val="001244C9"/>
    <w:rsid w:val="00124A7A"/>
    <w:rsid w:val="00124F32"/>
    <w:rsid w:val="001251C6"/>
    <w:rsid w:val="001254A1"/>
    <w:rsid w:val="00125EFD"/>
    <w:rsid w:val="00126185"/>
    <w:rsid w:val="00126662"/>
    <w:rsid w:val="00126F4D"/>
    <w:rsid w:val="00127079"/>
    <w:rsid w:val="00127B39"/>
    <w:rsid w:val="00127B6B"/>
    <w:rsid w:val="00127C47"/>
    <w:rsid w:val="00127E59"/>
    <w:rsid w:val="00127F61"/>
    <w:rsid w:val="00127F6D"/>
    <w:rsid w:val="0013050E"/>
    <w:rsid w:val="001305D8"/>
    <w:rsid w:val="0013141C"/>
    <w:rsid w:val="00132A1E"/>
    <w:rsid w:val="00132A61"/>
    <w:rsid w:val="001335C6"/>
    <w:rsid w:val="00133F09"/>
    <w:rsid w:val="0013403F"/>
    <w:rsid w:val="0013458E"/>
    <w:rsid w:val="001349C0"/>
    <w:rsid w:val="0013524C"/>
    <w:rsid w:val="00135775"/>
    <w:rsid w:val="001358CE"/>
    <w:rsid w:val="00135CA1"/>
    <w:rsid w:val="00135CB8"/>
    <w:rsid w:val="00135D1A"/>
    <w:rsid w:val="00136042"/>
    <w:rsid w:val="0013661B"/>
    <w:rsid w:val="00137041"/>
    <w:rsid w:val="001372F1"/>
    <w:rsid w:val="00137631"/>
    <w:rsid w:val="00137816"/>
    <w:rsid w:val="00137F3F"/>
    <w:rsid w:val="0014004E"/>
    <w:rsid w:val="0014022B"/>
    <w:rsid w:val="0014023A"/>
    <w:rsid w:val="00140AAD"/>
    <w:rsid w:val="00141181"/>
    <w:rsid w:val="00141463"/>
    <w:rsid w:val="001414D2"/>
    <w:rsid w:val="0014199C"/>
    <w:rsid w:val="00141FD7"/>
    <w:rsid w:val="00142B3C"/>
    <w:rsid w:val="00142D98"/>
    <w:rsid w:val="0014339D"/>
    <w:rsid w:val="00144110"/>
    <w:rsid w:val="00144297"/>
    <w:rsid w:val="00144BEC"/>
    <w:rsid w:val="00144D06"/>
    <w:rsid w:val="00146DB3"/>
    <w:rsid w:val="00147883"/>
    <w:rsid w:val="001478D7"/>
    <w:rsid w:val="00147AD0"/>
    <w:rsid w:val="0015182C"/>
    <w:rsid w:val="001519AF"/>
    <w:rsid w:val="00151BA9"/>
    <w:rsid w:val="00152B83"/>
    <w:rsid w:val="00153129"/>
    <w:rsid w:val="00153D6F"/>
    <w:rsid w:val="00154667"/>
    <w:rsid w:val="00154AAA"/>
    <w:rsid w:val="00154C28"/>
    <w:rsid w:val="00155D9C"/>
    <w:rsid w:val="00155EC0"/>
    <w:rsid w:val="0015602B"/>
    <w:rsid w:val="001560C4"/>
    <w:rsid w:val="0015780D"/>
    <w:rsid w:val="0016029F"/>
    <w:rsid w:val="00160A54"/>
    <w:rsid w:val="00160D8B"/>
    <w:rsid w:val="00161220"/>
    <w:rsid w:val="0016141B"/>
    <w:rsid w:val="001615FD"/>
    <w:rsid w:val="00161B3D"/>
    <w:rsid w:val="0016208B"/>
    <w:rsid w:val="00162B8C"/>
    <w:rsid w:val="00163143"/>
    <w:rsid w:val="00163DD5"/>
    <w:rsid w:val="001641A4"/>
    <w:rsid w:val="001642B1"/>
    <w:rsid w:val="001643E2"/>
    <w:rsid w:val="001644CF"/>
    <w:rsid w:val="001646F7"/>
    <w:rsid w:val="00164760"/>
    <w:rsid w:val="001647FE"/>
    <w:rsid w:val="00164F78"/>
    <w:rsid w:val="00165112"/>
    <w:rsid w:val="001651C9"/>
    <w:rsid w:val="00165416"/>
    <w:rsid w:val="0016596B"/>
    <w:rsid w:val="00165A32"/>
    <w:rsid w:val="00166260"/>
    <w:rsid w:val="001669FE"/>
    <w:rsid w:val="00166E3C"/>
    <w:rsid w:val="00167B25"/>
    <w:rsid w:val="00170040"/>
    <w:rsid w:val="00170102"/>
    <w:rsid w:val="0017010F"/>
    <w:rsid w:val="001701BA"/>
    <w:rsid w:val="00170418"/>
    <w:rsid w:val="001710EF"/>
    <w:rsid w:val="00171124"/>
    <w:rsid w:val="001712DE"/>
    <w:rsid w:val="001715C7"/>
    <w:rsid w:val="001717BE"/>
    <w:rsid w:val="001722CC"/>
    <w:rsid w:val="00173070"/>
    <w:rsid w:val="00173461"/>
    <w:rsid w:val="00174256"/>
    <w:rsid w:val="00174738"/>
    <w:rsid w:val="00174905"/>
    <w:rsid w:val="00174A49"/>
    <w:rsid w:val="00174C23"/>
    <w:rsid w:val="0017607E"/>
    <w:rsid w:val="001761E1"/>
    <w:rsid w:val="00176BC5"/>
    <w:rsid w:val="00177236"/>
    <w:rsid w:val="0017743D"/>
    <w:rsid w:val="00177886"/>
    <w:rsid w:val="00177CBC"/>
    <w:rsid w:val="001803B4"/>
    <w:rsid w:val="0018048E"/>
    <w:rsid w:val="00180A53"/>
    <w:rsid w:val="001811A8"/>
    <w:rsid w:val="00181390"/>
    <w:rsid w:val="00181B46"/>
    <w:rsid w:val="00181D75"/>
    <w:rsid w:val="00181ED2"/>
    <w:rsid w:val="00182600"/>
    <w:rsid w:val="0018306F"/>
    <w:rsid w:val="001833C0"/>
    <w:rsid w:val="00183952"/>
    <w:rsid w:val="00183A3B"/>
    <w:rsid w:val="00184FB4"/>
    <w:rsid w:val="00185275"/>
    <w:rsid w:val="00185297"/>
    <w:rsid w:val="00185778"/>
    <w:rsid w:val="00185CE6"/>
    <w:rsid w:val="001863DF"/>
    <w:rsid w:val="0018642C"/>
    <w:rsid w:val="00186E18"/>
    <w:rsid w:val="00186FC1"/>
    <w:rsid w:val="001878E6"/>
    <w:rsid w:val="00187A79"/>
    <w:rsid w:val="00187E8B"/>
    <w:rsid w:val="00190524"/>
    <w:rsid w:val="001909D2"/>
    <w:rsid w:val="00190C0D"/>
    <w:rsid w:val="00190E6C"/>
    <w:rsid w:val="00191050"/>
    <w:rsid w:val="0019164A"/>
    <w:rsid w:val="001917E4"/>
    <w:rsid w:val="001918E1"/>
    <w:rsid w:val="001919FA"/>
    <w:rsid w:val="001923F2"/>
    <w:rsid w:val="00192447"/>
    <w:rsid w:val="001928F3"/>
    <w:rsid w:val="00193180"/>
    <w:rsid w:val="001932B3"/>
    <w:rsid w:val="00193E66"/>
    <w:rsid w:val="00194A9B"/>
    <w:rsid w:val="00194B00"/>
    <w:rsid w:val="00194B11"/>
    <w:rsid w:val="00194B62"/>
    <w:rsid w:val="00194C17"/>
    <w:rsid w:val="00194FB7"/>
    <w:rsid w:val="001951DF"/>
    <w:rsid w:val="00195272"/>
    <w:rsid w:val="00195887"/>
    <w:rsid w:val="001966A7"/>
    <w:rsid w:val="00196931"/>
    <w:rsid w:val="0019702F"/>
    <w:rsid w:val="001971EC"/>
    <w:rsid w:val="001975C9"/>
    <w:rsid w:val="00197E67"/>
    <w:rsid w:val="00197EAF"/>
    <w:rsid w:val="001A041E"/>
    <w:rsid w:val="001A04C7"/>
    <w:rsid w:val="001A07BB"/>
    <w:rsid w:val="001A0B5C"/>
    <w:rsid w:val="001A0E3C"/>
    <w:rsid w:val="001A0EF3"/>
    <w:rsid w:val="001A0F9D"/>
    <w:rsid w:val="001A2764"/>
    <w:rsid w:val="001A2CC3"/>
    <w:rsid w:val="001A2EDD"/>
    <w:rsid w:val="001A2FF6"/>
    <w:rsid w:val="001A3660"/>
    <w:rsid w:val="001A384B"/>
    <w:rsid w:val="001A4327"/>
    <w:rsid w:val="001A449E"/>
    <w:rsid w:val="001A493E"/>
    <w:rsid w:val="001A4B00"/>
    <w:rsid w:val="001A4B2B"/>
    <w:rsid w:val="001A4C98"/>
    <w:rsid w:val="001A50EF"/>
    <w:rsid w:val="001A5C00"/>
    <w:rsid w:val="001A60B3"/>
    <w:rsid w:val="001A67D5"/>
    <w:rsid w:val="001A68FE"/>
    <w:rsid w:val="001A7105"/>
    <w:rsid w:val="001A77F4"/>
    <w:rsid w:val="001A7DD7"/>
    <w:rsid w:val="001A7FC2"/>
    <w:rsid w:val="001B0883"/>
    <w:rsid w:val="001B0900"/>
    <w:rsid w:val="001B1911"/>
    <w:rsid w:val="001B1EA3"/>
    <w:rsid w:val="001B2138"/>
    <w:rsid w:val="001B2B58"/>
    <w:rsid w:val="001B2E63"/>
    <w:rsid w:val="001B3699"/>
    <w:rsid w:val="001B3B5D"/>
    <w:rsid w:val="001B3C71"/>
    <w:rsid w:val="001B43BE"/>
    <w:rsid w:val="001B4540"/>
    <w:rsid w:val="001B4F6A"/>
    <w:rsid w:val="001B660F"/>
    <w:rsid w:val="001B675C"/>
    <w:rsid w:val="001B7D75"/>
    <w:rsid w:val="001C03EE"/>
    <w:rsid w:val="001C0600"/>
    <w:rsid w:val="001C0999"/>
    <w:rsid w:val="001C0D99"/>
    <w:rsid w:val="001C104C"/>
    <w:rsid w:val="001C1181"/>
    <w:rsid w:val="001C1389"/>
    <w:rsid w:val="001C2074"/>
    <w:rsid w:val="001C34BE"/>
    <w:rsid w:val="001C4560"/>
    <w:rsid w:val="001C470C"/>
    <w:rsid w:val="001C4962"/>
    <w:rsid w:val="001C5562"/>
    <w:rsid w:val="001C5781"/>
    <w:rsid w:val="001C5AEA"/>
    <w:rsid w:val="001C5E03"/>
    <w:rsid w:val="001C6ECD"/>
    <w:rsid w:val="001C7199"/>
    <w:rsid w:val="001C7B75"/>
    <w:rsid w:val="001D04E3"/>
    <w:rsid w:val="001D0EC5"/>
    <w:rsid w:val="001D0F4B"/>
    <w:rsid w:val="001D18AE"/>
    <w:rsid w:val="001D1C37"/>
    <w:rsid w:val="001D2209"/>
    <w:rsid w:val="001D25A1"/>
    <w:rsid w:val="001D2BE2"/>
    <w:rsid w:val="001D2D37"/>
    <w:rsid w:val="001D3002"/>
    <w:rsid w:val="001D3570"/>
    <w:rsid w:val="001D36B5"/>
    <w:rsid w:val="001D3B64"/>
    <w:rsid w:val="001D3FA8"/>
    <w:rsid w:val="001D40FB"/>
    <w:rsid w:val="001D51F4"/>
    <w:rsid w:val="001D5C66"/>
    <w:rsid w:val="001D60AF"/>
    <w:rsid w:val="001D64EB"/>
    <w:rsid w:val="001D69FA"/>
    <w:rsid w:val="001D6F87"/>
    <w:rsid w:val="001D72EE"/>
    <w:rsid w:val="001D7B5B"/>
    <w:rsid w:val="001E0077"/>
    <w:rsid w:val="001E0341"/>
    <w:rsid w:val="001E0530"/>
    <w:rsid w:val="001E0923"/>
    <w:rsid w:val="001E0B3F"/>
    <w:rsid w:val="001E0DF3"/>
    <w:rsid w:val="001E1355"/>
    <w:rsid w:val="001E4638"/>
    <w:rsid w:val="001E48A0"/>
    <w:rsid w:val="001E4E38"/>
    <w:rsid w:val="001E52A5"/>
    <w:rsid w:val="001E5AE0"/>
    <w:rsid w:val="001E5C26"/>
    <w:rsid w:val="001E5E0B"/>
    <w:rsid w:val="001E5F76"/>
    <w:rsid w:val="001E5F89"/>
    <w:rsid w:val="001E6238"/>
    <w:rsid w:val="001E763C"/>
    <w:rsid w:val="001E7F28"/>
    <w:rsid w:val="001F01E5"/>
    <w:rsid w:val="001F0432"/>
    <w:rsid w:val="001F0615"/>
    <w:rsid w:val="001F0AA8"/>
    <w:rsid w:val="001F11A3"/>
    <w:rsid w:val="001F18A3"/>
    <w:rsid w:val="001F1A09"/>
    <w:rsid w:val="001F1A73"/>
    <w:rsid w:val="001F1A9F"/>
    <w:rsid w:val="001F2326"/>
    <w:rsid w:val="001F23F7"/>
    <w:rsid w:val="001F2B1E"/>
    <w:rsid w:val="001F2B7B"/>
    <w:rsid w:val="001F2C79"/>
    <w:rsid w:val="001F3187"/>
    <w:rsid w:val="001F31D0"/>
    <w:rsid w:val="001F34D2"/>
    <w:rsid w:val="001F3A37"/>
    <w:rsid w:val="001F400A"/>
    <w:rsid w:val="001F44A0"/>
    <w:rsid w:val="001F4C1D"/>
    <w:rsid w:val="001F52E6"/>
    <w:rsid w:val="001F54A8"/>
    <w:rsid w:val="001F5D4D"/>
    <w:rsid w:val="001F5F9A"/>
    <w:rsid w:val="001F61AE"/>
    <w:rsid w:val="001F67CB"/>
    <w:rsid w:val="001F6BF9"/>
    <w:rsid w:val="001F6E66"/>
    <w:rsid w:val="001F6ED4"/>
    <w:rsid w:val="001F7A2C"/>
    <w:rsid w:val="002010BC"/>
    <w:rsid w:val="002016A8"/>
    <w:rsid w:val="0020188D"/>
    <w:rsid w:val="00202298"/>
    <w:rsid w:val="002022A6"/>
    <w:rsid w:val="0020233A"/>
    <w:rsid w:val="002023F6"/>
    <w:rsid w:val="00202A2D"/>
    <w:rsid w:val="00202F93"/>
    <w:rsid w:val="00204987"/>
    <w:rsid w:val="00205681"/>
    <w:rsid w:val="00205D61"/>
    <w:rsid w:val="00206153"/>
    <w:rsid w:val="00206CF2"/>
    <w:rsid w:val="0020724C"/>
    <w:rsid w:val="0020757F"/>
    <w:rsid w:val="002075DA"/>
    <w:rsid w:val="00210644"/>
    <w:rsid w:val="00210959"/>
    <w:rsid w:val="00210F12"/>
    <w:rsid w:val="00211525"/>
    <w:rsid w:val="00211690"/>
    <w:rsid w:val="00211811"/>
    <w:rsid w:val="002125E3"/>
    <w:rsid w:val="002127A0"/>
    <w:rsid w:val="002128D5"/>
    <w:rsid w:val="00212BAC"/>
    <w:rsid w:val="00212CDA"/>
    <w:rsid w:val="00212D62"/>
    <w:rsid w:val="00213E2A"/>
    <w:rsid w:val="00213EC0"/>
    <w:rsid w:val="00214210"/>
    <w:rsid w:val="00214498"/>
    <w:rsid w:val="0021471D"/>
    <w:rsid w:val="00214A2D"/>
    <w:rsid w:val="002164F1"/>
    <w:rsid w:val="00216906"/>
    <w:rsid w:val="002170AE"/>
    <w:rsid w:val="00217978"/>
    <w:rsid w:val="0022090C"/>
    <w:rsid w:val="00220C58"/>
    <w:rsid w:val="00221FC5"/>
    <w:rsid w:val="002228DE"/>
    <w:rsid w:val="00222AC0"/>
    <w:rsid w:val="00222CA5"/>
    <w:rsid w:val="00222DBD"/>
    <w:rsid w:val="002234E1"/>
    <w:rsid w:val="00224581"/>
    <w:rsid w:val="002247D8"/>
    <w:rsid w:val="002249F1"/>
    <w:rsid w:val="00225940"/>
    <w:rsid w:val="0022626D"/>
    <w:rsid w:val="002266C3"/>
    <w:rsid w:val="002266F2"/>
    <w:rsid w:val="00227087"/>
    <w:rsid w:val="0022732D"/>
    <w:rsid w:val="002275F0"/>
    <w:rsid w:val="00227ABC"/>
    <w:rsid w:val="00230706"/>
    <w:rsid w:val="002307F4"/>
    <w:rsid w:val="00230D61"/>
    <w:rsid w:val="002310E6"/>
    <w:rsid w:val="002312CA"/>
    <w:rsid w:val="00231819"/>
    <w:rsid w:val="00231B0E"/>
    <w:rsid w:val="00231B3B"/>
    <w:rsid w:val="00231D6B"/>
    <w:rsid w:val="002321AD"/>
    <w:rsid w:val="00232DC0"/>
    <w:rsid w:val="00232E2A"/>
    <w:rsid w:val="00233173"/>
    <w:rsid w:val="00234074"/>
    <w:rsid w:val="00234595"/>
    <w:rsid w:val="0023482E"/>
    <w:rsid w:val="002348DB"/>
    <w:rsid w:val="002358EF"/>
    <w:rsid w:val="00235B0B"/>
    <w:rsid w:val="00236665"/>
    <w:rsid w:val="00236A1D"/>
    <w:rsid w:val="00236B45"/>
    <w:rsid w:val="00237464"/>
    <w:rsid w:val="00237699"/>
    <w:rsid w:val="00237F13"/>
    <w:rsid w:val="00241014"/>
    <w:rsid w:val="002419DC"/>
    <w:rsid w:val="002422D4"/>
    <w:rsid w:val="00243624"/>
    <w:rsid w:val="00243A01"/>
    <w:rsid w:val="00243AB0"/>
    <w:rsid w:val="00243DAC"/>
    <w:rsid w:val="00244096"/>
    <w:rsid w:val="00244755"/>
    <w:rsid w:val="00244B34"/>
    <w:rsid w:val="00244DEF"/>
    <w:rsid w:val="002454C6"/>
    <w:rsid w:val="00245C7C"/>
    <w:rsid w:val="00246590"/>
    <w:rsid w:val="002467A2"/>
    <w:rsid w:val="002472FB"/>
    <w:rsid w:val="002473E6"/>
    <w:rsid w:val="00247B7E"/>
    <w:rsid w:val="00247F0C"/>
    <w:rsid w:val="00250B6C"/>
    <w:rsid w:val="00250C73"/>
    <w:rsid w:val="00253189"/>
    <w:rsid w:val="002533F8"/>
    <w:rsid w:val="00253471"/>
    <w:rsid w:val="002535DA"/>
    <w:rsid w:val="00253F1D"/>
    <w:rsid w:val="002547BB"/>
    <w:rsid w:val="00254E3A"/>
    <w:rsid w:val="00254EA1"/>
    <w:rsid w:val="002555CE"/>
    <w:rsid w:val="00255A68"/>
    <w:rsid w:val="00255DE2"/>
    <w:rsid w:val="00256264"/>
    <w:rsid w:val="00256EE0"/>
    <w:rsid w:val="00257042"/>
    <w:rsid w:val="00257A9D"/>
    <w:rsid w:val="00260140"/>
    <w:rsid w:val="00260366"/>
    <w:rsid w:val="00260AD9"/>
    <w:rsid w:val="00260C75"/>
    <w:rsid w:val="00260CD0"/>
    <w:rsid w:val="002618B2"/>
    <w:rsid w:val="00261FCA"/>
    <w:rsid w:val="002620C9"/>
    <w:rsid w:val="00262416"/>
    <w:rsid w:val="00263174"/>
    <w:rsid w:val="0026345D"/>
    <w:rsid w:val="00263484"/>
    <w:rsid w:val="00263897"/>
    <w:rsid w:val="0026389C"/>
    <w:rsid w:val="00264307"/>
    <w:rsid w:val="0026480E"/>
    <w:rsid w:val="002656B1"/>
    <w:rsid w:val="0026657D"/>
    <w:rsid w:val="0026675B"/>
    <w:rsid w:val="00267383"/>
    <w:rsid w:val="00267466"/>
    <w:rsid w:val="00267760"/>
    <w:rsid w:val="00270F0B"/>
    <w:rsid w:val="00271268"/>
    <w:rsid w:val="0027161E"/>
    <w:rsid w:val="002719FE"/>
    <w:rsid w:val="00271A22"/>
    <w:rsid w:val="00271DC2"/>
    <w:rsid w:val="00271FF5"/>
    <w:rsid w:val="002725D1"/>
    <w:rsid w:val="00272C9C"/>
    <w:rsid w:val="00273ECC"/>
    <w:rsid w:val="0027446F"/>
    <w:rsid w:val="00274F7A"/>
    <w:rsid w:val="00275CA0"/>
    <w:rsid w:val="00275EA8"/>
    <w:rsid w:val="0027626A"/>
    <w:rsid w:val="002764D4"/>
    <w:rsid w:val="00276B93"/>
    <w:rsid w:val="002771E3"/>
    <w:rsid w:val="00277EB7"/>
    <w:rsid w:val="002800AA"/>
    <w:rsid w:val="002809E9"/>
    <w:rsid w:val="00281F76"/>
    <w:rsid w:val="0028301A"/>
    <w:rsid w:val="002832AC"/>
    <w:rsid w:val="00283575"/>
    <w:rsid w:val="00283E2D"/>
    <w:rsid w:val="002843DC"/>
    <w:rsid w:val="002848C9"/>
    <w:rsid w:val="0028498C"/>
    <w:rsid w:val="00284F80"/>
    <w:rsid w:val="00285FE8"/>
    <w:rsid w:val="00287297"/>
    <w:rsid w:val="00287645"/>
    <w:rsid w:val="002878B2"/>
    <w:rsid w:val="00287A86"/>
    <w:rsid w:val="00287AC6"/>
    <w:rsid w:val="00287BC3"/>
    <w:rsid w:val="00287DF1"/>
    <w:rsid w:val="00287FEE"/>
    <w:rsid w:val="00290646"/>
    <w:rsid w:val="0029076F"/>
    <w:rsid w:val="0029094B"/>
    <w:rsid w:val="00290EE8"/>
    <w:rsid w:val="00290FE6"/>
    <w:rsid w:val="00292A7C"/>
    <w:rsid w:val="00292C08"/>
    <w:rsid w:val="00292FBD"/>
    <w:rsid w:val="002930AE"/>
    <w:rsid w:val="002936E1"/>
    <w:rsid w:val="00293BB3"/>
    <w:rsid w:val="002946D1"/>
    <w:rsid w:val="0029502A"/>
    <w:rsid w:val="00295622"/>
    <w:rsid w:val="00295812"/>
    <w:rsid w:val="0029646C"/>
    <w:rsid w:val="0029699C"/>
    <w:rsid w:val="002970FD"/>
    <w:rsid w:val="002972D0"/>
    <w:rsid w:val="00297661"/>
    <w:rsid w:val="002A090A"/>
    <w:rsid w:val="002A0944"/>
    <w:rsid w:val="002A0C7C"/>
    <w:rsid w:val="002A1F6C"/>
    <w:rsid w:val="002A2347"/>
    <w:rsid w:val="002A23CE"/>
    <w:rsid w:val="002A2492"/>
    <w:rsid w:val="002A393F"/>
    <w:rsid w:val="002A4066"/>
    <w:rsid w:val="002A4B00"/>
    <w:rsid w:val="002A4D41"/>
    <w:rsid w:val="002A4EFD"/>
    <w:rsid w:val="002A4F34"/>
    <w:rsid w:val="002A62BA"/>
    <w:rsid w:val="002A7142"/>
    <w:rsid w:val="002A7C95"/>
    <w:rsid w:val="002B0340"/>
    <w:rsid w:val="002B0D8B"/>
    <w:rsid w:val="002B0E02"/>
    <w:rsid w:val="002B124F"/>
    <w:rsid w:val="002B1B9F"/>
    <w:rsid w:val="002B1E75"/>
    <w:rsid w:val="002B2018"/>
    <w:rsid w:val="002B232F"/>
    <w:rsid w:val="002B23C6"/>
    <w:rsid w:val="002B24D4"/>
    <w:rsid w:val="002B2CCA"/>
    <w:rsid w:val="002B2ED2"/>
    <w:rsid w:val="002B3047"/>
    <w:rsid w:val="002B3134"/>
    <w:rsid w:val="002B32F9"/>
    <w:rsid w:val="002B3661"/>
    <w:rsid w:val="002B3A89"/>
    <w:rsid w:val="002B41E4"/>
    <w:rsid w:val="002B505F"/>
    <w:rsid w:val="002B553D"/>
    <w:rsid w:val="002B5AFC"/>
    <w:rsid w:val="002B626C"/>
    <w:rsid w:val="002B633D"/>
    <w:rsid w:val="002B639C"/>
    <w:rsid w:val="002B64E1"/>
    <w:rsid w:val="002B6D76"/>
    <w:rsid w:val="002B71D4"/>
    <w:rsid w:val="002B763C"/>
    <w:rsid w:val="002B79CD"/>
    <w:rsid w:val="002B7BC0"/>
    <w:rsid w:val="002B7E60"/>
    <w:rsid w:val="002B7F7C"/>
    <w:rsid w:val="002C027C"/>
    <w:rsid w:val="002C0FC3"/>
    <w:rsid w:val="002C1F75"/>
    <w:rsid w:val="002C22AA"/>
    <w:rsid w:val="002C3CEE"/>
    <w:rsid w:val="002C4141"/>
    <w:rsid w:val="002C427B"/>
    <w:rsid w:val="002C4633"/>
    <w:rsid w:val="002C4810"/>
    <w:rsid w:val="002C5431"/>
    <w:rsid w:val="002C584A"/>
    <w:rsid w:val="002C5C0F"/>
    <w:rsid w:val="002C5F4E"/>
    <w:rsid w:val="002C6117"/>
    <w:rsid w:val="002C6A38"/>
    <w:rsid w:val="002C6A75"/>
    <w:rsid w:val="002C77BE"/>
    <w:rsid w:val="002C7B1C"/>
    <w:rsid w:val="002C7B93"/>
    <w:rsid w:val="002C7D55"/>
    <w:rsid w:val="002D00E3"/>
    <w:rsid w:val="002D094B"/>
    <w:rsid w:val="002D1755"/>
    <w:rsid w:val="002D1DE9"/>
    <w:rsid w:val="002D2391"/>
    <w:rsid w:val="002D2F29"/>
    <w:rsid w:val="002D37BB"/>
    <w:rsid w:val="002D37E4"/>
    <w:rsid w:val="002D3936"/>
    <w:rsid w:val="002D45F4"/>
    <w:rsid w:val="002D4C8F"/>
    <w:rsid w:val="002D6AC0"/>
    <w:rsid w:val="002D744D"/>
    <w:rsid w:val="002D755D"/>
    <w:rsid w:val="002D7561"/>
    <w:rsid w:val="002D7CBF"/>
    <w:rsid w:val="002E0076"/>
    <w:rsid w:val="002E06A0"/>
    <w:rsid w:val="002E0713"/>
    <w:rsid w:val="002E0E31"/>
    <w:rsid w:val="002E1524"/>
    <w:rsid w:val="002E1AE6"/>
    <w:rsid w:val="002E1B2A"/>
    <w:rsid w:val="002E1DE7"/>
    <w:rsid w:val="002E22D9"/>
    <w:rsid w:val="002E2843"/>
    <w:rsid w:val="002E298E"/>
    <w:rsid w:val="002E336C"/>
    <w:rsid w:val="002E3399"/>
    <w:rsid w:val="002E3515"/>
    <w:rsid w:val="002E4292"/>
    <w:rsid w:val="002E48C2"/>
    <w:rsid w:val="002E4BA6"/>
    <w:rsid w:val="002E4E67"/>
    <w:rsid w:val="002E59D0"/>
    <w:rsid w:val="002E5B88"/>
    <w:rsid w:val="002E5D29"/>
    <w:rsid w:val="002E67BA"/>
    <w:rsid w:val="002E6C28"/>
    <w:rsid w:val="002E6DAA"/>
    <w:rsid w:val="002E720E"/>
    <w:rsid w:val="002E774F"/>
    <w:rsid w:val="002E7E7E"/>
    <w:rsid w:val="002F0703"/>
    <w:rsid w:val="002F10FE"/>
    <w:rsid w:val="002F15E8"/>
    <w:rsid w:val="002F1C3C"/>
    <w:rsid w:val="002F2058"/>
    <w:rsid w:val="002F34E3"/>
    <w:rsid w:val="002F3883"/>
    <w:rsid w:val="002F3AC3"/>
    <w:rsid w:val="002F40B0"/>
    <w:rsid w:val="002F4734"/>
    <w:rsid w:val="002F49C3"/>
    <w:rsid w:val="002F4A6C"/>
    <w:rsid w:val="002F4CDE"/>
    <w:rsid w:val="002F4FB3"/>
    <w:rsid w:val="002F52F4"/>
    <w:rsid w:val="002F5571"/>
    <w:rsid w:val="002F5E6F"/>
    <w:rsid w:val="002F5E91"/>
    <w:rsid w:val="002F6200"/>
    <w:rsid w:val="002F6959"/>
    <w:rsid w:val="002F6C13"/>
    <w:rsid w:val="002F6C59"/>
    <w:rsid w:val="002F7525"/>
    <w:rsid w:val="002F785C"/>
    <w:rsid w:val="002F7C27"/>
    <w:rsid w:val="003004A4"/>
    <w:rsid w:val="003005D9"/>
    <w:rsid w:val="00300AC4"/>
    <w:rsid w:val="00300D4C"/>
    <w:rsid w:val="00300D9B"/>
    <w:rsid w:val="00301303"/>
    <w:rsid w:val="003019AD"/>
    <w:rsid w:val="00301E6E"/>
    <w:rsid w:val="003023F7"/>
    <w:rsid w:val="00302C05"/>
    <w:rsid w:val="00302C7B"/>
    <w:rsid w:val="00302C99"/>
    <w:rsid w:val="00302E31"/>
    <w:rsid w:val="00302EF5"/>
    <w:rsid w:val="003031E0"/>
    <w:rsid w:val="0030387D"/>
    <w:rsid w:val="00303889"/>
    <w:rsid w:val="00303E32"/>
    <w:rsid w:val="00303F9D"/>
    <w:rsid w:val="00304025"/>
    <w:rsid w:val="00304033"/>
    <w:rsid w:val="00304A04"/>
    <w:rsid w:val="003058A2"/>
    <w:rsid w:val="00306037"/>
    <w:rsid w:val="003062CB"/>
    <w:rsid w:val="003074A9"/>
    <w:rsid w:val="00307C87"/>
    <w:rsid w:val="00310288"/>
    <w:rsid w:val="0031053F"/>
    <w:rsid w:val="00311A7F"/>
    <w:rsid w:val="00311DDF"/>
    <w:rsid w:val="00311EF6"/>
    <w:rsid w:val="00312379"/>
    <w:rsid w:val="003136D7"/>
    <w:rsid w:val="00313DFB"/>
    <w:rsid w:val="00313F30"/>
    <w:rsid w:val="00313FC1"/>
    <w:rsid w:val="003145A4"/>
    <w:rsid w:val="00314B78"/>
    <w:rsid w:val="00314CC7"/>
    <w:rsid w:val="00315B5E"/>
    <w:rsid w:val="00315DA4"/>
    <w:rsid w:val="00316105"/>
    <w:rsid w:val="00317CFD"/>
    <w:rsid w:val="00317DE7"/>
    <w:rsid w:val="003201A7"/>
    <w:rsid w:val="00320252"/>
    <w:rsid w:val="003209BF"/>
    <w:rsid w:val="003215F8"/>
    <w:rsid w:val="00321A02"/>
    <w:rsid w:val="00323CCC"/>
    <w:rsid w:val="00323D41"/>
    <w:rsid w:val="00323EBB"/>
    <w:rsid w:val="00324A07"/>
    <w:rsid w:val="00324A2E"/>
    <w:rsid w:val="00324F0F"/>
    <w:rsid w:val="00325176"/>
    <w:rsid w:val="00325490"/>
    <w:rsid w:val="0032579B"/>
    <w:rsid w:val="00326C7F"/>
    <w:rsid w:val="003272FA"/>
    <w:rsid w:val="00327545"/>
    <w:rsid w:val="0032779F"/>
    <w:rsid w:val="0033070A"/>
    <w:rsid w:val="00330BE7"/>
    <w:rsid w:val="003317A6"/>
    <w:rsid w:val="0033247F"/>
    <w:rsid w:val="00332BCF"/>
    <w:rsid w:val="00332D57"/>
    <w:rsid w:val="00333424"/>
    <w:rsid w:val="00333660"/>
    <w:rsid w:val="00333F71"/>
    <w:rsid w:val="00334416"/>
    <w:rsid w:val="003345BE"/>
    <w:rsid w:val="003345C3"/>
    <w:rsid w:val="0033466B"/>
    <w:rsid w:val="0033478C"/>
    <w:rsid w:val="00334888"/>
    <w:rsid w:val="00335377"/>
    <w:rsid w:val="003354AB"/>
    <w:rsid w:val="00335813"/>
    <w:rsid w:val="00335A26"/>
    <w:rsid w:val="00335A71"/>
    <w:rsid w:val="00335B0A"/>
    <w:rsid w:val="00335C23"/>
    <w:rsid w:val="00336CA2"/>
    <w:rsid w:val="003370FB"/>
    <w:rsid w:val="00337170"/>
    <w:rsid w:val="00337720"/>
    <w:rsid w:val="00340268"/>
    <w:rsid w:val="00340514"/>
    <w:rsid w:val="0034090D"/>
    <w:rsid w:val="0034092B"/>
    <w:rsid w:val="00340FA6"/>
    <w:rsid w:val="0034139D"/>
    <w:rsid w:val="00341CCB"/>
    <w:rsid w:val="00342BDB"/>
    <w:rsid w:val="00342C2C"/>
    <w:rsid w:val="003433B0"/>
    <w:rsid w:val="003433E8"/>
    <w:rsid w:val="0034341A"/>
    <w:rsid w:val="00343703"/>
    <w:rsid w:val="0034377E"/>
    <w:rsid w:val="0034480D"/>
    <w:rsid w:val="00344826"/>
    <w:rsid w:val="0034528F"/>
    <w:rsid w:val="00345870"/>
    <w:rsid w:val="00346619"/>
    <w:rsid w:val="003467AC"/>
    <w:rsid w:val="00346870"/>
    <w:rsid w:val="003477EA"/>
    <w:rsid w:val="00347B17"/>
    <w:rsid w:val="0035003C"/>
    <w:rsid w:val="00350303"/>
    <w:rsid w:val="0035036D"/>
    <w:rsid w:val="00350626"/>
    <w:rsid w:val="00350C45"/>
    <w:rsid w:val="00350CF0"/>
    <w:rsid w:val="00350D22"/>
    <w:rsid w:val="00351613"/>
    <w:rsid w:val="00351F0F"/>
    <w:rsid w:val="00352089"/>
    <w:rsid w:val="003524FA"/>
    <w:rsid w:val="00352789"/>
    <w:rsid w:val="00352994"/>
    <w:rsid w:val="00352DD5"/>
    <w:rsid w:val="00353730"/>
    <w:rsid w:val="0035373C"/>
    <w:rsid w:val="00354053"/>
    <w:rsid w:val="0035420C"/>
    <w:rsid w:val="00355E83"/>
    <w:rsid w:val="003560A3"/>
    <w:rsid w:val="00356844"/>
    <w:rsid w:val="00356F37"/>
    <w:rsid w:val="00357658"/>
    <w:rsid w:val="003578DE"/>
    <w:rsid w:val="00357D22"/>
    <w:rsid w:val="003604AA"/>
    <w:rsid w:val="003616BD"/>
    <w:rsid w:val="00361B00"/>
    <w:rsid w:val="00362307"/>
    <w:rsid w:val="00362BC1"/>
    <w:rsid w:val="00362CF9"/>
    <w:rsid w:val="00362D7A"/>
    <w:rsid w:val="003634A2"/>
    <w:rsid w:val="0036378F"/>
    <w:rsid w:val="00363E8A"/>
    <w:rsid w:val="003645E7"/>
    <w:rsid w:val="00364F6F"/>
    <w:rsid w:val="00365098"/>
    <w:rsid w:val="003654B7"/>
    <w:rsid w:val="0036567D"/>
    <w:rsid w:val="00365A39"/>
    <w:rsid w:val="00365B35"/>
    <w:rsid w:val="00365EC7"/>
    <w:rsid w:val="00366642"/>
    <w:rsid w:val="00366852"/>
    <w:rsid w:val="0036716D"/>
    <w:rsid w:val="003674E2"/>
    <w:rsid w:val="00367FBD"/>
    <w:rsid w:val="00370A09"/>
    <w:rsid w:val="00371445"/>
    <w:rsid w:val="00371E42"/>
    <w:rsid w:val="00372062"/>
    <w:rsid w:val="00372143"/>
    <w:rsid w:val="00372D2F"/>
    <w:rsid w:val="00373036"/>
    <w:rsid w:val="003730E7"/>
    <w:rsid w:val="00374721"/>
    <w:rsid w:val="00374D07"/>
    <w:rsid w:val="0037520D"/>
    <w:rsid w:val="00375621"/>
    <w:rsid w:val="00375E94"/>
    <w:rsid w:val="0037631B"/>
    <w:rsid w:val="00376ED5"/>
    <w:rsid w:val="00376F7E"/>
    <w:rsid w:val="00380FCE"/>
    <w:rsid w:val="0038124C"/>
    <w:rsid w:val="003817FB"/>
    <w:rsid w:val="00381B8E"/>
    <w:rsid w:val="0038238F"/>
    <w:rsid w:val="0038283D"/>
    <w:rsid w:val="003849F7"/>
    <w:rsid w:val="00384CC3"/>
    <w:rsid w:val="00384DD6"/>
    <w:rsid w:val="0038513C"/>
    <w:rsid w:val="00385591"/>
    <w:rsid w:val="00386529"/>
    <w:rsid w:val="00387436"/>
    <w:rsid w:val="0038790B"/>
    <w:rsid w:val="00387AE1"/>
    <w:rsid w:val="00387F39"/>
    <w:rsid w:val="003901B5"/>
    <w:rsid w:val="003908E3"/>
    <w:rsid w:val="003909BB"/>
    <w:rsid w:val="00390B4C"/>
    <w:rsid w:val="00390E83"/>
    <w:rsid w:val="0039105D"/>
    <w:rsid w:val="0039137C"/>
    <w:rsid w:val="00391809"/>
    <w:rsid w:val="00391890"/>
    <w:rsid w:val="00392317"/>
    <w:rsid w:val="0039298E"/>
    <w:rsid w:val="00393279"/>
    <w:rsid w:val="0039359B"/>
    <w:rsid w:val="00393621"/>
    <w:rsid w:val="00393D51"/>
    <w:rsid w:val="00393D73"/>
    <w:rsid w:val="00394B41"/>
    <w:rsid w:val="00394B9A"/>
    <w:rsid w:val="00394D09"/>
    <w:rsid w:val="00395088"/>
    <w:rsid w:val="0039509F"/>
    <w:rsid w:val="0039558D"/>
    <w:rsid w:val="00396418"/>
    <w:rsid w:val="003978A9"/>
    <w:rsid w:val="0039799A"/>
    <w:rsid w:val="00397D82"/>
    <w:rsid w:val="003A005B"/>
    <w:rsid w:val="003A07AC"/>
    <w:rsid w:val="003A123C"/>
    <w:rsid w:val="003A1389"/>
    <w:rsid w:val="003A1EEF"/>
    <w:rsid w:val="003A2366"/>
    <w:rsid w:val="003A2673"/>
    <w:rsid w:val="003A26B9"/>
    <w:rsid w:val="003A28B0"/>
    <w:rsid w:val="003A29BC"/>
    <w:rsid w:val="003A2A9C"/>
    <w:rsid w:val="003A35A2"/>
    <w:rsid w:val="003A37ED"/>
    <w:rsid w:val="003A3D42"/>
    <w:rsid w:val="003A4405"/>
    <w:rsid w:val="003A4AAE"/>
    <w:rsid w:val="003A4D5A"/>
    <w:rsid w:val="003A506E"/>
    <w:rsid w:val="003A68A8"/>
    <w:rsid w:val="003A693A"/>
    <w:rsid w:val="003A69FF"/>
    <w:rsid w:val="003A7100"/>
    <w:rsid w:val="003A71A1"/>
    <w:rsid w:val="003A7B79"/>
    <w:rsid w:val="003A7C13"/>
    <w:rsid w:val="003A7D87"/>
    <w:rsid w:val="003A7F60"/>
    <w:rsid w:val="003B0185"/>
    <w:rsid w:val="003B04C8"/>
    <w:rsid w:val="003B057D"/>
    <w:rsid w:val="003B066F"/>
    <w:rsid w:val="003B13CD"/>
    <w:rsid w:val="003B1571"/>
    <w:rsid w:val="003B2087"/>
    <w:rsid w:val="003B22AF"/>
    <w:rsid w:val="003B26D1"/>
    <w:rsid w:val="003B292F"/>
    <w:rsid w:val="003B30AC"/>
    <w:rsid w:val="003B3C40"/>
    <w:rsid w:val="003B40C2"/>
    <w:rsid w:val="003B41F6"/>
    <w:rsid w:val="003B4224"/>
    <w:rsid w:val="003B43A6"/>
    <w:rsid w:val="003B45E4"/>
    <w:rsid w:val="003B4B56"/>
    <w:rsid w:val="003B4E66"/>
    <w:rsid w:val="003B662B"/>
    <w:rsid w:val="003B675B"/>
    <w:rsid w:val="003B7180"/>
    <w:rsid w:val="003B7428"/>
    <w:rsid w:val="003B7CCE"/>
    <w:rsid w:val="003C0022"/>
    <w:rsid w:val="003C0475"/>
    <w:rsid w:val="003C15DE"/>
    <w:rsid w:val="003C1B40"/>
    <w:rsid w:val="003C1BC8"/>
    <w:rsid w:val="003C256C"/>
    <w:rsid w:val="003C37D5"/>
    <w:rsid w:val="003C4B8A"/>
    <w:rsid w:val="003C502A"/>
    <w:rsid w:val="003C510C"/>
    <w:rsid w:val="003C517B"/>
    <w:rsid w:val="003C5A70"/>
    <w:rsid w:val="003C5BAF"/>
    <w:rsid w:val="003C5BC6"/>
    <w:rsid w:val="003C5DA7"/>
    <w:rsid w:val="003C604D"/>
    <w:rsid w:val="003C70B9"/>
    <w:rsid w:val="003C7501"/>
    <w:rsid w:val="003C78E3"/>
    <w:rsid w:val="003D013A"/>
    <w:rsid w:val="003D09C5"/>
    <w:rsid w:val="003D0F15"/>
    <w:rsid w:val="003D1721"/>
    <w:rsid w:val="003D1B85"/>
    <w:rsid w:val="003D21F7"/>
    <w:rsid w:val="003D2648"/>
    <w:rsid w:val="003D2D82"/>
    <w:rsid w:val="003D3188"/>
    <w:rsid w:val="003D35AD"/>
    <w:rsid w:val="003D36E6"/>
    <w:rsid w:val="003D3E19"/>
    <w:rsid w:val="003D4253"/>
    <w:rsid w:val="003D4370"/>
    <w:rsid w:val="003D45E2"/>
    <w:rsid w:val="003D48D5"/>
    <w:rsid w:val="003D5702"/>
    <w:rsid w:val="003D5A11"/>
    <w:rsid w:val="003D676A"/>
    <w:rsid w:val="003D678A"/>
    <w:rsid w:val="003D70E6"/>
    <w:rsid w:val="003D7393"/>
    <w:rsid w:val="003D79DD"/>
    <w:rsid w:val="003D7CC8"/>
    <w:rsid w:val="003E11CC"/>
    <w:rsid w:val="003E17C2"/>
    <w:rsid w:val="003E21F2"/>
    <w:rsid w:val="003E2DAF"/>
    <w:rsid w:val="003E2F3C"/>
    <w:rsid w:val="003E36CF"/>
    <w:rsid w:val="003E3D3B"/>
    <w:rsid w:val="003E3D5F"/>
    <w:rsid w:val="003E3FF7"/>
    <w:rsid w:val="003E41D8"/>
    <w:rsid w:val="003E4561"/>
    <w:rsid w:val="003E5A42"/>
    <w:rsid w:val="003E66A9"/>
    <w:rsid w:val="003E6A7D"/>
    <w:rsid w:val="003E741C"/>
    <w:rsid w:val="003E7D03"/>
    <w:rsid w:val="003F047D"/>
    <w:rsid w:val="003F09BA"/>
    <w:rsid w:val="003F0C62"/>
    <w:rsid w:val="003F0C87"/>
    <w:rsid w:val="003F11DE"/>
    <w:rsid w:val="003F137C"/>
    <w:rsid w:val="003F1B5E"/>
    <w:rsid w:val="003F24E8"/>
    <w:rsid w:val="003F27E9"/>
    <w:rsid w:val="003F2CE4"/>
    <w:rsid w:val="003F2F3F"/>
    <w:rsid w:val="003F32C6"/>
    <w:rsid w:val="003F36AB"/>
    <w:rsid w:val="003F39CC"/>
    <w:rsid w:val="003F4263"/>
    <w:rsid w:val="003F4864"/>
    <w:rsid w:val="003F50D7"/>
    <w:rsid w:val="003F5755"/>
    <w:rsid w:val="003F5B7F"/>
    <w:rsid w:val="003F5CA9"/>
    <w:rsid w:val="003F60CC"/>
    <w:rsid w:val="003F66AC"/>
    <w:rsid w:val="003F6786"/>
    <w:rsid w:val="003F68A8"/>
    <w:rsid w:val="003F7067"/>
    <w:rsid w:val="003F792B"/>
    <w:rsid w:val="003F79AA"/>
    <w:rsid w:val="003F7EAE"/>
    <w:rsid w:val="0040011B"/>
    <w:rsid w:val="0040054A"/>
    <w:rsid w:val="004009A6"/>
    <w:rsid w:val="00400C1F"/>
    <w:rsid w:val="00402A7A"/>
    <w:rsid w:val="00402F74"/>
    <w:rsid w:val="00403459"/>
    <w:rsid w:val="004034A2"/>
    <w:rsid w:val="00403C87"/>
    <w:rsid w:val="00403D34"/>
    <w:rsid w:val="00403D3C"/>
    <w:rsid w:val="004041E3"/>
    <w:rsid w:val="0040495B"/>
    <w:rsid w:val="00404BE9"/>
    <w:rsid w:val="00405616"/>
    <w:rsid w:val="004057D9"/>
    <w:rsid w:val="00405FBE"/>
    <w:rsid w:val="00406BBF"/>
    <w:rsid w:val="00406CD9"/>
    <w:rsid w:val="00407639"/>
    <w:rsid w:val="00407E53"/>
    <w:rsid w:val="00410D96"/>
    <w:rsid w:val="00412401"/>
    <w:rsid w:val="004131A6"/>
    <w:rsid w:val="0041337D"/>
    <w:rsid w:val="00413513"/>
    <w:rsid w:val="00413BD6"/>
    <w:rsid w:val="004145A4"/>
    <w:rsid w:val="0041485B"/>
    <w:rsid w:val="00414C0B"/>
    <w:rsid w:val="00415210"/>
    <w:rsid w:val="004155CB"/>
    <w:rsid w:val="00415886"/>
    <w:rsid w:val="004158EC"/>
    <w:rsid w:val="00415F9A"/>
    <w:rsid w:val="00415F9E"/>
    <w:rsid w:val="004165D1"/>
    <w:rsid w:val="00417113"/>
    <w:rsid w:val="004179C8"/>
    <w:rsid w:val="00417AAB"/>
    <w:rsid w:val="00420754"/>
    <w:rsid w:val="00420CAC"/>
    <w:rsid w:val="00420DC3"/>
    <w:rsid w:val="00420FEB"/>
    <w:rsid w:val="004215EB"/>
    <w:rsid w:val="00421F3A"/>
    <w:rsid w:val="00422084"/>
    <w:rsid w:val="004220BF"/>
    <w:rsid w:val="0042259F"/>
    <w:rsid w:val="00422CA8"/>
    <w:rsid w:val="00422D49"/>
    <w:rsid w:val="00422E56"/>
    <w:rsid w:val="004238D6"/>
    <w:rsid w:val="004238F8"/>
    <w:rsid w:val="00423F0C"/>
    <w:rsid w:val="00424728"/>
    <w:rsid w:val="00424BE7"/>
    <w:rsid w:val="00424CE2"/>
    <w:rsid w:val="004258A2"/>
    <w:rsid w:val="004258D4"/>
    <w:rsid w:val="004259AB"/>
    <w:rsid w:val="00425B52"/>
    <w:rsid w:val="00425FE3"/>
    <w:rsid w:val="004264D7"/>
    <w:rsid w:val="00426769"/>
    <w:rsid w:val="00426CD2"/>
    <w:rsid w:val="00426FA3"/>
    <w:rsid w:val="00427BFB"/>
    <w:rsid w:val="004301DF"/>
    <w:rsid w:val="00430A8B"/>
    <w:rsid w:val="00430D8B"/>
    <w:rsid w:val="0043169E"/>
    <w:rsid w:val="00431919"/>
    <w:rsid w:val="00431F25"/>
    <w:rsid w:val="00432156"/>
    <w:rsid w:val="004324F3"/>
    <w:rsid w:val="0043286A"/>
    <w:rsid w:val="0043390B"/>
    <w:rsid w:val="0043394C"/>
    <w:rsid w:val="00433BBC"/>
    <w:rsid w:val="00433BF7"/>
    <w:rsid w:val="004346B8"/>
    <w:rsid w:val="00434808"/>
    <w:rsid w:val="00435BA2"/>
    <w:rsid w:val="00436215"/>
    <w:rsid w:val="00436866"/>
    <w:rsid w:val="00436A0D"/>
    <w:rsid w:val="00436A89"/>
    <w:rsid w:val="00436D97"/>
    <w:rsid w:val="0043764E"/>
    <w:rsid w:val="00437BB1"/>
    <w:rsid w:val="00440753"/>
    <w:rsid w:val="00440A1D"/>
    <w:rsid w:val="00441128"/>
    <w:rsid w:val="00441B3D"/>
    <w:rsid w:val="00442008"/>
    <w:rsid w:val="004421B2"/>
    <w:rsid w:val="004422B3"/>
    <w:rsid w:val="00442D8F"/>
    <w:rsid w:val="00443036"/>
    <w:rsid w:val="00443AAC"/>
    <w:rsid w:val="00444358"/>
    <w:rsid w:val="00444DF7"/>
    <w:rsid w:val="00445332"/>
    <w:rsid w:val="00445632"/>
    <w:rsid w:val="004458BB"/>
    <w:rsid w:val="00446593"/>
    <w:rsid w:val="0044663A"/>
    <w:rsid w:val="00446818"/>
    <w:rsid w:val="00446D25"/>
    <w:rsid w:val="00447355"/>
    <w:rsid w:val="004476E1"/>
    <w:rsid w:val="0044789D"/>
    <w:rsid w:val="00447F3D"/>
    <w:rsid w:val="00450187"/>
    <w:rsid w:val="004504F6"/>
    <w:rsid w:val="00450D93"/>
    <w:rsid w:val="00450F6A"/>
    <w:rsid w:val="00451061"/>
    <w:rsid w:val="00451368"/>
    <w:rsid w:val="00451A16"/>
    <w:rsid w:val="004520BE"/>
    <w:rsid w:val="004536EC"/>
    <w:rsid w:val="0045373B"/>
    <w:rsid w:val="00453CEC"/>
    <w:rsid w:val="004543C8"/>
    <w:rsid w:val="00454752"/>
    <w:rsid w:val="004550DB"/>
    <w:rsid w:val="00455A54"/>
    <w:rsid w:val="0045711D"/>
    <w:rsid w:val="004577E3"/>
    <w:rsid w:val="00457A47"/>
    <w:rsid w:val="00460D72"/>
    <w:rsid w:val="004615BC"/>
    <w:rsid w:val="00461D64"/>
    <w:rsid w:val="00462132"/>
    <w:rsid w:val="00462715"/>
    <w:rsid w:val="00463666"/>
    <w:rsid w:val="00463A2D"/>
    <w:rsid w:val="00463AA8"/>
    <w:rsid w:val="00463D74"/>
    <w:rsid w:val="0046508C"/>
    <w:rsid w:val="00465FE9"/>
    <w:rsid w:val="00467446"/>
    <w:rsid w:val="00467C32"/>
    <w:rsid w:val="0047002F"/>
    <w:rsid w:val="0047019F"/>
    <w:rsid w:val="00470C44"/>
    <w:rsid w:val="0047130E"/>
    <w:rsid w:val="00472B04"/>
    <w:rsid w:val="00472BB7"/>
    <w:rsid w:val="004731F5"/>
    <w:rsid w:val="0047350D"/>
    <w:rsid w:val="004735E2"/>
    <w:rsid w:val="0047397E"/>
    <w:rsid w:val="00473A22"/>
    <w:rsid w:val="004740A3"/>
    <w:rsid w:val="004741E3"/>
    <w:rsid w:val="00474A7A"/>
    <w:rsid w:val="00474EC9"/>
    <w:rsid w:val="004754D8"/>
    <w:rsid w:val="0047558C"/>
    <w:rsid w:val="004756A1"/>
    <w:rsid w:val="0047606F"/>
    <w:rsid w:val="004769CE"/>
    <w:rsid w:val="004776A8"/>
    <w:rsid w:val="00477E43"/>
    <w:rsid w:val="00480476"/>
    <w:rsid w:val="00480562"/>
    <w:rsid w:val="004805DE"/>
    <w:rsid w:val="00480C1C"/>
    <w:rsid w:val="00480C33"/>
    <w:rsid w:val="00481993"/>
    <w:rsid w:val="00481A6B"/>
    <w:rsid w:val="00481ADE"/>
    <w:rsid w:val="00482339"/>
    <w:rsid w:val="0048291B"/>
    <w:rsid w:val="00482C15"/>
    <w:rsid w:val="004843CE"/>
    <w:rsid w:val="00484AC0"/>
    <w:rsid w:val="004851AC"/>
    <w:rsid w:val="00485404"/>
    <w:rsid w:val="00485F7E"/>
    <w:rsid w:val="004865DF"/>
    <w:rsid w:val="004867D6"/>
    <w:rsid w:val="004868B9"/>
    <w:rsid w:val="00487A47"/>
    <w:rsid w:val="00487B05"/>
    <w:rsid w:val="004909E8"/>
    <w:rsid w:val="0049199A"/>
    <w:rsid w:val="00491D01"/>
    <w:rsid w:val="0049233D"/>
    <w:rsid w:val="0049281B"/>
    <w:rsid w:val="0049395F"/>
    <w:rsid w:val="00493EB6"/>
    <w:rsid w:val="00493F82"/>
    <w:rsid w:val="00494096"/>
    <w:rsid w:val="00494393"/>
    <w:rsid w:val="00494406"/>
    <w:rsid w:val="004945C2"/>
    <w:rsid w:val="004946E6"/>
    <w:rsid w:val="00494820"/>
    <w:rsid w:val="0049552B"/>
    <w:rsid w:val="0049595B"/>
    <w:rsid w:val="00495A50"/>
    <w:rsid w:val="00495DAE"/>
    <w:rsid w:val="004967F7"/>
    <w:rsid w:val="00496BC6"/>
    <w:rsid w:val="00497216"/>
    <w:rsid w:val="00497345"/>
    <w:rsid w:val="00497A2C"/>
    <w:rsid w:val="00497A82"/>
    <w:rsid w:val="004A06E0"/>
    <w:rsid w:val="004A17A5"/>
    <w:rsid w:val="004A202A"/>
    <w:rsid w:val="004A27CB"/>
    <w:rsid w:val="004A27E5"/>
    <w:rsid w:val="004A2907"/>
    <w:rsid w:val="004A2A72"/>
    <w:rsid w:val="004A2AD6"/>
    <w:rsid w:val="004A2FFC"/>
    <w:rsid w:val="004A419D"/>
    <w:rsid w:val="004A4C74"/>
    <w:rsid w:val="004A4E0C"/>
    <w:rsid w:val="004A4EE5"/>
    <w:rsid w:val="004A519E"/>
    <w:rsid w:val="004A53E4"/>
    <w:rsid w:val="004A5547"/>
    <w:rsid w:val="004A63E6"/>
    <w:rsid w:val="004A6D36"/>
    <w:rsid w:val="004A7BF1"/>
    <w:rsid w:val="004A7C5B"/>
    <w:rsid w:val="004A7EB3"/>
    <w:rsid w:val="004B0841"/>
    <w:rsid w:val="004B1080"/>
    <w:rsid w:val="004B1BA9"/>
    <w:rsid w:val="004B2424"/>
    <w:rsid w:val="004B2587"/>
    <w:rsid w:val="004B3275"/>
    <w:rsid w:val="004B37B8"/>
    <w:rsid w:val="004B44DA"/>
    <w:rsid w:val="004B475E"/>
    <w:rsid w:val="004B47D4"/>
    <w:rsid w:val="004B52F0"/>
    <w:rsid w:val="004B59B7"/>
    <w:rsid w:val="004B5A80"/>
    <w:rsid w:val="004B5B40"/>
    <w:rsid w:val="004B6E60"/>
    <w:rsid w:val="004B7260"/>
    <w:rsid w:val="004B766E"/>
    <w:rsid w:val="004B7F29"/>
    <w:rsid w:val="004C01D5"/>
    <w:rsid w:val="004C04E6"/>
    <w:rsid w:val="004C0698"/>
    <w:rsid w:val="004C0766"/>
    <w:rsid w:val="004C0BAC"/>
    <w:rsid w:val="004C0E57"/>
    <w:rsid w:val="004C0FC4"/>
    <w:rsid w:val="004C102D"/>
    <w:rsid w:val="004C1050"/>
    <w:rsid w:val="004C1E6E"/>
    <w:rsid w:val="004C2026"/>
    <w:rsid w:val="004C2170"/>
    <w:rsid w:val="004C21AC"/>
    <w:rsid w:val="004C2782"/>
    <w:rsid w:val="004C2C56"/>
    <w:rsid w:val="004C2D63"/>
    <w:rsid w:val="004C2E34"/>
    <w:rsid w:val="004C2EDA"/>
    <w:rsid w:val="004C32A6"/>
    <w:rsid w:val="004C34BF"/>
    <w:rsid w:val="004C35C1"/>
    <w:rsid w:val="004C35E7"/>
    <w:rsid w:val="004C3626"/>
    <w:rsid w:val="004C3FC8"/>
    <w:rsid w:val="004C401E"/>
    <w:rsid w:val="004C40A7"/>
    <w:rsid w:val="004C4256"/>
    <w:rsid w:val="004C4552"/>
    <w:rsid w:val="004C569E"/>
    <w:rsid w:val="004C5832"/>
    <w:rsid w:val="004C5977"/>
    <w:rsid w:val="004C5A29"/>
    <w:rsid w:val="004C5BB2"/>
    <w:rsid w:val="004C6121"/>
    <w:rsid w:val="004C6935"/>
    <w:rsid w:val="004C6C6B"/>
    <w:rsid w:val="004C74AA"/>
    <w:rsid w:val="004C7D29"/>
    <w:rsid w:val="004D0668"/>
    <w:rsid w:val="004D09C4"/>
    <w:rsid w:val="004D0D59"/>
    <w:rsid w:val="004D2AE8"/>
    <w:rsid w:val="004D323D"/>
    <w:rsid w:val="004D3251"/>
    <w:rsid w:val="004D3AB0"/>
    <w:rsid w:val="004D3C60"/>
    <w:rsid w:val="004D4B97"/>
    <w:rsid w:val="004D529B"/>
    <w:rsid w:val="004D56B9"/>
    <w:rsid w:val="004D595D"/>
    <w:rsid w:val="004D59D6"/>
    <w:rsid w:val="004D6154"/>
    <w:rsid w:val="004D62D0"/>
    <w:rsid w:val="004D6BE0"/>
    <w:rsid w:val="004D6FCF"/>
    <w:rsid w:val="004D72EE"/>
    <w:rsid w:val="004D7496"/>
    <w:rsid w:val="004D7909"/>
    <w:rsid w:val="004E03BE"/>
    <w:rsid w:val="004E126B"/>
    <w:rsid w:val="004E1A76"/>
    <w:rsid w:val="004E23DB"/>
    <w:rsid w:val="004E24AB"/>
    <w:rsid w:val="004E28FD"/>
    <w:rsid w:val="004E2C77"/>
    <w:rsid w:val="004E38DF"/>
    <w:rsid w:val="004E3C4E"/>
    <w:rsid w:val="004E4012"/>
    <w:rsid w:val="004E46AE"/>
    <w:rsid w:val="004E4BAE"/>
    <w:rsid w:val="004E4C78"/>
    <w:rsid w:val="004E4D8A"/>
    <w:rsid w:val="004E4F36"/>
    <w:rsid w:val="004E4FD4"/>
    <w:rsid w:val="004E6182"/>
    <w:rsid w:val="004E63B5"/>
    <w:rsid w:val="004E6AEB"/>
    <w:rsid w:val="004E6FBC"/>
    <w:rsid w:val="004E7256"/>
    <w:rsid w:val="004E774D"/>
    <w:rsid w:val="004E7947"/>
    <w:rsid w:val="004F0395"/>
    <w:rsid w:val="004F055E"/>
    <w:rsid w:val="004F0C75"/>
    <w:rsid w:val="004F0FB3"/>
    <w:rsid w:val="004F1A06"/>
    <w:rsid w:val="004F1DF5"/>
    <w:rsid w:val="004F3185"/>
    <w:rsid w:val="004F385E"/>
    <w:rsid w:val="004F41DA"/>
    <w:rsid w:val="004F4437"/>
    <w:rsid w:val="004F450C"/>
    <w:rsid w:val="004F48FE"/>
    <w:rsid w:val="004F4DBF"/>
    <w:rsid w:val="004F51F1"/>
    <w:rsid w:val="004F5B23"/>
    <w:rsid w:val="004F5C27"/>
    <w:rsid w:val="004F6248"/>
    <w:rsid w:val="004F699B"/>
    <w:rsid w:val="004F6D7A"/>
    <w:rsid w:val="004F74BD"/>
    <w:rsid w:val="004F788F"/>
    <w:rsid w:val="004F7B45"/>
    <w:rsid w:val="004F7DD5"/>
    <w:rsid w:val="00500195"/>
    <w:rsid w:val="0050019E"/>
    <w:rsid w:val="0050043C"/>
    <w:rsid w:val="0050047D"/>
    <w:rsid w:val="005006B3"/>
    <w:rsid w:val="005008D3"/>
    <w:rsid w:val="00500E3F"/>
    <w:rsid w:val="00502300"/>
    <w:rsid w:val="00503E3E"/>
    <w:rsid w:val="005048C8"/>
    <w:rsid w:val="005065B4"/>
    <w:rsid w:val="00506BCB"/>
    <w:rsid w:val="00506DB4"/>
    <w:rsid w:val="005076E2"/>
    <w:rsid w:val="00507B05"/>
    <w:rsid w:val="00507C74"/>
    <w:rsid w:val="00507CE5"/>
    <w:rsid w:val="00507E06"/>
    <w:rsid w:val="00510B3F"/>
    <w:rsid w:val="00512696"/>
    <w:rsid w:val="0051271F"/>
    <w:rsid w:val="00512720"/>
    <w:rsid w:val="00512E76"/>
    <w:rsid w:val="00513783"/>
    <w:rsid w:val="00513A6C"/>
    <w:rsid w:val="00513FBF"/>
    <w:rsid w:val="0051445A"/>
    <w:rsid w:val="00514951"/>
    <w:rsid w:val="00514A0D"/>
    <w:rsid w:val="005156D6"/>
    <w:rsid w:val="00515779"/>
    <w:rsid w:val="0051596E"/>
    <w:rsid w:val="005159FD"/>
    <w:rsid w:val="005162AD"/>
    <w:rsid w:val="00516334"/>
    <w:rsid w:val="005166CF"/>
    <w:rsid w:val="00516B78"/>
    <w:rsid w:val="00516B84"/>
    <w:rsid w:val="005170BC"/>
    <w:rsid w:val="005170EF"/>
    <w:rsid w:val="00517DE6"/>
    <w:rsid w:val="0052003C"/>
    <w:rsid w:val="005207F8"/>
    <w:rsid w:val="00521CAB"/>
    <w:rsid w:val="00522293"/>
    <w:rsid w:val="00522726"/>
    <w:rsid w:val="00522913"/>
    <w:rsid w:val="0052331A"/>
    <w:rsid w:val="00523412"/>
    <w:rsid w:val="00523683"/>
    <w:rsid w:val="005244B4"/>
    <w:rsid w:val="00525175"/>
    <w:rsid w:val="0052523E"/>
    <w:rsid w:val="005252E8"/>
    <w:rsid w:val="005253A8"/>
    <w:rsid w:val="00525583"/>
    <w:rsid w:val="005266A6"/>
    <w:rsid w:val="0052678F"/>
    <w:rsid w:val="00526847"/>
    <w:rsid w:val="00526E67"/>
    <w:rsid w:val="00526E89"/>
    <w:rsid w:val="0052799A"/>
    <w:rsid w:val="00527B42"/>
    <w:rsid w:val="00527C7C"/>
    <w:rsid w:val="00527E0A"/>
    <w:rsid w:val="00530327"/>
    <w:rsid w:val="00530CB1"/>
    <w:rsid w:val="0053195F"/>
    <w:rsid w:val="00532549"/>
    <w:rsid w:val="00533066"/>
    <w:rsid w:val="005333BC"/>
    <w:rsid w:val="00534078"/>
    <w:rsid w:val="005347C0"/>
    <w:rsid w:val="00534B3A"/>
    <w:rsid w:val="005358A5"/>
    <w:rsid w:val="005363D8"/>
    <w:rsid w:val="0053671E"/>
    <w:rsid w:val="00536728"/>
    <w:rsid w:val="00536FBA"/>
    <w:rsid w:val="005373EF"/>
    <w:rsid w:val="005401CC"/>
    <w:rsid w:val="00540272"/>
    <w:rsid w:val="0054060E"/>
    <w:rsid w:val="00540629"/>
    <w:rsid w:val="005407A8"/>
    <w:rsid w:val="00540B80"/>
    <w:rsid w:val="005411D1"/>
    <w:rsid w:val="005416F4"/>
    <w:rsid w:val="005419D3"/>
    <w:rsid w:val="00541E6C"/>
    <w:rsid w:val="005421F1"/>
    <w:rsid w:val="005423E8"/>
    <w:rsid w:val="00542A6B"/>
    <w:rsid w:val="005434B5"/>
    <w:rsid w:val="00543D7C"/>
    <w:rsid w:val="00544645"/>
    <w:rsid w:val="0054489C"/>
    <w:rsid w:val="00544B3C"/>
    <w:rsid w:val="0054545A"/>
    <w:rsid w:val="005454AC"/>
    <w:rsid w:val="005457AA"/>
    <w:rsid w:val="00545AA5"/>
    <w:rsid w:val="0054657E"/>
    <w:rsid w:val="005467DD"/>
    <w:rsid w:val="00546FDA"/>
    <w:rsid w:val="00547F37"/>
    <w:rsid w:val="00550DD6"/>
    <w:rsid w:val="00550FEB"/>
    <w:rsid w:val="00551F79"/>
    <w:rsid w:val="00552B8F"/>
    <w:rsid w:val="00552D1D"/>
    <w:rsid w:val="00552FCC"/>
    <w:rsid w:val="005532F4"/>
    <w:rsid w:val="00553A40"/>
    <w:rsid w:val="005542F5"/>
    <w:rsid w:val="005544A9"/>
    <w:rsid w:val="005546FA"/>
    <w:rsid w:val="0055479B"/>
    <w:rsid w:val="00554B2D"/>
    <w:rsid w:val="00555133"/>
    <w:rsid w:val="0055539A"/>
    <w:rsid w:val="00555658"/>
    <w:rsid w:val="00555900"/>
    <w:rsid w:val="00555E65"/>
    <w:rsid w:val="0055695B"/>
    <w:rsid w:val="00556CCC"/>
    <w:rsid w:val="00556D17"/>
    <w:rsid w:val="00557264"/>
    <w:rsid w:val="005573E3"/>
    <w:rsid w:val="00557717"/>
    <w:rsid w:val="00560747"/>
    <w:rsid w:val="00560CA9"/>
    <w:rsid w:val="005615EE"/>
    <w:rsid w:val="00561EBC"/>
    <w:rsid w:val="00561F72"/>
    <w:rsid w:val="00562016"/>
    <w:rsid w:val="00562BB3"/>
    <w:rsid w:val="00562FAF"/>
    <w:rsid w:val="0056330A"/>
    <w:rsid w:val="0056375C"/>
    <w:rsid w:val="0056396B"/>
    <w:rsid w:val="00564301"/>
    <w:rsid w:val="00564736"/>
    <w:rsid w:val="00565B11"/>
    <w:rsid w:val="00565BE6"/>
    <w:rsid w:val="00566638"/>
    <w:rsid w:val="00566B16"/>
    <w:rsid w:val="00567641"/>
    <w:rsid w:val="00567C50"/>
    <w:rsid w:val="00567CBC"/>
    <w:rsid w:val="00570498"/>
    <w:rsid w:val="00570CDF"/>
    <w:rsid w:val="00570CF1"/>
    <w:rsid w:val="005710B9"/>
    <w:rsid w:val="00571141"/>
    <w:rsid w:val="0057187C"/>
    <w:rsid w:val="00573730"/>
    <w:rsid w:val="00573F73"/>
    <w:rsid w:val="005746C4"/>
    <w:rsid w:val="00576042"/>
    <w:rsid w:val="005760D9"/>
    <w:rsid w:val="005767E8"/>
    <w:rsid w:val="005769EF"/>
    <w:rsid w:val="00576F48"/>
    <w:rsid w:val="00576F6B"/>
    <w:rsid w:val="005776B3"/>
    <w:rsid w:val="00577B76"/>
    <w:rsid w:val="00577D99"/>
    <w:rsid w:val="005806ED"/>
    <w:rsid w:val="00580A06"/>
    <w:rsid w:val="00580D3A"/>
    <w:rsid w:val="005814C6"/>
    <w:rsid w:val="00581737"/>
    <w:rsid w:val="005819E8"/>
    <w:rsid w:val="00582396"/>
    <w:rsid w:val="005825CA"/>
    <w:rsid w:val="00582AA2"/>
    <w:rsid w:val="00582CBE"/>
    <w:rsid w:val="00582E8C"/>
    <w:rsid w:val="00584069"/>
    <w:rsid w:val="005843E1"/>
    <w:rsid w:val="0058478C"/>
    <w:rsid w:val="00584B46"/>
    <w:rsid w:val="00584CBA"/>
    <w:rsid w:val="005850B5"/>
    <w:rsid w:val="0058562B"/>
    <w:rsid w:val="005857CB"/>
    <w:rsid w:val="00585B87"/>
    <w:rsid w:val="00585BEF"/>
    <w:rsid w:val="005860C8"/>
    <w:rsid w:val="0058626F"/>
    <w:rsid w:val="005864D4"/>
    <w:rsid w:val="00586935"/>
    <w:rsid w:val="00586D31"/>
    <w:rsid w:val="00587F99"/>
    <w:rsid w:val="00587FC1"/>
    <w:rsid w:val="005902C9"/>
    <w:rsid w:val="005902DB"/>
    <w:rsid w:val="005904F3"/>
    <w:rsid w:val="0059052E"/>
    <w:rsid w:val="005909A0"/>
    <w:rsid w:val="00590D1F"/>
    <w:rsid w:val="00590E8B"/>
    <w:rsid w:val="00591766"/>
    <w:rsid w:val="0059275E"/>
    <w:rsid w:val="00592EDA"/>
    <w:rsid w:val="00592FAD"/>
    <w:rsid w:val="0059332C"/>
    <w:rsid w:val="00593425"/>
    <w:rsid w:val="005938D1"/>
    <w:rsid w:val="00593D67"/>
    <w:rsid w:val="00594DDC"/>
    <w:rsid w:val="00594EB1"/>
    <w:rsid w:val="00594FD0"/>
    <w:rsid w:val="00595B93"/>
    <w:rsid w:val="005962D8"/>
    <w:rsid w:val="005964D7"/>
    <w:rsid w:val="00596B5A"/>
    <w:rsid w:val="005976B7"/>
    <w:rsid w:val="0059799C"/>
    <w:rsid w:val="005A0012"/>
    <w:rsid w:val="005A0013"/>
    <w:rsid w:val="005A04BB"/>
    <w:rsid w:val="005A0595"/>
    <w:rsid w:val="005A07F3"/>
    <w:rsid w:val="005A091F"/>
    <w:rsid w:val="005A093E"/>
    <w:rsid w:val="005A0F1B"/>
    <w:rsid w:val="005A0F83"/>
    <w:rsid w:val="005A156A"/>
    <w:rsid w:val="005A15A4"/>
    <w:rsid w:val="005A1939"/>
    <w:rsid w:val="005A3206"/>
    <w:rsid w:val="005A3FA3"/>
    <w:rsid w:val="005A4374"/>
    <w:rsid w:val="005A47AF"/>
    <w:rsid w:val="005A4AB4"/>
    <w:rsid w:val="005A4D2E"/>
    <w:rsid w:val="005A4FA3"/>
    <w:rsid w:val="005A558E"/>
    <w:rsid w:val="005A56C3"/>
    <w:rsid w:val="005A579D"/>
    <w:rsid w:val="005A5FA7"/>
    <w:rsid w:val="005A69CA"/>
    <w:rsid w:val="005A6A69"/>
    <w:rsid w:val="005A6B2A"/>
    <w:rsid w:val="005A7F2C"/>
    <w:rsid w:val="005B04E4"/>
    <w:rsid w:val="005B095A"/>
    <w:rsid w:val="005B11E1"/>
    <w:rsid w:val="005B1BCA"/>
    <w:rsid w:val="005B2598"/>
    <w:rsid w:val="005B38A9"/>
    <w:rsid w:val="005B3EA9"/>
    <w:rsid w:val="005B3EE9"/>
    <w:rsid w:val="005B4623"/>
    <w:rsid w:val="005B4CE3"/>
    <w:rsid w:val="005B5B60"/>
    <w:rsid w:val="005B5C10"/>
    <w:rsid w:val="005B6235"/>
    <w:rsid w:val="005B7482"/>
    <w:rsid w:val="005B74E2"/>
    <w:rsid w:val="005B7699"/>
    <w:rsid w:val="005B7777"/>
    <w:rsid w:val="005B7833"/>
    <w:rsid w:val="005B7A78"/>
    <w:rsid w:val="005B7ED3"/>
    <w:rsid w:val="005C013C"/>
    <w:rsid w:val="005C043D"/>
    <w:rsid w:val="005C10F2"/>
    <w:rsid w:val="005C1543"/>
    <w:rsid w:val="005C1715"/>
    <w:rsid w:val="005C1B57"/>
    <w:rsid w:val="005C1D4D"/>
    <w:rsid w:val="005C235B"/>
    <w:rsid w:val="005C2714"/>
    <w:rsid w:val="005C2AF5"/>
    <w:rsid w:val="005C3481"/>
    <w:rsid w:val="005C39F2"/>
    <w:rsid w:val="005C4733"/>
    <w:rsid w:val="005C48C1"/>
    <w:rsid w:val="005C52A0"/>
    <w:rsid w:val="005C54D3"/>
    <w:rsid w:val="005C5A79"/>
    <w:rsid w:val="005C5F67"/>
    <w:rsid w:val="005C6A74"/>
    <w:rsid w:val="005C6BD3"/>
    <w:rsid w:val="005C7648"/>
    <w:rsid w:val="005C79B7"/>
    <w:rsid w:val="005C7C77"/>
    <w:rsid w:val="005C7DEA"/>
    <w:rsid w:val="005C7FB1"/>
    <w:rsid w:val="005C7FCF"/>
    <w:rsid w:val="005D0E6B"/>
    <w:rsid w:val="005D1392"/>
    <w:rsid w:val="005D1783"/>
    <w:rsid w:val="005D1A83"/>
    <w:rsid w:val="005D1A8B"/>
    <w:rsid w:val="005D1AAC"/>
    <w:rsid w:val="005D29EB"/>
    <w:rsid w:val="005D37FD"/>
    <w:rsid w:val="005D48DC"/>
    <w:rsid w:val="005D4C7F"/>
    <w:rsid w:val="005D4F01"/>
    <w:rsid w:val="005D4F7B"/>
    <w:rsid w:val="005D55DD"/>
    <w:rsid w:val="005D5DE6"/>
    <w:rsid w:val="005D5F3F"/>
    <w:rsid w:val="005D6248"/>
    <w:rsid w:val="005D6582"/>
    <w:rsid w:val="005D6697"/>
    <w:rsid w:val="005D6B6E"/>
    <w:rsid w:val="005D73BF"/>
    <w:rsid w:val="005D74D6"/>
    <w:rsid w:val="005E0475"/>
    <w:rsid w:val="005E0600"/>
    <w:rsid w:val="005E0807"/>
    <w:rsid w:val="005E0DF4"/>
    <w:rsid w:val="005E121B"/>
    <w:rsid w:val="005E1574"/>
    <w:rsid w:val="005E1868"/>
    <w:rsid w:val="005E1D9B"/>
    <w:rsid w:val="005E1DC9"/>
    <w:rsid w:val="005E2360"/>
    <w:rsid w:val="005E2B74"/>
    <w:rsid w:val="005E2EFD"/>
    <w:rsid w:val="005E2FE5"/>
    <w:rsid w:val="005E3301"/>
    <w:rsid w:val="005E34C6"/>
    <w:rsid w:val="005E35BA"/>
    <w:rsid w:val="005E370E"/>
    <w:rsid w:val="005E44BD"/>
    <w:rsid w:val="005E4D2C"/>
    <w:rsid w:val="005E4E33"/>
    <w:rsid w:val="005E5782"/>
    <w:rsid w:val="005E5CA1"/>
    <w:rsid w:val="005E5D28"/>
    <w:rsid w:val="005E64DD"/>
    <w:rsid w:val="005E652E"/>
    <w:rsid w:val="005E7A5F"/>
    <w:rsid w:val="005F09BF"/>
    <w:rsid w:val="005F0E44"/>
    <w:rsid w:val="005F0F7B"/>
    <w:rsid w:val="005F1A7C"/>
    <w:rsid w:val="005F1C28"/>
    <w:rsid w:val="005F260D"/>
    <w:rsid w:val="005F2A19"/>
    <w:rsid w:val="005F2CAD"/>
    <w:rsid w:val="005F2DE9"/>
    <w:rsid w:val="005F2E8F"/>
    <w:rsid w:val="005F3222"/>
    <w:rsid w:val="005F34B1"/>
    <w:rsid w:val="005F4270"/>
    <w:rsid w:val="005F43A6"/>
    <w:rsid w:val="005F4ACC"/>
    <w:rsid w:val="005F4DEA"/>
    <w:rsid w:val="005F55C4"/>
    <w:rsid w:val="005F5D18"/>
    <w:rsid w:val="005F666F"/>
    <w:rsid w:val="005F7069"/>
    <w:rsid w:val="005F70C1"/>
    <w:rsid w:val="005F71E6"/>
    <w:rsid w:val="005F7C24"/>
    <w:rsid w:val="006004FA"/>
    <w:rsid w:val="00600FE7"/>
    <w:rsid w:val="0060126C"/>
    <w:rsid w:val="0060198A"/>
    <w:rsid w:val="0060234E"/>
    <w:rsid w:val="00602B26"/>
    <w:rsid w:val="00603116"/>
    <w:rsid w:val="006039DF"/>
    <w:rsid w:val="00603C4F"/>
    <w:rsid w:val="0060497E"/>
    <w:rsid w:val="00604B0E"/>
    <w:rsid w:val="0060528C"/>
    <w:rsid w:val="00605765"/>
    <w:rsid w:val="0060594A"/>
    <w:rsid w:val="00605C67"/>
    <w:rsid w:val="00605CAA"/>
    <w:rsid w:val="00606AED"/>
    <w:rsid w:val="00606C9E"/>
    <w:rsid w:val="00607AE3"/>
    <w:rsid w:val="006115D9"/>
    <w:rsid w:val="006120B6"/>
    <w:rsid w:val="006126D6"/>
    <w:rsid w:val="00612EDC"/>
    <w:rsid w:val="00613336"/>
    <w:rsid w:val="006135B9"/>
    <w:rsid w:val="006135E6"/>
    <w:rsid w:val="0061399A"/>
    <w:rsid w:val="00613D93"/>
    <w:rsid w:val="0061563A"/>
    <w:rsid w:val="0061570C"/>
    <w:rsid w:val="00615FAE"/>
    <w:rsid w:val="0061672A"/>
    <w:rsid w:val="00616B3F"/>
    <w:rsid w:val="00616ED1"/>
    <w:rsid w:val="006171CB"/>
    <w:rsid w:val="006175DC"/>
    <w:rsid w:val="00617A3A"/>
    <w:rsid w:val="006201C4"/>
    <w:rsid w:val="00620E20"/>
    <w:rsid w:val="00621306"/>
    <w:rsid w:val="00621C54"/>
    <w:rsid w:val="00622A64"/>
    <w:rsid w:val="00622A88"/>
    <w:rsid w:val="00622AF4"/>
    <w:rsid w:val="00622DA9"/>
    <w:rsid w:val="00623154"/>
    <w:rsid w:val="006231C7"/>
    <w:rsid w:val="0062349E"/>
    <w:rsid w:val="006235ED"/>
    <w:rsid w:val="00624053"/>
    <w:rsid w:val="0062406D"/>
    <w:rsid w:val="00624238"/>
    <w:rsid w:val="0062543F"/>
    <w:rsid w:val="00625ACB"/>
    <w:rsid w:val="00626590"/>
    <w:rsid w:val="00626760"/>
    <w:rsid w:val="006269EC"/>
    <w:rsid w:val="00626E2B"/>
    <w:rsid w:val="00630468"/>
    <w:rsid w:val="006309E7"/>
    <w:rsid w:val="00630B93"/>
    <w:rsid w:val="006320A7"/>
    <w:rsid w:val="006326DE"/>
    <w:rsid w:val="0063356A"/>
    <w:rsid w:val="00633744"/>
    <w:rsid w:val="0063384D"/>
    <w:rsid w:val="00633BB6"/>
    <w:rsid w:val="00633D0E"/>
    <w:rsid w:val="00633DE6"/>
    <w:rsid w:val="00634D1A"/>
    <w:rsid w:val="006351F9"/>
    <w:rsid w:val="0063559E"/>
    <w:rsid w:val="00635640"/>
    <w:rsid w:val="00635CAD"/>
    <w:rsid w:val="00635D4D"/>
    <w:rsid w:val="00635DEF"/>
    <w:rsid w:val="00636A89"/>
    <w:rsid w:val="00636DAF"/>
    <w:rsid w:val="00637333"/>
    <w:rsid w:val="00637553"/>
    <w:rsid w:val="0063755E"/>
    <w:rsid w:val="0063769D"/>
    <w:rsid w:val="00637A2D"/>
    <w:rsid w:val="00640120"/>
    <w:rsid w:val="0064014E"/>
    <w:rsid w:val="00640266"/>
    <w:rsid w:val="00640D40"/>
    <w:rsid w:val="00641440"/>
    <w:rsid w:val="00641611"/>
    <w:rsid w:val="00641D12"/>
    <w:rsid w:val="00641D4D"/>
    <w:rsid w:val="006425F8"/>
    <w:rsid w:val="006427AD"/>
    <w:rsid w:val="0064287D"/>
    <w:rsid w:val="00642926"/>
    <w:rsid w:val="00642A51"/>
    <w:rsid w:val="00642DEB"/>
    <w:rsid w:val="00642F01"/>
    <w:rsid w:val="006432CD"/>
    <w:rsid w:val="00643EF9"/>
    <w:rsid w:val="00644398"/>
    <w:rsid w:val="00644B9B"/>
    <w:rsid w:val="00645CD9"/>
    <w:rsid w:val="00646B0C"/>
    <w:rsid w:val="00646E44"/>
    <w:rsid w:val="0064755E"/>
    <w:rsid w:val="006500F1"/>
    <w:rsid w:val="00650C83"/>
    <w:rsid w:val="00651F8A"/>
    <w:rsid w:val="006520F7"/>
    <w:rsid w:val="00653744"/>
    <w:rsid w:val="00654B2A"/>
    <w:rsid w:val="00655CA2"/>
    <w:rsid w:val="00656777"/>
    <w:rsid w:val="00660196"/>
    <w:rsid w:val="006601F0"/>
    <w:rsid w:val="006603DC"/>
    <w:rsid w:val="006603E5"/>
    <w:rsid w:val="00660FCB"/>
    <w:rsid w:val="006619D1"/>
    <w:rsid w:val="00661E37"/>
    <w:rsid w:val="006629F0"/>
    <w:rsid w:val="00662A31"/>
    <w:rsid w:val="00662EE4"/>
    <w:rsid w:val="0066364B"/>
    <w:rsid w:val="0066386C"/>
    <w:rsid w:val="006642F5"/>
    <w:rsid w:val="00664C57"/>
    <w:rsid w:val="00665036"/>
    <w:rsid w:val="0066591B"/>
    <w:rsid w:val="00665A38"/>
    <w:rsid w:val="00665DD8"/>
    <w:rsid w:val="00665ED4"/>
    <w:rsid w:val="00666312"/>
    <w:rsid w:val="006665DA"/>
    <w:rsid w:val="006670E0"/>
    <w:rsid w:val="006671C0"/>
    <w:rsid w:val="00667280"/>
    <w:rsid w:val="006673FF"/>
    <w:rsid w:val="006675E7"/>
    <w:rsid w:val="006701FD"/>
    <w:rsid w:val="006702E3"/>
    <w:rsid w:val="0067051F"/>
    <w:rsid w:val="006709CE"/>
    <w:rsid w:val="006716F2"/>
    <w:rsid w:val="00672520"/>
    <w:rsid w:val="0067305D"/>
    <w:rsid w:val="0067382D"/>
    <w:rsid w:val="006738BE"/>
    <w:rsid w:val="006739FC"/>
    <w:rsid w:val="00674C99"/>
    <w:rsid w:val="00674DF2"/>
    <w:rsid w:val="00675110"/>
    <w:rsid w:val="006753C9"/>
    <w:rsid w:val="0067556E"/>
    <w:rsid w:val="00675C06"/>
    <w:rsid w:val="00675FB2"/>
    <w:rsid w:val="006760BC"/>
    <w:rsid w:val="006762F1"/>
    <w:rsid w:val="006765EC"/>
    <w:rsid w:val="00676954"/>
    <w:rsid w:val="0067757E"/>
    <w:rsid w:val="00677718"/>
    <w:rsid w:val="006779E2"/>
    <w:rsid w:val="00677F65"/>
    <w:rsid w:val="00680087"/>
    <w:rsid w:val="006800BA"/>
    <w:rsid w:val="006806C3"/>
    <w:rsid w:val="006821E6"/>
    <w:rsid w:val="006826C2"/>
    <w:rsid w:val="00682988"/>
    <w:rsid w:val="00682FD3"/>
    <w:rsid w:val="00683B7D"/>
    <w:rsid w:val="0068475C"/>
    <w:rsid w:val="0068494C"/>
    <w:rsid w:val="00684BF8"/>
    <w:rsid w:val="00684C11"/>
    <w:rsid w:val="00685630"/>
    <w:rsid w:val="00685689"/>
    <w:rsid w:val="00685D17"/>
    <w:rsid w:val="00685DB5"/>
    <w:rsid w:val="00686325"/>
    <w:rsid w:val="00686502"/>
    <w:rsid w:val="006865F0"/>
    <w:rsid w:val="00687396"/>
    <w:rsid w:val="00687883"/>
    <w:rsid w:val="00687E87"/>
    <w:rsid w:val="0069040A"/>
    <w:rsid w:val="00690468"/>
    <w:rsid w:val="00690DF6"/>
    <w:rsid w:val="00691CD1"/>
    <w:rsid w:val="0069258F"/>
    <w:rsid w:val="00692FB3"/>
    <w:rsid w:val="00693175"/>
    <w:rsid w:val="00693499"/>
    <w:rsid w:val="00693513"/>
    <w:rsid w:val="00694249"/>
    <w:rsid w:val="0069426F"/>
    <w:rsid w:val="00694297"/>
    <w:rsid w:val="006957A1"/>
    <w:rsid w:val="00696BDB"/>
    <w:rsid w:val="00696D83"/>
    <w:rsid w:val="006973ED"/>
    <w:rsid w:val="0069744D"/>
    <w:rsid w:val="0069782A"/>
    <w:rsid w:val="006A09EA"/>
    <w:rsid w:val="006A0B20"/>
    <w:rsid w:val="006A1A0B"/>
    <w:rsid w:val="006A2EA7"/>
    <w:rsid w:val="006A3223"/>
    <w:rsid w:val="006A32F2"/>
    <w:rsid w:val="006A366D"/>
    <w:rsid w:val="006A376D"/>
    <w:rsid w:val="006A40CA"/>
    <w:rsid w:val="006A50AA"/>
    <w:rsid w:val="006A51B1"/>
    <w:rsid w:val="006A551A"/>
    <w:rsid w:val="006A5A29"/>
    <w:rsid w:val="006A6188"/>
    <w:rsid w:val="006A66E4"/>
    <w:rsid w:val="006A733A"/>
    <w:rsid w:val="006A7935"/>
    <w:rsid w:val="006A7993"/>
    <w:rsid w:val="006A7B78"/>
    <w:rsid w:val="006B0264"/>
    <w:rsid w:val="006B02AF"/>
    <w:rsid w:val="006B1557"/>
    <w:rsid w:val="006B1840"/>
    <w:rsid w:val="006B1B4B"/>
    <w:rsid w:val="006B1EEE"/>
    <w:rsid w:val="006B1FE0"/>
    <w:rsid w:val="006B2829"/>
    <w:rsid w:val="006B298E"/>
    <w:rsid w:val="006B30F9"/>
    <w:rsid w:val="006B3125"/>
    <w:rsid w:val="006B33BF"/>
    <w:rsid w:val="006B3C97"/>
    <w:rsid w:val="006B3D2B"/>
    <w:rsid w:val="006B4074"/>
    <w:rsid w:val="006B43B5"/>
    <w:rsid w:val="006B4E37"/>
    <w:rsid w:val="006B5C70"/>
    <w:rsid w:val="006B5D6F"/>
    <w:rsid w:val="006B6035"/>
    <w:rsid w:val="006B633C"/>
    <w:rsid w:val="006B6715"/>
    <w:rsid w:val="006B67A0"/>
    <w:rsid w:val="006B6D0D"/>
    <w:rsid w:val="006B7520"/>
    <w:rsid w:val="006B79C8"/>
    <w:rsid w:val="006C0068"/>
    <w:rsid w:val="006C0807"/>
    <w:rsid w:val="006C0968"/>
    <w:rsid w:val="006C0B53"/>
    <w:rsid w:val="006C1329"/>
    <w:rsid w:val="006C1D42"/>
    <w:rsid w:val="006C2362"/>
    <w:rsid w:val="006C32D1"/>
    <w:rsid w:val="006C3DF1"/>
    <w:rsid w:val="006C4122"/>
    <w:rsid w:val="006C45EE"/>
    <w:rsid w:val="006C64CE"/>
    <w:rsid w:val="006C6A74"/>
    <w:rsid w:val="006C6AD8"/>
    <w:rsid w:val="006C76B4"/>
    <w:rsid w:val="006D055F"/>
    <w:rsid w:val="006D10C9"/>
    <w:rsid w:val="006D1A47"/>
    <w:rsid w:val="006D23FF"/>
    <w:rsid w:val="006D2E4C"/>
    <w:rsid w:val="006D2E98"/>
    <w:rsid w:val="006D42A2"/>
    <w:rsid w:val="006D42AD"/>
    <w:rsid w:val="006D4A50"/>
    <w:rsid w:val="006D4FF9"/>
    <w:rsid w:val="006D557D"/>
    <w:rsid w:val="006D5AFA"/>
    <w:rsid w:val="006D65DD"/>
    <w:rsid w:val="006D6B27"/>
    <w:rsid w:val="006D6D1E"/>
    <w:rsid w:val="006D7027"/>
    <w:rsid w:val="006D776F"/>
    <w:rsid w:val="006D7990"/>
    <w:rsid w:val="006D799C"/>
    <w:rsid w:val="006D7FE5"/>
    <w:rsid w:val="006E008F"/>
    <w:rsid w:val="006E0724"/>
    <w:rsid w:val="006E0758"/>
    <w:rsid w:val="006E0905"/>
    <w:rsid w:val="006E13D7"/>
    <w:rsid w:val="006E1B34"/>
    <w:rsid w:val="006E20C6"/>
    <w:rsid w:val="006E22BB"/>
    <w:rsid w:val="006E2A06"/>
    <w:rsid w:val="006E2DCE"/>
    <w:rsid w:val="006E362F"/>
    <w:rsid w:val="006E36F2"/>
    <w:rsid w:val="006E4400"/>
    <w:rsid w:val="006E4670"/>
    <w:rsid w:val="006E47F2"/>
    <w:rsid w:val="006E49F1"/>
    <w:rsid w:val="006E5626"/>
    <w:rsid w:val="006E65B5"/>
    <w:rsid w:val="006E66F1"/>
    <w:rsid w:val="006E6BFD"/>
    <w:rsid w:val="006E71CB"/>
    <w:rsid w:val="006E78C2"/>
    <w:rsid w:val="006F0273"/>
    <w:rsid w:val="006F0526"/>
    <w:rsid w:val="006F09D6"/>
    <w:rsid w:val="006F0A48"/>
    <w:rsid w:val="006F0DE5"/>
    <w:rsid w:val="006F12E4"/>
    <w:rsid w:val="006F14A7"/>
    <w:rsid w:val="006F1569"/>
    <w:rsid w:val="006F1F74"/>
    <w:rsid w:val="006F26EF"/>
    <w:rsid w:val="006F28E3"/>
    <w:rsid w:val="006F2F12"/>
    <w:rsid w:val="006F33F4"/>
    <w:rsid w:val="006F39EB"/>
    <w:rsid w:val="006F3F4E"/>
    <w:rsid w:val="006F40B9"/>
    <w:rsid w:val="006F440C"/>
    <w:rsid w:val="006F50C3"/>
    <w:rsid w:val="006F53E8"/>
    <w:rsid w:val="006F555C"/>
    <w:rsid w:val="006F5BEF"/>
    <w:rsid w:val="006F5DAB"/>
    <w:rsid w:val="006F61C4"/>
    <w:rsid w:val="006F6508"/>
    <w:rsid w:val="006F69B6"/>
    <w:rsid w:val="006F7121"/>
    <w:rsid w:val="00700C09"/>
    <w:rsid w:val="00701D8E"/>
    <w:rsid w:val="00702C6E"/>
    <w:rsid w:val="00704451"/>
    <w:rsid w:val="00704A4A"/>
    <w:rsid w:val="00704B8B"/>
    <w:rsid w:val="00704BF9"/>
    <w:rsid w:val="00704F96"/>
    <w:rsid w:val="00705033"/>
    <w:rsid w:val="00705047"/>
    <w:rsid w:val="00705294"/>
    <w:rsid w:val="007052B8"/>
    <w:rsid w:val="007053B4"/>
    <w:rsid w:val="00705840"/>
    <w:rsid w:val="00706114"/>
    <w:rsid w:val="0070623F"/>
    <w:rsid w:val="00706566"/>
    <w:rsid w:val="0070656D"/>
    <w:rsid w:val="00706F82"/>
    <w:rsid w:val="00707328"/>
    <w:rsid w:val="00707518"/>
    <w:rsid w:val="007079F3"/>
    <w:rsid w:val="00707D8C"/>
    <w:rsid w:val="0071072D"/>
    <w:rsid w:val="00710D21"/>
    <w:rsid w:val="00710E2A"/>
    <w:rsid w:val="00711308"/>
    <w:rsid w:val="00711A77"/>
    <w:rsid w:val="00711CB2"/>
    <w:rsid w:val="00711DEB"/>
    <w:rsid w:val="0071246E"/>
    <w:rsid w:val="00712F81"/>
    <w:rsid w:val="00713239"/>
    <w:rsid w:val="00713A7F"/>
    <w:rsid w:val="007140ED"/>
    <w:rsid w:val="007143EA"/>
    <w:rsid w:val="00714F4B"/>
    <w:rsid w:val="00715919"/>
    <w:rsid w:val="00715BD7"/>
    <w:rsid w:val="00715C46"/>
    <w:rsid w:val="0071606C"/>
    <w:rsid w:val="00716207"/>
    <w:rsid w:val="00716419"/>
    <w:rsid w:val="007168E6"/>
    <w:rsid w:val="00717231"/>
    <w:rsid w:val="007176D9"/>
    <w:rsid w:val="007208A4"/>
    <w:rsid w:val="007209E9"/>
    <w:rsid w:val="00721B4A"/>
    <w:rsid w:val="007222E8"/>
    <w:rsid w:val="00722603"/>
    <w:rsid w:val="0072289E"/>
    <w:rsid w:val="00723DD4"/>
    <w:rsid w:val="00724354"/>
    <w:rsid w:val="007243CA"/>
    <w:rsid w:val="007246FB"/>
    <w:rsid w:val="00724C1F"/>
    <w:rsid w:val="00725744"/>
    <w:rsid w:val="00725F33"/>
    <w:rsid w:val="007265C7"/>
    <w:rsid w:val="00726A84"/>
    <w:rsid w:val="00726D77"/>
    <w:rsid w:val="00727774"/>
    <w:rsid w:val="00727A4C"/>
    <w:rsid w:val="00730303"/>
    <w:rsid w:val="007306D5"/>
    <w:rsid w:val="0073096D"/>
    <w:rsid w:val="00730D40"/>
    <w:rsid w:val="00730DC5"/>
    <w:rsid w:val="007311E1"/>
    <w:rsid w:val="00731517"/>
    <w:rsid w:val="0073178D"/>
    <w:rsid w:val="00731BE2"/>
    <w:rsid w:val="00731E16"/>
    <w:rsid w:val="00731EF2"/>
    <w:rsid w:val="007320DA"/>
    <w:rsid w:val="00732C45"/>
    <w:rsid w:val="00732EBE"/>
    <w:rsid w:val="0073384A"/>
    <w:rsid w:val="00733C1E"/>
    <w:rsid w:val="00734186"/>
    <w:rsid w:val="00734C18"/>
    <w:rsid w:val="00734FD0"/>
    <w:rsid w:val="00735745"/>
    <w:rsid w:val="007368F4"/>
    <w:rsid w:val="0073699E"/>
    <w:rsid w:val="00736A75"/>
    <w:rsid w:val="0073714C"/>
    <w:rsid w:val="00737BF5"/>
    <w:rsid w:val="00737F24"/>
    <w:rsid w:val="007400AC"/>
    <w:rsid w:val="00740419"/>
    <w:rsid w:val="0074063F"/>
    <w:rsid w:val="007410A6"/>
    <w:rsid w:val="0074166B"/>
    <w:rsid w:val="00741702"/>
    <w:rsid w:val="00741DC9"/>
    <w:rsid w:val="007421F3"/>
    <w:rsid w:val="007423A9"/>
    <w:rsid w:val="00742475"/>
    <w:rsid w:val="00742B32"/>
    <w:rsid w:val="00742E41"/>
    <w:rsid w:val="00743183"/>
    <w:rsid w:val="00743F27"/>
    <w:rsid w:val="007448FD"/>
    <w:rsid w:val="00744C80"/>
    <w:rsid w:val="00744D57"/>
    <w:rsid w:val="0074534F"/>
    <w:rsid w:val="007455C4"/>
    <w:rsid w:val="007461AD"/>
    <w:rsid w:val="00747139"/>
    <w:rsid w:val="00747488"/>
    <w:rsid w:val="00747695"/>
    <w:rsid w:val="007502C2"/>
    <w:rsid w:val="007502D6"/>
    <w:rsid w:val="007504C9"/>
    <w:rsid w:val="007508F2"/>
    <w:rsid w:val="00750D9C"/>
    <w:rsid w:val="00751292"/>
    <w:rsid w:val="00751369"/>
    <w:rsid w:val="00751573"/>
    <w:rsid w:val="00751D57"/>
    <w:rsid w:val="007528EC"/>
    <w:rsid w:val="00752AA2"/>
    <w:rsid w:val="00752F25"/>
    <w:rsid w:val="0075391C"/>
    <w:rsid w:val="00753C06"/>
    <w:rsid w:val="0075548F"/>
    <w:rsid w:val="00755805"/>
    <w:rsid w:val="00755AA4"/>
    <w:rsid w:val="007560D5"/>
    <w:rsid w:val="007564FB"/>
    <w:rsid w:val="00756D31"/>
    <w:rsid w:val="007577E8"/>
    <w:rsid w:val="007577F3"/>
    <w:rsid w:val="00757A2E"/>
    <w:rsid w:val="00757C51"/>
    <w:rsid w:val="00757E5B"/>
    <w:rsid w:val="00757FA5"/>
    <w:rsid w:val="007600A0"/>
    <w:rsid w:val="007606C4"/>
    <w:rsid w:val="00761096"/>
    <w:rsid w:val="007614A0"/>
    <w:rsid w:val="00761887"/>
    <w:rsid w:val="007619DF"/>
    <w:rsid w:val="007637D5"/>
    <w:rsid w:val="00763C61"/>
    <w:rsid w:val="00764199"/>
    <w:rsid w:val="00764268"/>
    <w:rsid w:val="00764996"/>
    <w:rsid w:val="00765563"/>
    <w:rsid w:val="007663EB"/>
    <w:rsid w:val="00767442"/>
    <w:rsid w:val="007674B1"/>
    <w:rsid w:val="00767D64"/>
    <w:rsid w:val="00767F19"/>
    <w:rsid w:val="00770889"/>
    <w:rsid w:val="00772D05"/>
    <w:rsid w:val="007738E9"/>
    <w:rsid w:val="00773A3F"/>
    <w:rsid w:val="00774160"/>
    <w:rsid w:val="0077465D"/>
    <w:rsid w:val="007747AD"/>
    <w:rsid w:val="00774D15"/>
    <w:rsid w:val="007752B3"/>
    <w:rsid w:val="0077550D"/>
    <w:rsid w:val="00775635"/>
    <w:rsid w:val="00775975"/>
    <w:rsid w:val="007768A2"/>
    <w:rsid w:val="00777F20"/>
    <w:rsid w:val="0078077F"/>
    <w:rsid w:val="007809ED"/>
    <w:rsid w:val="00781A4F"/>
    <w:rsid w:val="007823B7"/>
    <w:rsid w:val="00782CF1"/>
    <w:rsid w:val="00782D21"/>
    <w:rsid w:val="00782E95"/>
    <w:rsid w:val="007832A7"/>
    <w:rsid w:val="0078337B"/>
    <w:rsid w:val="0078459C"/>
    <w:rsid w:val="007849E7"/>
    <w:rsid w:val="00785650"/>
    <w:rsid w:val="007857D6"/>
    <w:rsid w:val="00786696"/>
    <w:rsid w:val="00786834"/>
    <w:rsid w:val="0078692B"/>
    <w:rsid w:val="0078786E"/>
    <w:rsid w:val="00787C25"/>
    <w:rsid w:val="00787DC8"/>
    <w:rsid w:val="00787E7C"/>
    <w:rsid w:val="00787ED6"/>
    <w:rsid w:val="00790017"/>
    <w:rsid w:val="00790412"/>
    <w:rsid w:val="00790541"/>
    <w:rsid w:val="007905A5"/>
    <w:rsid w:val="0079075D"/>
    <w:rsid w:val="007912ED"/>
    <w:rsid w:val="0079177D"/>
    <w:rsid w:val="00791E9C"/>
    <w:rsid w:val="00792B63"/>
    <w:rsid w:val="00792DFD"/>
    <w:rsid w:val="007951A1"/>
    <w:rsid w:val="00795836"/>
    <w:rsid w:val="007959F2"/>
    <w:rsid w:val="00795C0D"/>
    <w:rsid w:val="007968CA"/>
    <w:rsid w:val="00797873"/>
    <w:rsid w:val="007979CF"/>
    <w:rsid w:val="00797F2B"/>
    <w:rsid w:val="007A00B0"/>
    <w:rsid w:val="007A02DA"/>
    <w:rsid w:val="007A0A54"/>
    <w:rsid w:val="007A0EB2"/>
    <w:rsid w:val="007A13FF"/>
    <w:rsid w:val="007A160D"/>
    <w:rsid w:val="007A18B8"/>
    <w:rsid w:val="007A1924"/>
    <w:rsid w:val="007A1A8D"/>
    <w:rsid w:val="007A1ADF"/>
    <w:rsid w:val="007A2004"/>
    <w:rsid w:val="007A235D"/>
    <w:rsid w:val="007A2DEA"/>
    <w:rsid w:val="007A2E3A"/>
    <w:rsid w:val="007A334A"/>
    <w:rsid w:val="007A35B7"/>
    <w:rsid w:val="007A36A8"/>
    <w:rsid w:val="007A3797"/>
    <w:rsid w:val="007A3AB4"/>
    <w:rsid w:val="007A3FED"/>
    <w:rsid w:val="007A461A"/>
    <w:rsid w:val="007A4D73"/>
    <w:rsid w:val="007A4F32"/>
    <w:rsid w:val="007A5013"/>
    <w:rsid w:val="007A522F"/>
    <w:rsid w:val="007A55AB"/>
    <w:rsid w:val="007A56D7"/>
    <w:rsid w:val="007A585E"/>
    <w:rsid w:val="007A5E45"/>
    <w:rsid w:val="007A7555"/>
    <w:rsid w:val="007A7842"/>
    <w:rsid w:val="007A78F7"/>
    <w:rsid w:val="007A7981"/>
    <w:rsid w:val="007A7F25"/>
    <w:rsid w:val="007B01B2"/>
    <w:rsid w:val="007B0BBB"/>
    <w:rsid w:val="007B0CA2"/>
    <w:rsid w:val="007B157F"/>
    <w:rsid w:val="007B168E"/>
    <w:rsid w:val="007B189B"/>
    <w:rsid w:val="007B22F4"/>
    <w:rsid w:val="007B289A"/>
    <w:rsid w:val="007B2C49"/>
    <w:rsid w:val="007B3802"/>
    <w:rsid w:val="007B46FA"/>
    <w:rsid w:val="007B4E04"/>
    <w:rsid w:val="007B4F63"/>
    <w:rsid w:val="007B4FF6"/>
    <w:rsid w:val="007B506B"/>
    <w:rsid w:val="007B54C8"/>
    <w:rsid w:val="007B6296"/>
    <w:rsid w:val="007B6A55"/>
    <w:rsid w:val="007B6ED9"/>
    <w:rsid w:val="007B73D9"/>
    <w:rsid w:val="007B746B"/>
    <w:rsid w:val="007C0B07"/>
    <w:rsid w:val="007C0E2B"/>
    <w:rsid w:val="007C11BB"/>
    <w:rsid w:val="007C13F8"/>
    <w:rsid w:val="007C17D4"/>
    <w:rsid w:val="007C1925"/>
    <w:rsid w:val="007C1D7A"/>
    <w:rsid w:val="007C2125"/>
    <w:rsid w:val="007C2E56"/>
    <w:rsid w:val="007C311C"/>
    <w:rsid w:val="007C3AE6"/>
    <w:rsid w:val="007C3E6E"/>
    <w:rsid w:val="007C43E3"/>
    <w:rsid w:val="007C4697"/>
    <w:rsid w:val="007C495C"/>
    <w:rsid w:val="007C4D58"/>
    <w:rsid w:val="007C4DFD"/>
    <w:rsid w:val="007C5387"/>
    <w:rsid w:val="007C55A9"/>
    <w:rsid w:val="007C56D3"/>
    <w:rsid w:val="007C76D4"/>
    <w:rsid w:val="007C7DFC"/>
    <w:rsid w:val="007C7F13"/>
    <w:rsid w:val="007D0426"/>
    <w:rsid w:val="007D0580"/>
    <w:rsid w:val="007D108D"/>
    <w:rsid w:val="007D1128"/>
    <w:rsid w:val="007D1881"/>
    <w:rsid w:val="007D19E8"/>
    <w:rsid w:val="007D22F2"/>
    <w:rsid w:val="007D2CC0"/>
    <w:rsid w:val="007D2ED4"/>
    <w:rsid w:val="007D3986"/>
    <w:rsid w:val="007D3B83"/>
    <w:rsid w:val="007D416A"/>
    <w:rsid w:val="007D4272"/>
    <w:rsid w:val="007D51B0"/>
    <w:rsid w:val="007D540D"/>
    <w:rsid w:val="007D5B8D"/>
    <w:rsid w:val="007D5E33"/>
    <w:rsid w:val="007D6136"/>
    <w:rsid w:val="007D6AD8"/>
    <w:rsid w:val="007D7964"/>
    <w:rsid w:val="007D7DE7"/>
    <w:rsid w:val="007E07A0"/>
    <w:rsid w:val="007E0B0E"/>
    <w:rsid w:val="007E0D77"/>
    <w:rsid w:val="007E1600"/>
    <w:rsid w:val="007E1BC0"/>
    <w:rsid w:val="007E256D"/>
    <w:rsid w:val="007E2865"/>
    <w:rsid w:val="007E322C"/>
    <w:rsid w:val="007E355C"/>
    <w:rsid w:val="007E3658"/>
    <w:rsid w:val="007E3A01"/>
    <w:rsid w:val="007E44DE"/>
    <w:rsid w:val="007E4954"/>
    <w:rsid w:val="007E4BCC"/>
    <w:rsid w:val="007E4EC6"/>
    <w:rsid w:val="007E53EC"/>
    <w:rsid w:val="007E543E"/>
    <w:rsid w:val="007E5D4C"/>
    <w:rsid w:val="007E66D9"/>
    <w:rsid w:val="007E6BD1"/>
    <w:rsid w:val="007E6D54"/>
    <w:rsid w:val="007E70FE"/>
    <w:rsid w:val="007F0162"/>
    <w:rsid w:val="007F06D6"/>
    <w:rsid w:val="007F071F"/>
    <w:rsid w:val="007F117D"/>
    <w:rsid w:val="007F136B"/>
    <w:rsid w:val="007F1D30"/>
    <w:rsid w:val="007F1E04"/>
    <w:rsid w:val="007F250D"/>
    <w:rsid w:val="007F2624"/>
    <w:rsid w:val="007F2A17"/>
    <w:rsid w:val="007F363D"/>
    <w:rsid w:val="007F425A"/>
    <w:rsid w:val="007F47B8"/>
    <w:rsid w:val="007F4A04"/>
    <w:rsid w:val="007F5648"/>
    <w:rsid w:val="007F5E0B"/>
    <w:rsid w:val="007F6562"/>
    <w:rsid w:val="007F69AC"/>
    <w:rsid w:val="007F72C5"/>
    <w:rsid w:val="007F731F"/>
    <w:rsid w:val="007F7364"/>
    <w:rsid w:val="007F7898"/>
    <w:rsid w:val="008000BA"/>
    <w:rsid w:val="008000D4"/>
    <w:rsid w:val="00800223"/>
    <w:rsid w:val="00800B3F"/>
    <w:rsid w:val="00800CB0"/>
    <w:rsid w:val="0080150F"/>
    <w:rsid w:val="008017CA"/>
    <w:rsid w:val="00802284"/>
    <w:rsid w:val="008022DD"/>
    <w:rsid w:val="00802488"/>
    <w:rsid w:val="0080265A"/>
    <w:rsid w:val="00803082"/>
    <w:rsid w:val="008032BC"/>
    <w:rsid w:val="00803882"/>
    <w:rsid w:val="00804304"/>
    <w:rsid w:val="008045EF"/>
    <w:rsid w:val="00804948"/>
    <w:rsid w:val="00804C59"/>
    <w:rsid w:val="008059F2"/>
    <w:rsid w:val="008060C1"/>
    <w:rsid w:val="00806604"/>
    <w:rsid w:val="0080691D"/>
    <w:rsid w:val="00806B2B"/>
    <w:rsid w:val="00806B56"/>
    <w:rsid w:val="00810198"/>
    <w:rsid w:val="008103EF"/>
    <w:rsid w:val="0081045F"/>
    <w:rsid w:val="008107E5"/>
    <w:rsid w:val="00811AF6"/>
    <w:rsid w:val="00811B5E"/>
    <w:rsid w:val="00811BA2"/>
    <w:rsid w:val="00811DDC"/>
    <w:rsid w:val="00811F32"/>
    <w:rsid w:val="008121BF"/>
    <w:rsid w:val="00812218"/>
    <w:rsid w:val="00812337"/>
    <w:rsid w:val="00812842"/>
    <w:rsid w:val="00812F94"/>
    <w:rsid w:val="008137B2"/>
    <w:rsid w:val="008138E6"/>
    <w:rsid w:val="0081397F"/>
    <w:rsid w:val="0081516E"/>
    <w:rsid w:val="00815740"/>
    <w:rsid w:val="00815C0B"/>
    <w:rsid w:val="0081624F"/>
    <w:rsid w:val="008163FE"/>
    <w:rsid w:val="00816587"/>
    <w:rsid w:val="00816A69"/>
    <w:rsid w:val="00816ED4"/>
    <w:rsid w:val="00817734"/>
    <w:rsid w:val="008178FA"/>
    <w:rsid w:val="00817A3B"/>
    <w:rsid w:val="00817E51"/>
    <w:rsid w:val="00817EB2"/>
    <w:rsid w:val="00820306"/>
    <w:rsid w:val="008203AE"/>
    <w:rsid w:val="00820413"/>
    <w:rsid w:val="0082043E"/>
    <w:rsid w:val="00820556"/>
    <w:rsid w:val="00820A0C"/>
    <w:rsid w:val="00820EE5"/>
    <w:rsid w:val="008212C3"/>
    <w:rsid w:val="008212EB"/>
    <w:rsid w:val="00822361"/>
    <w:rsid w:val="008225FD"/>
    <w:rsid w:val="0082275A"/>
    <w:rsid w:val="00822909"/>
    <w:rsid w:val="00822933"/>
    <w:rsid w:val="00822D41"/>
    <w:rsid w:val="00824F7B"/>
    <w:rsid w:val="00825120"/>
    <w:rsid w:val="00825144"/>
    <w:rsid w:val="008251B7"/>
    <w:rsid w:val="008254A0"/>
    <w:rsid w:val="00826B1C"/>
    <w:rsid w:val="008274EB"/>
    <w:rsid w:val="00827595"/>
    <w:rsid w:val="008277AB"/>
    <w:rsid w:val="00827B1A"/>
    <w:rsid w:val="00827F96"/>
    <w:rsid w:val="008305A2"/>
    <w:rsid w:val="00830AA0"/>
    <w:rsid w:val="00831A49"/>
    <w:rsid w:val="008321A0"/>
    <w:rsid w:val="00833789"/>
    <w:rsid w:val="00833BBE"/>
    <w:rsid w:val="00833F45"/>
    <w:rsid w:val="008345A8"/>
    <w:rsid w:val="00834F61"/>
    <w:rsid w:val="0083569A"/>
    <w:rsid w:val="008363E7"/>
    <w:rsid w:val="008365F7"/>
    <w:rsid w:val="00836E79"/>
    <w:rsid w:val="0083787F"/>
    <w:rsid w:val="008401FB"/>
    <w:rsid w:val="00840D1F"/>
    <w:rsid w:val="008413C7"/>
    <w:rsid w:val="0084206A"/>
    <w:rsid w:val="00843B79"/>
    <w:rsid w:val="00843CBA"/>
    <w:rsid w:val="00844D34"/>
    <w:rsid w:val="00844E9F"/>
    <w:rsid w:val="0084644C"/>
    <w:rsid w:val="00846994"/>
    <w:rsid w:val="00846D71"/>
    <w:rsid w:val="00847B4F"/>
    <w:rsid w:val="0085026C"/>
    <w:rsid w:val="00850CE3"/>
    <w:rsid w:val="008521BF"/>
    <w:rsid w:val="008522C9"/>
    <w:rsid w:val="008522EB"/>
    <w:rsid w:val="00852D7C"/>
    <w:rsid w:val="0085312C"/>
    <w:rsid w:val="00853172"/>
    <w:rsid w:val="008537EF"/>
    <w:rsid w:val="00853B84"/>
    <w:rsid w:val="00855F35"/>
    <w:rsid w:val="00855F86"/>
    <w:rsid w:val="00856288"/>
    <w:rsid w:val="008565C0"/>
    <w:rsid w:val="00856898"/>
    <w:rsid w:val="00856E8D"/>
    <w:rsid w:val="0085766C"/>
    <w:rsid w:val="00857B29"/>
    <w:rsid w:val="00857B33"/>
    <w:rsid w:val="00860344"/>
    <w:rsid w:val="00860545"/>
    <w:rsid w:val="008606EB"/>
    <w:rsid w:val="008608B0"/>
    <w:rsid w:val="00861F3B"/>
    <w:rsid w:val="00862A9C"/>
    <w:rsid w:val="00863593"/>
    <w:rsid w:val="00863F78"/>
    <w:rsid w:val="008640D8"/>
    <w:rsid w:val="00864845"/>
    <w:rsid w:val="008656F9"/>
    <w:rsid w:val="00865847"/>
    <w:rsid w:val="008664B4"/>
    <w:rsid w:val="00866BBF"/>
    <w:rsid w:val="008675BB"/>
    <w:rsid w:val="00867BA8"/>
    <w:rsid w:val="008708BE"/>
    <w:rsid w:val="00870A28"/>
    <w:rsid w:val="00870EB7"/>
    <w:rsid w:val="008711A2"/>
    <w:rsid w:val="0087124E"/>
    <w:rsid w:val="00871525"/>
    <w:rsid w:val="00871620"/>
    <w:rsid w:val="008717B1"/>
    <w:rsid w:val="00871840"/>
    <w:rsid w:val="0087189D"/>
    <w:rsid w:val="00872A2A"/>
    <w:rsid w:val="00872AA7"/>
    <w:rsid w:val="00872DB2"/>
    <w:rsid w:val="0087300A"/>
    <w:rsid w:val="00873B3C"/>
    <w:rsid w:val="00873CBA"/>
    <w:rsid w:val="00873D2A"/>
    <w:rsid w:val="00873DD2"/>
    <w:rsid w:val="008750DE"/>
    <w:rsid w:val="00875157"/>
    <w:rsid w:val="00875453"/>
    <w:rsid w:val="00875718"/>
    <w:rsid w:val="00875C68"/>
    <w:rsid w:val="00876591"/>
    <w:rsid w:val="008766D6"/>
    <w:rsid w:val="00876F1C"/>
    <w:rsid w:val="00877007"/>
    <w:rsid w:val="00877107"/>
    <w:rsid w:val="008775D7"/>
    <w:rsid w:val="008779AA"/>
    <w:rsid w:val="00877BF9"/>
    <w:rsid w:val="00880F89"/>
    <w:rsid w:val="00881364"/>
    <w:rsid w:val="00881569"/>
    <w:rsid w:val="00881AC8"/>
    <w:rsid w:val="00881CC2"/>
    <w:rsid w:val="00882789"/>
    <w:rsid w:val="00882BAB"/>
    <w:rsid w:val="00883010"/>
    <w:rsid w:val="0088324B"/>
    <w:rsid w:val="008836B4"/>
    <w:rsid w:val="00883714"/>
    <w:rsid w:val="00883A54"/>
    <w:rsid w:val="00884213"/>
    <w:rsid w:val="0088433C"/>
    <w:rsid w:val="00884383"/>
    <w:rsid w:val="008844C4"/>
    <w:rsid w:val="00885134"/>
    <w:rsid w:val="00885281"/>
    <w:rsid w:val="00885CB4"/>
    <w:rsid w:val="00885CC7"/>
    <w:rsid w:val="008863BD"/>
    <w:rsid w:val="0088669F"/>
    <w:rsid w:val="0088677C"/>
    <w:rsid w:val="00887287"/>
    <w:rsid w:val="00887460"/>
    <w:rsid w:val="00887492"/>
    <w:rsid w:val="00890BF3"/>
    <w:rsid w:val="008910E5"/>
    <w:rsid w:val="0089144D"/>
    <w:rsid w:val="008915B7"/>
    <w:rsid w:val="00892CAA"/>
    <w:rsid w:val="008932C5"/>
    <w:rsid w:val="00893418"/>
    <w:rsid w:val="00893641"/>
    <w:rsid w:val="008937AA"/>
    <w:rsid w:val="00893E25"/>
    <w:rsid w:val="008946EE"/>
    <w:rsid w:val="00896156"/>
    <w:rsid w:val="008961A6"/>
    <w:rsid w:val="00896CB4"/>
    <w:rsid w:val="008971C0"/>
    <w:rsid w:val="008974F8"/>
    <w:rsid w:val="0089769A"/>
    <w:rsid w:val="00897772"/>
    <w:rsid w:val="00897AB3"/>
    <w:rsid w:val="008A04BD"/>
    <w:rsid w:val="008A0FB5"/>
    <w:rsid w:val="008A0FB6"/>
    <w:rsid w:val="008A1990"/>
    <w:rsid w:val="008A2D3C"/>
    <w:rsid w:val="008A2F36"/>
    <w:rsid w:val="008A317F"/>
    <w:rsid w:val="008A4C0F"/>
    <w:rsid w:val="008A50B6"/>
    <w:rsid w:val="008A56E2"/>
    <w:rsid w:val="008A5A93"/>
    <w:rsid w:val="008A5ACD"/>
    <w:rsid w:val="008A5DFC"/>
    <w:rsid w:val="008A6F30"/>
    <w:rsid w:val="008B0098"/>
    <w:rsid w:val="008B06B7"/>
    <w:rsid w:val="008B0952"/>
    <w:rsid w:val="008B0BC7"/>
    <w:rsid w:val="008B14F3"/>
    <w:rsid w:val="008B1530"/>
    <w:rsid w:val="008B30EE"/>
    <w:rsid w:val="008B3318"/>
    <w:rsid w:val="008B3AF6"/>
    <w:rsid w:val="008B3C72"/>
    <w:rsid w:val="008B3CBD"/>
    <w:rsid w:val="008B40BB"/>
    <w:rsid w:val="008B414E"/>
    <w:rsid w:val="008B44E7"/>
    <w:rsid w:val="008B5C08"/>
    <w:rsid w:val="008B60EF"/>
    <w:rsid w:val="008B718C"/>
    <w:rsid w:val="008B7347"/>
    <w:rsid w:val="008C083B"/>
    <w:rsid w:val="008C0E14"/>
    <w:rsid w:val="008C1155"/>
    <w:rsid w:val="008C1CE6"/>
    <w:rsid w:val="008C2393"/>
    <w:rsid w:val="008C2CA5"/>
    <w:rsid w:val="008C367C"/>
    <w:rsid w:val="008C4C2D"/>
    <w:rsid w:val="008C5098"/>
    <w:rsid w:val="008C57B8"/>
    <w:rsid w:val="008C5A4E"/>
    <w:rsid w:val="008C609B"/>
    <w:rsid w:val="008C642C"/>
    <w:rsid w:val="008C7068"/>
    <w:rsid w:val="008C7428"/>
    <w:rsid w:val="008C7636"/>
    <w:rsid w:val="008C77B9"/>
    <w:rsid w:val="008C7829"/>
    <w:rsid w:val="008C7845"/>
    <w:rsid w:val="008D0011"/>
    <w:rsid w:val="008D0271"/>
    <w:rsid w:val="008D08BC"/>
    <w:rsid w:val="008D17F3"/>
    <w:rsid w:val="008D1901"/>
    <w:rsid w:val="008D1AB5"/>
    <w:rsid w:val="008D1E7A"/>
    <w:rsid w:val="008D2467"/>
    <w:rsid w:val="008D26AD"/>
    <w:rsid w:val="008D2A5B"/>
    <w:rsid w:val="008D3150"/>
    <w:rsid w:val="008D3410"/>
    <w:rsid w:val="008D48BC"/>
    <w:rsid w:val="008D4C88"/>
    <w:rsid w:val="008D4CC3"/>
    <w:rsid w:val="008D4F55"/>
    <w:rsid w:val="008D568C"/>
    <w:rsid w:val="008D5784"/>
    <w:rsid w:val="008D6896"/>
    <w:rsid w:val="008D6CB5"/>
    <w:rsid w:val="008D7459"/>
    <w:rsid w:val="008D7598"/>
    <w:rsid w:val="008D75BC"/>
    <w:rsid w:val="008D7A62"/>
    <w:rsid w:val="008E0071"/>
    <w:rsid w:val="008E0461"/>
    <w:rsid w:val="008E0BD4"/>
    <w:rsid w:val="008E0CE3"/>
    <w:rsid w:val="008E0F94"/>
    <w:rsid w:val="008E1041"/>
    <w:rsid w:val="008E1081"/>
    <w:rsid w:val="008E1256"/>
    <w:rsid w:val="008E1326"/>
    <w:rsid w:val="008E1C02"/>
    <w:rsid w:val="008E283D"/>
    <w:rsid w:val="008E2B20"/>
    <w:rsid w:val="008E2B8F"/>
    <w:rsid w:val="008E30C4"/>
    <w:rsid w:val="008E3563"/>
    <w:rsid w:val="008E5085"/>
    <w:rsid w:val="008E5AF1"/>
    <w:rsid w:val="008E6DC7"/>
    <w:rsid w:val="008E7093"/>
    <w:rsid w:val="008E7100"/>
    <w:rsid w:val="008E7167"/>
    <w:rsid w:val="008E74A1"/>
    <w:rsid w:val="008E7529"/>
    <w:rsid w:val="008E757C"/>
    <w:rsid w:val="008E7677"/>
    <w:rsid w:val="008E79F7"/>
    <w:rsid w:val="008E7B8D"/>
    <w:rsid w:val="008E7E71"/>
    <w:rsid w:val="008F0CE3"/>
    <w:rsid w:val="008F1213"/>
    <w:rsid w:val="008F20F4"/>
    <w:rsid w:val="008F22C2"/>
    <w:rsid w:val="008F2B50"/>
    <w:rsid w:val="008F2D58"/>
    <w:rsid w:val="008F2D5F"/>
    <w:rsid w:val="008F2F93"/>
    <w:rsid w:val="008F3379"/>
    <w:rsid w:val="008F356F"/>
    <w:rsid w:val="008F3781"/>
    <w:rsid w:val="008F3DEB"/>
    <w:rsid w:val="008F3E2B"/>
    <w:rsid w:val="008F49C8"/>
    <w:rsid w:val="008F4A65"/>
    <w:rsid w:val="008F4D73"/>
    <w:rsid w:val="008F4EB7"/>
    <w:rsid w:val="008F5128"/>
    <w:rsid w:val="008F513A"/>
    <w:rsid w:val="008F5533"/>
    <w:rsid w:val="008F5EB7"/>
    <w:rsid w:val="008F6070"/>
    <w:rsid w:val="008F61C3"/>
    <w:rsid w:val="008F6838"/>
    <w:rsid w:val="008F6CDF"/>
    <w:rsid w:val="008F6F3D"/>
    <w:rsid w:val="008F6F73"/>
    <w:rsid w:val="008F72F3"/>
    <w:rsid w:val="008F7621"/>
    <w:rsid w:val="008F7D49"/>
    <w:rsid w:val="00900708"/>
    <w:rsid w:val="009009D1"/>
    <w:rsid w:val="00900E13"/>
    <w:rsid w:val="00901343"/>
    <w:rsid w:val="00901447"/>
    <w:rsid w:val="0090152B"/>
    <w:rsid w:val="00901BE4"/>
    <w:rsid w:val="00901BF0"/>
    <w:rsid w:val="00901EB5"/>
    <w:rsid w:val="009020DF"/>
    <w:rsid w:val="009033FC"/>
    <w:rsid w:val="009034B6"/>
    <w:rsid w:val="009036D0"/>
    <w:rsid w:val="00903743"/>
    <w:rsid w:val="009040D0"/>
    <w:rsid w:val="009043A0"/>
    <w:rsid w:val="00906077"/>
    <w:rsid w:val="009062C1"/>
    <w:rsid w:val="009064BE"/>
    <w:rsid w:val="00906737"/>
    <w:rsid w:val="00906936"/>
    <w:rsid w:val="00906BA9"/>
    <w:rsid w:val="00907302"/>
    <w:rsid w:val="0090775E"/>
    <w:rsid w:val="00907C2F"/>
    <w:rsid w:val="009104A1"/>
    <w:rsid w:val="00910BAB"/>
    <w:rsid w:val="0091137A"/>
    <w:rsid w:val="009118E2"/>
    <w:rsid w:val="00911FEA"/>
    <w:rsid w:val="0091289A"/>
    <w:rsid w:val="00912A87"/>
    <w:rsid w:val="00914A48"/>
    <w:rsid w:val="00915205"/>
    <w:rsid w:val="00915FC0"/>
    <w:rsid w:val="009161F6"/>
    <w:rsid w:val="0091665E"/>
    <w:rsid w:val="009168C4"/>
    <w:rsid w:val="0091796A"/>
    <w:rsid w:val="00917E79"/>
    <w:rsid w:val="0092038B"/>
    <w:rsid w:val="00920BF5"/>
    <w:rsid w:val="009215A5"/>
    <w:rsid w:val="00921907"/>
    <w:rsid w:val="00921B34"/>
    <w:rsid w:val="009222FB"/>
    <w:rsid w:val="00922DF3"/>
    <w:rsid w:val="00923625"/>
    <w:rsid w:val="00923CDD"/>
    <w:rsid w:val="009240D3"/>
    <w:rsid w:val="0092421B"/>
    <w:rsid w:val="009259CA"/>
    <w:rsid w:val="00925B60"/>
    <w:rsid w:val="00925E2B"/>
    <w:rsid w:val="00925F6E"/>
    <w:rsid w:val="00925FEE"/>
    <w:rsid w:val="0092686F"/>
    <w:rsid w:val="00926C21"/>
    <w:rsid w:val="00926C80"/>
    <w:rsid w:val="00926E91"/>
    <w:rsid w:val="009277AA"/>
    <w:rsid w:val="00927A52"/>
    <w:rsid w:val="00931C92"/>
    <w:rsid w:val="0093254D"/>
    <w:rsid w:val="00932669"/>
    <w:rsid w:val="00932A5D"/>
    <w:rsid w:val="00932F14"/>
    <w:rsid w:val="0093357B"/>
    <w:rsid w:val="0093380E"/>
    <w:rsid w:val="00933B03"/>
    <w:rsid w:val="00933DF3"/>
    <w:rsid w:val="009340A1"/>
    <w:rsid w:val="009344CE"/>
    <w:rsid w:val="00935467"/>
    <w:rsid w:val="00935AD5"/>
    <w:rsid w:val="009368C5"/>
    <w:rsid w:val="00936E3C"/>
    <w:rsid w:val="009375F1"/>
    <w:rsid w:val="009402FF"/>
    <w:rsid w:val="00940B81"/>
    <w:rsid w:val="00941186"/>
    <w:rsid w:val="009411A0"/>
    <w:rsid w:val="00941238"/>
    <w:rsid w:val="00941405"/>
    <w:rsid w:val="0094145B"/>
    <w:rsid w:val="00942341"/>
    <w:rsid w:val="00942392"/>
    <w:rsid w:val="00942408"/>
    <w:rsid w:val="00942696"/>
    <w:rsid w:val="00942855"/>
    <w:rsid w:val="00942980"/>
    <w:rsid w:val="00942F86"/>
    <w:rsid w:val="00943D78"/>
    <w:rsid w:val="009440B2"/>
    <w:rsid w:val="009445F5"/>
    <w:rsid w:val="00945183"/>
    <w:rsid w:val="00945CED"/>
    <w:rsid w:val="0094657A"/>
    <w:rsid w:val="00946812"/>
    <w:rsid w:val="00946BE3"/>
    <w:rsid w:val="00947275"/>
    <w:rsid w:val="009472E5"/>
    <w:rsid w:val="00947666"/>
    <w:rsid w:val="009501B4"/>
    <w:rsid w:val="00950DC8"/>
    <w:rsid w:val="009510E1"/>
    <w:rsid w:val="00951148"/>
    <w:rsid w:val="009518A7"/>
    <w:rsid w:val="009519CB"/>
    <w:rsid w:val="00951F80"/>
    <w:rsid w:val="009531B1"/>
    <w:rsid w:val="00953991"/>
    <w:rsid w:val="00954A81"/>
    <w:rsid w:val="00954DAF"/>
    <w:rsid w:val="00955032"/>
    <w:rsid w:val="009552AC"/>
    <w:rsid w:val="00955435"/>
    <w:rsid w:val="009555CC"/>
    <w:rsid w:val="00955621"/>
    <w:rsid w:val="00955798"/>
    <w:rsid w:val="00955B8D"/>
    <w:rsid w:val="00955E42"/>
    <w:rsid w:val="00956B4B"/>
    <w:rsid w:val="00956C8F"/>
    <w:rsid w:val="00956E44"/>
    <w:rsid w:val="0095760D"/>
    <w:rsid w:val="0095765F"/>
    <w:rsid w:val="009576B1"/>
    <w:rsid w:val="00957C9F"/>
    <w:rsid w:val="009603FE"/>
    <w:rsid w:val="0096060C"/>
    <w:rsid w:val="00961061"/>
    <w:rsid w:val="00961276"/>
    <w:rsid w:val="009619E4"/>
    <w:rsid w:val="00962466"/>
    <w:rsid w:val="0096286B"/>
    <w:rsid w:val="009629F3"/>
    <w:rsid w:val="00962A00"/>
    <w:rsid w:val="00962A65"/>
    <w:rsid w:val="009634FB"/>
    <w:rsid w:val="00963711"/>
    <w:rsid w:val="009638E2"/>
    <w:rsid w:val="00963969"/>
    <w:rsid w:val="009639E5"/>
    <w:rsid w:val="00963C14"/>
    <w:rsid w:val="00963E33"/>
    <w:rsid w:val="009644ED"/>
    <w:rsid w:val="00964C73"/>
    <w:rsid w:val="00965B59"/>
    <w:rsid w:val="0096603C"/>
    <w:rsid w:val="009666CD"/>
    <w:rsid w:val="009666E8"/>
    <w:rsid w:val="009668DD"/>
    <w:rsid w:val="00966F13"/>
    <w:rsid w:val="00967655"/>
    <w:rsid w:val="009677AB"/>
    <w:rsid w:val="00967A5A"/>
    <w:rsid w:val="00967DEC"/>
    <w:rsid w:val="009700A6"/>
    <w:rsid w:val="009702F8"/>
    <w:rsid w:val="0097037E"/>
    <w:rsid w:val="00970E9E"/>
    <w:rsid w:val="00971759"/>
    <w:rsid w:val="00971CB8"/>
    <w:rsid w:val="00971E22"/>
    <w:rsid w:val="00971FAD"/>
    <w:rsid w:val="00972D30"/>
    <w:rsid w:val="00972E3A"/>
    <w:rsid w:val="009734C5"/>
    <w:rsid w:val="00973706"/>
    <w:rsid w:val="00973D43"/>
    <w:rsid w:val="00973F92"/>
    <w:rsid w:val="00974939"/>
    <w:rsid w:val="00975181"/>
    <w:rsid w:val="00975182"/>
    <w:rsid w:val="0097525B"/>
    <w:rsid w:val="00975889"/>
    <w:rsid w:val="00976157"/>
    <w:rsid w:val="009772A6"/>
    <w:rsid w:val="00977586"/>
    <w:rsid w:val="00977857"/>
    <w:rsid w:val="00977FA0"/>
    <w:rsid w:val="00980408"/>
    <w:rsid w:val="00980825"/>
    <w:rsid w:val="0098138E"/>
    <w:rsid w:val="0098213A"/>
    <w:rsid w:val="0098282D"/>
    <w:rsid w:val="00982CBB"/>
    <w:rsid w:val="009831C2"/>
    <w:rsid w:val="009835C9"/>
    <w:rsid w:val="00983CE7"/>
    <w:rsid w:val="00983EC4"/>
    <w:rsid w:val="009840C1"/>
    <w:rsid w:val="00984918"/>
    <w:rsid w:val="00985444"/>
    <w:rsid w:val="00985D4A"/>
    <w:rsid w:val="00986177"/>
    <w:rsid w:val="009863A0"/>
    <w:rsid w:val="00986622"/>
    <w:rsid w:val="00986D0D"/>
    <w:rsid w:val="00987BC4"/>
    <w:rsid w:val="00987C0C"/>
    <w:rsid w:val="00987E6D"/>
    <w:rsid w:val="0099093A"/>
    <w:rsid w:val="00990BE6"/>
    <w:rsid w:val="009910A4"/>
    <w:rsid w:val="00993234"/>
    <w:rsid w:val="009934D1"/>
    <w:rsid w:val="00993962"/>
    <w:rsid w:val="00993EB1"/>
    <w:rsid w:val="00994888"/>
    <w:rsid w:val="00994FFC"/>
    <w:rsid w:val="00995279"/>
    <w:rsid w:val="009953B9"/>
    <w:rsid w:val="00995E42"/>
    <w:rsid w:val="00995EAA"/>
    <w:rsid w:val="00995F9E"/>
    <w:rsid w:val="009963EC"/>
    <w:rsid w:val="009965EB"/>
    <w:rsid w:val="00996637"/>
    <w:rsid w:val="009967C7"/>
    <w:rsid w:val="00996AF5"/>
    <w:rsid w:val="00996B40"/>
    <w:rsid w:val="00996FBA"/>
    <w:rsid w:val="00996FBE"/>
    <w:rsid w:val="00997633"/>
    <w:rsid w:val="00997E97"/>
    <w:rsid w:val="009A0021"/>
    <w:rsid w:val="009A0AB2"/>
    <w:rsid w:val="009A0AF7"/>
    <w:rsid w:val="009A0CD1"/>
    <w:rsid w:val="009A0F8D"/>
    <w:rsid w:val="009A105A"/>
    <w:rsid w:val="009A16E8"/>
    <w:rsid w:val="009A20F6"/>
    <w:rsid w:val="009A210C"/>
    <w:rsid w:val="009A28E8"/>
    <w:rsid w:val="009A34E9"/>
    <w:rsid w:val="009A3A9E"/>
    <w:rsid w:val="009A3F98"/>
    <w:rsid w:val="009A404F"/>
    <w:rsid w:val="009A42A4"/>
    <w:rsid w:val="009A507C"/>
    <w:rsid w:val="009A52A3"/>
    <w:rsid w:val="009A5C1C"/>
    <w:rsid w:val="009A60B4"/>
    <w:rsid w:val="009A657B"/>
    <w:rsid w:val="009A66C8"/>
    <w:rsid w:val="009B0E3A"/>
    <w:rsid w:val="009B0EB2"/>
    <w:rsid w:val="009B129B"/>
    <w:rsid w:val="009B1651"/>
    <w:rsid w:val="009B1A9E"/>
    <w:rsid w:val="009B1D78"/>
    <w:rsid w:val="009B27DB"/>
    <w:rsid w:val="009B2ABE"/>
    <w:rsid w:val="009B4EFA"/>
    <w:rsid w:val="009B4F41"/>
    <w:rsid w:val="009B5164"/>
    <w:rsid w:val="009B56B7"/>
    <w:rsid w:val="009B5924"/>
    <w:rsid w:val="009B5E40"/>
    <w:rsid w:val="009B62E3"/>
    <w:rsid w:val="009B6461"/>
    <w:rsid w:val="009B6594"/>
    <w:rsid w:val="009B6C66"/>
    <w:rsid w:val="009B6D1A"/>
    <w:rsid w:val="009B7D4B"/>
    <w:rsid w:val="009C05FD"/>
    <w:rsid w:val="009C0B18"/>
    <w:rsid w:val="009C0B58"/>
    <w:rsid w:val="009C109A"/>
    <w:rsid w:val="009C13EB"/>
    <w:rsid w:val="009C184A"/>
    <w:rsid w:val="009C24BD"/>
    <w:rsid w:val="009C2911"/>
    <w:rsid w:val="009C2B4B"/>
    <w:rsid w:val="009C2B4E"/>
    <w:rsid w:val="009C2D27"/>
    <w:rsid w:val="009C3E70"/>
    <w:rsid w:val="009C43F3"/>
    <w:rsid w:val="009C49B9"/>
    <w:rsid w:val="009C4AAC"/>
    <w:rsid w:val="009C4D44"/>
    <w:rsid w:val="009C51A0"/>
    <w:rsid w:val="009C5627"/>
    <w:rsid w:val="009C5871"/>
    <w:rsid w:val="009C5C19"/>
    <w:rsid w:val="009C6145"/>
    <w:rsid w:val="009C671B"/>
    <w:rsid w:val="009C6C5F"/>
    <w:rsid w:val="009C6DD1"/>
    <w:rsid w:val="009C6F80"/>
    <w:rsid w:val="009C702A"/>
    <w:rsid w:val="009C737D"/>
    <w:rsid w:val="009C780A"/>
    <w:rsid w:val="009D23B2"/>
    <w:rsid w:val="009D24E0"/>
    <w:rsid w:val="009D2AC9"/>
    <w:rsid w:val="009D2B54"/>
    <w:rsid w:val="009D3BC4"/>
    <w:rsid w:val="009D4077"/>
    <w:rsid w:val="009D415D"/>
    <w:rsid w:val="009D4353"/>
    <w:rsid w:val="009D70AF"/>
    <w:rsid w:val="009D7163"/>
    <w:rsid w:val="009E0B16"/>
    <w:rsid w:val="009E0C82"/>
    <w:rsid w:val="009E0DB9"/>
    <w:rsid w:val="009E0DEA"/>
    <w:rsid w:val="009E1106"/>
    <w:rsid w:val="009E135A"/>
    <w:rsid w:val="009E13A6"/>
    <w:rsid w:val="009E19B3"/>
    <w:rsid w:val="009E2004"/>
    <w:rsid w:val="009E20D8"/>
    <w:rsid w:val="009E2145"/>
    <w:rsid w:val="009E2A29"/>
    <w:rsid w:val="009E3661"/>
    <w:rsid w:val="009E3800"/>
    <w:rsid w:val="009E3E8D"/>
    <w:rsid w:val="009E49FC"/>
    <w:rsid w:val="009E66EE"/>
    <w:rsid w:val="009E6A15"/>
    <w:rsid w:val="009E6B6B"/>
    <w:rsid w:val="009E7DCA"/>
    <w:rsid w:val="009F049C"/>
    <w:rsid w:val="009F0962"/>
    <w:rsid w:val="009F17E7"/>
    <w:rsid w:val="009F1AC6"/>
    <w:rsid w:val="009F1CCB"/>
    <w:rsid w:val="009F1D7C"/>
    <w:rsid w:val="009F2273"/>
    <w:rsid w:val="009F234A"/>
    <w:rsid w:val="009F2993"/>
    <w:rsid w:val="009F2AB5"/>
    <w:rsid w:val="009F34C9"/>
    <w:rsid w:val="009F34F6"/>
    <w:rsid w:val="009F37C4"/>
    <w:rsid w:val="009F37F7"/>
    <w:rsid w:val="009F4873"/>
    <w:rsid w:val="009F48E8"/>
    <w:rsid w:val="009F4CA8"/>
    <w:rsid w:val="009F4CE5"/>
    <w:rsid w:val="009F4FD2"/>
    <w:rsid w:val="009F59FF"/>
    <w:rsid w:val="009F6292"/>
    <w:rsid w:val="009F6569"/>
    <w:rsid w:val="009F67FF"/>
    <w:rsid w:val="009F71BD"/>
    <w:rsid w:val="009F7685"/>
    <w:rsid w:val="00A00565"/>
    <w:rsid w:val="00A00A2E"/>
    <w:rsid w:val="00A01889"/>
    <w:rsid w:val="00A01AEA"/>
    <w:rsid w:val="00A01B8A"/>
    <w:rsid w:val="00A01EF6"/>
    <w:rsid w:val="00A020AB"/>
    <w:rsid w:val="00A02608"/>
    <w:rsid w:val="00A02757"/>
    <w:rsid w:val="00A028F7"/>
    <w:rsid w:val="00A02CAA"/>
    <w:rsid w:val="00A03512"/>
    <w:rsid w:val="00A03B5C"/>
    <w:rsid w:val="00A03FAB"/>
    <w:rsid w:val="00A04659"/>
    <w:rsid w:val="00A04E0C"/>
    <w:rsid w:val="00A0508E"/>
    <w:rsid w:val="00A0513D"/>
    <w:rsid w:val="00A0545A"/>
    <w:rsid w:val="00A0590F"/>
    <w:rsid w:val="00A066A7"/>
    <w:rsid w:val="00A066D9"/>
    <w:rsid w:val="00A06B9A"/>
    <w:rsid w:val="00A07060"/>
    <w:rsid w:val="00A07153"/>
    <w:rsid w:val="00A071E6"/>
    <w:rsid w:val="00A1007F"/>
    <w:rsid w:val="00A104D8"/>
    <w:rsid w:val="00A11237"/>
    <w:rsid w:val="00A11551"/>
    <w:rsid w:val="00A116B1"/>
    <w:rsid w:val="00A11E7B"/>
    <w:rsid w:val="00A120A4"/>
    <w:rsid w:val="00A1275F"/>
    <w:rsid w:val="00A128C5"/>
    <w:rsid w:val="00A12991"/>
    <w:rsid w:val="00A129F5"/>
    <w:rsid w:val="00A12B15"/>
    <w:rsid w:val="00A12D41"/>
    <w:rsid w:val="00A13DB8"/>
    <w:rsid w:val="00A1415F"/>
    <w:rsid w:val="00A15C3B"/>
    <w:rsid w:val="00A15D9A"/>
    <w:rsid w:val="00A15D9E"/>
    <w:rsid w:val="00A15F55"/>
    <w:rsid w:val="00A1694E"/>
    <w:rsid w:val="00A16CAF"/>
    <w:rsid w:val="00A1727C"/>
    <w:rsid w:val="00A17E06"/>
    <w:rsid w:val="00A20281"/>
    <w:rsid w:val="00A20548"/>
    <w:rsid w:val="00A207F7"/>
    <w:rsid w:val="00A20A2C"/>
    <w:rsid w:val="00A20A81"/>
    <w:rsid w:val="00A214C1"/>
    <w:rsid w:val="00A218C7"/>
    <w:rsid w:val="00A21F42"/>
    <w:rsid w:val="00A221ED"/>
    <w:rsid w:val="00A223E9"/>
    <w:rsid w:val="00A22522"/>
    <w:rsid w:val="00A22C9A"/>
    <w:rsid w:val="00A239EF"/>
    <w:rsid w:val="00A24AF8"/>
    <w:rsid w:val="00A24B1C"/>
    <w:rsid w:val="00A24D47"/>
    <w:rsid w:val="00A257D5"/>
    <w:rsid w:val="00A25B94"/>
    <w:rsid w:val="00A25BD2"/>
    <w:rsid w:val="00A26940"/>
    <w:rsid w:val="00A269E1"/>
    <w:rsid w:val="00A27269"/>
    <w:rsid w:val="00A2737F"/>
    <w:rsid w:val="00A30844"/>
    <w:rsid w:val="00A30FB8"/>
    <w:rsid w:val="00A30FF1"/>
    <w:rsid w:val="00A31319"/>
    <w:rsid w:val="00A31C2D"/>
    <w:rsid w:val="00A31F1F"/>
    <w:rsid w:val="00A32590"/>
    <w:rsid w:val="00A327B2"/>
    <w:rsid w:val="00A32901"/>
    <w:rsid w:val="00A33160"/>
    <w:rsid w:val="00A33F9E"/>
    <w:rsid w:val="00A341A7"/>
    <w:rsid w:val="00A34749"/>
    <w:rsid w:val="00A34E2C"/>
    <w:rsid w:val="00A352FC"/>
    <w:rsid w:val="00A353C8"/>
    <w:rsid w:val="00A35416"/>
    <w:rsid w:val="00A358C1"/>
    <w:rsid w:val="00A35DE5"/>
    <w:rsid w:val="00A362E5"/>
    <w:rsid w:val="00A36D33"/>
    <w:rsid w:val="00A37193"/>
    <w:rsid w:val="00A37A53"/>
    <w:rsid w:val="00A37AB9"/>
    <w:rsid w:val="00A37FC8"/>
    <w:rsid w:val="00A409DE"/>
    <w:rsid w:val="00A40E63"/>
    <w:rsid w:val="00A4188C"/>
    <w:rsid w:val="00A418EB"/>
    <w:rsid w:val="00A41C02"/>
    <w:rsid w:val="00A42898"/>
    <w:rsid w:val="00A430ED"/>
    <w:rsid w:val="00A43389"/>
    <w:rsid w:val="00A441C2"/>
    <w:rsid w:val="00A447E1"/>
    <w:rsid w:val="00A44A40"/>
    <w:rsid w:val="00A458E8"/>
    <w:rsid w:val="00A45F5F"/>
    <w:rsid w:val="00A46715"/>
    <w:rsid w:val="00A46997"/>
    <w:rsid w:val="00A46AB9"/>
    <w:rsid w:val="00A46C61"/>
    <w:rsid w:val="00A46CD9"/>
    <w:rsid w:val="00A46D03"/>
    <w:rsid w:val="00A46F2E"/>
    <w:rsid w:val="00A4715E"/>
    <w:rsid w:val="00A4734B"/>
    <w:rsid w:val="00A4741F"/>
    <w:rsid w:val="00A50346"/>
    <w:rsid w:val="00A50B23"/>
    <w:rsid w:val="00A5123F"/>
    <w:rsid w:val="00A51264"/>
    <w:rsid w:val="00A512AD"/>
    <w:rsid w:val="00A51678"/>
    <w:rsid w:val="00A51803"/>
    <w:rsid w:val="00A51A23"/>
    <w:rsid w:val="00A51DFF"/>
    <w:rsid w:val="00A5217D"/>
    <w:rsid w:val="00A524D1"/>
    <w:rsid w:val="00A52D22"/>
    <w:rsid w:val="00A5310A"/>
    <w:rsid w:val="00A5312D"/>
    <w:rsid w:val="00A53F7D"/>
    <w:rsid w:val="00A5424B"/>
    <w:rsid w:val="00A54871"/>
    <w:rsid w:val="00A54CE2"/>
    <w:rsid w:val="00A55C62"/>
    <w:rsid w:val="00A55D50"/>
    <w:rsid w:val="00A56377"/>
    <w:rsid w:val="00A5644F"/>
    <w:rsid w:val="00A565EB"/>
    <w:rsid w:val="00A56648"/>
    <w:rsid w:val="00A5673E"/>
    <w:rsid w:val="00A56846"/>
    <w:rsid w:val="00A569C6"/>
    <w:rsid w:val="00A56A0B"/>
    <w:rsid w:val="00A56A3A"/>
    <w:rsid w:val="00A56C9F"/>
    <w:rsid w:val="00A56D99"/>
    <w:rsid w:val="00A56E71"/>
    <w:rsid w:val="00A57F24"/>
    <w:rsid w:val="00A6063D"/>
    <w:rsid w:val="00A6076B"/>
    <w:rsid w:val="00A60868"/>
    <w:rsid w:val="00A61182"/>
    <w:rsid w:val="00A61BB6"/>
    <w:rsid w:val="00A62087"/>
    <w:rsid w:val="00A62891"/>
    <w:rsid w:val="00A63928"/>
    <w:rsid w:val="00A63A97"/>
    <w:rsid w:val="00A63EFE"/>
    <w:rsid w:val="00A64038"/>
    <w:rsid w:val="00A644C6"/>
    <w:rsid w:val="00A648DA"/>
    <w:rsid w:val="00A64AFC"/>
    <w:rsid w:val="00A65616"/>
    <w:rsid w:val="00A656C4"/>
    <w:rsid w:val="00A65D4C"/>
    <w:rsid w:val="00A6663E"/>
    <w:rsid w:val="00A66C0C"/>
    <w:rsid w:val="00A674DE"/>
    <w:rsid w:val="00A67DDE"/>
    <w:rsid w:val="00A70841"/>
    <w:rsid w:val="00A70C16"/>
    <w:rsid w:val="00A70F22"/>
    <w:rsid w:val="00A70FE4"/>
    <w:rsid w:val="00A71402"/>
    <w:rsid w:val="00A715FC"/>
    <w:rsid w:val="00A71EA2"/>
    <w:rsid w:val="00A720E8"/>
    <w:rsid w:val="00A72156"/>
    <w:rsid w:val="00A72503"/>
    <w:rsid w:val="00A72773"/>
    <w:rsid w:val="00A72D52"/>
    <w:rsid w:val="00A734F2"/>
    <w:rsid w:val="00A737F1"/>
    <w:rsid w:val="00A7441A"/>
    <w:rsid w:val="00A74A26"/>
    <w:rsid w:val="00A74BE5"/>
    <w:rsid w:val="00A75193"/>
    <w:rsid w:val="00A763A8"/>
    <w:rsid w:val="00A76F50"/>
    <w:rsid w:val="00A7714A"/>
    <w:rsid w:val="00A77563"/>
    <w:rsid w:val="00A7798B"/>
    <w:rsid w:val="00A77A80"/>
    <w:rsid w:val="00A77C7F"/>
    <w:rsid w:val="00A80634"/>
    <w:rsid w:val="00A8077A"/>
    <w:rsid w:val="00A80B69"/>
    <w:rsid w:val="00A8123A"/>
    <w:rsid w:val="00A81310"/>
    <w:rsid w:val="00A825B9"/>
    <w:rsid w:val="00A82C94"/>
    <w:rsid w:val="00A82DF0"/>
    <w:rsid w:val="00A83462"/>
    <w:rsid w:val="00A84D48"/>
    <w:rsid w:val="00A85AA1"/>
    <w:rsid w:val="00A86331"/>
    <w:rsid w:val="00A86358"/>
    <w:rsid w:val="00A8683E"/>
    <w:rsid w:val="00A86993"/>
    <w:rsid w:val="00A87254"/>
    <w:rsid w:val="00A87BF5"/>
    <w:rsid w:val="00A90C97"/>
    <w:rsid w:val="00A90CE8"/>
    <w:rsid w:val="00A9122F"/>
    <w:rsid w:val="00A91399"/>
    <w:rsid w:val="00A913C9"/>
    <w:rsid w:val="00A9156B"/>
    <w:rsid w:val="00A91DEA"/>
    <w:rsid w:val="00A9259E"/>
    <w:rsid w:val="00A925A8"/>
    <w:rsid w:val="00A929C3"/>
    <w:rsid w:val="00A92C5A"/>
    <w:rsid w:val="00A93B58"/>
    <w:rsid w:val="00A93D46"/>
    <w:rsid w:val="00A93EB9"/>
    <w:rsid w:val="00A94089"/>
    <w:rsid w:val="00A94949"/>
    <w:rsid w:val="00A94D49"/>
    <w:rsid w:val="00A95708"/>
    <w:rsid w:val="00A9587F"/>
    <w:rsid w:val="00A9605E"/>
    <w:rsid w:val="00A96810"/>
    <w:rsid w:val="00A96B5A"/>
    <w:rsid w:val="00A96BBB"/>
    <w:rsid w:val="00A96C0C"/>
    <w:rsid w:val="00A97261"/>
    <w:rsid w:val="00A97968"/>
    <w:rsid w:val="00AA064F"/>
    <w:rsid w:val="00AA0EDE"/>
    <w:rsid w:val="00AA1B04"/>
    <w:rsid w:val="00AA2344"/>
    <w:rsid w:val="00AA25F9"/>
    <w:rsid w:val="00AA2F96"/>
    <w:rsid w:val="00AA3103"/>
    <w:rsid w:val="00AA3D29"/>
    <w:rsid w:val="00AA446E"/>
    <w:rsid w:val="00AA5A1A"/>
    <w:rsid w:val="00AA5A76"/>
    <w:rsid w:val="00AA5C15"/>
    <w:rsid w:val="00AA5C79"/>
    <w:rsid w:val="00AA625F"/>
    <w:rsid w:val="00AA62CA"/>
    <w:rsid w:val="00AA630D"/>
    <w:rsid w:val="00AA7093"/>
    <w:rsid w:val="00AB0192"/>
    <w:rsid w:val="00AB1DB8"/>
    <w:rsid w:val="00AB1ECC"/>
    <w:rsid w:val="00AB20ED"/>
    <w:rsid w:val="00AB2E3E"/>
    <w:rsid w:val="00AB3004"/>
    <w:rsid w:val="00AB381E"/>
    <w:rsid w:val="00AB4619"/>
    <w:rsid w:val="00AB5665"/>
    <w:rsid w:val="00AB5888"/>
    <w:rsid w:val="00AB5AEB"/>
    <w:rsid w:val="00AB6894"/>
    <w:rsid w:val="00AB6DD3"/>
    <w:rsid w:val="00AB710B"/>
    <w:rsid w:val="00AB72F6"/>
    <w:rsid w:val="00AB7607"/>
    <w:rsid w:val="00AB770A"/>
    <w:rsid w:val="00AC1410"/>
    <w:rsid w:val="00AC1549"/>
    <w:rsid w:val="00AC2A02"/>
    <w:rsid w:val="00AC2C4C"/>
    <w:rsid w:val="00AC2E87"/>
    <w:rsid w:val="00AC425E"/>
    <w:rsid w:val="00AC49E1"/>
    <w:rsid w:val="00AC4D8C"/>
    <w:rsid w:val="00AC4FBB"/>
    <w:rsid w:val="00AC509A"/>
    <w:rsid w:val="00AC5558"/>
    <w:rsid w:val="00AC5640"/>
    <w:rsid w:val="00AC56DD"/>
    <w:rsid w:val="00AC6172"/>
    <w:rsid w:val="00AC642A"/>
    <w:rsid w:val="00AC79BF"/>
    <w:rsid w:val="00AC7AB7"/>
    <w:rsid w:val="00AC7C84"/>
    <w:rsid w:val="00AD00B0"/>
    <w:rsid w:val="00AD02AA"/>
    <w:rsid w:val="00AD05D3"/>
    <w:rsid w:val="00AD096A"/>
    <w:rsid w:val="00AD0E45"/>
    <w:rsid w:val="00AD21B5"/>
    <w:rsid w:val="00AD29F1"/>
    <w:rsid w:val="00AD32CB"/>
    <w:rsid w:val="00AD3346"/>
    <w:rsid w:val="00AD3F1A"/>
    <w:rsid w:val="00AD40E9"/>
    <w:rsid w:val="00AD44BC"/>
    <w:rsid w:val="00AD4C8D"/>
    <w:rsid w:val="00AD4DC9"/>
    <w:rsid w:val="00AD4E72"/>
    <w:rsid w:val="00AD51A3"/>
    <w:rsid w:val="00AD58C5"/>
    <w:rsid w:val="00AD5946"/>
    <w:rsid w:val="00AD5DA4"/>
    <w:rsid w:val="00AD5E3F"/>
    <w:rsid w:val="00AD630E"/>
    <w:rsid w:val="00AD6F0D"/>
    <w:rsid w:val="00AE0537"/>
    <w:rsid w:val="00AE12B9"/>
    <w:rsid w:val="00AE141B"/>
    <w:rsid w:val="00AE19A2"/>
    <w:rsid w:val="00AE19E0"/>
    <w:rsid w:val="00AE1C4F"/>
    <w:rsid w:val="00AE22AF"/>
    <w:rsid w:val="00AE27C1"/>
    <w:rsid w:val="00AE2963"/>
    <w:rsid w:val="00AE389D"/>
    <w:rsid w:val="00AE3989"/>
    <w:rsid w:val="00AE3E1B"/>
    <w:rsid w:val="00AE4ACA"/>
    <w:rsid w:val="00AE590D"/>
    <w:rsid w:val="00AE5D22"/>
    <w:rsid w:val="00AE5D42"/>
    <w:rsid w:val="00AE6A7B"/>
    <w:rsid w:val="00AE73B7"/>
    <w:rsid w:val="00AE7722"/>
    <w:rsid w:val="00AE7C78"/>
    <w:rsid w:val="00AF0DCF"/>
    <w:rsid w:val="00AF35E2"/>
    <w:rsid w:val="00AF3A4F"/>
    <w:rsid w:val="00AF505C"/>
    <w:rsid w:val="00AF59B2"/>
    <w:rsid w:val="00AF5A30"/>
    <w:rsid w:val="00AF63E1"/>
    <w:rsid w:val="00AF71FD"/>
    <w:rsid w:val="00AF7C18"/>
    <w:rsid w:val="00AF7F8F"/>
    <w:rsid w:val="00B008D2"/>
    <w:rsid w:val="00B00919"/>
    <w:rsid w:val="00B0139E"/>
    <w:rsid w:val="00B01414"/>
    <w:rsid w:val="00B01445"/>
    <w:rsid w:val="00B02268"/>
    <w:rsid w:val="00B022F3"/>
    <w:rsid w:val="00B02614"/>
    <w:rsid w:val="00B03139"/>
    <w:rsid w:val="00B0335D"/>
    <w:rsid w:val="00B03B85"/>
    <w:rsid w:val="00B041CB"/>
    <w:rsid w:val="00B04491"/>
    <w:rsid w:val="00B04893"/>
    <w:rsid w:val="00B04B46"/>
    <w:rsid w:val="00B04EA8"/>
    <w:rsid w:val="00B04F9B"/>
    <w:rsid w:val="00B0526D"/>
    <w:rsid w:val="00B053AA"/>
    <w:rsid w:val="00B0595D"/>
    <w:rsid w:val="00B05996"/>
    <w:rsid w:val="00B05C95"/>
    <w:rsid w:val="00B0671C"/>
    <w:rsid w:val="00B067E9"/>
    <w:rsid w:val="00B070FE"/>
    <w:rsid w:val="00B0720E"/>
    <w:rsid w:val="00B077E3"/>
    <w:rsid w:val="00B07A49"/>
    <w:rsid w:val="00B07B49"/>
    <w:rsid w:val="00B10752"/>
    <w:rsid w:val="00B1090D"/>
    <w:rsid w:val="00B11672"/>
    <w:rsid w:val="00B119E6"/>
    <w:rsid w:val="00B11A2A"/>
    <w:rsid w:val="00B11E9B"/>
    <w:rsid w:val="00B124A8"/>
    <w:rsid w:val="00B124C9"/>
    <w:rsid w:val="00B125EA"/>
    <w:rsid w:val="00B12793"/>
    <w:rsid w:val="00B12A80"/>
    <w:rsid w:val="00B12E74"/>
    <w:rsid w:val="00B13026"/>
    <w:rsid w:val="00B1312F"/>
    <w:rsid w:val="00B13259"/>
    <w:rsid w:val="00B13803"/>
    <w:rsid w:val="00B13A0D"/>
    <w:rsid w:val="00B13BF6"/>
    <w:rsid w:val="00B14BFA"/>
    <w:rsid w:val="00B15197"/>
    <w:rsid w:val="00B15349"/>
    <w:rsid w:val="00B15414"/>
    <w:rsid w:val="00B1551F"/>
    <w:rsid w:val="00B1628F"/>
    <w:rsid w:val="00B16D67"/>
    <w:rsid w:val="00B17BE4"/>
    <w:rsid w:val="00B17D9C"/>
    <w:rsid w:val="00B17E4B"/>
    <w:rsid w:val="00B20071"/>
    <w:rsid w:val="00B205E3"/>
    <w:rsid w:val="00B20C6B"/>
    <w:rsid w:val="00B20E80"/>
    <w:rsid w:val="00B21446"/>
    <w:rsid w:val="00B2149D"/>
    <w:rsid w:val="00B217AF"/>
    <w:rsid w:val="00B218EC"/>
    <w:rsid w:val="00B228DA"/>
    <w:rsid w:val="00B23AFC"/>
    <w:rsid w:val="00B23F55"/>
    <w:rsid w:val="00B243BA"/>
    <w:rsid w:val="00B2466C"/>
    <w:rsid w:val="00B24BA3"/>
    <w:rsid w:val="00B24EBD"/>
    <w:rsid w:val="00B24F41"/>
    <w:rsid w:val="00B25290"/>
    <w:rsid w:val="00B253A6"/>
    <w:rsid w:val="00B2559A"/>
    <w:rsid w:val="00B25F6D"/>
    <w:rsid w:val="00B25F9C"/>
    <w:rsid w:val="00B262AA"/>
    <w:rsid w:val="00B262F0"/>
    <w:rsid w:val="00B26610"/>
    <w:rsid w:val="00B26C2A"/>
    <w:rsid w:val="00B27004"/>
    <w:rsid w:val="00B301A9"/>
    <w:rsid w:val="00B309E1"/>
    <w:rsid w:val="00B31074"/>
    <w:rsid w:val="00B31133"/>
    <w:rsid w:val="00B3183F"/>
    <w:rsid w:val="00B31A57"/>
    <w:rsid w:val="00B320F3"/>
    <w:rsid w:val="00B3226D"/>
    <w:rsid w:val="00B325A0"/>
    <w:rsid w:val="00B3268D"/>
    <w:rsid w:val="00B32826"/>
    <w:rsid w:val="00B3299F"/>
    <w:rsid w:val="00B32B5B"/>
    <w:rsid w:val="00B33298"/>
    <w:rsid w:val="00B341E2"/>
    <w:rsid w:val="00B34F94"/>
    <w:rsid w:val="00B353F3"/>
    <w:rsid w:val="00B35509"/>
    <w:rsid w:val="00B356E9"/>
    <w:rsid w:val="00B35C90"/>
    <w:rsid w:val="00B36163"/>
    <w:rsid w:val="00B36253"/>
    <w:rsid w:val="00B363BC"/>
    <w:rsid w:val="00B36C0A"/>
    <w:rsid w:val="00B36D85"/>
    <w:rsid w:val="00B3740E"/>
    <w:rsid w:val="00B37921"/>
    <w:rsid w:val="00B37AE6"/>
    <w:rsid w:val="00B37FB3"/>
    <w:rsid w:val="00B401F6"/>
    <w:rsid w:val="00B40FEF"/>
    <w:rsid w:val="00B415EE"/>
    <w:rsid w:val="00B421AC"/>
    <w:rsid w:val="00B422C0"/>
    <w:rsid w:val="00B4343E"/>
    <w:rsid w:val="00B435BA"/>
    <w:rsid w:val="00B43DB8"/>
    <w:rsid w:val="00B44152"/>
    <w:rsid w:val="00B44676"/>
    <w:rsid w:val="00B44DF5"/>
    <w:rsid w:val="00B451C4"/>
    <w:rsid w:val="00B45267"/>
    <w:rsid w:val="00B452DB"/>
    <w:rsid w:val="00B45AF8"/>
    <w:rsid w:val="00B45B9C"/>
    <w:rsid w:val="00B45F68"/>
    <w:rsid w:val="00B4684D"/>
    <w:rsid w:val="00B46BC1"/>
    <w:rsid w:val="00B46E3A"/>
    <w:rsid w:val="00B46EDF"/>
    <w:rsid w:val="00B472B6"/>
    <w:rsid w:val="00B47506"/>
    <w:rsid w:val="00B4764F"/>
    <w:rsid w:val="00B47AD5"/>
    <w:rsid w:val="00B47C24"/>
    <w:rsid w:val="00B47D7F"/>
    <w:rsid w:val="00B50E57"/>
    <w:rsid w:val="00B51953"/>
    <w:rsid w:val="00B51B25"/>
    <w:rsid w:val="00B51D45"/>
    <w:rsid w:val="00B520B0"/>
    <w:rsid w:val="00B52550"/>
    <w:rsid w:val="00B52552"/>
    <w:rsid w:val="00B52622"/>
    <w:rsid w:val="00B528FE"/>
    <w:rsid w:val="00B532EA"/>
    <w:rsid w:val="00B53714"/>
    <w:rsid w:val="00B53803"/>
    <w:rsid w:val="00B53876"/>
    <w:rsid w:val="00B541F6"/>
    <w:rsid w:val="00B54D86"/>
    <w:rsid w:val="00B560A6"/>
    <w:rsid w:val="00B5612F"/>
    <w:rsid w:val="00B573BC"/>
    <w:rsid w:val="00B573D8"/>
    <w:rsid w:val="00B60075"/>
    <w:rsid w:val="00B60236"/>
    <w:rsid w:val="00B604E2"/>
    <w:rsid w:val="00B60E24"/>
    <w:rsid w:val="00B61110"/>
    <w:rsid w:val="00B61A17"/>
    <w:rsid w:val="00B6237B"/>
    <w:rsid w:val="00B62920"/>
    <w:rsid w:val="00B63105"/>
    <w:rsid w:val="00B636F4"/>
    <w:rsid w:val="00B63C5A"/>
    <w:rsid w:val="00B642BE"/>
    <w:rsid w:val="00B644A3"/>
    <w:rsid w:val="00B6459F"/>
    <w:rsid w:val="00B647FB"/>
    <w:rsid w:val="00B65128"/>
    <w:rsid w:val="00B6537E"/>
    <w:rsid w:val="00B65663"/>
    <w:rsid w:val="00B65918"/>
    <w:rsid w:val="00B6640F"/>
    <w:rsid w:val="00B6681F"/>
    <w:rsid w:val="00B66CDE"/>
    <w:rsid w:val="00B67DA0"/>
    <w:rsid w:val="00B702C7"/>
    <w:rsid w:val="00B70914"/>
    <w:rsid w:val="00B70CA0"/>
    <w:rsid w:val="00B7174B"/>
    <w:rsid w:val="00B71C2A"/>
    <w:rsid w:val="00B727C4"/>
    <w:rsid w:val="00B72C48"/>
    <w:rsid w:val="00B72D74"/>
    <w:rsid w:val="00B74B14"/>
    <w:rsid w:val="00B74BE8"/>
    <w:rsid w:val="00B74DB4"/>
    <w:rsid w:val="00B74E57"/>
    <w:rsid w:val="00B7635A"/>
    <w:rsid w:val="00B7671E"/>
    <w:rsid w:val="00B76779"/>
    <w:rsid w:val="00B7693A"/>
    <w:rsid w:val="00B76FC3"/>
    <w:rsid w:val="00B7704A"/>
    <w:rsid w:val="00B777D9"/>
    <w:rsid w:val="00B801BE"/>
    <w:rsid w:val="00B80272"/>
    <w:rsid w:val="00B8039C"/>
    <w:rsid w:val="00B806FE"/>
    <w:rsid w:val="00B80E9E"/>
    <w:rsid w:val="00B816A6"/>
    <w:rsid w:val="00B81DA8"/>
    <w:rsid w:val="00B81EC5"/>
    <w:rsid w:val="00B825E6"/>
    <w:rsid w:val="00B82B81"/>
    <w:rsid w:val="00B83067"/>
    <w:rsid w:val="00B83458"/>
    <w:rsid w:val="00B836E8"/>
    <w:rsid w:val="00B83AF2"/>
    <w:rsid w:val="00B83C5A"/>
    <w:rsid w:val="00B83FDB"/>
    <w:rsid w:val="00B8469C"/>
    <w:rsid w:val="00B848BB"/>
    <w:rsid w:val="00B84B31"/>
    <w:rsid w:val="00B84C10"/>
    <w:rsid w:val="00B85073"/>
    <w:rsid w:val="00B85907"/>
    <w:rsid w:val="00B871C7"/>
    <w:rsid w:val="00B875E5"/>
    <w:rsid w:val="00B87C80"/>
    <w:rsid w:val="00B9004C"/>
    <w:rsid w:val="00B902C1"/>
    <w:rsid w:val="00B907F0"/>
    <w:rsid w:val="00B9099A"/>
    <w:rsid w:val="00B91431"/>
    <w:rsid w:val="00B91804"/>
    <w:rsid w:val="00B92687"/>
    <w:rsid w:val="00B929B4"/>
    <w:rsid w:val="00B929F4"/>
    <w:rsid w:val="00B92E5F"/>
    <w:rsid w:val="00B9320B"/>
    <w:rsid w:val="00B93466"/>
    <w:rsid w:val="00B93CFC"/>
    <w:rsid w:val="00B93E60"/>
    <w:rsid w:val="00B93F93"/>
    <w:rsid w:val="00B94DB6"/>
    <w:rsid w:val="00B94DD1"/>
    <w:rsid w:val="00B9547A"/>
    <w:rsid w:val="00B9653C"/>
    <w:rsid w:val="00B96B6E"/>
    <w:rsid w:val="00B96C89"/>
    <w:rsid w:val="00B96EDB"/>
    <w:rsid w:val="00B97779"/>
    <w:rsid w:val="00B97854"/>
    <w:rsid w:val="00BA0084"/>
    <w:rsid w:val="00BA0770"/>
    <w:rsid w:val="00BA07C8"/>
    <w:rsid w:val="00BA0B21"/>
    <w:rsid w:val="00BA0C9C"/>
    <w:rsid w:val="00BA0DB2"/>
    <w:rsid w:val="00BA1C3D"/>
    <w:rsid w:val="00BA23C0"/>
    <w:rsid w:val="00BA40D9"/>
    <w:rsid w:val="00BA47CF"/>
    <w:rsid w:val="00BA4860"/>
    <w:rsid w:val="00BA4AAB"/>
    <w:rsid w:val="00BA51F6"/>
    <w:rsid w:val="00BA6433"/>
    <w:rsid w:val="00BA6A21"/>
    <w:rsid w:val="00BA6BDD"/>
    <w:rsid w:val="00BA7081"/>
    <w:rsid w:val="00BA728A"/>
    <w:rsid w:val="00BA7596"/>
    <w:rsid w:val="00BA77DC"/>
    <w:rsid w:val="00BB04FC"/>
    <w:rsid w:val="00BB05DF"/>
    <w:rsid w:val="00BB05EF"/>
    <w:rsid w:val="00BB0B97"/>
    <w:rsid w:val="00BB1B73"/>
    <w:rsid w:val="00BB28F6"/>
    <w:rsid w:val="00BB2B17"/>
    <w:rsid w:val="00BB2CBF"/>
    <w:rsid w:val="00BB2E89"/>
    <w:rsid w:val="00BB415A"/>
    <w:rsid w:val="00BB4363"/>
    <w:rsid w:val="00BB45B9"/>
    <w:rsid w:val="00BB47A7"/>
    <w:rsid w:val="00BB496E"/>
    <w:rsid w:val="00BB5499"/>
    <w:rsid w:val="00BB63B4"/>
    <w:rsid w:val="00BB6EEE"/>
    <w:rsid w:val="00BB7F0A"/>
    <w:rsid w:val="00BC00AF"/>
    <w:rsid w:val="00BC0A3E"/>
    <w:rsid w:val="00BC0AF7"/>
    <w:rsid w:val="00BC1B73"/>
    <w:rsid w:val="00BC1DBE"/>
    <w:rsid w:val="00BC1E3D"/>
    <w:rsid w:val="00BC2555"/>
    <w:rsid w:val="00BC2560"/>
    <w:rsid w:val="00BC2AB9"/>
    <w:rsid w:val="00BC2D5F"/>
    <w:rsid w:val="00BC3172"/>
    <w:rsid w:val="00BC33E6"/>
    <w:rsid w:val="00BC3555"/>
    <w:rsid w:val="00BC3612"/>
    <w:rsid w:val="00BC37AC"/>
    <w:rsid w:val="00BC3B6F"/>
    <w:rsid w:val="00BC3F2D"/>
    <w:rsid w:val="00BC4EA0"/>
    <w:rsid w:val="00BC50E0"/>
    <w:rsid w:val="00BC5E39"/>
    <w:rsid w:val="00BC6066"/>
    <w:rsid w:val="00BC63A8"/>
    <w:rsid w:val="00BC6B6E"/>
    <w:rsid w:val="00BC7BD4"/>
    <w:rsid w:val="00BD04F2"/>
    <w:rsid w:val="00BD1489"/>
    <w:rsid w:val="00BD2003"/>
    <w:rsid w:val="00BD246E"/>
    <w:rsid w:val="00BD2550"/>
    <w:rsid w:val="00BD3150"/>
    <w:rsid w:val="00BD328B"/>
    <w:rsid w:val="00BD3293"/>
    <w:rsid w:val="00BD34D6"/>
    <w:rsid w:val="00BD398E"/>
    <w:rsid w:val="00BD40E7"/>
    <w:rsid w:val="00BD42CD"/>
    <w:rsid w:val="00BD4402"/>
    <w:rsid w:val="00BD4D4B"/>
    <w:rsid w:val="00BD562E"/>
    <w:rsid w:val="00BD5FDC"/>
    <w:rsid w:val="00BD6145"/>
    <w:rsid w:val="00BD6A2B"/>
    <w:rsid w:val="00BD714F"/>
    <w:rsid w:val="00BD7CF4"/>
    <w:rsid w:val="00BE06BA"/>
    <w:rsid w:val="00BE07D7"/>
    <w:rsid w:val="00BE1557"/>
    <w:rsid w:val="00BE15D8"/>
    <w:rsid w:val="00BE1A78"/>
    <w:rsid w:val="00BE1E8E"/>
    <w:rsid w:val="00BE2165"/>
    <w:rsid w:val="00BE2351"/>
    <w:rsid w:val="00BE2FE1"/>
    <w:rsid w:val="00BE31A3"/>
    <w:rsid w:val="00BE37B7"/>
    <w:rsid w:val="00BE3A18"/>
    <w:rsid w:val="00BE40AA"/>
    <w:rsid w:val="00BE40CC"/>
    <w:rsid w:val="00BE4150"/>
    <w:rsid w:val="00BE45D3"/>
    <w:rsid w:val="00BE47B1"/>
    <w:rsid w:val="00BE4831"/>
    <w:rsid w:val="00BE52DF"/>
    <w:rsid w:val="00BE590B"/>
    <w:rsid w:val="00BE5F8C"/>
    <w:rsid w:val="00BE604C"/>
    <w:rsid w:val="00BE644E"/>
    <w:rsid w:val="00BE6C4C"/>
    <w:rsid w:val="00BE6CC4"/>
    <w:rsid w:val="00BE7495"/>
    <w:rsid w:val="00BF06CB"/>
    <w:rsid w:val="00BF0707"/>
    <w:rsid w:val="00BF0900"/>
    <w:rsid w:val="00BF0F3B"/>
    <w:rsid w:val="00BF10BA"/>
    <w:rsid w:val="00BF1208"/>
    <w:rsid w:val="00BF163C"/>
    <w:rsid w:val="00BF16D2"/>
    <w:rsid w:val="00BF1A2A"/>
    <w:rsid w:val="00BF2523"/>
    <w:rsid w:val="00BF26C0"/>
    <w:rsid w:val="00BF2D14"/>
    <w:rsid w:val="00BF2E9A"/>
    <w:rsid w:val="00BF3536"/>
    <w:rsid w:val="00BF3719"/>
    <w:rsid w:val="00BF3B6B"/>
    <w:rsid w:val="00BF42E5"/>
    <w:rsid w:val="00BF4684"/>
    <w:rsid w:val="00BF4FA7"/>
    <w:rsid w:val="00BF5603"/>
    <w:rsid w:val="00BF6D39"/>
    <w:rsid w:val="00BF6D74"/>
    <w:rsid w:val="00BF6E60"/>
    <w:rsid w:val="00BF79C2"/>
    <w:rsid w:val="00BF7AA0"/>
    <w:rsid w:val="00BF7B6F"/>
    <w:rsid w:val="00C00174"/>
    <w:rsid w:val="00C00761"/>
    <w:rsid w:val="00C00826"/>
    <w:rsid w:val="00C00A4F"/>
    <w:rsid w:val="00C00F48"/>
    <w:rsid w:val="00C01918"/>
    <w:rsid w:val="00C01CD4"/>
    <w:rsid w:val="00C02359"/>
    <w:rsid w:val="00C02B5C"/>
    <w:rsid w:val="00C03984"/>
    <w:rsid w:val="00C0405A"/>
    <w:rsid w:val="00C04137"/>
    <w:rsid w:val="00C0475C"/>
    <w:rsid w:val="00C05379"/>
    <w:rsid w:val="00C06081"/>
    <w:rsid w:val="00C07A3F"/>
    <w:rsid w:val="00C101AF"/>
    <w:rsid w:val="00C102FF"/>
    <w:rsid w:val="00C105F3"/>
    <w:rsid w:val="00C10A6E"/>
    <w:rsid w:val="00C10FF4"/>
    <w:rsid w:val="00C1123D"/>
    <w:rsid w:val="00C1179F"/>
    <w:rsid w:val="00C11DAB"/>
    <w:rsid w:val="00C11EE2"/>
    <w:rsid w:val="00C12354"/>
    <w:rsid w:val="00C12762"/>
    <w:rsid w:val="00C13AD1"/>
    <w:rsid w:val="00C13B1D"/>
    <w:rsid w:val="00C14AA5"/>
    <w:rsid w:val="00C1604E"/>
    <w:rsid w:val="00C1624F"/>
    <w:rsid w:val="00C16671"/>
    <w:rsid w:val="00C169D6"/>
    <w:rsid w:val="00C16BFE"/>
    <w:rsid w:val="00C17B65"/>
    <w:rsid w:val="00C209DD"/>
    <w:rsid w:val="00C20A07"/>
    <w:rsid w:val="00C20A9F"/>
    <w:rsid w:val="00C20D87"/>
    <w:rsid w:val="00C22367"/>
    <w:rsid w:val="00C22664"/>
    <w:rsid w:val="00C23A81"/>
    <w:rsid w:val="00C23C05"/>
    <w:rsid w:val="00C23D61"/>
    <w:rsid w:val="00C23EC9"/>
    <w:rsid w:val="00C24507"/>
    <w:rsid w:val="00C24A7B"/>
    <w:rsid w:val="00C24AB5"/>
    <w:rsid w:val="00C24CCE"/>
    <w:rsid w:val="00C2553A"/>
    <w:rsid w:val="00C25D23"/>
    <w:rsid w:val="00C25E0B"/>
    <w:rsid w:val="00C260B4"/>
    <w:rsid w:val="00C260B7"/>
    <w:rsid w:val="00C26172"/>
    <w:rsid w:val="00C262CD"/>
    <w:rsid w:val="00C262FE"/>
    <w:rsid w:val="00C263C7"/>
    <w:rsid w:val="00C263DC"/>
    <w:rsid w:val="00C2661E"/>
    <w:rsid w:val="00C26663"/>
    <w:rsid w:val="00C26C8E"/>
    <w:rsid w:val="00C270B7"/>
    <w:rsid w:val="00C27130"/>
    <w:rsid w:val="00C27556"/>
    <w:rsid w:val="00C30163"/>
    <w:rsid w:val="00C30B41"/>
    <w:rsid w:val="00C32B14"/>
    <w:rsid w:val="00C34012"/>
    <w:rsid w:val="00C34482"/>
    <w:rsid w:val="00C34A9B"/>
    <w:rsid w:val="00C35170"/>
    <w:rsid w:val="00C354A3"/>
    <w:rsid w:val="00C354C0"/>
    <w:rsid w:val="00C35B96"/>
    <w:rsid w:val="00C35DFA"/>
    <w:rsid w:val="00C360F9"/>
    <w:rsid w:val="00C36622"/>
    <w:rsid w:val="00C366B0"/>
    <w:rsid w:val="00C36DDB"/>
    <w:rsid w:val="00C3738D"/>
    <w:rsid w:val="00C37B33"/>
    <w:rsid w:val="00C37E9E"/>
    <w:rsid w:val="00C37EE6"/>
    <w:rsid w:val="00C40156"/>
    <w:rsid w:val="00C40830"/>
    <w:rsid w:val="00C40840"/>
    <w:rsid w:val="00C40C35"/>
    <w:rsid w:val="00C40DDC"/>
    <w:rsid w:val="00C410BE"/>
    <w:rsid w:val="00C415B4"/>
    <w:rsid w:val="00C41ADE"/>
    <w:rsid w:val="00C43188"/>
    <w:rsid w:val="00C43474"/>
    <w:rsid w:val="00C4348D"/>
    <w:rsid w:val="00C4374D"/>
    <w:rsid w:val="00C4445F"/>
    <w:rsid w:val="00C44AEB"/>
    <w:rsid w:val="00C45120"/>
    <w:rsid w:val="00C46037"/>
    <w:rsid w:val="00C461B8"/>
    <w:rsid w:val="00C4623F"/>
    <w:rsid w:val="00C465B5"/>
    <w:rsid w:val="00C46CE3"/>
    <w:rsid w:val="00C46E47"/>
    <w:rsid w:val="00C4700E"/>
    <w:rsid w:val="00C475E1"/>
    <w:rsid w:val="00C50BB0"/>
    <w:rsid w:val="00C51424"/>
    <w:rsid w:val="00C517D1"/>
    <w:rsid w:val="00C51DA9"/>
    <w:rsid w:val="00C52153"/>
    <w:rsid w:val="00C52296"/>
    <w:rsid w:val="00C52EEC"/>
    <w:rsid w:val="00C53366"/>
    <w:rsid w:val="00C533D0"/>
    <w:rsid w:val="00C53421"/>
    <w:rsid w:val="00C53A15"/>
    <w:rsid w:val="00C542A9"/>
    <w:rsid w:val="00C5441A"/>
    <w:rsid w:val="00C5497C"/>
    <w:rsid w:val="00C54998"/>
    <w:rsid w:val="00C54AF6"/>
    <w:rsid w:val="00C5539F"/>
    <w:rsid w:val="00C55DB3"/>
    <w:rsid w:val="00C565CB"/>
    <w:rsid w:val="00C56BAA"/>
    <w:rsid w:val="00C56C66"/>
    <w:rsid w:val="00C57000"/>
    <w:rsid w:val="00C571C6"/>
    <w:rsid w:val="00C57730"/>
    <w:rsid w:val="00C5785C"/>
    <w:rsid w:val="00C57897"/>
    <w:rsid w:val="00C57C18"/>
    <w:rsid w:val="00C60833"/>
    <w:rsid w:val="00C60C80"/>
    <w:rsid w:val="00C60E57"/>
    <w:rsid w:val="00C60F85"/>
    <w:rsid w:val="00C618BF"/>
    <w:rsid w:val="00C6196A"/>
    <w:rsid w:val="00C62CBE"/>
    <w:rsid w:val="00C638D2"/>
    <w:rsid w:val="00C6480B"/>
    <w:rsid w:val="00C6526B"/>
    <w:rsid w:val="00C65DC0"/>
    <w:rsid w:val="00C65E5C"/>
    <w:rsid w:val="00C65FBE"/>
    <w:rsid w:val="00C66264"/>
    <w:rsid w:val="00C6632D"/>
    <w:rsid w:val="00C66561"/>
    <w:rsid w:val="00C66A84"/>
    <w:rsid w:val="00C67DAA"/>
    <w:rsid w:val="00C67F02"/>
    <w:rsid w:val="00C7013B"/>
    <w:rsid w:val="00C7099E"/>
    <w:rsid w:val="00C70A5E"/>
    <w:rsid w:val="00C70E73"/>
    <w:rsid w:val="00C716F4"/>
    <w:rsid w:val="00C71FDC"/>
    <w:rsid w:val="00C7227D"/>
    <w:rsid w:val="00C72E19"/>
    <w:rsid w:val="00C73604"/>
    <w:rsid w:val="00C737C6"/>
    <w:rsid w:val="00C73A29"/>
    <w:rsid w:val="00C73A8F"/>
    <w:rsid w:val="00C73B6E"/>
    <w:rsid w:val="00C746DB"/>
    <w:rsid w:val="00C74A8E"/>
    <w:rsid w:val="00C74B57"/>
    <w:rsid w:val="00C74D59"/>
    <w:rsid w:val="00C74DA0"/>
    <w:rsid w:val="00C75949"/>
    <w:rsid w:val="00C75BC3"/>
    <w:rsid w:val="00C75CEE"/>
    <w:rsid w:val="00C761B3"/>
    <w:rsid w:val="00C76910"/>
    <w:rsid w:val="00C76B74"/>
    <w:rsid w:val="00C76C59"/>
    <w:rsid w:val="00C7740E"/>
    <w:rsid w:val="00C77440"/>
    <w:rsid w:val="00C77601"/>
    <w:rsid w:val="00C77A48"/>
    <w:rsid w:val="00C8046D"/>
    <w:rsid w:val="00C80ABA"/>
    <w:rsid w:val="00C80C5F"/>
    <w:rsid w:val="00C8109B"/>
    <w:rsid w:val="00C811FD"/>
    <w:rsid w:val="00C814EC"/>
    <w:rsid w:val="00C818A2"/>
    <w:rsid w:val="00C81A84"/>
    <w:rsid w:val="00C8259A"/>
    <w:rsid w:val="00C829E9"/>
    <w:rsid w:val="00C829F1"/>
    <w:rsid w:val="00C833AA"/>
    <w:rsid w:val="00C83DF5"/>
    <w:rsid w:val="00C84049"/>
    <w:rsid w:val="00C84130"/>
    <w:rsid w:val="00C843B7"/>
    <w:rsid w:val="00C84AD8"/>
    <w:rsid w:val="00C8552F"/>
    <w:rsid w:val="00C85D03"/>
    <w:rsid w:val="00C85F60"/>
    <w:rsid w:val="00C869FD"/>
    <w:rsid w:val="00C86E22"/>
    <w:rsid w:val="00C87454"/>
    <w:rsid w:val="00C877C8"/>
    <w:rsid w:val="00C87A28"/>
    <w:rsid w:val="00C87B73"/>
    <w:rsid w:val="00C87CF0"/>
    <w:rsid w:val="00C9073F"/>
    <w:rsid w:val="00C90827"/>
    <w:rsid w:val="00C908A2"/>
    <w:rsid w:val="00C91D7A"/>
    <w:rsid w:val="00C91E9A"/>
    <w:rsid w:val="00C92313"/>
    <w:rsid w:val="00C92D7D"/>
    <w:rsid w:val="00C93094"/>
    <w:rsid w:val="00C93314"/>
    <w:rsid w:val="00C93603"/>
    <w:rsid w:val="00C93DF4"/>
    <w:rsid w:val="00C941C7"/>
    <w:rsid w:val="00C943E4"/>
    <w:rsid w:val="00C94513"/>
    <w:rsid w:val="00C945C1"/>
    <w:rsid w:val="00C948E4"/>
    <w:rsid w:val="00C94E35"/>
    <w:rsid w:val="00C95413"/>
    <w:rsid w:val="00C954C6"/>
    <w:rsid w:val="00C965E9"/>
    <w:rsid w:val="00C966E8"/>
    <w:rsid w:val="00C96A2B"/>
    <w:rsid w:val="00C96D3B"/>
    <w:rsid w:val="00C97315"/>
    <w:rsid w:val="00C97B57"/>
    <w:rsid w:val="00C97CF6"/>
    <w:rsid w:val="00C97E4A"/>
    <w:rsid w:val="00CA05E4"/>
    <w:rsid w:val="00CA071D"/>
    <w:rsid w:val="00CA102B"/>
    <w:rsid w:val="00CA1348"/>
    <w:rsid w:val="00CA268C"/>
    <w:rsid w:val="00CA2922"/>
    <w:rsid w:val="00CA36B6"/>
    <w:rsid w:val="00CA4777"/>
    <w:rsid w:val="00CA4780"/>
    <w:rsid w:val="00CA4D5C"/>
    <w:rsid w:val="00CA5BC3"/>
    <w:rsid w:val="00CA5CA3"/>
    <w:rsid w:val="00CA6160"/>
    <w:rsid w:val="00CA62CC"/>
    <w:rsid w:val="00CA64BE"/>
    <w:rsid w:val="00CA68C8"/>
    <w:rsid w:val="00CA6BD0"/>
    <w:rsid w:val="00CB031F"/>
    <w:rsid w:val="00CB04DC"/>
    <w:rsid w:val="00CB0520"/>
    <w:rsid w:val="00CB0A0A"/>
    <w:rsid w:val="00CB0E7E"/>
    <w:rsid w:val="00CB137A"/>
    <w:rsid w:val="00CB376A"/>
    <w:rsid w:val="00CB401E"/>
    <w:rsid w:val="00CB4A1E"/>
    <w:rsid w:val="00CB5237"/>
    <w:rsid w:val="00CB538A"/>
    <w:rsid w:val="00CB6418"/>
    <w:rsid w:val="00CB673B"/>
    <w:rsid w:val="00CB6A5E"/>
    <w:rsid w:val="00CB7306"/>
    <w:rsid w:val="00CB7624"/>
    <w:rsid w:val="00CB793D"/>
    <w:rsid w:val="00CB798F"/>
    <w:rsid w:val="00CB7F15"/>
    <w:rsid w:val="00CB7FFB"/>
    <w:rsid w:val="00CC03BA"/>
    <w:rsid w:val="00CC0DD4"/>
    <w:rsid w:val="00CC0F06"/>
    <w:rsid w:val="00CC0F7A"/>
    <w:rsid w:val="00CC106F"/>
    <w:rsid w:val="00CC1A4F"/>
    <w:rsid w:val="00CC20EE"/>
    <w:rsid w:val="00CC2A88"/>
    <w:rsid w:val="00CC3822"/>
    <w:rsid w:val="00CC3B61"/>
    <w:rsid w:val="00CC3D50"/>
    <w:rsid w:val="00CC3D72"/>
    <w:rsid w:val="00CC42F0"/>
    <w:rsid w:val="00CC44A8"/>
    <w:rsid w:val="00CC451E"/>
    <w:rsid w:val="00CC4A24"/>
    <w:rsid w:val="00CC4DB9"/>
    <w:rsid w:val="00CC51E8"/>
    <w:rsid w:val="00CC53EB"/>
    <w:rsid w:val="00CC55C1"/>
    <w:rsid w:val="00CC5B19"/>
    <w:rsid w:val="00CC5E7F"/>
    <w:rsid w:val="00CC696B"/>
    <w:rsid w:val="00CC6E8B"/>
    <w:rsid w:val="00CC7D3C"/>
    <w:rsid w:val="00CD0111"/>
    <w:rsid w:val="00CD09C8"/>
    <w:rsid w:val="00CD0B32"/>
    <w:rsid w:val="00CD0E4C"/>
    <w:rsid w:val="00CD135E"/>
    <w:rsid w:val="00CD1BA3"/>
    <w:rsid w:val="00CD1FDA"/>
    <w:rsid w:val="00CD21F6"/>
    <w:rsid w:val="00CD223E"/>
    <w:rsid w:val="00CD2655"/>
    <w:rsid w:val="00CD367C"/>
    <w:rsid w:val="00CD4482"/>
    <w:rsid w:val="00CD4519"/>
    <w:rsid w:val="00CD4C0F"/>
    <w:rsid w:val="00CD4DDE"/>
    <w:rsid w:val="00CD52E5"/>
    <w:rsid w:val="00CD74BF"/>
    <w:rsid w:val="00CD7762"/>
    <w:rsid w:val="00CD7A06"/>
    <w:rsid w:val="00CD7BB3"/>
    <w:rsid w:val="00CE05BA"/>
    <w:rsid w:val="00CE08AA"/>
    <w:rsid w:val="00CE0DE0"/>
    <w:rsid w:val="00CE1460"/>
    <w:rsid w:val="00CE158E"/>
    <w:rsid w:val="00CE198F"/>
    <w:rsid w:val="00CE2102"/>
    <w:rsid w:val="00CE2934"/>
    <w:rsid w:val="00CE3C4D"/>
    <w:rsid w:val="00CE4245"/>
    <w:rsid w:val="00CE47E5"/>
    <w:rsid w:val="00CE499F"/>
    <w:rsid w:val="00CE4FDD"/>
    <w:rsid w:val="00CE5619"/>
    <w:rsid w:val="00CE5839"/>
    <w:rsid w:val="00CE5AA4"/>
    <w:rsid w:val="00CE5FDC"/>
    <w:rsid w:val="00CE6250"/>
    <w:rsid w:val="00CE66EE"/>
    <w:rsid w:val="00CE72E4"/>
    <w:rsid w:val="00CE7947"/>
    <w:rsid w:val="00CE7C15"/>
    <w:rsid w:val="00CE7CED"/>
    <w:rsid w:val="00CF01CE"/>
    <w:rsid w:val="00CF0ECD"/>
    <w:rsid w:val="00CF0ED7"/>
    <w:rsid w:val="00CF0ED8"/>
    <w:rsid w:val="00CF0F7C"/>
    <w:rsid w:val="00CF1187"/>
    <w:rsid w:val="00CF389D"/>
    <w:rsid w:val="00CF4775"/>
    <w:rsid w:val="00CF4985"/>
    <w:rsid w:val="00CF50BD"/>
    <w:rsid w:val="00CF53C9"/>
    <w:rsid w:val="00CF5594"/>
    <w:rsid w:val="00CF5E24"/>
    <w:rsid w:val="00CF5F0B"/>
    <w:rsid w:val="00CF607D"/>
    <w:rsid w:val="00CF6651"/>
    <w:rsid w:val="00CF6A40"/>
    <w:rsid w:val="00CF7601"/>
    <w:rsid w:val="00CF7C2E"/>
    <w:rsid w:val="00D012F3"/>
    <w:rsid w:val="00D01763"/>
    <w:rsid w:val="00D0180D"/>
    <w:rsid w:val="00D01A32"/>
    <w:rsid w:val="00D01A7F"/>
    <w:rsid w:val="00D01BCB"/>
    <w:rsid w:val="00D01BD4"/>
    <w:rsid w:val="00D01D1D"/>
    <w:rsid w:val="00D02746"/>
    <w:rsid w:val="00D02CB2"/>
    <w:rsid w:val="00D02FAC"/>
    <w:rsid w:val="00D030CB"/>
    <w:rsid w:val="00D03997"/>
    <w:rsid w:val="00D03A46"/>
    <w:rsid w:val="00D03C67"/>
    <w:rsid w:val="00D0481D"/>
    <w:rsid w:val="00D04E1B"/>
    <w:rsid w:val="00D05051"/>
    <w:rsid w:val="00D050F8"/>
    <w:rsid w:val="00D0555F"/>
    <w:rsid w:val="00D05D77"/>
    <w:rsid w:val="00D05FAE"/>
    <w:rsid w:val="00D0630B"/>
    <w:rsid w:val="00D063D9"/>
    <w:rsid w:val="00D076C5"/>
    <w:rsid w:val="00D07875"/>
    <w:rsid w:val="00D07A87"/>
    <w:rsid w:val="00D07CDA"/>
    <w:rsid w:val="00D108CE"/>
    <w:rsid w:val="00D10A16"/>
    <w:rsid w:val="00D10CE6"/>
    <w:rsid w:val="00D11B73"/>
    <w:rsid w:val="00D11D89"/>
    <w:rsid w:val="00D11F79"/>
    <w:rsid w:val="00D125DD"/>
    <w:rsid w:val="00D131D9"/>
    <w:rsid w:val="00D13F84"/>
    <w:rsid w:val="00D13F95"/>
    <w:rsid w:val="00D1408D"/>
    <w:rsid w:val="00D1518C"/>
    <w:rsid w:val="00D15EE8"/>
    <w:rsid w:val="00D166BC"/>
    <w:rsid w:val="00D16D8A"/>
    <w:rsid w:val="00D206EB"/>
    <w:rsid w:val="00D21656"/>
    <w:rsid w:val="00D21E31"/>
    <w:rsid w:val="00D21E6C"/>
    <w:rsid w:val="00D22B55"/>
    <w:rsid w:val="00D2303B"/>
    <w:rsid w:val="00D23180"/>
    <w:rsid w:val="00D23442"/>
    <w:rsid w:val="00D23788"/>
    <w:rsid w:val="00D23912"/>
    <w:rsid w:val="00D23A7B"/>
    <w:rsid w:val="00D2408A"/>
    <w:rsid w:val="00D241C0"/>
    <w:rsid w:val="00D24479"/>
    <w:rsid w:val="00D24619"/>
    <w:rsid w:val="00D251B2"/>
    <w:rsid w:val="00D25638"/>
    <w:rsid w:val="00D25902"/>
    <w:rsid w:val="00D25AF0"/>
    <w:rsid w:val="00D27100"/>
    <w:rsid w:val="00D2725E"/>
    <w:rsid w:val="00D27605"/>
    <w:rsid w:val="00D27D69"/>
    <w:rsid w:val="00D308BA"/>
    <w:rsid w:val="00D30D36"/>
    <w:rsid w:val="00D30EA3"/>
    <w:rsid w:val="00D31548"/>
    <w:rsid w:val="00D315BC"/>
    <w:rsid w:val="00D31B37"/>
    <w:rsid w:val="00D31E19"/>
    <w:rsid w:val="00D32148"/>
    <w:rsid w:val="00D3242A"/>
    <w:rsid w:val="00D32853"/>
    <w:rsid w:val="00D33172"/>
    <w:rsid w:val="00D33718"/>
    <w:rsid w:val="00D33796"/>
    <w:rsid w:val="00D33C5E"/>
    <w:rsid w:val="00D34350"/>
    <w:rsid w:val="00D34B31"/>
    <w:rsid w:val="00D35B65"/>
    <w:rsid w:val="00D3658A"/>
    <w:rsid w:val="00D36B3B"/>
    <w:rsid w:val="00D36E7C"/>
    <w:rsid w:val="00D40418"/>
    <w:rsid w:val="00D404E2"/>
    <w:rsid w:val="00D40AAD"/>
    <w:rsid w:val="00D40CB3"/>
    <w:rsid w:val="00D41160"/>
    <w:rsid w:val="00D41398"/>
    <w:rsid w:val="00D413C4"/>
    <w:rsid w:val="00D41BE8"/>
    <w:rsid w:val="00D41DBF"/>
    <w:rsid w:val="00D41E64"/>
    <w:rsid w:val="00D42315"/>
    <w:rsid w:val="00D42F8E"/>
    <w:rsid w:val="00D43354"/>
    <w:rsid w:val="00D43415"/>
    <w:rsid w:val="00D435DE"/>
    <w:rsid w:val="00D43908"/>
    <w:rsid w:val="00D43E6F"/>
    <w:rsid w:val="00D449C7"/>
    <w:rsid w:val="00D454C9"/>
    <w:rsid w:val="00D45D40"/>
    <w:rsid w:val="00D46455"/>
    <w:rsid w:val="00D46CE4"/>
    <w:rsid w:val="00D50429"/>
    <w:rsid w:val="00D505BC"/>
    <w:rsid w:val="00D5091B"/>
    <w:rsid w:val="00D50948"/>
    <w:rsid w:val="00D50BD6"/>
    <w:rsid w:val="00D50E04"/>
    <w:rsid w:val="00D50F7B"/>
    <w:rsid w:val="00D51911"/>
    <w:rsid w:val="00D51929"/>
    <w:rsid w:val="00D5291E"/>
    <w:rsid w:val="00D53971"/>
    <w:rsid w:val="00D54378"/>
    <w:rsid w:val="00D5487A"/>
    <w:rsid w:val="00D549B4"/>
    <w:rsid w:val="00D55008"/>
    <w:rsid w:val="00D55877"/>
    <w:rsid w:val="00D56E36"/>
    <w:rsid w:val="00D56F41"/>
    <w:rsid w:val="00D5733C"/>
    <w:rsid w:val="00D578DC"/>
    <w:rsid w:val="00D60008"/>
    <w:rsid w:val="00D613DF"/>
    <w:rsid w:val="00D62A2B"/>
    <w:rsid w:val="00D62EF6"/>
    <w:rsid w:val="00D632CB"/>
    <w:rsid w:val="00D63B1A"/>
    <w:rsid w:val="00D642CF"/>
    <w:rsid w:val="00D645B3"/>
    <w:rsid w:val="00D64ACC"/>
    <w:rsid w:val="00D64B20"/>
    <w:rsid w:val="00D65B49"/>
    <w:rsid w:val="00D6620B"/>
    <w:rsid w:val="00D665F5"/>
    <w:rsid w:val="00D66D8F"/>
    <w:rsid w:val="00D66F06"/>
    <w:rsid w:val="00D66F11"/>
    <w:rsid w:val="00D67AFC"/>
    <w:rsid w:val="00D67B88"/>
    <w:rsid w:val="00D67C7A"/>
    <w:rsid w:val="00D702E6"/>
    <w:rsid w:val="00D70451"/>
    <w:rsid w:val="00D707DF"/>
    <w:rsid w:val="00D70A06"/>
    <w:rsid w:val="00D70CD8"/>
    <w:rsid w:val="00D710BB"/>
    <w:rsid w:val="00D71203"/>
    <w:rsid w:val="00D71523"/>
    <w:rsid w:val="00D71E55"/>
    <w:rsid w:val="00D73A11"/>
    <w:rsid w:val="00D73CDF"/>
    <w:rsid w:val="00D7443D"/>
    <w:rsid w:val="00D74615"/>
    <w:rsid w:val="00D747DA"/>
    <w:rsid w:val="00D752E1"/>
    <w:rsid w:val="00D755C4"/>
    <w:rsid w:val="00D75E57"/>
    <w:rsid w:val="00D75F90"/>
    <w:rsid w:val="00D76105"/>
    <w:rsid w:val="00D7684D"/>
    <w:rsid w:val="00D76AA5"/>
    <w:rsid w:val="00D76C05"/>
    <w:rsid w:val="00D76E42"/>
    <w:rsid w:val="00D7791B"/>
    <w:rsid w:val="00D77B55"/>
    <w:rsid w:val="00D77FBB"/>
    <w:rsid w:val="00D8025D"/>
    <w:rsid w:val="00D8148E"/>
    <w:rsid w:val="00D81972"/>
    <w:rsid w:val="00D82123"/>
    <w:rsid w:val="00D823B8"/>
    <w:rsid w:val="00D8289D"/>
    <w:rsid w:val="00D835B0"/>
    <w:rsid w:val="00D84290"/>
    <w:rsid w:val="00D843E5"/>
    <w:rsid w:val="00D84EED"/>
    <w:rsid w:val="00D85671"/>
    <w:rsid w:val="00D85A2D"/>
    <w:rsid w:val="00D866CD"/>
    <w:rsid w:val="00D86836"/>
    <w:rsid w:val="00D86A6A"/>
    <w:rsid w:val="00D86DB6"/>
    <w:rsid w:val="00D87049"/>
    <w:rsid w:val="00D875B8"/>
    <w:rsid w:val="00D87BB4"/>
    <w:rsid w:val="00D87CD3"/>
    <w:rsid w:val="00D90011"/>
    <w:rsid w:val="00D90300"/>
    <w:rsid w:val="00D90433"/>
    <w:rsid w:val="00D909CD"/>
    <w:rsid w:val="00D90A61"/>
    <w:rsid w:val="00D90E07"/>
    <w:rsid w:val="00D920D9"/>
    <w:rsid w:val="00D9271E"/>
    <w:rsid w:val="00D9287A"/>
    <w:rsid w:val="00D92B18"/>
    <w:rsid w:val="00D92F0D"/>
    <w:rsid w:val="00D93438"/>
    <w:rsid w:val="00D9446F"/>
    <w:rsid w:val="00D94CA1"/>
    <w:rsid w:val="00D94DF5"/>
    <w:rsid w:val="00D94F1C"/>
    <w:rsid w:val="00D95224"/>
    <w:rsid w:val="00D957F8"/>
    <w:rsid w:val="00D95D08"/>
    <w:rsid w:val="00D96166"/>
    <w:rsid w:val="00D963E9"/>
    <w:rsid w:val="00D969F7"/>
    <w:rsid w:val="00D9718C"/>
    <w:rsid w:val="00D97771"/>
    <w:rsid w:val="00D97EB1"/>
    <w:rsid w:val="00DA0E71"/>
    <w:rsid w:val="00DA1248"/>
    <w:rsid w:val="00DA1A9B"/>
    <w:rsid w:val="00DA2199"/>
    <w:rsid w:val="00DA246D"/>
    <w:rsid w:val="00DA2CF8"/>
    <w:rsid w:val="00DA30BC"/>
    <w:rsid w:val="00DA3F0D"/>
    <w:rsid w:val="00DA419F"/>
    <w:rsid w:val="00DA43B5"/>
    <w:rsid w:val="00DA549C"/>
    <w:rsid w:val="00DA5BF9"/>
    <w:rsid w:val="00DA625A"/>
    <w:rsid w:val="00DA6698"/>
    <w:rsid w:val="00DA6C05"/>
    <w:rsid w:val="00DA738F"/>
    <w:rsid w:val="00DB0875"/>
    <w:rsid w:val="00DB0CFD"/>
    <w:rsid w:val="00DB11D0"/>
    <w:rsid w:val="00DB1410"/>
    <w:rsid w:val="00DB1B9F"/>
    <w:rsid w:val="00DB2166"/>
    <w:rsid w:val="00DB231F"/>
    <w:rsid w:val="00DB244A"/>
    <w:rsid w:val="00DB2636"/>
    <w:rsid w:val="00DB27FD"/>
    <w:rsid w:val="00DB31EE"/>
    <w:rsid w:val="00DB372F"/>
    <w:rsid w:val="00DB3F91"/>
    <w:rsid w:val="00DB44E5"/>
    <w:rsid w:val="00DB4809"/>
    <w:rsid w:val="00DB5B8B"/>
    <w:rsid w:val="00DB647B"/>
    <w:rsid w:val="00DB68BD"/>
    <w:rsid w:val="00DB6B9E"/>
    <w:rsid w:val="00DB6E3D"/>
    <w:rsid w:val="00DB7471"/>
    <w:rsid w:val="00DB7BC1"/>
    <w:rsid w:val="00DC00DA"/>
    <w:rsid w:val="00DC0882"/>
    <w:rsid w:val="00DC1444"/>
    <w:rsid w:val="00DC2E39"/>
    <w:rsid w:val="00DC31EE"/>
    <w:rsid w:val="00DC34D5"/>
    <w:rsid w:val="00DC3E56"/>
    <w:rsid w:val="00DC402C"/>
    <w:rsid w:val="00DC4322"/>
    <w:rsid w:val="00DC4811"/>
    <w:rsid w:val="00DC4973"/>
    <w:rsid w:val="00DC5942"/>
    <w:rsid w:val="00DC6715"/>
    <w:rsid w:val="00DC6873"/>
    <w:rsid w:val="00DC6A00"/>
    <w:rsid w:val="00DC6B7C"/>
    <w:rsid w:val="00DD12FC"/>
    <w:rsid w:val="00DD1DC6"/>
    <w:rsid w:val="00DD3255"/>
    <w:rsid w:val="00DD4830"/>
    <w:rsid w:val="00DD57A2"/>
    <w:rsid w:val="00DD5AB6"/>
    <w:rsid w:val="00DD5F0B"/>
    <w:rsid w:val="00DD60EB"/>
    <w:rsid w:val="00DD649A"/>
    <w:rsid w:val="00DD64A2"/>
    <w:rsid w:val="00DD65D2"/>
    <w:rsid w:val="00DD6767"/>
    <w:rsid w:val="00DD7339"/>
    <w:rsid w:val="00DD7DB3"/>
    <w:rsid w:val="00DD7E13"/>
    <w:rsid w:val="00DE051F"/>
    <w:rsid w:val="00DE0D1A"/>
    <w:rsid w:val="00DE0F3C"/>
    <w:rsid w:val="00DE13EB"/>
    <w:rsid w:val="00DE17AE"/>
    <w:rsid w:val="00DE1FCF"/>
    <w:rsid w:val="00DE2923"/>
    <w:rsid w:val="00DE3D61"/>
    <w:rsid w:val="00DE3D8D"/>
    <w:rsid w:val="00DE4E34"/>
    <w:rsid w:val="00DE5898"/>
    <w:rsid w:val="00DE5DA1"/>
    <w:rsid w:val="00DE70B5"/>
    <w:rsid w:val="00DE78CC"/>
    <w:rsid w:val="00DE7F70"/>
    <w:rsid w:val="00DF112A"/>
    <w:rsid w:val="00DF1609"/>
    <w:rsid w:val="00DF21E2"/>
    <w:rsid w:val="00DF2226"/>
    <w:rsid w:val="00DF22A4"/>
    <w:rsid w:val="00DF2337"/>
    <w:rsid w:val="00DF2A4A"/>
    <w:rsid w:val="00DF3B85"/>
    <w:rsid w:val="00DF3C3D"/>
    <w:rsid w:val="00DF4B6A"/>
    <w:rsid w:val="00DF4FB3"/>
    <w:rsid w:val="00DF5500"/>
    <w:rsid w:val="00DF581E"/>
    <w:rsid w:val="00DF608C"/>
    <w:rsid w:val="00DF666D"/>
    <w:rsid w:val="00DF679B"/>
    <w:rsid w:val="00DF6A17"/>
    <w:rsid w:val="00DF71D1"/>
    <w:rsid w:val="00DF7CCE"/>
    <w:rsid w:val="00E003EF"/>
    <w:rsid w:val="00E00494"/>
    <w:rsid w:val="00E0066B"/>
    <w:rsid w:val="00E007D5"/>
    <w:rsid w:val="00E00EC9"/>
    <w:rsid w:val="00E010D7"/>
    <w:rsid w:val="00E015C0"/>
    <w:rsid w:val="00E01BA9"/>
    <w:rsid w:val="00E0303F"/>
    <w:rsid w:val="00E033AD"/>
    <w:rsid w:val="00E033E3"/>
    <w:rsid w:val="00E0346A"/>
    <w:rsid w:val="00E03951"/>
    <w:rsid w:val="00E03A94"/>
    <w:rsid w:val="00E03AE6"/>
    <w:rsid w:val="00E03E5E"/>
    <w:rsid w:val="00E049B3"/>
    <w:rsid w:val="00E0533F"/>
    <w:rsid w:val="00E05A86"/>
    <w:rsid w:val="00E0603C"/>
    <w:rsid w:val="00E06438"/>
    <w:rsid w:val="00E074AE"/>
    <w:rsid w:val="00E074B0"/>
    <w:rsid w:val="00E07556"/>
    <w:rsid w:val="00E07BCC"/>
    <w:rsid w:val="00E1075E"/>
    <w:rsid w:val="00E1089F"/>
    <w:rsid w:val="00E1096F"/>
    <w:rsid w:val="00E10CDE"/>
    <w:rsid w:val="00E11029"/>
    <w:rsid w:val="00E112D5"/>
    <w:rsid w:val="00E11579"/>
    <w:rsid w:val="00E11EB1"/>
    <w:rsid w:val="00E126D5"/>
    <w:rsid w:val="00E12C14"/>
    <w:rsid w:val="00E1303E"/>
    <w:rsid w:val="00E1397B"/>
    <w:rsid w:val="00E14184"/>
    <w:rsid w:val="00E141A0"/>
    <w:rsid w:val="00E14938"/>
    <w:rsid w:val="00E14B5A"/>
    <w:rsid w:val="00E15ED6"/>
    <w:rsid w:val="00E161AD"/>
    <w:rsid w:val="00E162A9"/>
    <w:rsid w:val="00E16696"/>
    <w:rsid w:val="00E172D4"/>
    <w:rsid w:val="00E17633"/>
    <w:rsid w:val="00E17B99"/>
    <w:rsid w:val="00E216E0"/>
    <w:rsid w:val="00E21B41"/>
    <w:rsid w:val="00E21B46"/>
    <w:rsid w:val="00E21E41"/>
    <w:rsid w:val="00E22581"/>
    <w:rsid w:val="00E23234"/>
    <w:rsid w:val="00E238B0"/>
    <w:rsid w:val="00E23A7A"/>
    <w:rsid w:val="00E23F99"/>
    <w:rsid w:val="00E245A0"/>
    <w:rsid w:val="00E249B3"/>
    <w:rsid w:val="00E255F8"/>
    <w:rsid w:val="00E25ED4"/>
    <w:rsid w:val="00E260A6"/>
    <w:rsid w:val="00E2707F"/>
    <w:rsid w:val="00E271C4"/>
    <w:rsid w:val="00E2725C"/>
    <w:rsid w:val="00E2739D"/>
    <w:rsid w:val="00E276F4"/>
    <w:rsid w:val="00E27D47"/>
    <w:rsid w:val="00E300BD"/>
    <w:rsid w:val="00E307CB"/>
    <w:rsid w:val="00E313E5"/>
    <w:rsid w:val="00E3154D"/>
    <w:rsid w:val="00E3237C"/>
    <w:rsid w:val="00E33338"/>
    <w:rsid w:val="00E33726"/>
    <w:rsid w:val="00E33842"/>
    <w:rsid w:val="00E33FC0"/>
    <w:rsid w:val="00E3426D"/>
    <w:rsid w:val="00E34400"/>
    <w:rsid w:val="00E34404"/>
    <w:rsid w:val="00E3474B"/>
    <w:rsid w:val="00E34F50"/>
    <w:rsid w:val="00E3582F"/>
    <w:rsid w:val="00E36183"/>
    <w:rsid w:val="00E36E93"/>
    <w:rsid w:val="00E36F68"/>
    <w:rsid w:val="00E40078"/>
    <w:rsid w:val="00E40638"/>
    <w:rsid w:val="00E40C46"/>
    <w:rsid w:val="00E40E83"/>
    <w:rsid w:val="00E40FD2"/>
    <w:rsid w:val="00E410F1"/>
    <w:rsid w:val="00E416AF"/>
    <w:rsid w:val="00E420BA"/>
    <w:rsid w:val="00E429F8"/>
    <w:rsid w:val="00E43AF7"/>
    <w:rsid w:val="00E43E14"/>
    <w:rsid w:val="00E441DA"/>
    <w:rsid w:val="00E44232"/>
    <w:rsid w:val="00E4449C"/>
    <w:rsid w:val="00E44EF0"/>
    <w:rsid w:val="00E45589"/>
    <w:rsid w:val="00E45A97"/>
    <w:rsid w:val="00E45ACD"/>
    <w:rsid w:val="00E45ED3"/>
    <w:rsid w:val="00E4632F"/>
    <w:rsid w:val="00E4688C"/>
    <w:rsid w:val="00E474D7"/>
    <w:rsid w:val="00E47509"/>
    <w:rsid w:val="00E478B5"/>
    <w:rsid w:val="00E5010B"/>
    <w:rsid w:val="00E5047E"/>
    <w:rsid w:val="00E50799"/>
    <w:rsid w:val="00E508DC"/>
    <w:rsid w:val="00E508DE"/>
    <w:rsid w:val="00E509D0"/>
    <w:rsid w:val="00E50E22"/>
    <w:rsid w:val="00E5137E"/>
    <w:rsid w:val="00E518D6"/>
    <w:rsid w:val="00E51F06"/>
    <w:rsid w:val="00E5227A"/>
    <w:rsid w:val="00E52DCE"/>
    <w:rsid w:val="00E538BD"/>
    <w:rsid w:val="00E53905"/>
    <w:rsid w:val="00E54091"/>
    <w:rsid w:val="00E54201"/>
    <w:rsid w:val="00E55015"/>
    <w:rsid w:val="00E55026"/>
    <w:rsid w:val="00E558BD"/>
    <w:rsid w:val="00E55976"/>
    <w:rsid w:val="00E55E91"/>
    <w:rsid w:val="00E565F7"/>
    <w:rsid w:val="00E567B6"/>
    <w:rsid w:val="00E57A33"/>
    <w:rsid w:val="00E57BFF"/>
    <w:rsid w:val="00E57C44"/>
    <w:rsid w:val="00E60185"/>
    <w:rsid w:val="00E60230"/>
    <w:rsid w:val="00E60448"/>
    <w:rsid w:val="00E60F47"/>
    <w:rsid w:val="00E614C3"/>
    <w:rsid w:val="00E62B48"/>
    <w:rsid w:val="00E62CA6"/>
    <w:rsid w:val="00E63A5A"/>
    <w:rsid w:val="00E647EE"/>
    <w:rsid w:val="00E64988"/>
    <w:rsid w:val="00E653A5"/>
    <w:rsid w:val="00E65EA9"/>
    <w:rsid w:val="00E66181"/>
    <w:rsid w:val="00E66585"/>
    <w:rsid w:val="00E67291"/>
    <w:rsid w:val="00E674FB"/>
    <w:rsid w:val="00E675D2"/>
    <w:rsid w:val="00E67815"/>
    <w:rsid w:val="00E70116"/>
    <w:rsid w:val="00E7013E"/>
    <w:rsid w:val="00E7023B"/>
    <w:rsid w:val="00E709C9"/>
    <w:rsid w:val="00E712BA"/>
    <w:rsid w:val="00E71430"/>
    <w:rsid w:val="00E71C4C"/>
    <w:rsid w:val="00E72B12"/>
    <w:rsid w:val="00E72E67"/>
    <w:rsid w:val="00E7333E"/>
    <w:rsid w:val="00E733FC"/>
    <w:rsid w:val="00E73D54"/>
    <w:rsid w:val="00E745CF"/>
    <w:rsid w:val="00E74A42"/>
    <w:rsid w:val="00E74CA6"/>
    <w:rsid w:val="00E75DC7"/>
    <w:rsid w:val="00E75E32"/>
    <w:rsid w:val="00E75EF3"/>
    <w:rsid w:val="00E762FB"/>
    <w:rsid w:val="00E76354"/>
    <w:rsid w:val="00E766CE"/>
    <w:rsid w:val="00E76B7F"/>
    <w:rsid w:val="00E76C08"/>
    <w:rsid w:val="00E76E9A"/>
    <w:rsid w:val="00E76FE2"/>
    <w:rsid w:val="00E77233"/>
    <w:rsid w:val="00E776F1"/>
    <w:rsid w:val="00E776FE"/>
    <w:rsid w:val="00E8060E"/>
    <w:rsid w:val="00E810C3"/>
    <w:rsid w:val="00E8148A"/>
    <w:rsid w:val="00E818AD"/>
    <w:rsid w:val="00E81A9D"/>
    <w:rsid w:val="00E81ACF"/>
    <w:rsid w:val="00E8253E"/>
    <w:rsid w:val="00E82853"/>
    <w:rsid w:val="00E83F16"/>
    <w:rsid w:val="00E84365"/>
    <w:rsid w:val="00E84793"/>
    <w:rsid w:val="00E85A81"/>
    <w:rsid w:val="00E86CCA"/>
    <w:rsid w:val="00E86D70"/>
    <w:rsid w:val="00E86ED1"/>
    <w:rsid w:val="00E87103"/>
    <w:rsid w:val="00E8755E"/>
    <w:rsid w:val="00E900A3"/>
    <w:rsid w:val="00E9010C"/>
    <w:rsid w:val="00E901D2"/>
    <w:rsid w:val="00E90526"/>
    <w:rsid w:val="00E91CDC"/>
    <w:rsid w:val="00E91FFF"/>
    <w:rsid w:val="00E92B14"/>
    <w:rsid w:val="00E93130"/>
    <w:rsid w:val="00E93349"/>
    <w:rsid w:val="00E93357"/>
    <w:rsid w:val="00E9335B"/>
    <w:rsid w:val="00E93A78"/>
    <w:rsid w:val="00E93B26"/>
    <w:rsid w:val="00E94188"/>
    <w:rsid w:val="00E94A41"/>
    <w:rsid w:val="00E957C5"/>
    <w:rsid w:val="00E9598B"/>
    <w:rsid w:val="00E95D70"/>
    <w:rsid w:val="00E96068"/>
    <w:rsid w:val="00E9676D"/>
    <w:rsid w:val="00E96C70"/>
    <w:rsid w:val="00E97185"/>
    <w:rsid w:val="00EA0810"/>
    <w:rsid w:val="00EA18F6"/>
    <w:rsid w:val="00EA1E8F"/>
    <w:rsid w:val="00EA2519"/>
    <w:rsid w:val="00EA2C69"/>
    <w:rsid w:val="00EA2CCC"/>
    <w:rsid w:val="00EA3A90"/>
    <w:rsid w:val="00EA3F7E"/>
    <w:rsid w:val="00EA4266"/>
    <w:rsid w:val="00EA433C"/>
    <w:rsid w:val="00EA437C"/>
    <w:rsid w:val="00EA4620"/>
    <w:rsid w:val="00EA4E69"/>
    <w:rsid w:val="00EA59A3"/>
    <w:rsid w:val="00EA618F"/>
    <w:rsid w:val="00EA66AE"/>
    <w:rsid w:val="00EA6C4C"/>
    <w:rsid w:val="00EA706A"/>
    <w:rsid w:val="00EA7293"/>
    <w:rsid w:val="00EA7C4A"/>
    <w:rsid w:val="00EA7E0B"/>
    <w:rsid w:val="00EB0641"/>
    <w:rsid w:val="00EB0654"/>
    <w:rsid w:val="00EB0782"/>
    <w:rsid w:val="00EB091B"/>
    <w:rsid w:val="00EB13F5"/>
    <w:rsid w:val="00EB1A2D"/>
    <w:rsid w:val="00EB26A6"/>
    <w:rsid w:val="00EB2771"/>
    <w:rsid w:val="00EB277A"/>
    <w:rsid w:val="00EB340E"/>
    <w:rsid w:val="00EB3F0E"/>
    <w:rsid w:val="00EB459B"/>
    <w:rsid w:val="00EB4BEA"/>
    <w:rsid w:val="00EB55D8"/>
    <w:rsid w:val="00EB5CAF"/>
    <w:rsid w:val="00EB6BD4"/>
    <w:rsid w:val="00EB730D"/>
    <w:rsid w:val="00EB765C"/>
    <w:rsid w:val="00EB7A4A"/>
    <w:rsid w:val="00EB7F9E"/>
    <w:rsid w:val="00EC0402"/>
    <w:rsid w:val="00EC0867"/>
    <w:rsid w:val="00EC0B73"/>
    <w:rsid w:val="00EC19A3"/>
    <w:rsid w:val="00EC24E3"/>
    <w:rsid w:val="00EC29D5"/>
    <w:rsid w:val="00EC2B2D"/>
    <w:rsid w:val="00EC2EC8"/>
    <w:rsid w:val="00EC2FB2"/>
    <w:rsid w:val="00EC3CF9"/>
    <w:rsid w:val="00EC3FCD"/>
    <w:rsid w:val="00EC441E"/>
    <w:rsid w:val="00EC4FDE"/>
    <w:rsid w:val="00EC517C"/>
    <w:rsid w:val="00EC5554"/>
    <w:rsid w:val="00EC5932"/>
    <w:rsid w:val="00EC5B08"/>
    <w:rsid w:val="00EC5EBA"/>
    <w:rsid w:val="00EC60A1"/>
    <w:rsid w:val="00EC6538"/>
    <w:rsid w:val="00EC6D95"/>
    <w:rsid w:val="00EC7656"/>
    <w:rsid w:val="00EC7866"/>
    <w:rsid w:val="00EC7A8E"/>
    <w:rsid w:val="00EC7C63"/>
    <w:rsid w:val="00EC7DF5"/>
    <w:rsid w:val="00ED043A"/>
    <w:rsid w:val="00ED04E8"/>
    <w:rsid w:val="00ED0E42"/>
    <w:rsid w:val="00ED11E7"/>
    <w:rsid w:val="00ED141B"/>
    <w:rsid w:val="00ED1C21"/>
    <w:rsid w:val="00ED1C44"/>
    <w:rsid w:val="00ED2038"/>
    <w:rsid w:val="00ED24B9"/>
    <w:rsid w:val="00ED27D6"/>
    <w:rsid w:val="00ED2C13"/>
    <w:rsid w:val="00ED2F93"/>
    <w:rsid w:val="00ED351B"/>
    <w:rsid w:val="00ED35AE"/>
    <w:rsid w:val="00ED416E"/>
    <w:rsid w:val="00ED435A"/>
    <w:rsid w:val="00ED44DC"/>
    <w:rsid w:val="00ED46A7"/>
    <w:rsid w:val="00ED4796"/>
    <w:rsid w:val="00ED4B05"/>
    <w:rsid w:val="00ED4E73"/>
    <w:rsid w:val="00ED5204"/>
    <w:rsid w:val="00ED5A4A"/>
    <w:rsid w:val="00ED5F0D"/>
    <w:rsid w:val="00ED658F"/>
    <w:rsid w:val="00ED6DE6"/>
    <w:rsid w:val="00ED6EB3"/>
    <w:rsid w:val="00ED7CF8"/>
    <w:rsid w:val="00ED7D56"/>
    <w:rsid w:val="00EE081F"/>
    <w:rsid w:val="00EE0DA5"/>
    <w:rsid w:val="00EE27AE"/>
    <w:rsid w:val="00EE33AB"/>
    <w:rsid w:val="00EE3466"/>
    <w:rsid w:val="00EE37AF"/>
    <w:rsid w:val="00EE388D"/>
    <w:rsid w:val="00EE3A6A"/>
    <w:rsid w:val="00EE3EC6"/>
    <w:rsid w:val="00EE423C"/>
    <w:rsid w:val="00EE46E2"/>
    <w:rsid w:val="00EE48E2"/>
    <w:rsid w:val="00EE4B2E"/>
    <w:rsid w:val="00EE4CF9"/>
    <w:rsid w:val="00EE57B9"/>
    <w:rsid w:val="00EE663F"/>
    <w:rsid w:val="00EE69EC"/>
    <w:rsid w:val="00EE6BC6"/>
    <w:rsid w:val="00EE70FD"/>
    <w:rsid w:val="00EE73C3"/>
    <w:rsid w:val="00EE766D"/>
    <w:rsid w:val="00EE79D6"/>
    <w:rsid w:val="00EE7B0C"/>
    <w:rsid w:val="00EE7DB6"/>
    <w:rsid w:val="00EF03A7"/>
    <w:rsid w:val="00EF05FA"/>
    <w:rsid w:val="00EF0CE8"/>
    <w:rsid w:val="00EF11A8"/>
    <w:rsid w:val="00EF1917"/>
    <w:rsid w:val="00EF2743"/>
    <w:rsid w:val="00EF27B3"/>
    <w:rsid w:val="00EF2A4C"/>
    <w:rsid w:val="00EF338F"/>
    <w:rsid w:val="00EF34A1"/>
    <w:rsid w:val="00EF393B"/>
    <w:rsid w:val="00EF3FBC"/>
    <w:rsid w:val="00EF4435"/>
    <w:rsid w:val="00EF4D8F"/>
    <w:rsid w:val="00EF54DF"/>
    <w:rsid w:val="00EF5E0E"/>
    <w:rsid w:val="00EF5E88"/>
    <w:rsid w:val="00EF612B"/>
    <w:rsid w:val="00EF6E8B"/>
    <w:rsid w:val="00EF6F97"/>
    <w:rsid w:val="00EF712C"/>
    <w:rsid w:val="00F00481"/>
    <w:rsid w:val="00F00893"/>
    <w:rsid w:val="00F00E4C"/>
    <w:rsid w:val="00F0138A"/>
    <w:rsid w:val="00F0210F"/>
    <w:rsid w:val="00F028A6"/>
    <w:rsid w:val="00F02DB4"/>
    <w:rsid w:val="00F02E97"/>
    <w:rsid w:val="00F02F91"/>
    <w:rsid w:val="00F03356"/>
    <w:rsid w:val="00F037C9"/>
    <w:rsid w:val="00F03D03"/>
    <w:rsid w:val="00F03D48"/>
    <w:rsid w:val="00F046C1"/>
    <w:rsid w:val="00F0491B"/>
    <w:rsid w:val="00F049B0"/>
    <w:rsid w:val="00F04BC6"/>
    <w:rsid w:val="00F04DF9"/>
    <w:rsid w:val="00F04E6E"/>
    <w:rsid w:val="00F05052"/>
    <w:rsid w:val="00F0518D"/>
    <w:rsid w:val="00F051BE"/>
    <w:rsid w:val="00F05325"/>
    <w:rsid w:val="00F053F6"/>
    <w:rsid w:val="00F0581E"/>
    <w:rsid w:val="00F058B0"/>
    <w:rsid w:val="00F05A66"/>
    <w:rsid w:val="00F05C8E"/>
    <w:rsid w:val="00F06335"/>
    <w:rsid w:val="00F0658E"/>
    <w:rsid w:val="00F06B89"/>
    <w:rsid w:val="00F07121"/>
    <w:rsid w:val="00F07863"/>
    <w:rsid w:val="00F07E7E"/>
    <w:rsid w:val="00F07F25"/>
    <w:rsid w:val="00F10F4D"/>
    <w:rsid w:val="00F1118C"/>
    <w:rsid w:val="00F111B8"/>
    <w:rsid w:val="00F11203"/>
    <w:rsid w:val="00F11340"/>
    <w:rsid w:val="00F11516"/>
    <w:rsid w:val="00F11928"/>
    <w:rsid w:val="00F11E59"/>
    <w:rsid w:val="00F12138"/>
    <w:rsid w:val="00F12BDF"/>
    <w:rsid w:val="00F12DA0"/>
    <w:rsid w:val="00F13241"/>
    <w:rsid w:val="00F13779"/>
    <w:rsid w:val="00F13F2E"/>
    <w:rsid w:val="00F142CE"/>
    <w:rsid w:val="00F14F9E"/>
    <w:rsid w:val="00F1504D"/>
    <w:rsid w:val="00F16FA6"/>
    <w:rsid w:val="00F1700C"/>
    <w:rsid w:val="00F17106"/>
    <w:rsid w:val="00F172BF"/>
    <w:rsid w:val="00F17AA9"/>
    <w:rsid w:val="00F17CE6"/>
    <w:rsid w:val="00F17EB6"/>
    <w:rsid w:val="00F20F1A"/>
    <w:rsid w:val="00F21090"/>
    <w:rsid w:val="00F210C6"/>
    <w:rsid w:val="00F2149B"/>
    <w:rsid w:val="00F215BE"/>
    <w:rsid w:val="00F2162B"/>
    <w:rsid w:val="00F21775"/>
    <w:rsid w:val="00F218E7"/>
    <w:rsid w:val="00F21D22"/>
    <w:rsid w:val="00F221B5"/>
    <w:rsid w:val="00F2240A"/>
    <w:rsid w:val="00F22675"/>
    <w:rsid w:val="00F22B8F"/>
    <w:rsid w:val="00F231AE"/>
    <w:rsid w:val="00F233A1"/>
    <w:rsid w:val="00F233D9"/>
    <w:rsid w:val="00F2342A"/>
    <w:rsid w:val="00F23E4E"/>
    <w:rsid w:val="00F24C74"/>
    <w:rsid w:val="00F2537F"/>
    <w:rsid w:val="00F25AF9"/>
    <w:rsid w:val="00F26167"/>
    <w:rsid w:val="00F26456"/>
    <w:rsid w:val="00F26C00"/>
    <w:rsid w:val="00F26CA0"/>
    <w:rsid w:val="00F26F57"/>
    <w:rsid w:val="00F26F71"/>
    <w:rsid w:val="00F2730E"/>
    <w:rsid w:val="00F27449"/>
    <w:rsid w:val="00F2799B"/>
    <w:rsid w:val="00F279AB"/>
    <w:rsid w:val="00F279C4"/>
    <w:rsid w:val="00F279F3"/>
    <w:rsid w:val="00F27D90"/>
    <w:rsid w:val="00F30187"/>
    <w:rsid w:val="00F30B32"/>
    <w:rsid w:val="00F3101C"/>
    <w:rsid w:val="00F314F3"/>
    <w:rsid w:val="00F31ED3"/>
    <w:rsid w:val="00F31F84"/>
    <w:rsid w:val="00F32286"/>
    <w:rsid w:val="00F33976"/>
    <w:rsid w:val="00F34534"/>
    <w:rsid w:val="00F34628"/>
    <w:rsid w:val="00F34678"/>
    <w:rsid w:val="00F34815"/>
    <w:rsid w:val="00F349A6"/>
    <w:rsid w:val="00F34E05"/>
    <w:rsid w:val="00F352E6"/>
    <w:rsid w:val="00F353AD"/>
    <w:rsid w:val="00F35857"/>
    <w:rsid w:val="00F35898"/>
    <w:rsid w:val="00F36005"/>
    <w:rsid w:val="00F36235"/>
    <w:rsid w:val="00F37502"/>
    <w:rsid w:val="00F37D3D"/>
    <w:rsid w:val="00F37DEC"/>
    <w:rsid w:val="00F401E4"/>
    <w:rsid w:val="00F40466"/>
    <w:rsid w:val="00F40797"/>
    <w:rsid w:val="00F40AEF"/>
    <w:rsid w:val="00F40AFD"/>
    <w:rsid w:val="00F40D1F"/>
    <w:rsid w:val="00F41107"/>
    <w:rsid w:val="00F415D5"/>
    <w:rsid w:val="00F41D81"/>
    <w:rsid w:val="00F428F8"/>
    <w:rsid w:val="00F4292A"/>
    <w:rsid w:val="00F42BF4"/>
    <w:rsid w:val="00F42C2A"/>
    <w:rsid w:val="00F43896"/>
    <w:rsid w:val="00F43A92"/>
    <w:rsid w:val="00F43FB4"/>
    <w:rsid w:val="00F440E0"/>
    <w:rsid w:val="00F441D8"/>
    <w:rsid w:val="00F4436A"/>
    <w:rsid w:val="00F445D1"/>
    <w:rsid w:val="00F452A9"/>
    <w:rsid w:val="00F457EF"/>
    <w:rsid w:val="00F45D9E"/>
    <w:rsid w:val="00F47119"/>
    <w:rsid w:val="00F47E01"/>
    <w:rsid w:val="00F504B0"/>
    <w:rsid w:val="00F51247"/>
    <w:rsid w:val="00F51471"/>
    <w:rsid w:val="00F517B7"/>
    <w:rsid w:val="00F5181F"/>
    <w:rsid w:val="00F51848"/>
    <w:rsid w:val="00F519C6"/>
    <w:rsid w:val="00F51FCE"/>
    <w:rsid w:val="00F52B27"/>
    <w:rsid w:val="00F52F6F"/>
    <w:rsid w:val="00F5353D"/>
    <w:rsid w:val="00F539E0"/>
    <w:rsid w:val="00F54CB2"/>
    <w:rsid w:val="00F54FDF"/>
    <w:rsid w:val="00F5571C"/>
    <w:rsid w:val="00F56136"/>
    <w:rsid w:val="00F5628F"/>
    <w:rsid w:val="00F56759"/>
    <w:rsid w:val="00F567B2"/>
    <w:rsid w:val="00F568CE"/>
    <w:rsid w:val="00F56BA3"/>
    <w:rsid w:val="00F56E44"/>
    <w:rsid w:val="00F56FC4"/>
    <w:rsid w:val="00F57402"/>
    <w:rsid w:val="00F57431"/>
    <w:rsid w:val="00F579E5"/>
    <w:rsid w:val="00F607C0"/>
    <w:rsid w:val="00F60B46"/>
    <w:rsid w:val="00F61332"/>
    <w:rsid w:val="00F62AF6"/>
    <w:rsid w:val="00F6306A"/>
    <w:rsid w:val="00F631ED"/>
    <w:rsid w:val="00F6336B"/>
    <w:rsid w:val="00F64040"/>
    <w:rsid w:val="00F64CB3"/>
    <w:rsid w:val="00F64DF9"/>
    <w:rsid w:val="00F651CE"/>
    <w:rsid w:val="00F65B69"/>
    <w:rsid w:val="00F65CCE"/>
    <w:rsid w:val="00F6760B"/>
    <w:rsid w:val="00F70333"/>
    <w:rsid w:val="00F705F9"/>
    <w:rsid w:val="00F70650"/>
    <w:rsid w:val="00F70991"/>
    <w:rsid w:val="00F70A11"/>
    <w:rsid w:val="00F7117E"/>
    <w:rsid w:val="00F71397"/>
    <w:rsid w:val="00F715FA"/>
    <w:rsid w:val="00F7247D"/>
    <w:rsid w:val="00F7320B"/>
    <w:rsid w:val="00F73869"/>
    <w:rsid w:val="00F73F27"/>
    <w:rsid w:val="00F74184"/>
    <w:rsid w:val="00F7437C"/>
    <w:rsid w:val="00F746C9"/>
    <w:rsid w:val="00F748EA"/>
    <w:rsid w:val="00F75C59"/>
    <w:rsid w:val="00F75EA8"/>
    <w:rsid w:val="00F75FB3"/>
    <w:rsid w:val="00F76522"/>
    <w:rsid w:val="00F76A82"/>
    <w:rsid w:val="00F76DC3"/>
    <w:rsid w:val="00F7702E"/>
    <w:rsid w:val="00F80000"/>
    <w:rsid w:val="00F80BDF"/>
    <w:rsid w:val="00F80DC0"/>
    <w:rsid w:val="00F81418"/>
    <w:rsid w:val="00F81B0F"/>
    <w:rsid w:val="00F81DA0"/>
    <w:rsid w:val="00F820E5"/>
    <w:rsid w:val="00F82307"/>
    <w:rsid w:val="00F8259A"/>
    <w:rsid w:val="00F82B09"/>
    <w:rsid w:val="00F83FA1"/>
    <w:rsid w:val="00F84426"/>
    <w:rsid w:val="00F846EA"/>
    <w:rsid w:val="00F84945"/>
    <w:rsid w:val="00F84AA3"/>
    <w:rsid w:val="00F84C3E"/>
    <w:rsid w:val="00F84E38"/>
    <w:rsid w:val="00F852C0"/>
    <w:rsid w:val="00F8569F"/>
    <w:rsid w:val="00F8597F"/>
    <w:rsid w:val="00F85A69"/>
    <w:rsid w:val="00F86751"/>
    <w:rsid w:val="00F86976"/>
    <w:rsid w:val="00F869E3"/>
    <w:rsid w:val="00F86F57"/>
    <w:rsid w:val="00F86FFA"/>
    <w:rsid w:val="00F87493"/>
    <w:rsid w:val="00F90483"/>
    <w:rsid w:val="00F90996"/>
    <w:rsid w:val="00F910BE"/>
    <w:rsid w:val="00F91130"/>
    <w:rsid w:val="00F91398"/>
    <w:rsid w:val="00F9166B"/>
    <w:rsid w:val="00F91B1B"/>
    <w:rsid w:val="00F92119"/>
    <w:rsid w:val="00F9214A"/>
    <w:rsid w:val="00F92246"/>
    <w:rsid w:val="00F922AE"/>
    <w:rsid w:val="00F9302A"/>
    <w:rsid w:val="00F93035"/>
    <w:rsid w:val="00F93CFD"/>
    <w:rsid w:val="00F943B6"/>
    <w:rsid w:val="00F947F7"/>
    <w:rsid w:val="00F9487F"/>
    <w:rsid w:val="00F9493C"/>
    <w:rsid w:val="00F94A00"/>
    <w:rsid w:val="00F94A22"/>
    <w:rsid w:val="00F953D9"/>
    <w:rsid w:val="00F953DD"/>
    <w:rsid w:val="00F9592D"/>
    <w:rsid w:val="00F959B8"/>
    <w:rsid w:val="00F961F9"/>
    <w:rsid w:val="00F96CAE"/>
    <w:rsid w:val="00F97D78"/>
    <w:rsid w:val="00F97FA3"/>
    <w:rsid w:val="00FA040D"/>
    <w:rsid w:val="00FA0A6D"/>
    <w:rsid w:val="00FA0C4E"/>
    <w:rsid w:val="00FA1513"/>
    <w:rsid w:val="00FA1672"/>
    <w:rsid w:val="00FA1B57"/>
    <w:rsid w:val="00FA1B6D"/>
    <w:rsid w:val="00FA2C56"/>
    <w:rsid w:val="00FA30C0"/>
    <w:rsid w:val="00FA380F"/>
    <w:rsid w:val="00FA3A1B"/>
    <w:rsid w:val="00FA3D70"/>
    <w:rsid w:val="00FA3FCC"/>
    <w:rsid w:val="00FA4688"/>
    <w:rsid w:val="00FA4FB7"/>
    <w:rsid w:val="00FA52EB"/>
    <w:rsid w:val="00FA5B6D"/>
    <w:rsid w:val="00FA5E44"/>
    <w:rsid w:val="00FA6223"/>
    <w:rsid w:val="00FA694F"/>
    <w:rsid w:val="00FA6AF4"/>
    <w:rsid w:val="00FA7775"/>
    <w:rsid w:val="00FA7ACF"/>
    <w:rsid w:val="00FB035C"/>
    <w:rsid w:val="00FB0BE8"/>
    <w:rsid w:val="00FB0CBB"/>
    <w:rsid w:val="00FB17DE"/>
    <w:rsid w:val="00FB18BF"/>
    <w:rsid w:val="00FB2328"/>
    <w:rsid w:val="00FB2703"/>
    <w:rsid w:val="00FB28DD"/>
    <w:rsid w:val="00FB29C8"/>
    <w:rsid w:val="00FB366B"/>
    <w:rsid w:val="00FB45D3"/>
    <w:rsid w:val="00FB52E5"/>
    <w:rsid w:val="00FB579E"/>
    <w:rsid w:val="00FB5FF1"/>
    <w:rsid w:val="00FB622D"/>
    <w:rsid w:val="00FB629C"/>
    <w:rsid w:val="00FB6614"/>
    <w:rsid w:val="00FB6D60"/>
    <w:rsid w:val="00FB6F05"/>
    <w:rsid w:val="00FB71DA"/>
    <w:rsid w:val="00FB76BD"/>
    <w:rsid w:val="00FB76C8"/>
    <w:rsid w:val="00FB781F"/>
    <w:rsid w:val="00FC051C"/>
    <w:rsid w:val="00FC0EDF"/>
    <w:rsid w:val="00FC0F14"/>
    <w:rsid w:val="00FC1310"/>
    <w:rsid w:val="00FC19A4"/>
    <w:rsid w:val="00FC24A4"/>
    <w:rsid w:val="00FC2E01"/>
    <w:rsid w:val="00FC356F"/>
    <w:rsid w:val="00FC3F36"/>
    <w:rsid w:val="00FC421A"/>
    <w:rsid w:val="00FC45C6"/>
    <w:rsid w:val="00FC5360"/>
    <w:rsid w:val="00FC5DF5"/>
    <w:rsid w:val="00FC74B3"/>
    <w:rsid w:val="00FC7840"/>
    <w:rsid w:val="00FC7F9E"/>
    <w:rsid w:val="00FD00D3"/>
    <w:rsid w:val="00FD05D8"/>
    <w:rsid w:val="00FD19AE"/>
    <w:rsid w:val="00FD1DA1"/>
    <w:rsid w:val="00FD1E69"/>
    <w:rsid w:val="00FD2128"/>
    <w:rsid w:val="00FD22B4"/>
    <w:rsid w:val="00FD27C1"/>
    <w:rsid w:val="00FD2893"/>
    <w:rsid w:val="00FD36E0"/>
    <w:rsid w:val="00FD3BCD"/>
    <w:rsid w:val="00FD3D5B"/>
    <w:rsid w:val="00FD3F04"/>
    <w:rsid w:val="00FD413E"/>
    <w:rsid w:val="00FD477A"/>
    <w:rsid w:val="00FD4D47"/>
    <w:rsid w:val="00FD6382"/>
    <w:rsid w:val="00FD6919"/>
    <w:rsid w:val="00FD6C6F"/>
    <w:rsid w:val="00FD71B2"/>
    <w:rsid w:val="00FD771A"/>
    <w:rsid w:val="00FE0A9E"/>
    <w:rsid w:val="00FE138C"/>
    <w:rsid w:val="00FE158B"/>
    <w:rsid w:val="00FE1626"/>
    <w:rsid w:val="00FE1709"/>
    <w:rsid w:val="00FE1A6C"/>
    <w:rsid w:val="00FE1B1A"/>
    <w:rsid w:val="00FE1E24"/>
    <w:rsid w:val="00FE202F"/>
    <w:rsid w:val="00FE2BB5"/>
    <w:rsid w:val="00FE317D"/>
    <w:rsid w:val="00FE3280"/>
    <w:rsid w:val="00FE37C8"/>
    <w:rsid w:val="00FE565F"/>
    <w:rsid w:val="00FE5BEE"/>
    <w:rsid w:val="00FE5EEC"/>
    <w:rsid w:val="00FE607C"/>
    <w:rsid w:val="00FE61DD"/>
    <w:rsid w:val="00FE640F"/>
    <w:rsid w:val="00FE7485"/>
    <w:rsid w:val="00FE7FD3"/>
    <w:rsid w:val="00FF09C4"/>
    <w:rsid w:val="00FF0BC2"/>
    <w:rsid w:val="00FF17D6"/>
    <w:rsid w:val="00FF1886"/>
    <w:rsid w:val="00FF210C"/>
    <w:rsid w:val="00FF281D"/>
    <w:rsid w:val="00FF2BED"/>
    <w:rsid w:val="00FF31ED"/>
    <w:rsid w:val="00FF32FA"/>
    <w:rsid w:val="00FF3FB7"/>
    <w:rsid w:val="00FF4659"/>
    <w:rsid w:val="00FF4DB5"/>
    <w:rsid w:val="00FF4DFF"/>
    <w:rsid w:val="00FF55CE"/>
    <w:rsid w:val="00FF60C9"/>
    <w:rsid w:val="00FF6704"/>
    <w:rsid w:val="00FF6EA9"/>
    <w:rsid w:val="00FF7270"/>
    <w:rsid w:val="00FF72DB"/>
    <w:rsid w:val="00FF734B"/>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BDC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AD"/>
    <w:rPr>
      <w:sz w:val="26"/>
      <w:szCs w:val="26"/>
    </w:rPr>
  </w:style>
  <w:style w:type="paragraph" w:styleId="Heading1">
    <w:name w:val="heading 1"/>
    <w:basedOn w:val="Normal"/>
    <w:next w:val="Normal"/>
    <w:link w:val="Heading1Char"/>
    <w:qFormat/>
    <w:rsid w:val="000C2813"/>
    <w:pPr>
      <w:keepNext/>
      <w:spacing w:before="240" w:after="60"/>
      <w:outlineLvl w:val="0"/>
    </w:pPr>
    <w:rPr>
      <w:rFonts w:cs="Arial"/>
      <w:b/>
      <w:bCs/>
      <w:kern w:val="32"/>
      <w:sz w:val="25"/>
      <w:szCs w:val="32"/>
    </w:rPr>
  </w:style>
  <w:style w:type="paragraph" w:styleId="Heading2">
    <w:name w:val="heading 2"/>
    <w:basedOn w:val="Normal"/>
    <w:next w:val="Normal"/>
    <w:qFormat/>
    <w:rsid w:val="00925B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qFormat/>
    <w:rsid w:val="00D87CD3"/>
    <w:pPr>
      <w:keepNext/>
      <w:keepLines/>
      <w:numPr>
        <w:numId w:val="15"/>
      </w:numPr>
      <w:spacing w:line="264" w:lineRule="auto"/>
      <w:outlineLvl w:val="2"/>
    </w:pPr>
    <w:rPr>
      <w:rFonts w:cs="Arial"/>
      <w:b/>
      <w:sz w:val="25"/>
      <w:szCs w:val="25"/>
    </w:rPr>
  </w:style>
  <w:style w:type="paragraph" w:styleId="Heading4">
    <w:name w:val="heading 4"/>
    <w:basedOn w:val="Normal"/>
    <w:next w:val="Normal"/>
    <w:link w:val="Heading4Char"/>
    <w:autoRedefine/>
    <w:qFormat/>
    <w:rsid w:val="00883A54"/>
    <w:pPr>
      <w:keepNext/>
      <w:numPr>
        <w:numId w:val="16"/>
      </w:numPr>
      <w:tabs>
        <w:tab w:val="left" w:pos="1800"/>
      </w:tabs>
      <w:spacing w:line="264" w:lineRule="auto"/>
      <w:ind w:left="1800"/>
      <w:outlineLvl w:val="3"/>
    </w:pPr>
    <w:rPr>
      <w:rFonts w:ascii="Times New Roman Bold" w:hAnsi="Times New Roman Bold"/>
      <w:b/>
      <w:bCs/>
      <w:sz w:val="25"/>
      <w:szCs w:val="28"/>
    </w:rPr>
  </w:style>
  <w:style w:type="paragraph" w:styleId="Heading5">
    <w:name w:val="heading 5"/>
    <w:basedOn w:val="Normal"/>
    <w:next w:val="Normal"/>
    <w:qFormat/>
    <w:rsid w:val="00544645"/>
    <w:pPr>
      <w:numPr>
        <w:numId w:val="7"/>
      </w:numPr>
      <w:spacing w:before="240" w:after="60"/>
      <w:outlineLvl w:val="4"/>
    </w:pPr>
    <w:rPr>
      <w:b/>
      <w:bCs/>
      <w:i/>
      <w:iCs/>
      <w:sz w:val="25"/>
    </w:rPr>
  </w:style>
  <w:style w:type="paragraph" w:styleId="Heading6">
    <w:name w:val="heading 6"/>
    <w:basedOn w:val="Normal"/>
    <w:next w:val="Normal"/>
    <w:link w:val="Heading6Char"/>
    <w:qFormat/>
    <w:rsid w:val="00827F96"/>
    <w:pPr>
      <w:numPr>
        <w:numId w:val="9"/>
      </w:numPr>
      <w:spacing w:before="240" w:after="60"/>
      <w:outlineLvl w:val="5"/>
    </w:pPr>
    <w:rPr>
      <w:b/>
      <w:bCs/>
      <w:sz w:val="25"/>
      <w:szCs w:val="22"/>
    </w:rPr>
  </w:style>
  <w:style w:type="paragraph" w:styleId="Heading7">
    <w:name w:val="heading 7"/>
    <w:basedOn w:val="Normal"/>
    <w:next w:val="Normal"/>
    <w:qFormat/>
    <w:rsid w:val="0056330A"/>
    <w:pPr>
      <w:numPr>
        <w:numId w:val="12"/>
      </w:numPr>
      <w:spacing w:before="240" w:after="60"/>
      <w:outlineLvl w:val="6"/>
    </w:pPr>
    <w:rPr>
      <w:b/>
      <w:i/>
      <w:sz w:val="25"/>
      <w:szCs w:val="24"/>
      <w:u w:val="single"/>
    </w:rPr>
  </w:style>
  <w:style w:type="paragraph" w:styleId="Heading8">
    <w:name w:val="heading 8"/>
    <w:basedOn w:val="Normal"/>
    <w:next w:val="Normal"/>
    <w:link w:val="Heading8Char"/>
    <w:qFormat/>
    <w:rsid w:val="00BC1E3D"/>
    <w:pPr>
      <w:numPr>
        <w:numId w:val="13"/>
      </w:numPr>
      <w:spacing w:before="240" w:after="60"/>
      <w:outlineLvl w:val="7"/>
    </w:pPr>
    <w:rPr>
      <w:rFonts w:ascii="Times New Roman Bold" w:hAnsi="Times New Roman Bold"/>
      <w:b/>
      <w:iCs/>
      <w:sz w:val="25"/>
      <w:szCs w:val="24"/>
      <w:u w:val="single"/>
    </w:rPr>
  </w:style>
  <w:style w:type="paragraph" w:styleId="Heading9">
    <w:name w:val="heading 9"/>
    <w:basedOn w:val="Normal"/>
    <w:next w:val="Normal"/>
    <w:qFormat/>
    <w:rsid w:val="006760BC"/>
    <w:pPr>
      <w:numPr>
        <w:numId w:val="14"/>
      </w:numPr>
      <w:spacing w:before="240" w:after="60"/>
      <w:outlineLvl w:val="8"/>
    </w:pPr>
    <w:rPr>
      <w:rFonts w:cs="Arial"/>
      <w:i/>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7A235D"/>
    <w:pPr>
      <w:spacing w:after="120"/>
    </w:pPr>
    <w:rPr>
      <w:sz w:val="22"/>
      <w:szCs w:val="20"/>
    </w:rPr>
  </w:style>
  <w:style w:type="character" w:styleId="FootnoteReference">
    <w:name w:val="footnote reference"/>
    <w:aliases w:val="o,fr,Style 3,Style 13,Style 12,Style 15,Style 17,Style 9,o1,fr1,o2,fr2,o3,fr3,Style 18,(NECG) Footnote Reference,Style 20,Style 7,Style 8,Style 19,Style 28,Style 11,Style 16,Styl,Style 6,Appel note de bas de p,Style 124,FR,callout"/>
    <w:uiPriority w:val="99"/>
    <w:qFormat/>
    <w:rsid w:val="00BD6A2B"/>
    <w:rPr>
      <w:vertAlign w:val="superscript"/>
    </w:rPr>
  </w:style>
  <w:style w:type="character" w:customStyle="1" w:styleId="RCWSLText">
    <w:name w:val="RCWSLText"/>
    <w:rsid w:val="00BD6A2B"/>
    <w:rPr>
      <w:rFonts w:ascii="Courier New" w:hAnsi="Courier New" w:cs="Courier New"/>
      <w:sz w:val="24"/>
      <w:szCs w:val="24"/>
      <w:lang w:val="en-US"/>
    </w:rPr>
  </w:style>
  <w:style w:type="paragraph" w:customStyle="1" w:styleId="ParNumber">
    <w:name w:val="ParNumber"/>
    <w:basedOn w:val="Normal"/>
    <w:rsid w:val="00DE3D8D"/>
    <w:pPr>
      <w:numPr>
        <w:numId w:val="3"/>
      </w:numPr>
      <w:tabs>
        <w:tab w:val="clear" w:pos="360"/>
        <w:tab w:val="left" w:pos="720"/>
      </w:tabs>
      <w:ind w:left="0" w:hanging="720"/>
    </w:pPr>
    <w:rPr>
      <w:sz w:val="24"/>
      <w:szCs w:val="24"/>
    </w:rPr>
  </w:style>
  <w:style w:type="paragraph" w:styleId="Header">
    <w:name w:val="header"/>
    <w:basedOn w:val="Normal"/>
    <w:link w:val="HeaderChar"/>
    <w:uiPriority w:val="99"/>
    <w:rsid w:val="006D5AFA"/>
    <w:pPr>
      <w:tabs>
        <w:tab w:val="center" w:pos="4320"/>
        <w:tab w:val="right" w:pos="8640"/>
      </w:tabs>
    </w:pPr>
    <w:rPr>
      <w:sz w:val="24"/>
      <w:szCs w:val="24"/>
    </w:rPr>
  </w:style>
  <w:style w:type="paragraph" w:styleId="TOC2">
    <w:name w:val="toc 2"/>
    <w:basedOn w:val="Normal"/>
    <w:next w:val="Normal"/>
    <w:autoRedefine/>
    <w:uiPriority w:val="39"/>
    <w:qFormat/>
    <w:rsid w:val="00190524"/>
    <w:pPr>
      <w:tabs>
        <w:tab w:val="left" w:leader="dot" w:pos="360"/>
        <w:tab w:val="left" w:pos="612"/>
        <w:tab w:val="right" w:leader="dot" w:pos="8630"/>
      </w:tabs>
      <w:ind w:left="72"/>
    </w:pPr>
    <w:rPr>
      <w:b/>
      <w:noProof/>
      <w:szCs w:val="24"/>
    </w:rPr>
  </w:style>
  <w:style w:type="paragraph" w:styleId="TOC3">
    <w:name w:val="toc 3"/>
    <w:basedOn w:val="Normal"/>
    <w:next w:val="Normal"/>
    <w:autoRedefine/>
    <w:uiPriority w:val="39"/>
    <w:qFormat/>
    <w:rsid w:val="00D45D40"/>
    <w:pPr>
      <w:tabs>
        <w:tab w:val="left" w:pos="720"/>
        <w:tab w:val="right" w:leader="dot" w:pos="8640"/>
      </w:tabs>
      <w:ind w:left="619" w:hanging="187"/>
    </w:pPr>
    <w:rPr>
      <w:b/>
      <w:noProof/>
      <w:szCs w:val="24"/>
    </w:rPr>
  </w:style>
  <w:style w:type="table" w:styleId="TableGrid">
    <w:name w:val="Table Grid"/>
    <w:basedOn w:val="TableNormal"/>
    <w:uiPriority w:val="59"/>
    <w:rsid w:val="006D5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14C3"/>
    <w:rPr>
      <w:color w:val="0000FF"/>
      <w:u w:val="single"/>
    </w:rPr>
  </w:style>
  <w:style w:type="paragraph" w:styleId="BodyTextIndent">
    <w:name w:val="Body Text Indent"/>
    <w:basedOn w:val="Normal"/>
    <w:link w:val="BodyTextIndentChar"/>
    <w:rsid w:val="002022A6"/>
    <w:pPr>
      <w:ind w:left="3600" w:hanging="3600"/>
    </w:pPr>
    <w:rPr>
      <w:sz w:val="24"/>
      <w:szCs w:val="24"/>
    </w:rPr>
  </w:style>
  <w:style w:type="paragraph" w:styleId="BodyText">
    <w:name w:val="Body Text"/>
    <w:basedOn w:val="Normal"/>
    <w:rsid w:val="00321A02"/>
    <w:pPr>
      <w:spacing w:after="120"/>
    </w:pPr>
  </w:style>
  <w:style w:type="paragraph" w:styleId="TOC1">
    <w:name w:val="toc 1"/>
    <w:basedOn w:val="Normal"/>
    <w:next w:val="Normal"/>
    <w:autoRedefine/>
    <w:uiPriority w:val="39"/>
    <w:qFormat/>
    <w:rsid w:val="005244B4"/>
    <w:pPr>
      <w:tabs>
        <w:tab w:val="right" w:leader="dot" w:pos="8630"/>
      </w:tabs>
      <w:spacing w:line="264" w:lineRule="auto"/>
    </w:pPr>
  </w:style>
  <w:style w:type="paragraph" w:styleId="TOC4">
    <w:name w:val="toc 4"/>
    <w:basedOn w:val="Normal"/>
    <w:next w:val="Normal"/>
    <w:autoRedefine/>
    <w:uiPriority w:val="39"/>
    <w:rsid w:val="00190524"/>
    <w:pPr>
      <w:tabs>
        <w:tab w:val="left" w:pos="1080"/>
        <w:tab w:val="right" w:leader="dot" w:pos="8630"/>
      </w:tabs>
      <w:ind w:left="778"/>
    </w:pPr>
  </w:style>
  <w:style w:type="paragraph" w:styleId="TOC5">
    <w:name w:val="toc 5"/>
    <w:basedOn w:val="Normal"/>
    <w:next w:val="Normal"/>
    <w:autoRedefine/>
    <w:uiPriority w:val="39"/>
    <w:rsid w:val="00F05C8E"/>
    <w:pPr>
      <w:tabs>
        <w:tab w:val="left" w:pos="1440"/>
        <w:tab w:val="left" w:pos="1800"/>
        <w:tab w:val="right" w:leader="dot" w:pos="8630"/>
      </w:tabs>
      <w:ind w:left="1040"/>
    </w:pPr>
  </w:style>
  <w:style w:type="paragraph" w:styleId="TOC6">
    <w:name w:val="toc 6"/>
    <w:basedOn w:val="Normal"/>
    <w:next w:val="Normal"/>
    <w:autoRedefine/>
    <w:uiPriority w:val="39"/>
    <w:rsid w:val="00BF4684"/>
    <w:pPr>
      <w:tabs>
        <w:tab w:val="left" w:pos="900"/>
        <w:tab w:val="right" w:leader="dot" w:pos="8630"/>
      </w:tabs>
      <w:ind w:left="900"/>
    </w:pPr>
  </w:style>
  <w:style w:type="paragraph" w:styleId="TOC7">
    <w:name w:val="toc 7"/>
    <w:basedOn w:val="Normal"/>
    <w:next w:val="Normal"/>
    <w:autoRedefine/>
    <w:uiPriority w:val="39"/>
    <w:rsid w:val="006120B6"/>
    <w:pPr>
      <w:ind w:left="1560"/>
    </w:pPr>
  </w:style>
  <w:style w:type="paragraph" w:customStyle="1" w:styleId="Default">
    <w:name w:val="Default"/>
    <w:rsid w:val="004E24AB"/>
    <w:pPr>
      <w:autoSpaceDE w:val="0"/>
      <w:autoSpaceDN w:val="0"/>
      <w:adjustRightInd w:val="0"/>
    </w:pPr>
    <w:rPr>
      <w:color w:val="000000"/>
      <w:sz w:val="24"/>
      <w:szCs w:val="24"/>
    </w:rPr>
  </w:style>
  <w:style w:type="paragraph" w:customStyle="1" w:styleId="plain">
    <w:name w:val="plain"/>
    <w:basedOn w:val="Normal"/>
    <w:rsid w:val="00DA43B5"/>
    <w:pPr>
      <w:spacing w:line="240" w:lineRule="atLeast"/>
    </w:pPr>
    <w:rPr>
      <w:rFonts w:eastAsia="SimSun"/>
      <w:szCs w:val="24"/>
      <w:lang w:eastAsia="zh-CN"/>
    </w:rPr>
  </w:style>
  <w:style w:type="paragraph" w:customStyle="1" w:styleId="normalblock">
    <w:name w:val="normal block"/>
    <w:basedOn w:val="Normal"/>
    <w:rsid w:val="00DA43B5"/>
    <w:rPr>
      <w:szCs w:val="24"/>
    </w:rPr>
  </w:style>
  <w:style w:type="character" w:styleId="CommentReference">
    <w:name w:val="annotation reference"/>
    <w:uiPriority w:val="99"/>
    <w:semiHidden/>
    <w:rsid w:val="00DA43B5"/>
    <w:rPr>
      <w:sz w:val="16"/>
      <w:szCs w:val="16"/>
    </w:rPr>
  </w:style>
  <w:style w:type="paragraph" w:styleId="NormalIndent">
    <w:name w:val="Normal Indent"/>
    <w:basedOn w:val="Normal"/>
    <w:link w:val="NormalIndentChar"/>
    <w:rsid w:val="00552D1D"/>
    <w:pPr>
      <w:spacing w:after="240"/>
      <w:ind w:left="1080" w:right="720"/>
    </w:pPr>
    <w:rPr>
      <w:sz w:val="24"/>
      <w:szCs w:val="20"/>
      <w:lang w:eastAsia="zh-CN"/>
    </w:rPr>
  </w:style>
  <w:style w:type="paragraph" w:styleId="Footer">
    <w:name w:val="footer"/>
    <w:basedOn w:val="Normal"/>
    <w:link w:val="FooterChar"/>
    <w:uiPriority w:val="99"/>
    <w:rsid w:val="00F715FA"/>
    <w:pPr>
      <w:tabs>
        <w:tab w:val="center" w:pos="4320"/>
        <w:tab w:val="right" w:pos="8640"/>
      </w:tabs>
    </w:pPr>
  </w:style>
  <w:style w:type="character" w:styleId="PageNumber">
    <w:name w:val="page number"/>
    <w:basedOn w:val="DefaultParagraphFont"/>
    <w:rsid w:val="00F715FA"/>
  </w:style>
  <w:style w:type="paragraph" w:styleId="BodyTextIndent2">
    <w:name w:val="Body Text Indent 2"/>
    <w:basedOn w:val="Normal"/>
    <w:rsid w:val="006E0724"/>
    <w:pPr>
      <w:spacing w:after="120" w:line="480" w:lineRule="auto"/>
      <w:ind w:left="360"/>
    </w:pPr>
  </w:style>
  <w:style w:type="paragraph" w:styleId="PlainText">
    <w:name w:val="Plain Text"/>
    <w:basedOn w:val="Normal"/>
    <w:link w:val="PlainTextChar"/>
    <w:uiPriority w:val="99"/>
    <w:rsid w:val="006E0724"/>
    <w:rPr>
      <w:rFonts w:ascii="Courier New" w:hAnsi="Courier New" w:cs="Courier New"/>
      <w:sz w:val="20"/>
      <w:szCs w:val="20"/>
    </w:rPr>
  </w:style>
  <w:style w:type="paragraph" w:styleId="CommentText">
    <w:name w:val="annotation text"/>
    <w:basedOn w:val="Normal"/>
    <w:link w:val="CommentTextChar"/>
    <w:uiPriority w:val="99"/>
    <w:rsid w:val="005A0F1B"/>
    <w:rPr>
      <w:sz w:val="20"/>
      <w:szCs w:val="20"/>
    </w:rPr>
  </w:style>
  <w:style w:type="paragraph" w:styleId="CommentSubject">
    <w:name w:val="annotation subject"/>
    <w:basedOn w:val="CommentText"/>
    <w:next w:val="CommentText"/>
    <w:semiHidden/>
    <w:rsid w:val="005A0F1B"/>
    <w:rPr>
      <w:b/>
      <w:bCs/>
    </w:rPr>
  </w:style>
  <w:style w:type="paragraph" w:styleId="BalloonText">
    <w:name w:val="Balloon Text"/>
    <w:basedOn w:val="Normal"/>
    <w:semiHidden/>
    <w:rsid w:val="005A0F1B"/>
    <w:rPr>
      <w:rFonts w:ascii="Tahoma" w:hAnsi="Tahoma" w:cs="Tahoma"/>
      <w:sz w:val="16"/>
      <w:szCs w:val="16"/>
    </w:rPr>
  </w:style>
  <w:style w:type="paragraph" w:styleId="ListParagraph">
    <w:name w:val="List Paragraph"/>
    <w:basedOn w:val="Normal"/>
    <w:uiPriority w:val="34"/>
    <w:qFormat/>
    <w:rsid w:val="009C5627"/>
    <w:pPr>
      <w:ind w:left="720"/>
    </w:pPr>
    <w:rPr>
      <w:sz w:val="24"/>
      <w:szCs w:val="24"/>
    </w:rPr>
  </w:style>
  <w:style w:type="paragraph" w:styleId="TOCHeading">
    <w:name w:val="TOC Heading"/>
    <w:basedOn w:val="Heading1"/>
    <w:next w:val="Normal"/>
    <w:uiPriority w:val="39"/>
    <w:semiHidden/>
    <w:unhideWhenUsed/>
    <w:qFormat/>
    <w:rsid w:val="00977FA0"/>
    <w:pPr>
      <w:keepLines/>
      <w:spacing w:before="480" w:after="0" w:line="276" w:lineRule="auto"/>
      <w:outlineLvl w:val="9"/>
    </w:pPr>
    <w:rPr>
      <w:rFonts w:ascii="Cambria" w:hAnsi="Cambria" w:cs="Times New Roman"/>
      <w:color w:val="365F91"/>
      <w:kern w:val="0"/>
      <w:sz w:val="28"/>
      <w:szCs w:val="28"/>
    </w:rPr>
  </w:style>
  <w:style w:type="paragraph" w:customStyle="1" w:styleId="FindingsConclusions">
    <w:name w:val="Findings &amp; Conclusions"/>
    <w:basedOn w:val="Normal"/>
    <w:rsid w:val="00AB710B"/>
    <w:pPr>
      <w:numPr>
        <w:numId w:val="4"/>
      </w:numPr>
    </w:pPr>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link w:val="FootnoteText"/>
    <w:uiPriority w:val="99"/>
    <w:locked/>
    <w:rsid w:val="00AB710B"/>
    <w:rPr>
      <w:sz w:val="22"/>
    </w:rPr>
  </w:style>
  <w:style w:type="character" w:customStyle="1" w:styleId="FooterChar">
    <w:name w:val="Footer Char"/>
    <w:link w:val="Footer"/>
    <w:uiPriority w:val="99"/>
    <w:rsid w:val="003C5BAF"/>
    <w:rPr>
      <w:sz w:val="26"/>
      <w:szCs w:val="26"/>
    </w:rPr>
  </w:style>
  <w:style w:type="paragraph" w:customStyle="1" w:styleId="WUTCParagraph">
    <w:name w:val="WUTC Paragraph"/>
    <w:basedOn w:val="Normal"/>
    <w:rsid w:val="003C5BAF"/>
    <w:pPr>
      <w:numPr>
        <w:numId w:val="5"/>
      </w:numPr>
      <w:tabs>
        <w:tab w:val="left" w:pos="1440"/>
      </w:tabs>
      <w:spacing w:line="480" w:lineRule="auto"/>
    </w:pPr>
    <w:rPr>
      <w:sz w:val="24"/>
      <w:szCs w:val="24"/>
    </w:rPr>
  </w:style>
  <w:style w:type="character" w:customStyle="1" w:styleId="HeaderChar">
    <w:name w:val="Header Char"/>
    <w:link w:val="Header"/>
    <w:uiPriority w:val="99"/>
    <w:rsid w:val="003C5BAF"/>
    <w:rPr>
      <w:sz w:val="24"/>
      <w:szCs w:val="24"/>
    </w:rPr>
  </w:style>
  <w:style w:type="paragraph" w:customStyle="1" w:styleId="SingleSpacing">
    <w:name w:val="Single Spacing"/>
    <w:basedOn w:val="Normal"/>
    <w:rsid w:val="003C5BAF"/>
    <w:pPr>
      <w:spacing w:line="254" w:lineRule="exact"/>
    </w:pPr>
    <w:rPr>
      <w:sz w:val="24"/>
      <w:szCs w:val="20"/>
    </w:rPr>
  </w:style>
  <w:style w:type="paragraph" w:customStyle="1" w:styleId="answer">
    <w:name w:val="answer"/>
    <w:basedOn w:val="Normal"/>
    <w:link w:val="answerChar"/>
    <w:uiPriority w:val="99"/>
    <w:rsid w:val="00C43188"/>
    <w:pPr>
      <w:spacing w:before="120" w:after="120" w:line="480" w:lineRule="auto"/>
      <w:ind w:left="720" w:hanging="720"/>
    </w:pPr>
    <w:rPr>
      <w:rFonts w:eastAsia="SimSun"/>
      <w:sz w:val="24"/>
      <w:szCs w:val="24"/>
      <w:lang w:eastAsia="zh-CN"/>
    </w:rPr>
  </w:style>
  <w:style w:type="character" w:customStyle="1" w:styleId="answerChar">
    <w:name w:val="answer Char"/>
    <w:link w:val="answer"/>
    <w:uiPriority w:val="99"/>
    <w:rsid w:val="00C43188"/>
    <w:rPr>
      <w:rFonts w:eastAsia="SimSun"/>
      <w:sz w:val="24"/>
      <w:szCs w:val="24"/>
      <w:lang w:eastAsia="zh-CN"/>
    </w:rPr>
  </w:style>
  <w:style w:type="paragraph" w:customStyle="1" w:styleId="Int3ATMText">
    <w:name w:val="Int3/ATM Text"/>
    <w:basedOn w:val="Normal"/>
    <w:rsid w:val="00C43188"/>
    <w:pPr>
      <w:numPr>
        <w:numId w:val="6"/>
      </w:numPr>
      <w:tabs>
        <w:tab w:val="clear" w:pos="360"/>
      </w:tabs>
      <w:spacing w:after="260"/>
      <w:ind w:left="0" w:firstLine="0"/>
    </w:pPr>
    <w:rPr>
      <w:rFonts w:ascii="Times" w:hAnsi="Times"/>
      <w:sz w:val="30"/>
      <w:szCs w:val="24"/>
    </w:rPr>
  </w:style>
  <w:style w:type="character" w:customStyle="1" w:styleId="T11">
    <w:name w:val="T11"/>
    <w:hidden/>
    <w:rsid w:val="001F52E6"/>
    <w:rPr>
      <w:b/>
    </w:rPr>
  </w:style>
  <w:style w:type="paragraph" w:styleId="NoSpacing">
    <w:name w:val="No Spacing"/>
    <w:uiPriority w:val="1"/>
    <w:qFormat/>
    <w:rsid w:val="00942408"/>
    <w:rPr>
      <w:rFonts w:eastAsia="Calibri"/>
      <w:sz w:val="24"/>
      <w:szCs w:val="22"/>
    </w:rPr>
  </w:style>
  <w:style w:type="character" w:customStyle="1" w:styleId="PlainTextChar">
    <w:name w:val="Plain Text Char"/>
    <w:link w:val="PlainText"/>
    <w:uiPriority w:val="99"/>
    <w:rsid w:val="00A644C6"/>
    <w:rPr>
      <w:rFonts w:ascii="Courier New" w:hAnsi="Courier New" w:cs="Courier New"/>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Footnote Text Char2"/>
    <w:uiPriority w:val="99"/>
    <w:rsid w:val="005A3206"/>
    <w:rPr>
      <w:rFonts w:ascii="Courier" w:eastAsia="Times New Roman" w:hAnsi="Courier" w:cs="Times New Roman"/>
      <w:sz w:val="20"/>
      <w:szCs w:val="20"/>
    </w:rPr>
  </w:style>
  <w:style w:type="paragraph" w:customStyle="1" w:styleId="question">
    <w:name w:val="question"/>
    <w:basedOn w:val="Normal"/>
    <w:next w:val="answer"/>
    <w:link w:val="questionChar"/>
    <w:rsid w:val="00E3237C"/>
    <w:pPr>
      <w:spacing w:before="240" w:after="120" w:line="480" w:lineRule="auto"/>
      <w:ind w:left="720" w:hanging="720"/>
    </w:pPr>
    <w:rPr>
      <w:rFonts w:eastAsia="SimSun"/>
      <w:b/>
      <w:bCs/>
      <w:sz w:val="24"/>
      <w:szCs w:val="24"/>
      <w:lang w:eastAsia="zh-CN"/>
    </w:rPr>
  </w:style>
  <w:style w:type="character" w:customStyle="1" w:styleId="questionChar">
    <w:name w:val="question Char"/>
    <w:link w:val="question"/>
    <w:rsid w:val="00E3237C"/>
    <w:rPr>
      <w:rFonts w:eastAsia="SimSun"/>
      <w:b/>
      <w:bCs/>
      <w:sz w:val="24"/>
      <w:szCs w:val="24"/>
      <w:lang w:eastAsia="zh-CN"/>
    </w:rPr>
  </w:style>
  <w:style w:type="character" w:customStyle="1" w:styleId="answerchar0">
    <w:name w:val="answerchar"/>
    <w:basedOn w:val="DefaultParagraphFont"/>
    <w:rsid w:val="00CE08AA"/>
  </w:style>
  <w:style w:type="character" w:customStyle="1" w:styleId="NormalIndentChar">
    <w:name w:val="Normal Indent Char"/>
    <w:link w:val="NormalIndent"/>
    <w:rsid w:val="008C609B"/>
    <w:rPr>
      <w:sz w:val="24"/>
      <w:lang w:eastAsia="zh-CN"/>
    </w:rPr>
  </w:style>
  <w:style w:type="paragraph" w:styleId="Revision">
    <w:name w:val="Revision"/>
    <w:hidden/>
    <w:uiPriority w:val="99"/>
    <w:semiHidden/>
    <w:rsid w:val="00B647FB"/>
    <w:rPr>
      <w:sz w:val="26"/>
      <w:szCs w:val="26"/>
    </w:rPr>
  </w:style>
  <w:style w:type="character" w:customStyle="1" w:styleId="Heading1Char">
    <w:name w:val="Heading 1 Char"/>
    <w:link w:val="Heading1"/>
    <w:rsid w:val="000C2813"/>
    <w:rPr>
      <w:rFonts w:cs="Arial"/>
      <w:b/>
      <w:bCs/>
      <w:kern w:val="32"/>
      <w:sz w:val="25"/>
      <w:szCs w:val="32"/>
    </w:rPr>
  </w:style>
  <w:style w:type="character" w:customStyle="1" w:styleId="body1">
    <w:name w:val="body1"/>
    <w:rsid w:val="00AE7722"/>
    <w:rPr>
      <w:rFonts w:ascii="Arial" w:hAnsi="Arial" w:cs="Arial" w:hint="default"/>
      <w:sz w:val="18"/>
      <w:szCs w:val="18"/>
    </w:rPr>
  </w:style>
  <w:style w:type="character" w:customStyle="1" w:styleId="CommentTextChar">
    <w:name w:val="Comment Text Char"/>
    <w:basedOn w:val="DefaultParagraphFont"/>
    <w:link w:val="CommentText"/>
    <w:uiPriority w:val="99"/>
    <w:rsid w:val="00FC74B3"/>
  </w:style>
  <w:style w:type="paragraph" w:customStyle="1" w:styleId="PSEA">
    <w:name w:val="PSE A"/>
    <w:basedOn w:val="answer"/>
    <w:next w:val="Normal"/>
    <w:link w:val="PSEAChar"/>
    <w:qFormat/>
    <w:rsid w:val="00B32826"/>
    <w:rPr>
      <w:rFonts w:eastAsia="Times New Roman"/>
      <w:szCs w:val="20"/>
    </w:rPr>
  </w:style>
  <w:style w:type="character" w:customStyle="1" w:styleId="PSEAChar">
    <w:name w:val="PSE A Char"/>
    <w:link w:val="PSEA"/>
    <w:rsid w:val="00B32826"/>
    <w:rPr>
      <w:sz w:val="24"/>
      <w:lang w:eastAsia="zh-CN"/>
    </w:rPr>
  </w:style>
  <w:style w:type="paragraph" w:customStyle="1" w:styleId="PSENum">
    <w:name w:val="PSE Num"/>
    <w:basedOn w:val="answer"/>
    <w:link w:val="PSENumChar"/>
    <w:qFormat/>
    <w:rsid w:val="00B32826"/>
    <w:pPr>
      <w:numPr>
        <w:numId w:val="8"/>
      </w:numPr>
      <w:ind w:hanging="522"/>
    </w:pPr>
    <w:rPr>
      <w:rFonts w:eastAsia="Times New Roman"/>
      <w:szCs w:val="20"/>
    </w:rPr>
  </w:style>
  <w:style w:type="character" w:customStyle="1" w:styleId="PSENumChar">
    <w:name w:val="PSE Num Char"/>
    <w:link w:val="PSENum"/>
    <w:rsid w:val="00B32826"/>
    <w:rPr>
      <w:sz w:val="24"/>
      <w:lang w:eastAsia="zh-CN"/>
    </w:rPr>
  </w:style>
  <w:style w:type="paragraph" w:customStyle="1" w:styleId="Answer-Testimony">
    <w:name w:val="Answer - Testimony"/>
    <w:basedOn w:val="Normal"/>
    <w:link w:val="Answer-TestimonyChar"/>
    <w:qFormat/>
    <w:rsid w:val="000049DC"/>
    <w:pPr>
      <w:spacing w:line="480" w:lineRule="auto"/>
      <w:ind w:left="720" w:hanging="720"/>
    </w:pPr>
    <w:rPr>
      <w:sz w:val="24"/>
      <w:szCs w:val="24"/>
    </w:rPr>
  </w:style>
  <w:style w:type="character" w:customStyle="1" w:styleId="Answer-TestimonyChar">
    <w:name w:val="Answer - Testimony Char"/>
    <w:link w:val="Answer-Testimony"/>
    <w:rsid w:val="000049DC"/>
    <w:rPr>
      <w:sz w:val="24"/>
      <w:szCs w:val="24"/>
    </w:rPr>
  </w:style>
  <w:style w:type="paragraph" w:styleId="BodyTextIndent3">
    <w:name w:val="Body Text Indent 3"/>
    <w:basedOn w:val="Normal"/>
    <w:link w:val="BodyTextIndent3Char"/>
    <w:rsid w:val="00EB4BEA"/>
    <w:pPr>
      <w:spacing w:after="120"/>
      <w:ind w:left="360"/>
    </w:pPr>
    <w:rPr>
      <w:sz w:val="16"/>
      <w:szCs w:val="16"/>
    </w:rPr>
  </w:style>
  <w:style w:type="character" w:customStyle="1" w:styleId="BodyTextIndent3Char">
    <w:name w:val="Body Text Indent 3 Char"/>
    <w:link w:val="BodyTextIndent3"/>
    <w:rsid w:val="00EB4BEA"/>
    <w:rPr>
      <w:sz w:val="16"/>
      <w:szCs w:val="16"/>
    </w:rPr>
  </w:style>
  <w:style w:type="character" w:customStyle="1" w:styleId="BodyTextIn">
    <w:name w:val="Body Text In"/>
    <w:rsid w:val="00C366B0"/>
    <w:rPr>
      <w:rFonts w:ascii="Times New Roman" w:hAnsi="Times New Roman" w:cs="Times New Roman"/>
      <w:sz w:val="24"/>
      <w:szCs w:val="24"/>
    </w:rPr>
  </w:style>
  <w:style w:type="paragraph" w:styleId="Subtitle">
    <w:name w:val="Subtitle"/>
    <w:basedOn w:val="NoSpacing"/>
    <w:next w:val="Normal"/>
    <w:link w:val="SubtitleChar"/>
    <w:uiPriority w:val="11"/>
    <w:qFormat/>
    <w:rsid w:val="00F0491B"/>
    <w:rPr>
      <w:b/>
      <w:sz w:val="25"/>
      <w:szCs w:val="25"/>
    </w:rPr>
  </w:style>
  <w:style w:type="character" w:customStyle="1" w:styleId="SubtitleChar">
    <w:name w:val="Subtitle Char"/>
    <w:link w:val="Subtitle"/>
    <w:uiPriority w:val="11"/>
    <w:rsid w:val="00F0491B"/>
    <w:rPr>
      <w:rFonts w:eastAsia="Calibri"/>
      <w:b/>
      <w:sz w:val="25"/>
      <w:szCs w:val="25"/>
    </w:rPr>
  </w:style>
  <w:style w:type="paragraph" w:customStyle="1" w:styleId="PSEB">
    <w:name w:val="PSE B"/>
    <w:basedOn w:val="answer"/>
    <w:next w:val="Normal"/>
    <w:link w:val="PSEBChar"/>
    <w:qFormat/>
    <w:rsid w:val="00676954"/>
    <w:pPr>
      <w:ind w:firstLine="720"/>
    </w:pPr>
    <w:rPr>
      <w:rFonts w:eastAsia="Times New Roman"/>
      <w:szCs w:val="20"/>
    </w:rPr>
  </w:style>
  <w:style w:type="character" w:customStyle="1" w:styleId="PSEBChar">
    <w:name w:val="PSE B Char"/>
    <w:link w:val="PSEB"/>
    <w:rsid w:val="00676954"/>
    <w:rPr>
      <w:sz w:val="24"/>
      <w:lang w:eastAsia="zh-CN"/>
    </w:rPr>
  </w:style>
  <w:style w:type="paragraph" w:customStyle="1" w:styleId="Tab5Data-EnDash">
    <w:name w:val="Tab5/Data-EnDash"/>
    <w:basedOn w:val="Normal"/>
    <w:rsid w:val="00154C28"/>
    <w:pPr>
      <w:numPr>
        <w:numId w:val="10"/>
      </w:numPr>
      <w:tabs>
        <w:tab w:val="clear" w:pos="360"/>
        <w:tab w:val="left" w:pos="706"/>
      </w:tabs>
      <w:ind w:left="706" w:hanging="202"/>
    </w:pPr>
    <w:rPr>
      <w:rFonts w:ascii="Times" w:hAnsi="Times"/>
      <w:sz w:val="20"/>
      <w:szCs w:val="24"/>
    </w:rPr>
  </w:style>
  <w:style w:type="character" w:customStyle="1" w:styleId="answerChar1">
    <w:name w:val="answer Char1"/>
    <w:rsid w:val="002E1B2A"/>
    <w:rPr>
      <w:rFonts w:eastAsia="SimSun"/>
      <w:sz w:val="24"/>
      <w:szCs w:val="24"/>
      <w:lang w:val="en-US" w:eastAsia="zh-CN" w:bidi="ar-SA"/>
    </w:rPr>
  </w:style>
  <w:style w:type="paragraph" w:styleId="ListBullet2">
    <w:name w:val="List Bullet 2"/>
    <w:basedOn w:val="Normal"/>
    <w:autoRedefine/>
    <w:rsid w:val="00F028A6"/>
    <w:pPr>
      <w:numPr>
        <w:numId w:val="11"/>
      </w:numPr>
    </w:pPr>
    <w:rPr>
      <w:sz w:val="24"/>
      <w:szCs w:val="24"/>
    </w:rPr>
  </w:style>
  <w:style w:type="paragraph" w:customStyle="1" w:styleId="footnoteblock">
    <w:name w:val="footnote block"/>
    <w:basedOn w:val="FootnoteText"/>
    <w:rsid w:val="00FE7FD3"/>
    <w:pPr>
      <w:spacing w:before="240" w:after="0" w:line="240" w:lineRule="atLeast"/>
    </w:pPr>
    <w:rPr>
      <w:rFonts w:eastAsia="SimSun"/>
      <w:szCs w:val="24"/>
      <w:lang w:eastAsia="zh-CN"/>
    </w:rPr>
  </w:style>
  <w:style w:type="paragraph" w:styleId="TOC8">
    <w:name w:val="toc 8"/>
    <w:basedOn w:val="Normal"/>
    <w:next w:val="Normal"/>
    <w:autoRedefine/>
    <w:uiPriority w:val="39"/>
    <w:rsid w:val="00016122"/>
    <w:pPr>
      <w:ind w:left="1820"/>
    </w:pPr>
  </w:style>
  <w:style w:type="paragraph" w:styleId="TOC9">
    <w:name w:val="toc 9"/>
    <w:basedOn w:val="Normal"/>
    <w:next w:val="Normal"/>
    <w:autoRedefine/>
    <w:uiPriority w:val="39"/>
    <w:rsid w:val="00016122"/>
    <w:pPr>
      <w:ind w:left="2080"/>
    </w:pPr>
  </w:style>
  <w:style w:type="table" w:styleId="MediumShading2-Accent1">
    <w:name w:val="Medium Shading 2 Accent 1"/>
    <w:basedOn w:val="TableNormal"/>
    <w:uiPriority w:val="64"/>
    <w:rsid w:val="009B6C66"/>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7F7898"/>
    <w:pPr>
      <w:spacing w:before="100" w:beforeAutospacing="1" w:after="100" w:afterAutospacing="1"/>
    </w:pPr>
    <w:rPr>
      <w:sz w:val="24"/>
      <w:szCs w:val="24"/>
    </w:rPr>
  </w:style>
  <w:style w:type="character" w:styleId="Emphasis">
    <w:name w:val="Emphasis"/>
    <w:uiPriority w:val="20"/>
    <w:qFormat/>
    <w:rsid w:val="00BC6B6E"/>
    <w:rPr>
      <w:i/>
      <w:iCs/>
    </w:rPr>
  </w:style>
  <w:style w:type="character" w:customStyle="1" w:styleId="Heading8Char">
    <w:name w:val="Heading 8 Char"/>
    <w:link w:val="Heading8"/>
    <w:rsid w:val="004D0668"/>
    <w:rPr>
      <w:rFonts w:ascii="Times New Roman Bold" w:hAnsi="Times New Roman Bold"/>
      <w:b/>
      <w:iCs/>
      <w:sz w:val="25"/>
      <w:szCs w:val="24"/>
      <w:u w:val="single"/>
    </w:rPr>
  </w:style>
  <w:style w:type="character" w:customStyle="1" w:styleId="Heading3Char">
    <w:name w:val="Heading 3 Char"/>
    <w:link w:val="Heading3"/>
    <w:rsid w:val="00D87CD3"/>
    <w:rPr>
      <w:rFonts w:cs="Arial"/>
      <w:b/>
      <w:sz w:val="25"/>
      <w:szCs w:val="25"/>
    </w:rPr>
  </w:style>
  <w:style w:type="table" w:customStyle="1" w:styleId="TableGrid1">
    <w:name w:val="Table Grid1"/>
    <w:basedOn w:val="TableNormal"/>
    <w:next w:val="TableGrid"/>
    <w:uiPriority w:val="59"/>
    <w:rsid w:val="000E4D40"/>
    <w:pPr>
      <w:ind w:left="720" w:hanging="720"/>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827F96"/>
    <w:rPr>
      <w:b/>
      <w:bCs/>
      <w:sz w:val="25"/>
      <w:szCs w:val="22"/>
    </w:rPr>
  </w:style>
  <w:style w:type="character" w:customStyle="1" w:styleId="BodyTextIndentChar">
    <w:name w:val="Body Text Indent Char"/>
    <w:link w:val="BodyTextIndent"/>
    <w:rsid w:val="004B475E"/>
    <w:rPr>
      <w:sz w:val="24"/>
      <w:szCs w:val="24"/>
    </w:rPr>
  </w:style>
  <w:style w:type="table" w:customStyle="1" w:styleId="TableGrid2">
    <w:name w:val="Table Grid2"/>
    <w:basedOn w:val="TableNormal"/>
    <w:next w:val="TableGrid"/>
    <w:uiPriority w:val="59"/>
    <w:rsid w:val="004E4F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83A54"/>
    <w:rPr>
      <w:rFonts w:ascii="Times New Roman Bold" w:hAnsi="Times New Roman Bold"/>
      <w:b/>
      <w:bCs/>
      <w:sz w:val="2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9154">
      <w:bodyDiv w:val="1"/>
      <w:marLeft w:val="0"/>
      <w:marRight w:val="0"/>
      <w:marTop w:val="0"/>
      <w:marBottom w:val="0"/>
      <w:divBdr>
        <w:top w:val="none" w:sz="0" w:space="0" w:color="auto"/>
        <w:left w:val="none" w:sz="0" w:space="0" w:color="auto"/>
        <w:bottom w:val="none" w:sz="0" w:space="0" w:color="auto"/>
        <w:right w:val="none" w:sz="0" w:space="0" w:color="auto"/>
      </w:divBdr>
    </w:div>
    <w:div w:id="231157064">
      <w:bodyDiv w:val="1"/>
      <w:marLeft w:val="0"/>
      <w:marRight w:val="0"/>
      <w:marTop w:val="0"/>
      <w:marBottom w:val="0"/>
      <w:divBdr>
        <w:top w:val="none" w:sz="0" w:space="0" w:color="auto"/>
        <w:left w:val="none" w:sz="0" w:space="0" w:color="auto"/>
        <w:bottom w:val="none" w:sz="0" w:space="0" w:color="auto"/>
        <w:right w:val="none" w:sz="0" w:space="0" w:color="auto"/>
      </w:divBdr>
    </w:div>
    <w:div w:id="302198293">
      <w:bodyDiv w:val="1"/>
      <w:marLeft w:val="0"/>
      <w:marRight w:val="0"/>
      <w:marTop w:val="0"/>
      <w:marBottom w:val="0"/>
      <w:divBdr>
        <w:top w:val="none" w:sz="0" w:space="0" w:color="auto"/>
        <w:left w:val="none" w:sz="0" w:space="0" w:color="auto"/>
        <w:bottom w:val="none" w:sz="0" w:space="0" w:color="auto"/>
        <w:right w:val="none" w:sz="0" w:space="0" w:color="auto"/>
      </w:divBdr>
    </w:div>
    <w:div w:id="471335463">
      <w:bodyDiv w:val="1"/>
      <w:marLeft w:val="0"/>
      <w:marRight w:val="0"/>
      <w:marTop w:val="0"/>
      <w:marBottom w:val="0"/>
      <w:divBdr>
        <w:top w:val="none" w:sz="0" w:space="0" w:color="auto"/>
        <w:left w:val="none" w:sz="0" w:space="0" w:color="auto"/>
        <w:bottom w:val="none" w:sz="0" w:space="0" w:color="auto"/>
        <w:right w:val="none" w:sz="0" w:space="0" w:color="auto"/>
      </w:divBdr>
    </w:div>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547763229">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642851501">
      <w:bodyDiv w:val="1"/>
      <w:marLeft w:val="0"/>
      <w:marRight w:val="0"/>
      <w:marTop w:val="0"/>
      <w:marBottom w:val="0"/>
      <w:divBdr>
        <w:top w:val="none" w:sz="0" w:space="0" w:color="auto"/>
        <w:left w:val="none" w:sz="0" w:space="0" w:color="auto"/>
        <w:bottom w:val="none" w:sz="0" w:space="0" w:color="auto"/>
        <w:right w:val="none" w:sz="0" w:space="0" w:color="auto"/>
      </w:divBdr>
    </w:div>
    <w:div w:id="656110462">
      <w:bodyDiv w:val="1"/>
      <w:marLeft w:val="0"/>
      <w:marRight w:val="0"/>
      <w:marTop w:val="0"/>
      <w:marBottom w:val="0"/>
      <w:divBdr>
        <w:top w:val="none" w:sz="0" w:space="0" w:color="auto"/>
        <w:left w:val="none" w:sz="0" w:space="0" w:color="auto"/>
        <w:bottom w:val="none" w:sz="0" w:space="0" w:color="auto"/>
        <w:right w:val="none" w:sz="0" w:space="0" w:color="auto"/>
      </w:divBdr>
    </w:div>
    <w:div w:id="678582565">
      <w:bodyDiv w:val="1"/>
      <w:marLeft w:val="0"/>
      <w:marRight w:val="0"/>
      <w:marTop w:val="0"/>
      <w:marBottom w:val="0"/>
      <w:divBdr>
        <w:top w:val="none" w:sz="0" w:space="0" w:color="auto"/>
        <w:left w:val="none" w:sz="0" w:space="0" w:color="auto"/>
        <w:bottom w:val="none" w:sz="0" w:space="0" w:color="auto"/>
        <w:right w:val="none" w:sz="0" w:space="0" w:color="auto"/>
      </w:divBdr>
    </w:div>
    <w:div w:id="973365533">
      <w:bodyDiv w:val="1"/>
      <w:marLeft w:val="0"/>
      <w:marRight w:val="0"/>
      <w:marTop w:val="0"/>
      <w:marBottom w:val="0"/>
      <w:divBdr>
        <w:top w:val="none" w:sz="0" w:space="0" w:color="auto"/>
        <w:left w:val="none" w:sz="0" w:space="0" w:color="auto"/>
        <w:bottom w:val="none" w:sz="0" w:space="0" w:color="auto"/>
        <w:right w:val="none" w:sz="0" w:space="0" w:color="auto"/>
      </w:divBdr>
    </w:div>
    <w:div w:id="1051463526">
      <w:bodyDiv w:val="1"/>
      <w:marLeft w:val="0"/>
      <w:marRight w:val="0"/>
      <w:marTop w:val="0"/>
      <w:marBottom w:val="0"/>
      <w:divBdr>
        <w:top w:val="none" w:sz="0" w:space="0" w:color="auto"/>
        <w:left w:val="none" w:sz="0" w:space="0" w:color="auto"/>
        <w:bottom w:val="none" w:sz="0" w:space="0" w:color="auto"/>
        <w:right w:val="none" w:sz="0" w:space="0" w:color="auto"/>
      </w:divBdr>
    </w:div>
    <w:div w:id="1054085565">
      <w:bodyDiv w:val="1"/>
      <w:marLeft w:val="0"/>
      <w:marRight w:val="0"/>
      <w:marTop w:val="0"/>
      <w:marBottom w:val="0"/>
      <w:divBdr>
        <w:top w:val="none" w:sz="0" w:space="0" w:color="auto"/>
        <w:left w:val="none" w:sz="0" w:space="0" w:color="auto"/>
        <w:bottom w:val="none" w:sz="0" w:space="0" w:color="auto"/>
        <w:right w:val="none" w:sz="0" w:space="0" w:color="auto"/>
      </w:divBdr>
    </w:div>
    <w:div w:id="1189297959">
      <w:bodyDiv w:val="1"/>
      <w:marLeft w:val="0"/>
      <w:marRight w:val="0"/>
      <w:marTop w:val="0"/>
      <w:marBottom w:val="0"/>
      <w:divBdr>
        <w:top w:val="none" w:sz="0" w:space="0" w:color="auto"/>
        <w:left w:val="none" w:sz="0" w:space="0" w:color="auto"/>
        <w:bottom w:val="none" w:sz="0" w:space="0" w:color="auto"/>
        <w:right w:val="none" w:sz="0" w:space="0" w:color="auto"/>
      </w:divBdr>
    </w:div>
    <w:div w:id="1225919088">
      <w:bodyDiv w:val="1"/>
      <w:marLeft w:val="0"/>
      <w:marRight w:val="0"/>
      <w:marTop w:val="0"/>
      <w:marBottom w:val="0"/>
      <w:divBdr>
        <w:top w:val="none" w:sz="0" w:space="0" w:color="auto"/>
        <w:left w:val="none" w:sz="0" w:space="0" w:color="auto"/>
        <w:bottom w:val="none" w:sz="0" w:space="0" w:color="auto"/>
        <w:right w:val="none" w:sz="0" w:space="0" w:color="auto"/>
      </w:divBdr>
    </w:div>
    <w:div w:id="1244298492">
      <w:bodyDiv w:val="1"/>
      <w:marLeft w:val="0"/>
      <w:marRight w:val="0"/>
      <w:marTop w:val="0"/>
      <w:marBottom w:val="0"/>
      <w:divBdr>
        <w:top w:val="none" w:sz="0" w:space="0" w:color="auto"/>
        <w:left w:val="none" w:sz="0" w:space="0" w:color="auto"/>
        <w:bottom w:val="none" w:sz="0" w:space="0" w:color="auto"/>
        <w:right w:val="none" w:sz="0" w:space="0" w:color="auto"/>
      </w:divBdr>
    </w:div>
    <w:div w:id="1276212865">
      <w:bodyDiv w:val="1"/>
      <w:marLeft w:val="0"/>
      <w:marRight w:val="0"/>
      <w:marTop w:val="0"/>
      <w:marBottom w:val="0"/>
      <w:divBdr>
        <w:top w:val="none" w:sz="0" w:space="0" w:color="auto"/>
        <w:left w:val="none" w:sz="0" w:space="0" w:color="auto"/>
        <w:bottom w:val="none" w:sz="0" w:space="0" w:color="auto"/>
        <w:right w:val="none" w:sz="0" w:space="0" w:color="auto"/>
      </w:divBdr>
    </w:div>
    <w:div w:id="1301348567">
      <w:bodyDiv w:val="1"/>
      <w:marLeft w:val="0"/>
      <w:marRight w:val="0"/>
      <w:marTop w:val="0"/>
      <w:marBottom w:val="0"/>
      <w:divBdr>
        <w:top w:val="none" w:sz="0" w:space="0" w:color="auto"/>
        <w:left w:val="none" w:sz="0" w:space="0" w:color="auto"/>
        <w:bottom w:val="none" w:sz="0" w:space="0" w:color="auto"/>
        <w:right w:val="none" w:sz="0" w:space="0" w:color="auto"/>
      </w:divBdr>
    </w:div>
    <w:div w:id="1394694303">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438988798">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552033723">
      <w:bodyDiv w:val="1"/>
      <w:marLeft w:val="0"/>
      <w:marRight w:val="0"/>
      <w:marTop w:val="0"/>
      <w:marBottom w:val="0"/>
      <w:divBdr>
        <w:top w:val="none" w:sz="0" w:space="0" w:color="auto"/>
        <w:left w:val="none" w:sz="0" w:space="0" w:color="auto"/>
        <w:bottom w:val="none" w:sz="0" w:space="0" w:color="auto"/>
        <w:right w:val="none" w:sz="0" w:space="0" w:color="auto"/>
      </w:divBdr>
    </w:div>
    <w:div w:id="1562863497">
      <w:bodyDiv w:val="1"/>
      <w:marLeft w:val="0"/>
      <w:marRight w:val="0"/>
      <w:marTop w:val="0"/>
      <w:marBottom w:val="0"/>
      <w:divBdr>
        <w:top w:val="none" w:sz="0" w:space="0" w:color="auto"/>
        <w:left w:val="none" w:sz="0" w:space="0" w:color="auto"/>
        <w:bottom w:val="none" w:sz="0" w:space="0" w:color="auto"/>
        <w:right w:val="none" w:sz="0" w:space="0" w:color="auto"/>
      </w:divBdr>
    </w:div>
    <w:div w:id="1591311767">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663315908">
      <w:bodyDiv w:val="1"/>
      <w:marLeft w:val="0"/>
      <w:marRight w:val="0"/>
      <w:marTop w:val="0"/>
      <w:marBottom w:val="0"/>
      <w:divBdr>
        <w:top w:val="none" w:sz="0" w:space="0" w:color="auto"/>
        <w:left w:val="none" w:sz="0" w:space="0" w:color="auto"/>
        <w:bottom w:val="none" w:sz="0" w:space="0" w:color="auto"/>
        <w:right w:val="none" w:sz="0" w:space="0" w:color="auto"/>
      </w:divBdr>
    </w:div>
    <w:div w:id="1664892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5521">
          <w:marLeft w:val="0"/>
          <w:marRight w:val="0"/>
          <w:marTop w:val="0"/>
          <w:marBottom w:val="0"/>
          <w:divBdr>
            <w:top w:val="none" w:sz="0" w:space="0" w:color="auto"/>
            <w:left w:val="none" w:sz="0" w:space="0" w:color="auto"/>
            <w:bottom w:val="none" w:sz="0" w:space="0" w:color="auto"/>
            <w:right w:val="none" w:sz="0" w:space="0" w:color="auto"/>
          </w:divBdr>
          <w:divsChild>
            <w:div w:id="168482293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743484956">
      <w:bodyDiv w:val="1"/>
      <w:marLeft w:val="0"/>
      <w:marRight w:val="0"/>
      <w:marTop w:val="0"/>
      <w:marBottom w:val="0"/>
      <w:divBdr>
        <w:top w:val="none" w:sz="0" w:space="0" w:color="auto"/>
        <w:left w:val="none" w:sz="0" w:space="0" w:color="auto"/>
        <w:bottom w:val="none" w:sz="0" w:space="0" w:color="auto"/>
        <w:right w:val="none" w:sz="0" w:space="0" w:color="auto"/>
      </w:divBdr>
    </w:div>
    <w:div w:id="1816216539">
      <w:bodyDiv w:val="1"/>
      <w:marLeft w:val="0"/>
      <w:marRight w:val="0"/>
      <w:marTop w:val="0"/>
      <w:marBottom w:val="0"/>
      <w:divBdr>
        <w:top w:val="none" w:sz="0" w:space="0" w:color="auto"/>
        <w:left w:val="none" w:sz="0" w:space="0" w:color="auto"/>
        <w:bottom w:val="none" w:sz="0" w:space="0" w:color="auto"/>
        <w:right w:val="none" w:sz="0" w:space="0" w:color="auto"/>
      </w:divBdr>
    </w:div>
    <w:div w:id="1843277922">
      <w:bodyDiv w:val="1"/>
      <w:marLeft w:val="0"/>
      <w:marRight w:val="0"/>
      <w:marTop w:val="0"/>
      <w:marBottom w:val="0"/>
      <w:divBdr>
        <w:top w:val="none" w:sz="0" w:space="0" w:color="auto"/>
        <w:left w:val="none" w:sz="0" w:space="0" w:color="auto"/>
        <w:bottom w:val="none" w:sz="0" w:space="0" w:color="auto"/>
        <w:right w:val="none" w:sz="0" w:space="0" w:color="auto"/>
      </w:divBdr>
    </w:div>
    <w:div w:id="1870878170">
      <w:bodyDiv w:val="1"/>
      <w:marLeft w:val="0"/>
      <w:marRight w:val="0"/>
      <w:marTop w:val="0"/>
      <w:marBottom w:val="0"/>
      <w:divBdr>
        <w:top w:val="none" w:sz="0" w:space="0" w:color="auto"/>
        <w:left w:val="none" w:sz="0" w:space="0" w:color="auto"/>
        <w:bottom w:val="none" w:sz="0" w:space="0" w:color="auto"/>
        <w:right w:val="none" w:sz="0" w:space="0" w:color="auto"/>
      </w:divBdr>
    </w:div>
    <w:div w:id="1907378470">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 w:id="1928882596">
      <w:bodyDiv w:val="1"/>
      <w:marLeft w:val="0"/>
      <w:marRight w:val="0"/>
      <w:marTop w:val="0"/>
      <w:marBottom w:val="0"/>
      <w:divBdr>
        <w:top w:val="none" w:sz="0" w:space="0" w:color="auto"/>
        <w:left w:val="none" w:sz="0" w:space="0" w:color="auto"/>
        <w:bottom w:val="none" w:sz="0" w:space="0" w:color="auto"/>
        <w:right w:val="none" w:sz="0" w:space="0" w:color="auto"/>
      </w:divBdr>
    </w:div>
    <w:div w:id="1978795762">
      <w:bodyDiv w:val="1"/>
      <w:marLeft w:val="0"/>
      <w:marRight w:val="0"/>
      <w:marTop w:val="0"/>
      <w:marBottom w:val="0"/>
      <w:divBdr>
        <w:top w:val="none" w:sz="0" w:space="0" w:color="auto"/>
        <w:left w:val="none" w:sz="0" w:space="0" w:color="auto"/>
        <w:bottom w:val="none" w:sz="0" w:space="0" w:color="auto"/>
        <w:right w:val="none" w:sz="0" w:space="0" w:color="auto"/>
      </w:divBdr>
    </w:div>
    <w:div w:id="21034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apps.leg.wa.gov/wac/default.aspx?cite=480-07-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2016-02-19T08:00:00+00:00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79F6D-F4E4-4D98-BC93-63F157ED3752}"/>
</file>

<file path=customXml/itemProps2.xml><?xml version="1.0" encoding="utf-8"?>
<ds:datastoreItem xmlns:ds="http://schemas.openxmlformats.org/officeDocument/2006/customXml" ds:itemID="{1DFF9C08-E558-4943-A265-ED8E2E13B29D}"/>
</file>

<file path=customXml/itemProps3.xml><?xml version="1.0" encoding="utf-8"?>
<ds:datastoreItem xmlns:ds="http://schemas.openxmlformats.org/officeDocument/2006/customXml" ds:itemID="{93CD7041-C5D8-4CA3-96BF-A35F4435A7F4}"/>
</file>

<file path=customXml/itemProps4.xml><?xml version="1.0" encoding="utf-8"?>
<ds:datastoreItem xmlns:ds="http://schemas.openxmlformats.org/officeDocument/2006/customXml" ds:itemID="{D40AE536-2E43-4FCB-8DB1-999D127D8228}"/>
</file>

<file path=customXml/itemProps5.xml><?xml version="1.0" encoding="utf-8"?>
<ds:datastoreItem xmlns:ds="http://schemas.openxmlformats.org/officeDocument/2006/customXml" ds:itemID="{EC8DF2E1-DCE9-4195-9C0F-A92988E25BC1}"/>
</file>

<file path=docProps/app.xml><?xml version="1.0" encoding="utf-8"?>
<Properties xmlns="http://schemas.openxmlformats.org/officeDocument/2006/extended-properties" xmlns:vt="http://schemas.openxmlformats.org/officeDocument/2006/docPropsVTypes">
  <Template>Normal</Template>
  <TotalTime>0</TotalTime>
  <Pages>14</Pages>
  <Words>4622</Words>
  <Characters>25114</Characters>
  <Application>Microsoft Office Word</Application>
  <DocSecurity>0</DocSecurity>
  <Lines>209</Lines>
  <Paragraphs>59</Paragraphs>
  <ScaleCrop>false</ScaleCrop>
  <Company/>
  <LinksUpToDate>false</LinksUpToDate>
  <CharactersWithSpaces>29677</CharactersWithSpaces>
  <SharedDoc>false</SharedDoc>
  <HLinks>
    <vt:vector size="306" baseType="variant">
      <vt:variant>
        <vt:i4>1900605</vt:i4>
      </vt:variant>
      <vt:variant>
        <vt:i4>266</vt:i4>
      </vt:variant>
      <vt:variant>
        <vt:i4>0</vt:i4>
      </vt:variant>
      <vt:variant>
        <vt:i4>5</vt:i4>
      </vt:variant>
      <vt:variant>
        <vt:lpwstr/>
      </vt:variant>
      <vt:variant>
        <vt:lpwstr>_Toc408219013</vt:lpwstr>
      </vt:variant>
      <vt:variant>
        <vt:i4>1900605</vt:i4>
      </vt:variant>
      <vt:variant>
        <vt:i4>260</vt:i4>
      </vt:variant>
      <vt:variant>
        <vt:i4>0</vt:i4>
      </vt:variant>
      <vt:variant>
        <vt:i4>5</vt:i4>
      </vt:variant>
      <vt:variant>
        <vt:lpwstr/>
      </vt:variant>
      <vt:variant>
        <vt:lpwstr>_Toc408219012</vt:lpwstr>
      </vt:variant>
      <vt:variant>
        <vt:i4>1900605</vt:i4>
      </vt:variant>
      <vt:variant>
        <vt:i4>254</vt:i4>
      </vt:variant>
      <vt:variant>
        <vt:i4>0</vt:i4>
      </vt:variant>
      <vt:variant>
        <vt:i4>5</vt:i4>
      </vt:variant>
      <vt:variant>
        <vt:lpwstr/>
      </vt:variant>
      <vt:variant>
        <vt:lpwstr>_Toc408219011</vt:lpwstr>
      </vt:variant>
      <vt:variant>
        <vt:i4>1900605</vt:i4>
      </vt:variant>
      <vt:variant>
        <vt:i4>248</vt:i4>
      </vt:variant>
      <vt:variant>
        <vt:i4>0</vt:i4>
      </vt:variant>
      <vt:variant>
        <vt:i4>5</vt:i4>
      </vt:variant>
      <vt:variant>
        <vt:lpwstr/>
      </vt:variant>
      <vt:variant>
        <vt:lpwstr>_Toc408219010</vt:lpwstr>
      </vt:variant>
      <vt:variant>
        <vt:i4>1835069</vt:i4>
      </vt:variant>
      <vt:variant>
        <vt:i4>242</vt:i4>
      </vt:variant>
      <vt:variant>
        <vt:i4>0</vt:i4>
      </vt:variant>
      <vt:variant>
        <vt:i4>5</vt:i4>
      </vt:variant>
      <vt:variant>
        <vt:lpwstr/>
      </vt:variant>
      <vt:variant>
        <vt:lpwstr>_Toc408219009</vt:lpwstr>
      </vt:variant>
      <vt:variant>
        <vt:i4>1835069</vt:i4>
      </vt:variant>
      <vt:variant>
        <vt:i4>236</vt:i4>
      </vt:variant>
      <vt:variant>
        <vt:i4>0</vt:i4>
      </vt:variant>
      <vt:variant>
        <vt:i4>5</vt:i4>
      </vt:variant>
      <vt:variant>
        <vt:lpwstr/>
      </vt:variant>
      <vt:variant>
        <vt:lpwstr>_Toc408219008</vt:lpwstr>
      </vt:variant>
      <vt:variant>
        <vt:i4>1835069</vt:i4>
      </vt:variant>
      <vt:variant>
        <vt:i4>230</vt:i4>
      </vt:variant>
      <vt:variant>
        <vt:i4>0</vt:i4>
      </vt:variant>
      <vt:variant>
        <vt:i4>5</vt:i4>
      </vt:variant>
      <vt:variant>
        <vt:lpwstr/>
      </vt:variant>
      <vt:variant>
        <vt:lpwstr>_Toc408219007</vt:lpwstr>
      </vt:variant>
      <vt:variant>
        <vt:i4>1835069</vt:i4>
      </vt:variant>
      <vt:variant>
        <vt:i4>224</vt:i4>
      </vt:variant>
      <vt:variant>
        <vt:i4>0</vt:i4>
      </vt:variant>
      <vt:variant>
        <vt:i4>5</vt:i4>
      </vt:variant>
      <vt:variant>
        <vt:lpwstr/>
      </vt:variant>
      <vt:variant>
        <vt:lpwstr>_Toc408219006</vt:lpwstr>
      </vt:variant>
      <vt:variant>
        <vt:i4>1835069</vt:i4>
      </vt:variant>
      <vt:variant>
        <vt:i4>218</vt:i4>
      </vt:variant>
      <vt:variant>
        <vt:i4>0</vt:i4>
      </vt:variant>
      <vt:variant>
        <vt:i4>5</vt:i4>
      </vt:variant>
      <vt:variant>
        <vt:lpwstr/>
      </vt:variant>
      <vt:variant>
        <vt:lpwstr>_Toc408219005</vt:lpwstr>
      </vt:variant>
      <vt:variant>
        <vt:i4>1835069</vt:i4>
      </vt:variant>
      <vt:variant>
        <vt:i4>212</vt:i4>
      </vt:variant>
      <vt:variant>
        <vt:i4>0</vt:i4>
      </vt:variant>
      <vt:variant>
        <vt:i4>5</vt:i4>
      </vt:variant>
      <vt:variant>
        <vt:lpwstr/>
      </vt:variant>
      <vt:variant>
        <vt:lpwstr>_Toc408219004</vt:lpwstr>
      </vt:variant>
      <vt:variant>
        <vt:i4>1835069</vt:i4>
      </vt:variant>
      <vt:variant>
        <vt:i4>206</vt:i4>
      </vt:variant>
      <vt:variant>
        <vt:i4>0</vt:i4>
      </vt:variant>
      <vt:variant>
        <vt:i4>5</vt:i4>
      </vt:variant>
      <vt:variant>
        <vt:lpwstr/>
      </vt:variant>
      <vt:variant>
        <vt:lpwstr>_Toc408219003</vt:lpwstr>
      </vt:variant>
      <vt:variant>
        <vt:i4>1835069</vt:i4>
      </vt:variant>
      <vt:variant>
        <vt:i4>200</vt:i4>
      </vt:variant>
      <vt:variant>
        <vt:i4>0</vt:i4>
      </vt:variant>
      <vt:variant>
        <vt:i4>5</vt:i4>
      </vt:variant>
      <vt:variant>
        <vt:lpwstr/>
      </vt:variant>
      <vt:variant>
        <vt:lpwstr>_Toc408219002</vt:lpwstr>
      </vt:variant>
      <vt:variant>
        <vt:i4>1835069</vt:i4>
      </vt:variant>
      <vt:variant>
        <vt:i4>194</vt:i4>
      </vt:variant>
      <vt:variant>
        <vt:i4>0</vt:i4>
      </vt:variant>
      <vt:variant>
        <vt:i4>5</vt:i4>
      </vt:variant>
      <vt:variant>
        <vt:lpwstr/>
      </vt:variant>
      <vt:variant>
        <vt:lpwstr>_Toc408219001</vt:lpwstr>
      </vt:variant>
      <vt:variant>
        <vt:i4>1835069</vt:i4>
      </vt:variant>
      <vt:variant>
        <vt:i4>188</vt:i4>
      </vt:variant>
      <vt:variant>
        <vt:i4>0</vt:i4>
      </vt:variant>
      <vt:variant>
        <vt:i4>5</vt:i4>
      </vt:variant>
      <vt:variant>
        <vt:lpwstr/>
      </vt:variant>
      <vt:variant>
        <vt:lpwstr>_Toc408219000</vt:lpwstr>
      </vt:variant>
      <vt:variant>
        <vt:i4>1310772</vt:i4>
      </vt:variant>
      <vt:variant>
        <vt:i4>182</vt:i4>
      </vt:variant>
      <vt:variant>
        <vt:i4>0</vt:i4>
      </vt:variant>
      <vt:variant>
        <vt:i4>5</vt:i4>
      </vt:variant>
      <vt:variant>
        <vt:lpwstr/>
      </vt:variant>
      <vt:variant>
        <vt:lpwstr>_Toc408218999</vt:lpwstr>
      </vt:variant>
      <vt:variant>
        <vt:i4>1310772</vt:i4>
      </vt:variant>
      <vt:variant>
        <vt:i4>176</vt:i4>
      </vt:variant>
      <vt:variant>
        <vt:i4>0</vt:i4>
      </vt:variant>
      <vt:variant>
        <vt:i4>5</vt:i4>
      </vt:variant>
      <vt:variant>
        <vt:lpwstr/>
      </vt:variant>
      <vt:variant>
        <vt:lpwstr>_Toc408218998</vt:lpwstr>
      </vt:variant>
      <vt:variant>
        <vt:i4>1310772</vt:i4>
      </vt:variant>
      <vt:variant>
        <vt:i4>170</vt:i4>
      </vt:variant>
      <vt:variant>
        <vt:i4>0</vt:i4>
      </vt:variant>
      <vt:variant>
        <vt:i4>5</vt:i4>
      </vt:variant>
      <vt:variant>
        <vt:lpwstr/>
      </vt:variant>
      <vt:variant>
        <vt:lpwstr>_Toc408218997</vt:lpwstr>
      </vt:variant>
      <vt:variant>
        <vt:i4>1310772</vt:i4>
      </vt:variant>
      <vt:variant>
        <vt:i4>164</vt:i4>
      </vt:variant>
      <vt:variant>
        <vt:i4>0</vt:i4>
      </vt:variant>
      <vt:variant>
        <vt:i4>5</vt:i4>
      </vt:variant>
      <vt:variant>
        <vt:lpwstr/>
      </vt:variant>
      <vt:variant>
        <vt:lpwstr>_Toc408218996</vt:lpwstr>
      </vt:variant>
      <vt:variant>
        <vt:i4>1310772</vt:i4>
      </vt:variant>
      <vt:variant>
        <vt:i4>158</vt:i4>
      </vt:variant>
      <vt:variant>
        <vt:i4>0</vt:i4>
      </vt:variant>
      <vt:variant>
        <vt:i4>5</vt:i4>
      </vt:variant>
      <vt:variant>
        <vt:lpwstr/>
      </vt:variant>
      <vt:variant>
        <vt:lpwstr>_Toc408218995</vt:lpwstr>
      </vt:variant>
      <vt:variant>
        <vt:i4>1310772</vt:i4>
      </vt:variant>
      <vt:variant>
        <vt:i4>152</vt:i4>
      </vt:variant>
      <vt:variant>
        <vt:i4>0</vt:i4>
      </vt:variant>
      <vt:variant>
        <vt:i4>5</vt:i4>
      </vt:variant>
      <vt:variant>
        <vt:lpwstr/>
      </vt:variant>
      <vt:variant>
        <vt:lpwstr>_Toc408218994</vt:lpwstr>
      </vt:variant>
      <vt:variant>
        <vt:i4>1310772</vt:i4>
      </vt:variant>
      <vt:variant>
        <vt:i4>146</vt:i4>
      </vt:variant>
      <vt:variant>
        <vt:i4>0</vt:i4>
      </vt:variant>
      <vt:variant>
        <vt:i4>5</vt:i4>
      </vt:variant>
      <vt:variant>
        <vt:lpwstr/>
      </vt:variant>
      <vt:variant>
        <vt:lpwstr>_Toc408218993</vt:lpwstr>
      </vt:variant>
      <vt:variant>
        <vt:i4>1310772</vt:i4>
      </vt:variant>
      <vt:variant>
        <vt:i4>140</vt:i4>
      </vt:variant>
      <vt:variant>
        <vt:i4>0</vt:i4>
      </vt:variant>
      <vt:variant>
        <vt:i4>5</vt:i4>
      </vt:variant>
      <vt:variant>
        <vt:lpwstr/>
      </vt:variant>
      <vt:variant>
        <vt:lpwstr>_Toc408218992</vt:lpwstr>
      </vt:variant>
      <vt:variant>
        <vt:i4>1310772</vt:i4>
      </vt:variant>
      <vt:variant>
        <vt:i4>134</vt:i4>
      </vt:variant>
      <vt:variant>
        <vt:i4>0</vt:i4>
      </vt:variant>
      <vt:variant>
        <vt:i4>5</vt:i4>
      </vt:variant>
      <vt:variant>
        <vt:lpwstr/>
      </vt:variant>
      <vt:variant>
        <vt:lpwstr>_Toc408218991</vt:lpwstr>
      </vt:variant>
      <vt:variant>
        <vt:i4>1310772</vt:i4>
      </vt:variant>
      <vt:variant>
        <vt:i4>128</vt:i4>
      </vt:variant>
      <vt:variant>
        <vt:i4>0</vt:i4>
      </vt:variant>
      <vt:variant>
        <vt:i4>5</vt:i4>
      </vt:variant>
      <vt:variant>
        <vt:lpwstr/>
      </vt:variant>
      <vt:variant>
        <vt:lpwstr>_Toc408218990</vt:lpwstr>
      </vt:variant>
      <vt:variant>
        <vt:i4>1376308</vt:i4>
      </vt:variant>
      <vt:variant>
        <vt:i4>122</vt:i4>
      </vt:variant>
      <vt:variant>
        <vt:i4>0</vt:i4>
      </vt:variant>
      <vt:variant>
        <vt:i4>5</vt:i4>
      </vt:variant>
      <vt:variant>
        <vt:lpwstr/>
      </vt:variant>
      <vt:variant>
        <vt:lpwstr>_Toc408218989</vt:lpwstr>
      </vt:variant>
      <vt:variant>
        <vt:i4>1376308</vt:i4>
      </vt:variant>
      <vt:variant>
        <vt:i4>116</vt:i4>
      </vt:variant>
      <vt:variant>
        <vt:i4>0</vt:i4>
      </vt:variant>
      <vt:variant>
        <vt:i4>5</vt:i4>
      </vt:variant>
      <vt:variant>
        <vt:lpwstr/>
      </vt:variant>
      <vt:variant>
        <vt:lpwstr>_Toc408218988</vt:lpwstr>
      </vt:variant>
      <vt:variant>
        <vt:i4>1376308</vt:i4>
      </vt:variant>
      <vt:variant>
        <vt:i4>110</vt:i4>
      </vt:variant>
      <vt:variant>
        <vt:i4>0</vt:i4>
      </vt:variant>
      <vt:variant>
        <vt:i4>5</vt:i4>
      </vt:variant>
      <vt:variant>
        <vt:lpwstr/>
      </vt:variant>
      <vt:variant>
        <vt:lpwstr>_Toc408218987</vt:lpwstr>
      </vt:variant>
      <vt:variant>
        <vt:i4>1376308</vt:i4>
      </vt:variant>
      <vt:variant>
        <vt:i4>104</vt:i4>
      </vt:variant>
      <vt:variant>
        <vt:i4>0</vt:i4>
      </vt:variant>
      <vt:variant>
        <vt:i4>5</vt:i4>
      </vt:variant>
      <vt:variant>
        <vt:lpwstr/>
      </vt:variant>
      <vt:variant>
        <vt:lpwstr>_Toc408218986</vt:lpwstr>
      </vt:variant>
      <vt:variant>
        <vt:i4>1376308</vt:i4>
      </vt:variant>
      <vt:variant>
        <vt:i4>98</vt:i4>
      </vt:variant>
      <vt:variant>
        <vt:i4>0</vt:i4>
      </vt:variant>
      <vt:variant>
        <vt:i4>5</vt:i4>
      </vt:variant>
      <vt:variant>
        <vt:lpwstr/>
      </vt:variant>
      <vt:variant>
        <vt:lpwstr>_Toc408218985</vt:lpwstr>
      </vt:variant>
      <vt:variant>
        <vt:i4>1376308</vt:i4>
      </vt:variant>
      <vt:variant>
        <vt:i4>92</vt:i4>
      </vt:variant>
      <vt:variant>
        <vt:i4>0</vt:i4>
      </vt:variant>
      <vt:variant>
        <vt:i4>5</vt:i4>
      </vt:variant>
      <vt:variant>
        <vt:lpwstr/>
      </vt:variant>
      <vt:variant>
        <vt:lpwstr>_Toc408218984</vt:lpwstr>
      </vt:variant>
      <vt:variant>
        <vt:i4>1376308</vt:i4>
      </vt:variant>
      <vt:variant>
        <vt:i4>86</vt:i4>
      </vt:variant>
      <vt:variant>
        <vt:i4>0</vt:i4>
      </vt:variant>
      <vt:variant>
        <vt:i4>5</vt:i4>
      </vt:variant>
      <vt:variant>
        <vt:lpwstr/>
      </vt:variant>
      <vt:variant>
        <vt:lpwstr>_Toc408218983</vt:lpwstr>
      </vt:variant>
      <vt:variant>
        <vt:i4>1376308</vt:i4>
      </vt:variant>
      <vt:variant>
        <vt:i4>80</vt:i4>
      </vt:variant>
      <vt:variant>
        <vt:i4>0</vt:i4>
      </vt:variant>
      <vt:variant>
        <vt:i4>5</vt:i4>
      </vt:variant>
      <vt:variant>
        <vt:lpwstr/>
      </vt:variant>
      <vt:variant>
        <vt:lpwstr>_Toc408218982</vt:lpwstr>
      </vt:variant>
      <vt:variant>
        <vt:i4>1376308</vt:i4>
      </vt:variant>
      <vt:variant>
        <vt:i4>74</vt:i4>
      </vt:variant>
      <vt:variant>
        <vt:i4>0</vt:i4>
      </vt:variant>
      <vt:variant>
        <vt:i4>5</vt:i4>
      </vt:variant>
      <vt:variant>
        <vt:lpwstr/>
      </vt:variant>
      <vt:variant>
        <vt:lpwstr>_Toc408218981</vt:lpwstr>
      </vt:variant>
      <vt:variant>
        <vt:i4>1376308</vt:i4>
      </vt:variant>
      <vt:variant>
        <vt:i4>68</vt:i4>
      </vt:variant>
      <vt:variant>
        <vt:i4>0</vt:i4>
      </vt:variant>
      <vt:variant>
        <vt:i4>5</vt:i4>
      </vt:variant>
      <vt:variant>
        <vt:lpwstr/>
      </vt:variant>
      <vt:variant>
        <vt:lpwstr>_Toc408218980</vt:lpwstr>
      </vt:variant>
      <vt:variant>
        <vt:i4>1703988</vt:i4>
      </vt:variant>
      <vt:variant>
        <vt:i4>62</vt:i4>
      </vt:variant>
      <vt:variant>
        <vt:i4>0</vt:i4>
      </vt:variant>
      <vt:variant>
        <vt:i4>5</vt:i4>
      </vt:variant>
      <vt:variant>
        <vt:lpwstr/>
      </vt:variant>
      <vt:variant>
        <vt:lpwstr>_Toc408218979</vt:lpwstr>
      </vt:variant>
      <vt:variant>
        <vt:i4>1703988</vt:i4>
      </vt:variant>
      <vt:variant>
        <vt:i4>56</vt:i4>
      </vt:variant>
      <vt:variant>
        <vt:i4>0</vt:i4>
      </vt:variant>
      <vt:variant>
        <vt:i4>5</vt:i4>
      </vt:variant>
      <vt:variant>
        <vt:lpwstr/>
      </vt:variant>
      <vt:variant>
        <vt:lpwstr>_Toc408218978</vt:lpwstr>
      </vt:variant>
      <vt:variant>
        <vt:i4>1703988</vt:i4>
      </vt:variant>
      <vt:variant>
        <vt:i4>50</vt:i4>
      </vt:variant>
      <vt:variant>
        <vt:i4>0</vt:i4>
      </vt:variant>
      <vt:variant>
        <vt:i4>5</vt:i4>
      </vt:variant>
      <vt:variant>
        <vt:lpwstr/>
      </vt:variant>
      <vt:variant>
        <vt:lpwstr>_Toc408218977</vt:lpwstr>
      </vt:variant>
      <vt:variant>
        <vt:i4>1703988</vt:i4>
      </vt:variant>
      <vt:variant>
        <vt:i4>44</vt:i4>
      </vt:variant>
      <vt:variant>
        <vt:i4>0</vt:i4>
      </vt:variant>
      <vt:variant>
        <vt:i4>5</vt:i4>
      </vt:variant>
      <vt:variant>
        <vt:lpwstr/>
      </vt:variant>
      <vt:variant>
        <vt:lpwstr>_Toc408218976</vt:lpwstr>
      </vt:variant>
      <vt:variant>
        <vt:i4>1703988</vt:i4>
      </vt:variant>
      <vt:variant>
        <vt:i4>38</vt:i4>
      </vt:variant>
      <vt:variant>
        <vt:i4>0</vt:i4>
      </vt:variant>
      <vt:variant>
        <vt:i4>5</vt:i4>
      </vt:variant>
      <vt:variant>
        <vt:lpwstr/>
      </vt:variant>
      <vt:variant>
        <vt:lpwstr>_Toc408218975</vt:lpwstr>
      </vt:variant>
      <vt:variant>
        <vt:i4>1703988</vt:i4>
      </vt:variant>
      <vt:variant>
        <vt:i4>32</vt:i4>
      </vt:variant>
      <vt:variant>
        <vt:i4>0</vt:i4>
      </vt:variant>
      <vt:variant>
        <vt:i4>5</vt:i4>
      </vt:variant>
      <vt:variant>
        <vt:lpwstr/>
      </vt:variant>
      <vt:variant>
        <vt:lpwstr>_Toc408218974</vt:lpwstr>
      </vt:variant>
      <vt:variant>
        <vt:i4>1703988</vt:i4>
      </vt:variant>
      <vt:variant>
        <vt:i4>26</vt:i4>
      </vt:variant>
      <vt:variant>
        <vt:i4>0</vt:i4>
      </vt:variant>
      <vt:variant>
        <vt:i4>5</vt:i4>
      </vt:variant>
      <vt:variant>
        <vt:lpwstr/>
      </vt:variant>
      <vt:variant>
        <vt:lpwstr>_Toc408218973</vt:lpwstr>
      </vt:variant>
      <vt:variant>
        <vt:i4>1703988</vt:i4>
      </vt:variant>
      <vt:variant>
        <vt:i4>20</vt:i4>
      </vt:variant>
      <vt:variant>
        <vt:i4>0</vt:i4>
      </vt:variant>
      <vt:variant>
        <vt:i4>5</vt:i4>
      </vt:variant>
      <vt:variant>
        <vt:lpwstr/>
      </vt:variant>
      <vt:variant>
        <vt:lpwstr>_Toc408218972</vt:lpwstr>
      </vt:variant>
      <vt:variant>
        <vt:i4>1703988</vt:i4>
      </vt:variant>
      <vt:variant>
        <vt:i4>14</vt:i4>
      </vt:variant>
      <vt:variant>
        <vt:i4>0</vt:i4>
      </vt:variant>
      <vt:variant>
        <vt:i4>5</vt:i4>
      </vt:variant>
      <vt:variant>
        <vt:lpwstr/>
      </vt:variant>
      <vt:variant>
        <vt:lpwstr>_Toc408218971</vt:lpwstr>
      </vt:variant>
      <vt:variant>
        <vt:i4>1703988</vt:i4>
      </vt:variant>
      <vt:variant>
        <vt:i4>8</vt:i4>
      </vt:variant>
      <vt:variant>
        <vt:i4>0</vt:i4>
      </vt:variant>
      <vt:variant>
        <vt:i4>5</vt:i4>
      </vt:variant>
      <vt:variant>
        <vt:lpwstr/>
      </vt:variant>
      <vt:variant>
        <vt:lpwstr>_Toc408218970</vt:lpwstr>
      </vt:variant>
      <vt:variant>
        <vt:i4>1769524</vt:i4>
      </vt:variant>
      <vt:variant>
        <vt:i4>2</vt:i4>
      </vt:variant>
      <vt:variant>
        <vt:i4>0</vt:i4>
      </vt:variant>
      <vt:variant>
        <vt:i4>5</vt:i4>
      </vt:variant>
      <vt:variant>
        <vt:lpwstr/>
      </vt:variant>
      <vt:variant>
        <vt:lpwstr>_Toc408218969</vt:lpwstr>
      </vt:variant>
      <vt:variant>
        <vt:i4>3211358</vt:i4>
      </vt:variant>
      <vt:variant>
        <vt:i4>15</vt:i4>
      </vt:variant>
      <vt:variant>
        <vt:i4>0</vt:i4>
      </vt:variant>
      <vt:variant>
        <vt:i4>5</vt:i4>
      </vt:variant>
      <vt:variant>
        <vt:lpwstr>http://en.wikipedia.org/wiki/Electric_utility</vt:lpwstr>
      </vt:variant>
      <vt:variant>
        <vt:lpwstr/>
      </vt:variant>
      <vt:variant>
        <vt:i4>1310843</vt:i4>
      </vt:variant>
      <vt:variant>
        <vt:i4>12</vt:i4>
      </vt:variant>
      <vt:variant>
        <vt:i4>0</vt:i4>
      </vt:variant>
      <vt:variant>
        <vt:i4>5</vt:i4>
      </vt:variant>
      <vt:variant>
        <vt:lpwstr>http://en.wikipedia.org/wiki/Renewable_energy</vt:lpwstr>
      </vt:variant>
      <vt:variant>
        <vt:lpwstr/>
      </vt:variant>
      <vt:variant>
        <vt:i4>2359396</vt:i4>
      </vt:variant>
      <vt:variant>
        <vt:i4>9</vt:i4>
      </vt:variant>
      <vt:variant>
        <vt:i4>0</vt:i4>
      </vt:variant>
      <vt:variant>
        <vt:i4>5</vt:i4>
      </vt:variant>
      <vt:variant>
        <vt:lpwstr>http://en.wikipedia.org/wiki/National_Energy_Act</vt:lpwstr>
      </vt:variant>
      <vt:variant>
        <vt:lpwstr/>
      </vt:variant>
      <vt:variant>
        <vt:i4>5570560</vt:i4>
      </vt:variant>
      <vt:variant>
        <vt:i4>6</vt:i4>
      </vt:variant>
      <vt:variant>
        <vt:i4>0</vt:i4>
      </vt:variant>
      <vt:variant>
        <vt:i4>5</vt:i4>
      </vt:variant>
      <vt:variant>
        <vt:lpwstr>http://www.gpo.gov/fdsys/granule/STATUTE-92/STATUTE-92-Pg3117/content-detail.html</vt:lpwstr>
      </vt:variant>
      <vt:variant>
        <vt:lpwstr/>
      </vt:variant>
      <vt:variant>
        <vt:i4>1572956</vt:i4>
      </vt:variant>
      <vt:variant>
        <vt:i4>3</vt:i4>
      </vt:variant>
      <vt:variant>
        <vt:i4>0</vt:i4>
      </vt:variant>
      <vt:variant>
        <vt:i4>5</vt:i4>
      </vt:variant>
      <vt:variant>
        <vt:lpwstr>http://en.wikipedia.org/wiki/United_States_Statutes_at_Large</vt:lpwstr>
      </vt:variant>
      <vt:variant>
        <vt:lpwstr/>
      </vt:variant>
      <vt:variant>
        <vt:i4>4456470</vt:i4>
      </vt:variant>
      <vt:variant>
        <vt:i4>0</vt:i4>
      </vt:variant>
      <vt:variant>
        <vt:i4>0</vt:i4>
      </vt:variant>
      <vt:variant>
        <vt:i4>5</vt:i4>
      </vt:variant>
      <vt:variant>
        <vt:lpwstr>http://www.law.cornell.edu/jureeka/index.php?doc=USPubLaws&amp;cong=95&amp;no=617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2016-02-19T22:09:00Z</dcterms:created>
  <dcterms:modified xsi:type="dcterms:W3CDTF">2016-02-19T22:09:00Z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