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9F" w:rsidRDefault="00E04A9F" w:rsidP="00B17F57">
      <w:pPr>
        <w:spacing w:after="0" w:line="240" w:lineRule="auto"/>
        <w:rPr>
          <w:rFonts w:ascii="Times New Roman" w:hAnsi="Times New Roman" w:cs="Times New Roman"/>
          <w:i/>
          <w:sz w:val="24"/>
          <w:szCs w:val="24"/>
        </w:rPr>
      </w:pPr>
      <w:r w:rsidRPr="00E04A9F">
        <w:rPr>
          <w:rFonts w:ascii="Times New Roman" w:hAnsi="Times New Roman" w:cs="Times New Roman"/>
          <w:i/>
          <w:sz w:val="24"/>
          <w:szCs w:val="24"/>
        </w:rPr>
        <w:t>Sent via email and Electronic Return Receipt</w:t>
      </w:r>
      <w:r w:rsidRPr="00E04A9F">
        <w:rPr>
          <w:rFonts w:ascii="Times New Roman" w:hAnsi="Times New Roman" w:cs="Times New Roman"/>
          <w:i/>
          <w:sz w:val="24"/>
          <w:szCs w:val="24"/>
        </w:rPr>
        <w:tab/>
        <w:t>Tracking #</w:t>
      </w:r>
      <w:r w:rsidRPr="00E04A9F">
        <w:rPr>
          <w:rFonts w:ascii="Times New Roman" w:hAnsi="Times New Roman" w:cs="Times New Roman"/>
          <w:i/>
          <w:sz w:val="24"/>
          <w:szCs w:val="24"/>
        </w:rPr>
        <w:t>7199 9991 7037 7460 0819</w:t>
      </w:r>
    </w:p>
    <w:p w:rsidR="00E04A9F" w:rsidRDefault="00E04A9F" w:rsidP="00B17F57">
      <w:pPr>
        <w:spacing w:after="0" w:line="240" w:lineRule="auto"/>
        <w:rPr>
          <w:rFonts w:ascii="Times New Roman" w:hAnsi="Times New Roman" w:cs="Times New Roman"/>
          <w:i/>
          <w:sz w:val="24"/>
          <w:szCs w:val="24"/>
        </w:rPr>
      </w:pP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Feb</w:t>
      </w:r>
      <w:r w:rsidR="001C6C42">
        <w:rPr>
          <w:rFonts w:ascii="Times New Roman" w:hAnsi="Times New Roman" w:cs="Times New Roman"/>
          <w:sz w:val="24"/>
          <w:szCs w:val="24"/>
        </w:rPr>
        <w:t>.</w:t>
      </w:r>
      <w:r>
        <w:rPr>
          <w:rFonts w:ascii="Times New Roman" w:hAnsi="Times New Roman" w:cs="Times New Roman"/>
          <w:sz w:val="24"/>
          <w:szCs w:val="24"/>
        </w:rPr>
        <w:t xml:space="preserve"> 7, 2018</w:t>
      </w:r>
    </w:p>
    <w:p w:rsidR="00E04A9F" w:rsidRDefault="00E04A9F" w:rsidP="00B17F57">
      <w:pPr>
        <w:spacing w:after="0" w:line="240" w:lineRule="auto"/>
        <w:rPr>
          <w:rFonts w:ascii="Times New Roman" w:hAnsi="Times New Roman" w:cs="Times New Roman"/>
          <w:sz w:val="24"/>
          <w:szCs w:val="24"/>
        </w:rPr>
      </w:pP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Martuscelli</w:t>
      </w:r>
      <w:proofErr w:type="spellEnd"/>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Vice President-Operations</w:t>
      </w: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Cascade Natural Gas Corporation</w:t>
      </w: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8113 W Grandridge Blvd</w:t>
      </w: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Kennewick WA 99336</w:t>
      </w:r>
    </w:p>
    <w:p w:rsidR="00E04A9F" w:rsidRDefault="00E04A9F" w:rsidP="00B17F57">
      <w:pPr>
        <w:spacing w:after="0" w:line="240" w:lineRule="auto"/>
        <w:rPr>
          <w:rFonts w:ascii="Times New Roman" w:hAnsi="Times New Roman" w:cs="Times New Roman"/>
          <w:sz w:val="24"/>
          <w:szCs w:val="24"/>
        </w:rPr>
      </w:pPr>
    </w:p>
    <w:p w:rsidR="00E04A9F" w:rsidRDefault="00E04A9F" w:rsidP="00B17F57">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RE:</w:t>
      </w:r>
      <w:r>
        <w:rPr>
          <w:rFonts w:ascii="Times New Roman" w:hAnsi="Times New Roman" w:cs="Times New Roman"/>
          <w:b/>
          <w:sz w:val="24"/>
          <w:szCs w:val="24"/>
        </w:rPr>
        <w:tab/>
        <w:t>Docket No. PG-150120 – Maximum Allowable Operating Pressure Determination &amp; Validation Plan</w:t>
      </w:r>
      <w:r w:rsidR="00F4045D">
        <w:rPr>
          <w:rFonts w:ascii="Times New Roman" w:hAnsi="Times New Roman" w:cs="Times New Roman"/>
          <w:b/>
          <w:sz w:val="24"/>
          <w:szCs w:val="24"/>
        </w:rPr>
        <w:t>,</w:t>
      </w:r>
      <w:r>
        <w:rPr>
          <w:rFonts w:ascii="Times New Roman" w:hAnsi="Times New Roman" w:cs="Times New Roman"/>
          <w:b/>
          <w:sz w:val="24"/>
          <w:szCs w:val="24"/>
        </w:rPr>
        <w:t xml:space="preserve"> December 2017 </w:t>
      </w:r>
    </w:p>
    <w:p w:rsidR="00E04A9F" w:rsidRDefault="00E04A9F" w:rsidP="00B17F57">
      <w:pPr>
        <w:spacing w:after="0" w:line="240" w:lineRule="auto"/>
        <w:ind w:left="720" w:hanging="720"/>
        <w:rPr>
          <w:rFonts w:ascii="Times New Roman" w:hAnsi="Times New Roman" w:cs="Times New Roman"/>
          <w:sz w:val="24"/>
          <w:szCs w:val="24"/>
        </w:rPr>
      </w:pPr>
    </w:p>
    <w:p w:rsidR="0042544E" w:rsidRDefault="0042544E" w:rsidP="00B17F5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Dear Mr. </w:t>
      </w:r>
      <w:proofErr w:type="spellStart"/>
      <w:r>
        <w:rPr>
          <w:rFonts w:ascii="Times New Roman" w:hAnsi="Times New Roman" w:cs="Times New Roman"/>
          <w:sz w:val="24"/>
          <w:szCs w:val="24"/>
        </w:rPr>
        <w:t>Martuscelli</w:t>
      </w:r>
      <w:proofErr w:type="spellEnd"/>
      <w:r>
        <w:rPr>
          <w:rFonts w:ascii="Times New Roman" w:hAnsi="Times New Roman" w:cs="Times New Roman"/>
          <w:sz w:val="24"/>
          <w:szCs w:val="24"/>
        </w:rPr>
        <w:t>:</w:t>
      </w:r>
    </w:p>
    <w:p w:rsidR="0042544E" w:rsidRDefault="0042544E" w:rsidP="00B17F57">
      <w:pPr>
        <w:spacing w:after="0" w:line="240" w:lineRule="auto"/>
        <w:ind w:left="720" w:hanging="720"/>
        <w:rPr>
          <w:rFonts w:ascii="Times New Roman" w:hAnsi="Times New Roman" w:cs="Times New Roman"/>
          <w:sz w:val="24"/>
          <w:szCs w:val="24"/>
        </w:rPr>
      </w:pPr>
    </w:p>
    <w:p w:rsidR="00E04A9F" w:rsidRDefault="00E04A9F" w:rsidP="00B17F5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 Washington Utilities and Transportation Commission (Commission) and Cascade Natural</w:t>
      </w:r>
    </w:p>
    <w:p w:rsidR="00E04A9F" w:rsidRDefault="00E04A9F" w:rsidP="00B17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Gas Corporation (CNGC) </w:t>
      </w:r>
      <w:r w:rsidRPr="00E04A9F">
        <w:rPr>
          <w:rFonts w:ascii="Times New Roman" w:hAnsi="Times New Roman" w:cs="Times New Roman"/>
          <w:sz w:val="24"/>
          <w:szCs w:val="24"/>
        </w:rPr>
        <w:t>entered into a S</w:t>
      </w:r>
      <w:r w:rsidR="00527247">
        <w:rPr>
          <w:rFonts w:ascii="Times New Roman" w:hAnsi="Times New Roman" w:cs="Times New Roman"/>
          <w:sz w:val="24"/>
          <w:szCs w:val="24"/>
        </w:rPr>
        <w:t>ettlement</w:t>
      </w:r>
      <w:r w:rsidRPr="00E04A9F">
        <w:rPr>
          <w:rFonts w:ascii="Times New Roman" w:hAnsi="Times New Roman" w:cs="Times New Roman"/>
          <w:sz w:val="24"/>
          <w:szCs w:val="24"/>
        </w:rPr>
        <w:t xml:space="preserve"> Agreement (Agreement) on Dec</w:t>
      </w:r>
      <w:r w:rsidR="00A60708">
        <w:rPr>
          <w:rFonts w:ascii="Times New Roman" w:hAnsi="Times New Roman" w:cs="Times New Roman"/>
          <w:sz w:val="24"/>
          <w:szCs w:val="24"/>
        </w:rPr>
        <w:t xml:space="preserve">. </w:t>
      </w:r>
      <w:r w:rsidRPr="00E04A9F">
        <w:rPr>
          <w:rFonts w:ascii="Times New Roman" w:hAnsi="Times New Roman" w:cs="Times New Roman"/>
          <w:sz w:val="24"/>
          <w:szCs w:val="24"/>
        </w:rPr>
        <w:t xml:space="preserve">15, 2016. The Agreement delineated how CNGC would collect information, prioritize and execute steps to confirm the maximum allowable operating pressure (MAOP) for high pressure pipelines in Washington to comply with Commission Order 03 in </w:t>
      </w:r>
      <w:r w:rsidR="00A60708">
        <w:rPr>
          <w:rFonts w:ascii="Times New Roman" w:hAnsi="Times New Roman" w:cs="Times New Roman"/>
          <w:sz w:val="24"/>
          <w:szCs w:val="24"/>
        </w:rPr>
        <w:t>Docket No. PG-150120, Section B.</w:t>
      </w:r>
      <w:r w:rsidRPr="00E04A9F">
        <w:rPr>
          <w:rFonts w:ascii="Times New Roman" w:hAnsi="Times New Roman" w:cs="Times New Roman"/>
          <w:sz w:val="24"/>
          <w:szCs w:val="24"/>
        </w:rPr>
        <w:t>1(d)(i) of the Agreement required CNGC “to submit an updated timeline/plan that includes the additional segments to Commission staff by Dec</w:t>
      </w:r>
      <w:r w:rsidR="00A60708">
        <w:rPr>
          <w:rFonts w:ascii="Times New Roman" w:hAnsi="Times New Roman" w:cs="Times New Roman"/>
          <w:sz w:val="24"/>
          <w:szCs w:val="24"/>
        </w:rPr>
        <w:t>.</w:t>
      </w:r>
      <w:r w:rsidRPr="00E04A9F">
        <w:rPr>
          <w:rFonts w:ascii="Times New Roman" w:hAnsi="Times New Roman" w:cs="Times New Roman"/>
          <w:sz w:val="24"/>
          <w:szCs w:val="24"/>
        </w:rPr>
        <w:t xml:space="preserve"> 31, 2017”. The Commission received CNGC’s revised plan on Dec</w:t>
      </w:r>
      <w:r w:rsidR="00A60708">
        <w:rPr>
          <w:rFonts w:ascii="Times New Roman" w:hAnsi="Times New Roman" w:cs="Times New Roman"/>
          <w:sz w:val="24"/>
          <w:szCs w:val="24"/>
        </w:rPr>
        <w:t>.</w:t>
      </w:r>
      <w:r w:rsidRPr="00E04A9F">
        <w:rPr>
          <w:rFonts w:ascii="Times New Roman" w:hAnsi="Times New Roman" w:cs="Times New Roman"/>
          <w:sz w:val="24"/>
          <w:szCs w:val="24"/>
        </w:rPr>
        <w:t xml:space="preserve"> 29, 2017. Commission Pipeline Safety staff (staff) reviewed the submittal and have the following comments:</w:t>
      </w:r>
    </w:p>
    <w:p w:rsidR="00E04A9F" w:rsidRDefault="00E04A9F" w:rsidP="00B17F57">
      <w:pPr>
        <w:spacing w:after="0" w:line="240" w:lineRule="auto"/>
        <w:rPr>
          <w:rFonts w:ascii="Times New Roman" w:hAnsi="Times New Roman" w:cs="Times New Roman"/>
          <w:sz w:val="24"/>
          <w:szCs w:val="24"/>
        </w:rPr>
      </w:pPr>
    </w:p>
    <w:p w:rsidR="00E04A9F" w:rsidRPr="00E04A9F" w:rsidRDefault="00E04A9F" w:rsidP="00B17F57">
      <w:pPr>
        <w:spacing w:after="0" w:line="240" w:lineRule="auto"/>
        <w:rPr>
          <w:rFonts w:ascii="Times New Roman" w:hAnsi="Times New Roman" w:cs="Times New Roman"/>
          <w:b/>
          <w:sz w:val="24"/>
          <w:szCs w:val="24"/>
        </w:rPr>
      </w:pPr>
      <w:r w:rsidRPr="00E04A9F">
        <w:rPr>
          <w:rFonts w:ascii="Times New Roman" w:hAnsi="Times New Roman" w:cs="Times New Roman"/>
          <w:b/>
          <w:sz w:val="24"/>
          <w:szCs w:val="24"/>
        </w:rPr>
        <w:t>General</w:t>
      </w:r>
    </w:p>
    <w:p w:rsidR="00E04A9F" w:rsidRPr="00E04A9F" w:rsidRDefault="00E04A9F" w:rsidP="00B17F57">
      <w:pPr>
        <w:spacing w:after="0" w:line="240" w:lineRule="auto"/>
        <w:rPr>
          <w:rFonts w:ascii="Times New Roman" w:eastAsia="PMingLiU" w:hAnsi="Times New Roman" w:cs="Times New Roman"/>
          <w:sz w:val="24"/>
          <w:szCs w:val="24"/>
        </w:rPr>
      </w:pPr>
      <w:r w:rsidRPr="00E04A9F">
        <w:rPr>
          <w:rFonts w:ascii="Times New Roman" w:eastAsia="PMingLiU" w:hAnsi="Times New Roman" w:cs="Times New Roman"/>
          <w:sz w:val="24"/>
          <w:szCs w:val="24"/>
        </w:rPr>
        <w:t>The revisions to the Apr</w:t>
      </w:r>
      <w:r w:rsidR="00A60708">
        <w:rPr>
          <w:rFonts w:ascii="Times New Roman" w:eastAsia="PMingLiU" w:hAnsi="Times New Roman" w:cs="Times New Roman"/>
          <w:sz w:val="24"/>
          <w:szCs w:val="24"/>
        </w:rPr>
        <w:t>.</w:t>
      </w:r>
      <w:r w:rsidRPr="00E04A9F">
        <w:rPr>
          <w:rFonts w:ascii="Times New Roman" w:eastAsia="PMingLiU" w:hAnsi="Times New Roman" w:cs="Times New Roman"/>
          <w:sz w:val="24"/>
          <w:szCs w:val="24"/>
        </w:rPr>
        <w:t xml:space="preserve"> 29, 2016 submittal are substantial. Although the revised plan is much more robust and gives a much clearer picture of the tasks CNGC must perform to bring their regulated natural gas pipelines into compliance with 49CFR 192.619. This revised plan adds 2,661 segments and over 111 miles of high pressure lines (Table 7). Additionally, the revised plan has introduced another category of pipeline systems, facilities, with deficient MAOP validating records. CNGC has added 336 unvalidated segments within facilities for a total of 2,997. CNGC’s addition of “facilities” as a subcategory to the plan can lead to confusion, as the code does not distinguish between facilities and pipelines when it comes to MAOP:</w:t>
      </w:r>
    </w:p>
    <w:p w:rsidR="00E04A9F" w:rsidRDefault="00E04A9F" w:rsidP="00B17F57">
      <w:pPr>
        <w:spacing w:after="0" w:line="240" w:lineRule="auto"/>
        <w:rPr>
          <w:rFonts w:ascii="Times New Roman" w:hAnsi="Times New Roman" w:cs="Times New Roman"/>
          <w:sz w:val="24"/>
          <w:szCs w:val="24"/>
        </w:rPr>
      </w:pPr>
    </w:p>
    <w:p w:rsidR="007E047B" w:rsidRPr="007E047B" w:rsidRDefault="007E047B" w:rsidP="00B17F57">
      <w:pPr>
        <w:numPr>
          <w:ilvl w:val="0"/>
          <w:numId w:val="1"/>
        </w:numPr>
        <w:spacing w:after="0" w:line="240" w:lineRule="auto"/>
        <w:rPr>
          <w:rFonts w:ascii="Times New Roman" w:eastAsia="PMingLiU" w:hAnsi="Times New Roman" w:cs="Times New Roman"/>
          <w:sz w:val="24"/>
          <w:szCs w:val="24"/>
        </w:rPr>
      </w:pPr>
      <w:r w:rsidRPr="007E047B">
        <w:rPr>
          <w:rFonts w:ascii="Times New Roman" w:eastAsia="PMingLiU" w:hAnsi="Times New Roman" w:cs="Times New Roman"/>
          <w:sz w:val="24"/>
          <w:szCs w:val="24"/>
        </w:rPr>
        <w:t>Part 192.619(a) states, “</w:t>
      </w:r>
      <w:r w:rsidRPr="007E047B">
        <w:rPr>
          <w:rFonts w:ascii="Times New Roman" w:eastAsia="PMingLiU" w:hAnsi="Times New Roman" w:cs="Times New Roman"/>
          <w:i/>
          <w:sz w:val="24"/>
          <w:szCs w:val="24"/>
        </w:rPr>
        <w:t xml:space="preserve">no person may operate a segment of steel or plastic </w:t>
      </w:r>
      <w:r w:rsidRPr="007E047B">
        <w:rPr>
          <w:rFonts w:ascii="Times New Roman" w:eastAsia="PMingLiU" w:hAnsi="Times New Roman" w:cs="Times New Roman"/>
          <w:b/>
          <w:i/>
          <w:sz w:val="24"/>
          <w:szCs w:val="24"/>
        </w:rPr>
        <w:t>pipeline</w:t>
      </w:r>
      <w:r w:rsidRPr="007E047B">
        <w:rPr>
          <w:rFonts w:ascii="Times New Roman" w:eastAsia="PMingLiU" w:hAnsi="Times New Roman" w:cs="Times New Roman"/>
          <w:i/>
          <w:sz w:val="24"/>
          <w:szCs w:val="24"/>
        </w:rPr>
        <w:t xml:space="preserve"> [emphasis added] at pressure that exceeds a maximum allowable operating pressure determined under paragraph (c) or (d) of this section, or the lowest of the following</w:t>
      </w:r>
      <w:r w:rsidRPr="007E047B">
        <w:rPr>
          <w:rFonts w:ascii="Times New Roman" w:eastAsia="PMingLiU" w:hAnsi="Times New Roman" w:cs="Times New Roman"/>
          <w:sz w:val="24"/>
          <w:szCs w:val="24"/>
        </w:rPr>
        <w:t>…”</w:t>
      </w:r>
    </w:p>
    <w:p w:rsidR="007E047B" w:rsidRPr="007E047B" w:rsidRDefault="007E047B" w:rsidP="00B17F57">
      <w:pPr>
        <w:numPr>
          <w:ilvl w:val="0"/>
          <w:numId w:val="1"/>
        </w:numPr>
        <w:spacing w:after="0" w:line="240" w:lineRule="auto"/>
        <w:rPr>
          <w:rFonts w:ascii="Times New Roman" w:eastAsia="PMingLiU" w:hAnsi="Times New Roman" w:cs="Times New Roman"/>
          <w:i/>
          <w:sz w:val="24"/>
          <w:szCs w:val="24"/>
        </w:rPr>
      </w:pPr>
      <w:r w:rsidRPr="007E047B">
        <w:rPr>
          <w:rFonts w:ascii="Times New Roman" w:eastAsia="PMingLiU" w:hAnsi="Times New Roman" w:cs="Times New Roman"/>
          <w:sz w:val="24"/>
          <w:szCs w:val="24"/>
        </w:rPr>
        <w:lastRenderedPageBreak/>
        <w:t>Part 192.3 gives the definition of pipeline as “</w:t>
      </w:r>
      <w:r w:rsidRPr="007E047B">
        <w:rPr>
          <w:rFonts w:ascii="Times New Roman" w:eastAsia="PMingLiU" w:hAnsi="Times New Roman" w:cs="Times New Roman"/>
          <w:i/>
          <w:sz w:val="24"/>
          <w:szCs w:val="24"/>
        </w:rPr>
        <w:t>all parts of the physical facilities through which gas moves in transportation, including pipe, valves, and other appurtenance attached to pipe, compressor stations, regulator stations, holders and fabricated assemblies</w:t>
      </w:r>
      <w:r w:rsidRPr="007E047B">
        <w:rPr>
          <w:rFonts w:ascii="Times New Roman" w:eastAsia="PMingLiU" w:hAnsi="Times New Roman" w:cs="Times New Roman"/>
          <w:sz w:val="24"/>
          <w:szCs w:val="24"/>
        </w:rPr>
        <w:t>.”</w:t>
      </w:r>
    </w:p>
    <w:p w:rsidR="00E04A9F" w:rsidRDefault="00E04A9F" w:rsidP="00B17F57">
      <w:pPr>
        <w:spacing w:after="0" w:line="240" w:lineRule="auto"/>
        <w:rPr>
          <w:rFonts w:ascii="Times New Roman" w:hAnsi="Times New Roman" w:cs="Times New Roman"/>
          <w:sz w:val="24"/>
          <w:szCs w:val="24"/>
        </w:rPr>
      </w:pPr>
    </w:p>
    <w:p w:rsidR="007E047B" w:rsidRDefault="007E047B" w:rsidP="00B17F57">
      <w:pPr>
        <w:pStyle w:val="BodyText"/>
        <w:rPr>
          <w:rFonts w:eastAsia="PMingLiU"/>
          <w:szCs w:val="24"/>
        </w:rPr>
      </w:pPr>
      <w:r>
        <w:rPr>
          <w:rFonts w:eastAsia="PMingLiU"/>
          <w:szCs w:val="24"/>
        </w:rPr>
        <w:t>As such, staff will assume CNGC made the distinction for internal procedural reasons and not a misinterpretation of the code. While staff is concerned that the total scope of MAOP validation has increased to over 20 times larger than previously reported, we acknowledge the positive steps your organization is tak</w:t>
      </w:r>
      <w:r w:rsidR="00527247">
        <w:rPr>
          <w:rFonts w:eastAsia="PMingLiU"/>
          <w:szCs w:val="24"/>
        </w:rPr>
        <w:t>ing to rectify existing issues.</w:t>
      </w:r>
      <w:r>
        <w:rPr>
          <w:rFonts w:eastAsia="PMingLiU"/>
          <w:szCs w:val="24"/>
        </w:rPr>
        <w:t xml:space="preserve"> In the interests of meeting the requirements set forth in Order 03, Docket No. PG-150120 by the Mar</w:t>
      </w:r>
      <w:r w:rsidR="00DB5693">
        <w:rPr>
          <w:rFonts w:eastAsia="PMingLiU"/>
          <w:szCs w:val="24"/>
        </w:rPr>
        <w:t>.</w:t>
      </w:r>
      <w:r w:rsidR="00A60708">
        <w:rPr>
          <w:rFonts w:eastAsia="PMingLiU"/>
          <w:szCs w:val="24"/>
        </w:rPr>
        <w:t xml:space="preserve"> </w:t>
      </w:r>
      <w:r>
        <w:rPr>
          <w:rFonts w:eastAsia="PMingLiU"/>
          <w:szCs w:val="24"/>
        </w:rPr>
        <w:t>31, 2018 deadline, staff makes the following requests/inquiries:</w:t>
      </w:r>
    </w:p>
    <w:p w:rsidR="007E047B" w:rsidRDefault="007E047B" w:rsidP="00B17F57">
      <w:pPr>
        <w:pStyle w:val="BodyText"/>
        <w:rPr>
          <w:rFonts w:eastAsia="PMingLiU"/>
          <w:szCs w:val="24"/>
        </w:rPr>
      </w:pPr>
    </w:p>
    <w:p w:rsidR="007E047B" w:rsidRDefault="007E047B" w:rsidP="00B17F57">
      <w:pPr>
        <w:pStyle w:val="BodyText"/>
        <w:numPr>
          <w:ilvl w:val="0"/>
          <w:numId w:val="2"/>
        </w:numPr>
        <w:spacing w:after="240"/>
        <w:rPr>
          <w:rFonts w:eastAsia="PMingLiU"/>
          <w:szCs w:val="24"/>
        </w:rPr>
      </w:pPr>
      <w:r>
        <w:rPr>
          <w:rFonts w:eastAsia="PMingLiU"/>
          <w:szCs w:val="24"/>
        </w:rPr>
        <w:t>Please organize the plan using an outline nomenclature as this will make referencing a particular portion of the plan much easier.</w:t>
      </w:r>
    </w:p>
    <w:p w:rsidR="007E047B" w:rsidRDefault="007E047B" w:rsidP="00B17F57">
      <w:pPr>
        <w:pStyle w:val="BodyText"/>
        <w:numPr>
          <w:ilvl w:val="0"/>
          <w:numId w:val="2"/>
        </w:numPr>
        <w:spacing w:after="240"/>
        <w:rPr>
          <w:rFonts w:eastAsia="PMingLiU"/>
          <w:szCs w:val="24"/>
        </w:rPr>
      </w:pPr>
      <w:r>
        <w:rPr>
          <w:rFonts w:eastAsia="PMingLiU"/>
          <w:szCs w:val="24"/>
        </w:rPr>
        <w:t xml:space="preserve">Page 1, </w:t>
      </w:r>
      <w:r>
        <w:rPr>
          <w:rFonts w:eastAsia="PMingLiU"/>
          <w:i/>
          <w:szCs w:val="24"/>
        </w:rPr>
        <w:t>Introduction</w:t>
      </w:r>
      <w:r>
        <w:rPr>
          <w:rFonts w:eastAsia="PMingLiU"/>
          <w:szCs w:val="24"/>
        </w:rPr>
        <w:t>. CNGC makes the following statement, “Transmission pipelines are defined as having a MAOP which produces a hoop stress greater than or equal to 20% Specified Minimum Yield Strength (SMYS). This statement does not take into account the functional definition of a transmission line found in 49CFR 192.3, and can be considered incomplete. CFR 192.3’s definition of transmission line states “</w:t>
      </w:r>
      <w:r>
        <w:rPr>
          <w:rFonts w:eastAsia="PMingLiU"/>
          <w:i/>
          <w:szCs w:val="24"/>
        </w:rPr>
        <w:t>a pipeline...that transports gas from a gathering line or storage facility to a distribution center storage facility or large volume customer.</w:t>
      </w:r>
      <w:r>
        <w:rPr>
          <w:rFonts w:eastAsia="PMingLiU"/>
          <w:szCs w:val="24"/>
        </w:rPr>
        <w:t>” PHMSA’s interpretation of this definition is a pipeline that takes gas fr</w:t>
      </w:r>
      <w:r w:rsidR="00DB5693">
        <w:rPr>
          <w:rFonts w:eastAsia="PMingLiU"/>
          <w:szCs w:val="24"/>
        </w:rPr>
        <w:t>om a transmission line (</w:t>
      </w:r>
      <w:r>
        <w:rPr>
          <w:rFonts w:eastAsia="PMingLiU"/>
          <w:szCs w:val="24"/>
        </w:rPr>
        <w:t xml:space="preserve">or storage facility, i.e. Williams) and transports it to a distribution center where it enters the distribution system (town gate). Staff recommends amending the aforementioned introduction statement to include the full definition of “Transmission pipelines” as presented in code. </w:t>
      </w:r>
    </w:p>
    <w:p w:rsidR="007E047B" w:rsidRDefault="007E047B" w:rsidP="00B17F57">
      <w:pPr>
        <w:pStyle w:val="BodyText"/>
        <w:numPr>
          <w:ilvl w:val="0"/>
          <w:numId w:val="2"/>
        </w:numPr>
        <w:spacing w:after="240"/>
        <w:rPr>
          <w:rFonts w:eastAsia="PMingLiU"/>
          <w:strike/>
          <w:szCs w:val="24"/>
        </w:rPr>
      </w:pPr>
      <w:r>
        <w:rPr>
          <w:rFonts w:eastAsia="PMingLiU"/>
          <w:szCs w:val="24"/>
        </w:rPr>
        <w:t xml:space="preserve">Page 6, </w:t>
      </w:r>
      <w:r>
        <w:rPr>
          <w:rFonts w:eastAsia="PMingLiU"/>
          <w:i/>
          <w:szCs w:val="24"/>
        </w:rPr>
        <w:t>Table 7</w:t>
      </w:r>
      <w:r>
        <w:rPr>
          <w:rFonts w:eastAsia="PMingLiU"/>
          <w:szCs w:val="24"/>
        </w:rPr>
        <w:t>:  Please highlight the original 116 segments and associated mileage within the overall totals. Identity the number and miles of validated portions of the segments.</w:t>
      </w:r>
    </w:p>
    <w:p w:rsidR="007E047B" w:rsidRDefault="007E047B" w:rsidP="00B17F57">
      <w:pPr>
        <w:pStyle w:val="BodyText"/>
        <w:numPr>
          <w:ilvl w:val="0"/>
          <w:numId w:val="2"/>
        </w:numPr>
        <w:spacing w:after="240"/>
        <w:rPr>
          <w:rFonts w:eastAsia="PMingLiU"/>
          <w:szCs w:val="24"/>
        </w:rPr>
      </w:pPr>
      <w:r>
        <w:rPr>
          <w:rFonts w:eastAsia="PMingLiU"/>
          <w:szCs w:val="24"/>
        </w:rPr>
        <w:t xml:space="preserve">Page 11, </w:t>
      </w:r>
      <w:r>
        <w:rPr>
          <w:rFonts w:eastAsia="PMingLiU"/>
          <w:i/>
          <w:szCs w:val="24"/>
        </w:rPr>
        <w:t>5.</w:t>
      </w:r>
      <w:r>
        <w:rPr>
          <w:rFonts w:eastAsia="PMingLiU"/>
          <w:szCs w:val="24"/>
        </w:rPr>
        <w:t xml:space="preserve"> </w:t>
      </w:r>
      <w:r>
        <w:rPr>
          <w:rFonts w:eastAsia="PMingLiU"/>
          <w:i/>
          <w:szCs w:val="24"/>
        </w:rPr>
        <w:t>Prioritization</w:t>
      </w:r>
      <w:r>
        <w:rPr>
          <w:rFonts w:eastAsia="PMingLiU"/>
          <w:szCs w:val="24"/>
        </w:rPr>
        <w:t>:  Do the risk matrix priorities include “application date of cathodic protection” as a risk factor? Where in your prioritization would application of cath</w:t>
      </w:r>
      <w:r w:rsidR="00DB5693">
        <w:rPr>
          <w:rFonts w:eastAsia="PMingLiU"/>
          <w:szCs w:val="24"/>
        </w:rPr>
        <w:t>odic protection be analyzed?</w:t>
      </w:r>
    </w:p>
    <w:p w:rsidR="00DB5693" w:rsidRDefault="00DB5693" w:rsidP="00B17F57">
      <w:pPr>
        <w:pStyle w:val="BodyText"/>
        <w:numPr>
          <w:ilvl w:val="0"/>
          <w:numId w:val="2"/>
        </w:numPr>
        <w:spacing w:after="240"/>
        <w:rPr>
          <w:rFonts w:eastAsia="PMingLiU"/>
          <w:szCs w:val="24"/>
        </w:rPr>
      </w:pPr>
      <w:r>
        <w:rPr>
          <w:rFonts w:eastAsia="PMingLiU"/>
          <w:szCs w:val="24"/>
        </w:rPr>
        <w:t xml:space="preserve">Page 12, </w:t>
      </w:r>
      <w:r>
        <w:rPr>
          <w:rFonts w:eastAsia="PMingLiU"/>
          <w:i/>
          <w:szCs w:val="24"/>
        </w:rPr>
        <w:t>Schedule</w:t>
      </w:r>
      <w:r>
        <w:rPr>
          <w:rFonts w:eastAsia="PMingLiU"/>
          <w:szCs w:val="24"/>
        </w:rPr>
        <w:t>: Please explain how the risk score of 49.01 was determined as the threshold for prioritizing the assigned risk to each segment. What does this represent from a risk perspective? Were facilities included (Table 10 does not appear to reflect the facility count)?</w:t>
      </w:r>
    </w:p>
    <w:p w:rsidR="00DB5693" w:rsidRDefault="00DB5693" w:rsidP="00B17F57">
      <w:pPr>
        <w:pStyle w:val="BodyText"/>
        <w:numPr>
          <w:ilvl w:val="0"/>
          <w:numId w:val="2"/>
        </w:numPr>
        <w:spacing w:after="240"/>
        <w:rPr>
          <w:rFonts w:eastAsia="PMingLiU"/>
          <w:szCs w:val="24"/>
        </w:rPr>
      </w:pPr>
      <w:r>
        <w:rPr>
          <w:rFonts w:eastAsia="PMingLiU"/>
          <w:szCs w:val="24"/>
        </w:rPr>
        <w:t xml:space="preserve">Page 12, </w:t>
      </w:r>
      <w:r>
        <w:rPr>
          <w:rFonts w:eastAsia="PMingLiU"/>
          <w:i/>
          <w:szCs w:val="24"/>
        </w:rPr>
        <w:t>Table 10: Unvalid Segment Count by Total Risk Score</w:t>
      </w:r>
      <w:r>
        <w:rPr>
          <w:rFonts w:eastAsia="PMingLiU"/>
          <w:szCs w:val="24"/>
        </w:rPr>
        <w:t>: What does “New Segments Addressed with 116 Segment” mean?</w:t>
      </w:r>
    </w:p>
    <w:p w:rsidR="00DB5693" w:rsidRDefault="00DB5693" w:rsidP="00B17F57">
      <w:pPr>
        <w:pStyle w:val="BodyText"/>
        <w:numPr>
          <w:ilvl w:val="0"/>
          <w:numId w:val="2"/>
        </w:numPr>
        <w:spacing w:after="240"/>
        <w:rPr>
          <w:rFonts w:eastAsia="PMingLiU"/>
          <w:szCs w:val="24"/>
        </w:rPr>
      </w:pPr>
      <w:r>
        <w:rPr>
          <w:rFonts w:eastAsia="PMingLiU"/>
          <w:szCs w:val="24"/>
        </w:rPr>
        <w:t xml:space="preserve">Page 13, </w:t>
      </w:r>
      <w:r>
        <w:rPr>
          <w:rFonts w:eastAsia="PMingLiU"/>
          <w:i/>
          <w:szCs w:val="24"/>
        </w:rPr>
        <w:t>New Segments with Missing Pressure Test Records and Current MAOP not consistent with 192.619</w:t>
      </w:r>
      <w:r>
        <w:rPr>
          <w:rFonts w:eastAsia="PMingLiU"/>
          <w:szCs w:val="24"/>
        </w:rPr>
        <w:t>, (first bullet): The Commission placed a priority on validating lines operating over 30% SMYS by Dec</w:t>
      </w:r>
      <w:r>
        <w:rPr>
          <w:rFonts w:eastAsia="PMingLiU"/>
          <w:szCs w:val="24"/>
        </w:rPr>
        <w:t>.</w:t>
      </w:r>
      <w:r>
        <w:rPr>
          <w:rFonts w:eastAsia="PMingLiU"/>
          <w:szCs w:val="24"/>
        </w:rPr>
        <w:t xml:space="preserve"> 31, 2017. When the Commission issued the order, CNGC indicated there were only five such lines and they would be mitigated promptly. Staff </w:t>
      </w:r>
      <w:r>
        <w:rPr>
          <w:rFonts w:eastAsia="PMingLiU"/>
          <w:szCs w:val="24"/>
        </w:rPr>
        <w:lastRenderedPageBreak/>
        <w:t>is concerned that CNGC’s plan would take two years to validate the four “newly discovered” lines operating above 30% SMYS, and contend that these four lines must be validated by Dec</w:t>
      </w:r>
      <w:r>
        <w:rPr>
          <w:rFonts w:eastAsia="PMingLiU"/>
          <w:szCs w:val="24"/>
        </w:rPr>
        <w:t>.</w:t>
      </w:r>
      <w:r>
        <w:rPr>
          <w:rFonts w:eastAsia="PMingLiU"/>
          <w:szCs w:val="24"/>
        </w:rPr>
        <w:t xml:space="preserve"> 31, 2018. Does CNGC anticipate not being able to meet this requirement?</w:t>
      </w:r>
    </w:p>
    <w:p w:rsidR="00DB5693" w:rsidRDefault="00DB5693" w:rsidP="00B17F57">
      <w:pPr>
        <w:pStyle w:val="BodyText"/>
        <w:numPr>
          <w:ilvl w:val="0"/>
          <w:numId w:val="2"/>
        </w:numPr>
        <w:spacing w:after="240"/>
        <w:rPr>
          <w:rFonts w:eastAsia="PMingLiU"/>
          <w:szCs w:val="24"/>
        </w:rPr>
      </w:pPr>
      <w:r>
        <w:rPr>
          <w:rFonts w:eastAsia="PMingLiU"/>
          <w:szCs w:val="24"/>
        </w:rPr>
        <w:t xml:space="preserve">Page 13, </w:t>
      </w:r>
      <w:r>
        <w:rPr>
          <w:rFonts w:eastAsia="PMingLiU"/>
          <w:i/>
          <w:szCs w:val="24"/>
        </w:rPr>
        <w:t>Missing 49 CFR 192.517 Records</w:t>
      </w:r>
      <w:r>
        <w:rPr>
          <w:rFonts w:eastAsia="PMingLiU"/>
          <w:szCs w:val="24"/>
        </w:rPr>
        <w:t>: CNGC should amend the MAOP Validation and Determination Plan to add the schedule and strategy for missing 192.517 records by Jan</w:t>
      </w:r>
      <w:r>
        <w:rPr>
          <w:rFonts w:eastAsia="PMingLiU"/>
          <w:szCs w:val="24"/>
        </w:rPr>
        <w:t>.</w:t>
      </w:r>
      <w:r>
        <w:rPr>
          <w:rFonts w:eastAsia="PMingLiU"/>
          <w:szCs w:val="24"/>
        </w:rPr>
        <w:t>31, 2019.</w:t>
      </w:r>
    </w:p>
    <w:p w:rsidR="00DB5693" w:rsidRDefault="00DB5693" w:rsidP="00B17F57">
      <w:pPr>
        <w:pStyle w:val="BodyText"/>
        <w:numPr>
          <w:ilvl w:val="0"/>
          <w:numId w:val="2"/>
        </w:numPr>
        <w:spacing w:after="240"/>
        <w:rPr>
          <w:rFonts w:eastAsia="PMingLiU"/>
          <w:szCs w:val="24"/>
        </w:rPr>
      </w:pPr>
      <w:r>
        <w:rPr>
          <w:rFonts w:eastAsia="PMingLiU"/>
          <w:szCs w:val="24"/>
        </w:rPr>
        <w:t xml:space="preserve">Page 13, </w:t>
      </w:r>
      <w:r>
        <w:rPr>
          <w:rFonts w:eastAsia="PMingLiU"/>
          <w:i/>
          <w:szCs w:val="24"/>
        </w:rPr>
        <w:t>Missing Component Information with Pressure Test</w:t>
      </w:r>
      <w:r>
        <w:rPr>
          <w:rFonts w:eastAsia="PMingLiU"/>
          <w:szCs w:val="24"/>
        </w:rPr>
        <w:t>: CNGC should amend the MAOP Validation and Determination Plan to add the schedule and strategy for missing component information by Jan</w:t>
      </w:r>
      <w:r w:rsidR="00527247">
        <w:rPr>
          <w:rFonts w:eastAsia="PMingLiU"/>
          <w:szCs w:val="24"/>
        </w:rPr>
        <w:t>.</w:t>
      </w:r>
      <w:r>
        <w:rPr>
          <w:rFonts w:eastAsia="PMingLiU"/>
          <w:szCs w:val="24"/>
        </w:rPr>
        <w:t xml:space="preserve"> 31, 2019.</w:t>
      </w:r>
    </w:p>
    <w:p w:rsidR="00DB5693" w:rsidRDefault="00DB5693" w:rsidP="00B17F57">
      <w:pPr>
        <w:pStyle w:val="BodyText"/>
        <w:numPr>
          <w:ilvl w:val="0"/>
          <w:numId w:val="2"/>
        </w:numPr>
        <w:spacing w:after="240"/>
        <w:rPr>
          <w:rFonts w:eastAsia="PMingLiU"/>
          <w:szCs w:val="24"/>
        </w:rPr>
      </w:pPr>
      <w:r>
        <w:rPr>
          <w:rFonts w:eastAsia="PMingLiU"/>
          <w:szCs w:val="24"/>
        </w:rPr>
        <w:t xml:space="preserve">Page 13, </w:t>
      </w:r>
      <w:r>
        <w:rPr>
          <w:rFonts w:eastAsia="PMingLiU"/>
          <w:i/>
          <w:szCs w:val="24"/>
        </w:rPr>
        <w:t>Facilities</w:t>
      </w:r>
      <w:r>
        <w:rPr>
          <w:rFonts w:eastAsia="PMingLiU"/>
          <w:szCs w:val="24"/>
        </w:rPr>
        <w:t>: This paragraph seems to indicate that all facilities missing critical information are all below the 49.01 risk score as the completion timeframe is 2028. Is this the case with all 336 segments?</w:t>
      </w:r>
    </w:p>
    <w:p w:rsidR="00DB5693" w:rsidRDefault="00DB5693" w:rsidP="00B17F57">
      <w:pPr>
        <w:pStyle w:val="BodyText"/>
        <w:spacing w:after="240"/>
        <w:rPr>
          <w:rFonts w:eastAsia="PMingLiU"/>
          <w:szCs w:val="24"/>
        </w:rPr>
      </w:pPr>
      <w:r w:rsidRPr="00DB5693">
        <w:rPr>
          <w:rFonts w:eastAsia="PMingLiU"/>
          <w:szCs w:val="24"/>
        </w:rPr>
        <w:t>As you are aware, CNGC and Commission Staff must file an Amended Settlement Agreement with the Commission by Mar</w:t>
      </w:r>
      <w:r>
        <w:rPr>
          <w:rFonts w:eastAsia="PMingLiU"/>
          <w:szCs w:val="24"/>
        </w:rPr>
        <w:t>.</w:t>
      </w:r>
      <w:r w:rsidRPr="00DB5693">
        <w:rPr>
          <w:rFonts w:eastAsia="PMingLiU"/>
          <w:szCs w:val="24"/>
        </w:rPr>
        <w:t xml:space="preserve"> 31, 2018 reflecting jointly agreed upon completion dates for all unvalidated additional segments. Therefore, please respond in writing to the inquiries listed herein by Feb</w:t>
      </w:r>
      <w:r>
        <w:rPr>
          <w:rFonts w:eastAsia="PMingLiU"/>
          <w:szCs w:val="24"/>
        </w:rPr>
        <w:t>.</w:t>
      </w:r>
      <w:r w:rsidRPr="00DB5693">
        <w:rPr>
          <w:rFonts w:eastAsia="PMingLiU"/>
          <w:szCs w:val="24"/>
        </w:rPr>
        <w:t xml:space="preserve"> 28, 2018. Staff is in the process of arranging a physical meeting to discuss each of the questions listed in this letter in detail, and will work jointly with CNGC throughout the process in advance of the response deadline.</w:t>
      </w: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 xml:space="preserve">If you have any questions or if we may be of any assistance, please contact Dennis Ritter at </w:t>
      </w:r>
      <w:r>
        <w:rPr>
          <w:rFonts w:ascii="Times New Roman" w:hAnsi="Times New Roman" w:cs="Times New Roman"/>
          <w:sz w:val="24"/>
          <w:szCs w:val="24"/>
        </w:rPr>
        <w:t xml:space="preserve">                </w:t>
      </w:r>
      <w:r w:rsidRPr="00DB5693">
        <w:rPr>
          <w:rFonts w:ascii="Times New Roman" w:hAnsi="Times New Roman" w:cs="Times New Roman"/>
          <w:sz w:val="24"/>
          <w:szCs w:val="24"/>
        </w:rPr>
        <w:t xml:space="preserve">(360) 664-1159. </w:t>
      </w:r>
    </w:p>
    <w:p w:rsidR="00DB5693" w:rsidRPr="00DB5693" w:rsidRDefault="00DB5693" w:rsidP="00B17F57">
      <w:pPr>
        <w:spacing w:after="0" w:line="240" w:lineRule="auto"/>
        <w:rPr>
          <w:rFonts w:ascii="Times New Roman" w:hAnsi="Times New Roman" w:cs="Times New Roman"/>
          <w:sz w:val="24"/>
          <w:szCs w:val="24"/>
        </w:rPr>
      </w:pP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Sincerely,</w:t>
      </w:r>
    </w:p>
    <w:p w:rsidR="00DB5693" w:rsidRPr="00DB5693" w:rsidRDefault="00DB5693" w:rsidP="00B17F57">
      <w:pPr>
        <w:spacing w:after="0" w:line="240" w:lineRule="auto"/>
        <w:rPr>
          <w:rFonts w:ascii="Times New Roman" w:hAnsi="Times New Roman" w:cs="Times New Roman"/>
          <w:sz w:val="24"/>
          <w:szCs w:val="24"/>
        </w:rPr>
      </w:pPr>
    </w:p>
    <w:p w:rsidR="00DB5693" w:rsidRPr="00DB5693" w:rsidRDefault="00DB5693" w:rsidP="00B17F57">
      <w:pPr>
        <w:spacing w:after="0" w:line="240" w:lineRule="auto"/>
        <w:rPr>
          <w:rFonts w:ascii="Times New Roman" w:hAnsi="Times New Roman" w:cs="Times New Roman"/>
          <w:sz w:val="24"/>
          <w:szCs w:val="24"/>
        </w:rPr>
      </w:pP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 xml:space="preserve">Sean </w:t>
      </w:r>
      <w:r>
        <w:rPr>
          <w:rFonts w:ascii="Times New Roman" w:hAnsi="Times New Roman" w:cs="Times New Roman"/>
          <w:sz w:val="24"/>
          <w:szCs w:val="24"/>
        </w:rPr>
        <w:t xml:space="preserve">C. </w:t>
      </w:r>
      <w:r w:rsidRPr="00DB5693">
        <w:rPr>
          <w:rFonts w:ascii="Times New Roman" w:hAnsi="Times New Roman" w:cs="Times New Roman"/>
          <w:sz w:val="24"/>
          <w:szCs w:val="24"/>
        </w:rPr>
        <w:t>Mayo</w:t>
      </w: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Pipeline Safety Director</w:t>
      </w:r>
    </w:p>
    <w:p w:rsidR="00DB5693" w:rsidRPr="00DB5693" w:rsidRDefault="00DB5693" w:rsidP="00B17F57">
      <w:pPr>
        <w:spacing w:after="0" w:line="240" w:lineRule="auto"/>
        <w:rPr>
          <w:rFonts w:ascii="Times New Roman" w:hAnsi="Times New Roman" w:cs="Times New Roman"/>
          <w:sz w:val="24"/>
          <w:szCs w:val="24"/>
        </w:rPr>
      </w:pP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cc:</w:t>
      </w:r>
      <w:r w:rsidRPr="00DB5693">
        <w:rPr>
          <w:rFonts w:ascii="Times New Roman" w:hAnsi="Times New Roman" w:cs="Times New Roman"/>
          <w:sz w:val="24"/>
          <w:szCs w:val="24"/>
        </w:rPr>
        <w:tab/>
        <w:t xml:space="preserve">Mike </w:t>
      </w:r>
      <w:proofErr w:type="spellStart"/>
      <w:r w:rsidRPr="00DB5693">
        <w:rPr>
          <w:rFonts w:ascii="Times New Roman" w:hAnsi="Times New Roman" w:cs="Times New Roman"/>
          <w:sz w:val="24"/>
          <w:szCs w:val="24"/>
        </w:rPr>
        <w:t>Eutsey</w:t>
      </w:r>
      <w:proofErr w:type="spellEnd"/>
      <w:r w:rsidRPr="00DB5693">
        <w:rPr>
          <w:rFonts w:ascii="Times New Roman" w:hAnsi="Times New Roman" w:cs="Times New Roman"/>
          <w:sz w:val="24"/>
          <w:szCs w:val="24"/>
        </w:rPr>
        <w:t>, Director</w:t>
      </w:r>
      <w:r w:rsidR="00B0482C">
        <w:rPr>
          <w:rFonts w:ascii="Times New Roman" w:hAnsi="Times New Roman" w:cs="Times New Roman"/>
          <w:sz w:val="24"/>
          <w:szCs w:val="24"/>
        </w:rPr>
        <w:t>,</w:t>
      </w:r>
      <w:r w:rsidRPr="00DB5693">
        <w:rPr>
          <w:rFonts w:ascii="Times New Roman" w:hAnsi="Times New Roman" w:cs="Times New Roman"/>
          <w:sz w:val="24"/>
          <w:szCs w:val="24"/>
        </w:rPr>
        <w:t xml:space="preserve"> Operations Services, CNGC</w:t>
      </w: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ab/>
        <w:t>Jeremy Ogden, Director</w:t>
      </w:r>
      <w:r w:rsidR="00B0482C">
        <w:rPr>
          <w:rFonts w:ascii="Times New Roman" w:hAnsi="Times New Roman" w:cs="Times New Roman"/>
          <w:sz w:val="24"/>
          <w:szCs w:val="24"/>
        </w:rPr>
        <w:t>,</w:t>
      </w:r>
      <w:r w:rsidRPr="00DB5693">
        <w:rPr>
          <w:rFonts w:ascii="Times New Roman" w:hAnsi="Times New Roman" w:cs="Times New Roman"/>
          <w:sz w:val="24"/>
          <w:szCs w:val="24"/>
        </w:rPr>
        <w:t xml:space="preserve"> Engineering Services, CNGC</w:t>
      </w:r>
    </w:p>
    <w:p w:rsidR="00DB5693" w:rsidRPr="00DB5693" w:rsidRDefault="00DB5693" w:rsidP="00B17F57">
      <w:pPr>
        <w:spacing w:after="0" w:line="240" w:lineRule="auto"/>
        <w:rPr>
          <w:rFonts w:ascii="Times New Roman" w:hAnsi="Times New Roman" w:cs="Times New Roman"/>
          <w:sz w:val="24"/>
          <w:szCs w:val="24"/>
        </w:rPr>
      </w:pPr>
      <w:r w:rsidRPr="00DB5693">
        <w:rPr>
          <w:rFonts w:ascii="Times New Roman" w:hAnsi="Times New Roman" w:cs="Times New Roman"/>
          <w:sz w:val="24"/>
          <w:szCs w:val="24"/>
        </w:rPr>
        <w:tab/>
        <w:t xml:space="preserve">Ryan </w:t>
      </w:r>
      <w:proofErr w:type="spellStart"/>
      <w:r w:rsidRPr="00DB5693">
        <w:rPr>
          <w:rFonts w:ascii="Times New Roman" w:hAnsi="Times New Roman" w:cs="Times New Roman"/>
          <w:sz w:val="24"/>
          <w:szCs w:val="24"/>
        </w:rPr>
        <w:t>Privratsky</w:t>
      </w:r>
      <w:proofErr w:type="spellEnd"/>
      <w:r w:rsidRPr="00DB5693">
        <w:rPr>
          <w:rFonts w:ascii="Times New Roman" w:hAnsi="Times New Roman" w:cs="Times New Roman"/>
          <w:sz w:val="24"/>
          <w:szCs w:val="24"/>
        </w:rPr>
        <w:t>, Director</w:t>
      </w:r>
      <w:r w:rsidR="00B0482C">
        <w:rPr>
          <w:rFonts w:ascii="Times New Roman" w:hAnsi="Times New Roman" w:cs="Times New Roman"/>
          <w:sz w:val="24"/>
          <w:szCs w:val="24"/>
        </w:rPr>
        <w:t>,</w:t>
      </w:r>
      <w:r w:rsidRPr="00DB5693">
        <w:rPr>
          <w:rFonts w:ascii="Times New Roman" w:hAnsi="Times New Roman" w:cs="Times New Roman"/>
          <w:sz w:val="24"/>
          <w:szCs w:val="24"/>
        </w:rPr>
        <w:t xml:space="preserve"> System Integrity,</w:t>
      </w:r>
      <w:r w:rsidR="00B0482C">
        <w:rPr>
          <w:rFonts w:ascii="Times New Roman" w:hAnsi="Times New Roman" w:cs="Times New Roman"/>
          <w:sz w:val="24"/>
          <w:szCs w:val="24"/>
        </w:rPr>
        <w:t xml:space="preserve"> Integrity Mgmt.,</w:t>
      </w:r>
      <w:bookmarkStart w:id="0" w:name="_GoBack"/>
      <w:bookmarkEnd w:id="0"/>
      <w:r w:rsidRPr="00DB5693">
        <w:rPr>
          <w:rFonts w:ascii="Times New Roman" w:hAnsi="Times New Roman" w:cs="Times New Roman"/>
          <w:sz w:val="24"/>
          <w:szCs w:val="24"/>
        </w:rPr>
        <w:t xml:space="preserve"> CNGC</w:t>
      </w:r>
    </w:p>
    <w:p w:rsidR="007E047B" w:rsidRPr="00E04A9F" w:rsidRDefault="00DB5693" w:rsidP="00B17F57">
      <w:pPr>
        <w:spacing w:after="0" w:line="240" w:lineRule="auto"/>
        <w:ind w:firstLine="720"/>
        <w:rPr>
          <w:rFonts w:ascii="Times New Roman" w:hAnsi="Times New Roman" w:cs="Times New Roman"/>
          <w:sz w:val="24"/>
          <w:szCs w:val="24"/>
        </w:rPr>
      </w:pPr>
      <w:r w:rsidRPr="00DB5693">
        <w:rPr>
          <w:rFonts w:ascii="Times New Roman" w:hAnsi="Times New Roman" w:cs="Times New Roman"/>
          <w:sz w:val="24"/>
          <w:szCs w:val="24"/>
        </w:rPr>
        <w:t>Chris Grissom, Manager, Standards and Compliance, CNGC</w:t>
      </w:r>
    </w:p>
    <w:sectPr w:rsidR="007E047B" w:rsidRPr="00E04A9F" w:rsidSect="00B17F57">
      <w:headerReference w:type="even" r:id="rId7"/>
      <w:headerReference w:type="default" r:id="rId8"/>
      <w:headerReference w:type="first" r:id="rId9"/>
      <w:foot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CD" w:rsidRDefault="000B4ECD" w:rsidP="00E04A9F">
      <w:pPr>
        <w:spacing w:after="0" w:line="240" w:lineRule="auto"/>
      </w:pPr>
      <w:r>
        <w:separator/>
      </w:r>
    </w:p>
  </w:endnote>
  <w:endnote w:type="continuationSeparator" w:id="0">
    <w:p w:rsidR="000B4ECD" w:rsidRDefault="000B4ECD"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7B" w:rsidRPr="00E04A9F" w:rsidRDefault="007E047B" w:rsidP="007E047B">
    <w:pPr>
      <w:spacing w:before="120" w:after="0" w:line="240" w:lineRule="auto"/>
      <w:jc w:val="center"/>
      <w:rPr>
        <w:rFonts w:ascii="Arial" w:eastAsia="Times New Roman" w:hAnsi="Arial" w:cs="Arial"/>
        <w:color w:val="008000"/>
        <w:sz w:val="18"/>
        <w:szCs w:val="24"/>
      </w:rPr>
    </w:pPr>
    <w:r w:rsidRPr="00E04A9F">
      <w:rPr>
        <w:rFonts w:ascii="Arial" w:eastAsia="Times New Roman" w:hAnsi="Arial" w:cs="Arial"/>
        <w:color w:val="008000"/>
        <w:sz w:val="18"/>
        <w:szCs w:val="24"/>
      </w:rPr>
      <w:t>Respect. Professionalism. Integrity. Accountability.</w:t>
    </w:r>
  </w:p>
  <w:p w:rsidR="007E047B" w:rsidRDefault="007E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CD" w:rsidRDefault="000B4ECD" w:rsidP="00E04A9F">
      <w:pPr>
        <w:spacing w:after="0" w:line="240" w:lineRule="auto"/>
      </w:pPr>
      <w:r>
        <w:separator/>
      </w:r>
    </w:p>
  </w:footnote>
  <w:footnote w:type="continuationSeparator" w:id="0">
    <w:p w:rsidR="000B4ECD" w:rsidRDefault="000B4ECD"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7B" w:rsidRDefault="007E047B">
    <w:pPr>
      <w:pStyle w:val="Header"/>
      <w:rPr>
        <w:rFonts w:ascii="Times New Roman" w:hAnsi="Times New Roman" w:cs="Times New Roman"/>
        <w:sz w:val="24"/>
        <w:szCs w:val="24"/>
      </w:rPr>
    </w:pPr>
    <w:r>
      <w:rPr>
        <w:rFonts w:ascii="Times New Roman" w:hAnsi="Times New Roman" w:cs="Times New Roman"/>
        <w:sz w:val="24"/>
        <w:szCs w:val="24"/>
      </w:rPr>
      <w:t>Cascade Natural Gas Corporation</w:t>
    </w:r>
  </w:p>
  <w:p w:rsidR="007E047B" w:rsidRDefault="007E047B">
    <w:pPr>
      <w:pStyle w:val="Header"/>
      <w:rPr>
        <w:rFonts w:ascii="Times New Roman" w:hAnsi="Times New Roman" w:cs="Times New Roman"/>
        <w:sz w:val="24"/>
        <w:szCs w:val="24"/>
      </w:rPr>
    </w:pPr>
    <w:r>
      <w:rPr>
        <w:rFonts w:ascii="Times New Roman" w:hAnsi="Times New Roman" w:cs="Times New Roman"/>
        <w:sz w:val="24"/>
        <w:szCs w:val="24"/>
      </w:rPr>
      <w:t>PG-150120 – MAOP Validation Plan Dec. 2017</w:t>
    </w:r>
  </w:p>
  <w:p w:rsidR="007E047B" w:rsidRDefault="007E047B">
    <w:pPr>
      <w:pStyle w:val="Header"/>
      <w:rPr>
        <w:rFonts w:ascii="Times New Roman" w:hAnsi="Times New Roman" w:cs="Times New Roman"/>
        <w:sz w:val="24"/>
        <w:szCs w:val="24"/>
      </w:rPr>
    </w:pPr>
    <w:r>
      <w:rPr>
        <w:rFonts w:ascii="Times New Roman" w:hAnsi="Times New Roman" w:cs="Times New Roman"/>
        <w:sz w:val="24"/>
        <w:szCs w:val="24"/>
      </w:rPr>
      <w:t>Feb. 7, 2017</w:t>
    </w:r>
  </w:p>
  <w:p w:rsidR="007E047B" w:rsidRPr="007E047B" w:rsidRDefault="007E047B">
    <w:pPr>
      <w:pStyle w:val="Header"/>
      <w:rPr>
        <w:rFonts w:ascii="Times New Roman" w:hAnsi="Times New Roman" w:cs="Times New Roman"/>
        <w:sz w:val="24"/>
        <w:szCs w:val="24"/>
      </w:rPr>
    </w:pPr>
    <w:r w:rsidRPr="007E047B">
      <w:rPr>
        <w:rFonts w:ascii="Times New Roman" w:eastAsiaTheme="majorEastAsia" w:hAnsi="Times New Roman" w:cs="Times New Roman"/>
        <w:sz w:val="24"/>
        <w:szCs w:val="24"/>
      </w:rPr>
      <w:t xml:space="preserve">pg. </w:t>
    </w:r>
    <w:r w:rsidRPr="007E047B">
      <w:rPr>
        <w:rFonts w:ascii="Times New Roman" w:eastAsiaTheme="minorEastAsia" w:hAnsi="Times New Roman" w:cs="Times New Roman"/>
        <w:sz w:val="24"/>
        <w:szCs w:val="24"/>
      </w:rPr>
      <w:fldChar w:fldCharType="begin"/>
    </w:r>
    <w:r w:rsidRPr="007E047B">
      <w:rPr>
        <w:rFonts w:ascii="Times New Roman" w:hAnsi="Times New Roman" w:cs="Times New Roman"/>
        <w:sz w:val="24"/>
        <w:szCs w:val="24"/>
      </w:rPr>
      <w:instrText xml:space="preserve"> PAGE    \* MERGEFORMAT </w:instrText>
    </w:r>
    <w:r w:rsidRPr="007E047B">
      <w:rPr>
        <w:rFonts w:ascii="Times New Roman" w:eastAsiaTheme="minorEastAsia" w:hAnsi="Times New Roman" w:cs="Times New Roman"/>
        <w:sz w:val="24"/>
        <w:szCs w:val="24"/>
      </w:rPr>
      <w:fldChar w:fldCharType="separate"/>
    </w:r>
    <w:r w:rsidRPr="007E047B">
      <w:rPr>
        <w:rFonts w:ascii="Times New Roman" w:eastAsiaTheme="majorEastAsia" w:hAnsi="Times New Roman" w:cs="Times New Roman"/>
        <w:noProof/>
        <w:sz w:val="24"/>
        <w:szCs w:val="24"/>
      </w:rPr>
      <w:t>2</w:t>
    </w:r>
    <w:r w:rsidRPr="007E047B">
      <w:rPr>
        <w:rFonts w:ascii="Times New Roman" w:eastAsiaTheme="majorEastAsia"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70562794"/>
      <w:docPartObj>
        <w:docPartGallery w:val="Page Numbers (Top of Page)"/>
        <w:docPartUnique/>
      </w:docPartObj>
    </w:sdtPr>
    <w:sdtEndPr>
      <w:rPr>
        <w:noProof/>
      </w:rPr>
    </w:sdtEndPr>
    <w:sdtContent>
      <w:p w:rsidR="00DB5693" w:rsidRPr="00DB5693" w:rsidRDefault="00DB5693" w:rsidP="00DB5693">
        <w:pPr>
          <w:pStyle w:val="Header"/>
          <w:rPr>
            <w:rFonts w:ascii="Times New Roman" w:hAnsi="Times New Roman" w:cs="Times New Roman"/>
          </w:rPr>
        </w:pPr>
        <w:r w:rsidRPr="00DB5693">
          <w:rPr>
            <w:rFonts w:ascii="Times New Roman" w:hAnsi="Times New Roman" w:cs="Times New Roman"/>
          </w:rPr>
          <w:t>Cascade Natural Gas Corporation</w:t>
        </w:r>
      </w:p>
      <w:p w:rsidR="00DB5693" w:rsidRPr="00DB5693" w:rsidRDefault="00DB5693" w:rsidP="00DB5693">
        <w:pPr>
          <w:pStyle w:val="Header"/>
          <w:rPr>
            <w:rFonts w:ascii="Times New Roman" w:hAnsi="Times New Roman" w:cs="Times New Roman"/>
          </w:rPr>
        </w:pPr>
        <w:r w:rsidRPr="00DB5693">
          <w:rPr>
            <w:rFonts w:ascii="Times New Roman" w:hAnsi="Times New Roman" w:cs="Times New Roman"/>
          </w:rPr>
          <w:t>PG-15012 – MAOP Validation Plan, Dec. 2017</w:t>
        </w:r>
      </w:p>
      <w:p w:rsidR="00DB5693" w:rsidRPr="00DB5693" w:rsidRDefault="00DB5693" w:rsidP="00DB5693">
        <w:pPr>
          <w:pStyle w:val="Header"/>
          <w:rPr>
            <w:rFonts w:ascii="Times New Roman" w:hAnsi="Times New Roman" w:cs="Times New Roman"/>
          </w:rPr>
        </w:pPr>
        <w:r w:rsidRPr="00DB5693">
          <w:rPr>
            <w:rFonts w:ascii="Times New Roman" w:hAnsi="Times New Roman" w:cs="Times New Roman"/>
          </w:rPr>
          <w:t>Feb. 7, 2018</w:t>
        </w:r>
      </w:p>
      <w:p w:rsidR="00DB5693" w:rsidRDefault="00DB5693" w:rsidP="00DB5693">
        <w:pPr>
          <w:pStyle w:val="Header"/>
          <w:rPr>
            <w:rFonts w:ascii="Times New Roman" w:hAnsi="Times New Roman" w:cs="Times New Roman"/>
            <w:noProof/>
          </w:rPr>
        </w:pPr>
        <w:r w:rsidRPr="00DB5693">
          <w:rPr>
            <w:rFonts w:ascii="Times New Roman" w:hAnsi="Times New Roman" w:cs="Times New Roman"/>
          </w:rPr>
          <w:t xml:space="preserve">Page </w:t>
        </w:r>
        <w:r w:rsidRPr="00DB5693">
          <w:rPr>
            <w:rFonts w:ascii="Times New Roman" w:hAnsi="Times New Roman" w:cs="Times New Roman"/>
          </w:rPr>
          <w:fldChar w:fldCharType="begin"/>
        </w:r>
        <w:r w:rsidRPr="00DB5693">
          <w:rPr>
            <w:rFonts w:ascii="Times New Roman" w:hAnsi="Times New Roman" w:cs="Times New Roman"/>
          </w:rPr>
          <w:instrText xml:space="preserve"> PAGE   \* MERGEFORMAT </w:instrText>
        </w:r>
        <w:r w:rsidRPr="00DB5693">
          <w:rPr>
            <w:rFonts w:ascii="Times New Roman" w:hAnsi="Times New Roman" w:cs="Times New Roman"/>
          </w:rPr>
          <w:fldChar w:fldCharType="separate"/>
        </w:r>
        <w:r w:rsidR="00B0482C">
          <w:rPr>
            <w:rFonts w:ascii="Times New Roman" w:hAnsi="Times New Roman" w:cs="Times New Roman"/>
            <w:noProof/>
          </w:rPr>
          <w:t>2</w:t>
        </w:r>
        <w:r w:rsidRPr="00DB5693">
          <w:rPr>
            <w:rFonts w:ascii="Times New Roman" w:hAnsi="Times New Roman" w:cs="Times New Roman"/>
            <w:noProof/>
          </w:rPr>
          <w:fldChar w:fldCharType="end"/>
        </w:r>
      </w:p>
      <w:p w:rsidR="00E04A9F" w:rsidRPr="00DB5693" w:rsidRDefault="00DB5693" w:rsidP="00DB5693">
        <w:pPr>
          <w:pStyle w:val="Header"/>
          <w:rPr>
            <w:rFonts w:ascii="Times New Roman" w:hAnsi="Times New Roman" w:cs="Times New Roman"/>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7B" w:rsidRDefault="007E047B" w:rsidP="007E047B">
    <w:pPr>
      <w:spacing w:after="0" w:line="240" w:lineRule="auto"/>
      <w:jc w:val="center"/>
      <w:rPr>
        <w:rFonts w:ascii="Arial" w:eastAsia="Times New Roman" w:hAnsi="Arial" w:cs="Times New Roman"/>
        <w:b/>
        <w:color w:val="008000"/>
        <w:sz w:val="18"/>
        <w:szCs w:val="24"/>
      </w:rPr>
    </w:pPr>
    <w:r>
      <w:rPr>
        <w:noProof/>
      </w:rPr>
      <w:drawing>
        <wp:inline distT="0" distB="0" distL="0" distR="0" wp14:anchorId="72446FEA" wp14:editId="28752EC5">
          <wp:extent cx="662940" cy="6858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rsidR="007E047B" w:rsidRPr="00E04A9F" w:rsidRDefault="007E047B" w:rsidP="007E047B">
    <w:pPr>
      <w:spacing w:after="0" w:line="240" w:lineRule="auto"/>
      <w:jc w:val="center"/>
      <w:rPr>
        <w:rFonts w:ascii="Arial" w:eastAsia="Times New Roman" w:hAnsi="Arial" w:cs="Times New Roman"/>
        <w:b/>
        <w:color w:val="008000"/>
        <w:sz w:val="18"/>
        <w:szCs w:val="24"/>
      </w:rPr>
    </w:pPr>
    <w:r w:rsidRPr="00E04A9F">
      <w:rPr>
        <w:rFonts w:ascii="Arial" w:eastAsia="Times New Roman" w:hAnsi="Arial" w:cs="Times New Roman"/>
        <w:b/>
        <w:color w:val="008000"/>
        <w:sz w:val="18"/>
        <w:szCs w:val="24"/>
      </w:rPr>
      <w:t>STATE OF WASHINGTON</w:t>
    </w:r>
  </w:p>
  <w:p w:rsidR="007E047B" w:rsidRPr="00E04A9F" w:rsidRDefault="007E047B" w:rsidP="007E047B">
    <w:pPr>
      <w:spacing w:after="0" w:line="240" w:lineRule="auto"/>
      <w:jc w:val="center"/>
      <w:rPr>
        <w:rFonts w:ascii="Times New Roman" w:eastAsia="Times New Roman" w:hAnsi="Times New Roman" w:cs="Times New Roman"/>
        <w:color w:val="008000"/>
        <w:sz w:val="8"/>
        <w:szCs w:val="24"/>
      </w:rPr>
    </w:pPr>
  </w:p>
  <w:p w:rsidR="007E047B" w:rsidRPr="00E04A9F" w:rsidRDefault="007E047B" w:rsidP="007E047B">
    <w:pPr>
      <w:spacing w:after="0" w:line="240" w:lineRule="auto"/>
      <w:jc w:val="center"/>
      <w:rPr>
        <w:rFonts w:ascii="Arial" w:eastAsia="Times New Roman" w:hAnsi="Arial" w:cs="Times New Roman"/>
        <w:color w:val="008000"/>
        <w:sz w:val="28"/>
        <w:szCs w:val="24"/>
      </w:rPr>
    </w:pPr>
    <w:r w:rsidRPr="00E04A9F">
      <w:rPr>
        <w:rFonts w:ascii="Arial" w:eastAsia="Times New Roman" w:hAnsi="Arial" w:cs="Times New Roman"/>
        <w:color w:val="008000"/>
        <w:sz w:val="28"/>
        <w:szCs w:val="24"/>
      </w:rPr>
      <w:t xml:space="preserve">UTILITIES </w:t>
    </w:r>
    <w:smartTag w:uri="urn:schemas-microsoft-com:office:smarttags" w:element="stockticker">
      <w:r w:rsidRPr="00E04A9F">
        <w:rPr>
          <w:rFonts w:ascii="Arial" w:eastAsia="Times New Roman" w:hAnsi="Arial" w:cs="Times New Roman"/>
          <w:color w:val="008000"/>
          <w:sz w:val="28"/>
          <w:szCs w:val="24"/>
        </w:rPr>
        <w:t>AND</w:t>
      </w:r>
    </w:smartTag>
    <w:r w:rsidRPr="00E04A9F">
      <w:rPr>
        <w:rFonts w:ascii="Arial" w:eastAsia="Times New Roman" w:hAnsi="Arial" w:cs="Times New Roman"/>
        <w:color w:val="008000"/>
        <w:sz w:val="28"/>
        <w:szCs w:val="24"/>
      </w:rPr>
      <w:t xml:space="preserve"> TRANSPORTATION COMMISSION</w:t>
    </w:r>
  </w:p>
  <w:p w:rsidR="007E047B" w:rsidRPr="00E04A9F" w:rsidRDefault="007E047B" w:rsidP="007E047B">
    <w:pPr>
      <w:tabs>
        <w:tab w:val="left" w:pos="3525"/>
      </w:tabs>
      <w:spacing w:after="0" w:line="240" w:lineRule="auto"/>
      <w:rPr>
        <w:rFonts w:ascii="Times New Roman" w:eastAsia="Times New Roman" w:hAnsi="Times New Roman" w:cs="Times New Roman"/>
        <w:i/>
        <w:color w:val="008000"/>
        <w:sz w:val="8"/>
        <w:szCs w:val="24"/>
      </w:rPr>
    </w:pPr>
    <w:r w:rsidRPr="00E04A9F">
      <w:rPr>
        <w:rFonts w:ascii="Times New Roman" w:eastAsia="Times New Roman" w:hAnsi="Times New Roman" w:cs="Times New Roman"/>
        <w:i/>
        <w:color w:val="008000"/>
        <w:sz w:val="8"/>
        <w:szCs w:val="24"/>
      </w:rPr>
      <w:tab/>
    </w:r>
  </w:p>
  <w:p w:rsidR="007E047B" w:rsidRPr="00E04A9F" w:rsidRDefault="007E047B" w:rsidP="007E047B">
    <w:pPr>
      <w:spacing w:after="120" w:line="240" w:lineRule="auto"/>
      <w:jc w:val="center"/>
      <w:rPr>
        <w:rFonts w:ascii="Arial" w:eastAsia="Times New Roman" w:hAnsi="Arial" w:cs="Times New Roman"/>
        <w:b/>
        <w:i/>
        <w:color w:val="008000"/>
        <w:sz w:val="18"/>
        <w:szCs w:val="24"/>
      </w:rPr>
    </w:pPr>
    <w:smartTag w:uri="urn:schemas-microsoft-com:office:smarttags" w:element="Street">
      <w:smartTag w:uri="urn:schemas-microsoft-com:office:smarttags" w:element="address">
        <w:r w:rsidRPr="00E04A9F">
          <w:rPr>
            <w:rFonts w:ascii="Arial" w:eastAsia="Times New Roman" w:hAnsi="Arial" w:cs="Times New Roman"/>
            <w:b/>
            <w:i/>
            <w:color w:val="008000"/>
            <w:sz w:val="18"/>
            <w:szCs w:val="24"/>
          </w:rPr>
          <w:t>1300 S. Evergreen Park Dr. S.W., P.O. Box 47250</w:t>
        </w:r>
      </w:smartTag>
    </w:smartTag>
    <w:r w:rsidRPr="00E04A9F">
      <w:rPr>
        <w:rFonts w:ascii="Arial" w:eastAsia="Times New Roman" w:hAnsi="Arial" w:cs="Times New Roman"/>
        <w:b/>
        <w:i/>
        <w:color w:val="008000"/>
        <w:sz w:val="18"/>
        <w:szCs w:val="24"/>
      </w:rPr>
      <w:t xml:space="preserve"> </w:t>
    </w:r>
    <w:r w:rsidRPr="00E04A9F">
      <w:rPr>
        <w:rFonts w:ascii="Arial" w:eastAsia="Times New Roman" w:hAnsi="Arial" w:cs="Arial"/>
        <w:b/>
        <w:i/>
        <w:color w:val="008000"/>
        <w:sz w:val="18"/>
        <w:szCs w:val="24"/>
      </w:rPr>
      <w:t>●</w:t>
    </w:r>
    <w:r w:rsidRPr="00E04A9F">
      <w:rPr>
        <w:rFonts w:ascii="Arial" w:eastAsia="Times New Roman" w:hAnsi="Arial" w:cs="Times New Roman"/>
        <w:b/>
        <w:i/>
        <w:color w:val="008000"/>
        <w:sz w:val="18"/>
        <w:szCs w:val="24"/>
      </w:rPr>
      <w:t xml:space="preserve"> </w:t>
    </w:r>
    <w:smartTag w:uri="urn:schemas-microsoft-com:office:smarttags" w:element="place">
      <w:smartTag w:uri="urn:schemas-microsoft-com:office:smarttags" w:element="City">
        <w:r w:rsidRPr="00E04A9F">
          <w:rPr>
            <w:rFonts w:ascii="Arial" w:eastAsia="Times New Roman" w:hAnsi="Arial" w:cs="Times New Roman"/>
            <w:b/>
            <w:i/>
            <w:color w:val="008000"/>
            <w:sz w:val="18"/>
            <w:szCs w:val="24"/>
          </w:rPr>
          <w:t>Olympia</w:t>
        </w:r>
      </w:smartTag>
      <w:r w:rsidRPr="00E04A9F">
        <w:rPr>
          <w:rFonts w:ascii="Arial" w:eastAsia="Times New Roman" w:hAnsi="Arial" w:cs="Times New Roman"/>
          <w:b/>
          <w:i/>
          <w:color w:val="008000"/>
          <w:sz w:val="18"/>
          <w:szCs w:val="24"/>
        </w:rPr>
        <w:t xml:space="preserve">, </w:t>
      </w:r>
      <w:smartTag w:uri="urn:schemas-microsoft-com:office:smarttags" w:element="State">
        <w:r w:rsidRPr="00E04A9F">
          <w:rPr>
            <w:rFonts w:ascii="Arial" w:eastAsia="Times New Roman" w:hAnsi="Arial" w:cs="Times New Roman"/>
            <w:b/>
            <w:i/>
            <w:color w:val="008000"/>
            <w:sz w:val="18"/>
            <w:szCs w:val="24"/>
          </w:rPr>
          <w:t>Washington</w:t>
        </w:r>
      </w:smartTag>
      <w:r w:rsidRPr="00E04A9F">
        <w:rPr>
          <w:rFonts w:ascii="Arial" w:eastAsia="Times New Roman" w:hAnsi="Arial" w:cs="Times New Roman"/>
          <w:b/>
          <w:i/>
          <w:color w:val="008000"/>
          <w:sz w:val="18"/>
          <w:szCs w:val="24"/>
        </w:rPr>
        <w:t xml:space="preserve"> </w:t>
      </w:r>
      <w:smartTag w:uri="urn:schemas-microsoft-com:office:smarttags" w:element="PostalCode">
        <w:r w:rsidRPr="00E04A9F">
          <w:rPr>
            <w:rFonts w:ascii="Arial" w:eastAsia="Times New Roman" w:hAnsi="Arial" w:cs="Times New Roman"/>
            <w:b/>
            <w:i/>
            <w:color w:val="008000"/>
            <w:sz w:val="18"/>
            <w:szCs w:val="24"/>
          </w:rPr>
          <w:t>98504-7250</w:t>
        </w:r>
      </w:smartTag>
    </w:smartTag>
  </w:p>
  <w:p w:rsidR="007E047B" w:rsidRPr="0042544E" w:rsidRDefault="007E047B" w:rsidP="0042544E">
    <w:pPr>
      <w:tabs>
        <w:tab w:val="center" w:pos="4680"/>
        <w:tab w:val="right" w:pos="9360"/>
      </w:tabs>
      <w:spacing w:after="0" w:line="240" w:lineRule="auto"/>
      <w:jc w:val="center"/>
      <w:rPr>
        <w:rFonts w:ascii="Times New Roman" w:eastAsia="Times New Roman" w:hAnsi="Times New Roman" w:cs="Times New Roman"/>
        <w:sz w:val="24"/>
        <w:szCs w:val="24"/>
      </w:rPr>
    </w:pPr>
    <w:r w:rsidRPr="00E04A9F">
      <w:rPr>
        <w:rFonts w:ascii="Arial" w:eastAsia="Times New Roman" w:hAnsi="Arial" w:cs="Times New Roman"/>
        <w:b/>
        <w:color w:val="008000"/>
        <w:sz w:val="18"/>
        <w:szCs w:val="24"/>
      </w:rPr>
      <w:t xml:space="preserve">(360) 664-1160 </w:t>
    </w:r>
    <w:r w:rsidRPr="00E04A9F">
      <w:rPr>
        <w:rFonts w:ascii="Arial" w:eastAsia="Times New Roman" w:hAnsi="Arial" w:cs="Arial"/>
        <w:b/>
        <w:color w:val="008000"/>
        <w:sz w:val="18"/>
        <w:szCs w:val="24"/>
      </w:rPr>
      <w:t>● TTY (360) 586-8203</w:t>
    </w:r>
  </w:p>
  <w:p w:rsidR="00DB5693" w:rsidRPr="007E047B" w:rsidRDefault="00DB5693" w:rsidP="007E0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76A"/>
    <w:multiLevelType w:val="hybridMultilevel"/>
    <w:tmpl w:val="D822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4C0C33"/>
    <w:multiLevelType w:val="hybridMultilevel"/>
    <w:tmpl w:val="4E429E54"/>
    <w:lvl w:ilvl="0" w:tplc="9F505800">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9F"/>
    <w:rsid w:val="000B4ECD"/>
    <w:rsid w:val="001C6C42"/>
    <w:rsid w:val="0042544E"/>
    <w:rsid w:val="00527247"/>
    <w:rsid w:val="007E047B"/>
    <w:rsid w:val="00804C72"/>
    <w:rsid w:val="00A60708"/>
    <w:rsid w:val="00B0482C"/>
    <w:rsid w:val="00B17F57"/>
    <w:rsid w:val="00DB5693"/>
    <w:rsid w:val="00E04A9F"/>
    <w:rsid w:val="00F4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F2156F7-D73D-4605-8B53-99EA006F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A9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B56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A9F"/>
  </w:style>
  <w:style w:type="paragraph" w:styleId="Footer">
    <w:name w:val="footer"/>
    <w:basedOn w:val="Normal"/>
    <w:link w:val="FooterChar"/>
    <w:uiPriority w:val="99"/>
    <w:unhideWhenUsed/>
    <w:rsid w:val="00E0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A9F"/>
  </w:style>
  <w:style w:type="character" w:customStyle="1" w:styleId="Heading1Char">
    <w:name w:val="Heading 1 Char"/>
    <w:basedOn w:val="DefaultParagraphFont"/>
    <w:link w:val="Heading1"/>
    <w:uiPriority w:val="9"/>
    <w:rsid w:val="00E04A9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unhideWhenUsed/>
    <w:rsid w:val="007E047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E047B"/>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DB569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60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4480">
      <w:bodyDiv w:val="1"/>
      <w:marLeft w:val="0"/>
      <w:marRight w:val="0"/>
      <w:marTop w:val="0"/>
      <w:marBottom w:val="0"/>
      <w:divBdr>
        <w:top w:val="none" w:sz="0" w:space="0" w:color="auto"/>
        <w:left w:val="none" w:sz="0" w:space="0" w:color="auto"/>
        <w:bottom w:val="none" w:sz="0" w:space="0" w:color="auto"/>
        <w:right w:val="none" w:sz="0" w:space="0" w:color="auto"/>
      </w:divBdr>
    </w:div>
    <w:div w:id="345137867">
      <w:bodyDiv w:val="1"/>
      <w:marLeft w:val="0"/>
      <w:marRight w:val="0"/>
      <w:marTop w:val="0"/>
      <w:marBottom w:val="0"/>
      <w:divBdr>
        <w:top w:val="none" w:sz="0" w:space="0" w:color="auto"/>
        <w:left w:val="none" w:sz="0" w:space="0" w:color="auto"/>
        <w:bottom w:val="none" w:sz="0" w:space="0" w:color="auto"/>
        <w:right w:val="none" w:sz="0" w:space="0" w:color="auto"/>
      </w:divBdr>
    </w:div>
    <w:div w:id="651182635">
      <w:bodyDiv w:val="1"/>
      <w:marLeft w:val="0"/>
      <w:marRight w:val="0"/>
      <w:marTop w:val="0"/>
      <w:marBottom w:val="0"/>
      <w:divBdr>
        <w:top w:val="none" w:sz="0" w:space="0" w:color="auto"/>
        <w:left w:val="none" w:sz="0" w:space="0" w:color="auto"/>
        <w:bottom w:val="none" w:sz="0" w:space="0" w:color="auto"/>
        <w:right w:val="none" w:sz="0" w:space="0" w:color="auto"/>
      </w:divBdr>
    </w:div>
    <w:div w:id="1252810575">
      <w:bodyDiv w:val="1"/>
      <w:marLeft w:val="0"/>
      <w:marRight w:val="0"/>
      <w:marTop w:val="0"/>
      <w:marBottom w:val="0"/>
      <w:divBdr>
        <w:top w:val="none" w:sz="0" w:space="0" w:color="auto"/>
        <w:left w:val="none" w:sz="0" w:space="0" w:color="auto"/>
        <w:bottom w:val="none" w:sz="0" w:space="0" w:color="auto"/>
        <w:right w:val="none" w:sz="0" w:space="0" w:color="auto"/>
      </w:divBdr>
    </w:div>
    <w:div w:id="1308169468">
      <w:bodyDiv w:val="1"/>
      <w:marLeft w:val="0"/>
      <w:marRight w:val="0"/>
      <w:marTop w:val="0"/>
      <w:marBottom w:val="0"/>
      <w:divBdr>
        <w:top w:val="none" w:sz="0" w:space="0" w:color="auto"/>
        <w:left w:val="none" w:sz="0" w:space="0" w:color="auto"/>
        <w:bottom w:val="none" w:sz="0" w:space="0" w:color="auto"/>
        <w:right w:val="none" w:sz="0" w:space="0" w:color="auto"/>
      </w:divBdr>
    </w:div>
    <w:div w:id="1514150775">
      <w:bodyDiv w:val="1"/>
      <w:marLeft w:val="0"/>
      <w:marRight w:val="0"/>
      <w:marTop w:val="0"/>
      <w:marBottom w:val="0"/>
      <w:divBdr>
        <w:top w:val="none" w:sz="0" w:space="0" w:color="auto"/>
        <w:left w:val="none" w:sz="0" w:space="0" w:color="auto"/>
        <w:bottom w:val="none" w:sz="0" w:space="0" w:color="auto"/>
        <w:right w:val="none" w:sz="0" w:space="0" w:color="auto"/>
      </w:divBdr>
    </w:div>
    <w:div w:id="1636837011">
      <w:bodyDiv w:val="1"/>
      <w:marLeft w:val="0"/>
      <w:marRight w:val="0"/>
      <w:marTop w:val="0"/>
      <w:marBottom w:val="0"/>
      <w:divBdr>
        <w:top w:val="none" w:sz="0" w:space="0" w:color="auto"/>
        <w:left w:val="none" w:sz="0" w:space="0" w:color="auto"/>
        <w:bottom w:val="none" w:sz="0" w:space="0" w:color="auto"/>
        <w:right w:val="none" w:sz="0" w:space="0" w:color="auto"/>
      </w:divBdr>
    </w:div>
    <w:div w:id="1926838298">
      <w:bodyDiv w:val="1"/>
      <w:marLeft w:val="0"/>
      <w:marRight w:val="0"/>
      <w:marTop w:val="0"/>
      <w:marBottom w:val="0"/>
      <w:divBdr>
        <w:top w:val="none" w:sz="0" w:space="0" w:color="auto"/>
        <w:left w:val="none" w:sz="0" w:space="0" w:color="auto"/>
        <w:bottom w:val="none" w:sz="0" w:space="0" w:color="auto"/>
        <w:right w:val="none" w:sz="0" w:space="0" w:color="auto"/>
      </w:divBdr>
    </w:div>
    <w:div w:id="1968512289">
      <w:bodyDiv w:val="1"/>
      <w:marLeft w:val="0"/>
      <w:marRight w:val="0"/>
      <w:marTop w:val="0"/>
      <w:marBottom w:val="0"/>
      <w:divBdr>
        <w:top w:val="none" w:sz="0" w:space="0" w:color="auto"/>
        <w:left w:val="none" w:sz="0" w:space="0" w:color="auto"/>
        <w:bottom w:val="none" w:sz="0" w:space="0" w:color="auto"/>
        <w:right w:val="none" w:sz="0" w:space="0" w:color="auto"/>
      </w:divBdr>
    </w:div>
    <w:div w:id="2023973367">
      <w:bodyDiv w:val="1"/>
      <w:marLeft w:val="0"/>
      <w:marRight w:val="0"/>
      <w:marTop w:val="0"/>
      <w:marBottom w:val="0"/>
      <w:divBdr>
        <w:top w:val="none" w:sz="0" w:space="0" w:color="auto"/>
        <w:left w:val="none" w:sz="0" w:space="0" w:color="auto"/>
        <w:bottom w:val="none" w:sz="0" w:space="0" w:color="auto"/>
        <w:right w:val="none" w:sz="0" w:space="0" w:color="auto"/>
      </w:divBdr>
    </w:div>
    <w:div w:id="2075396914">
      <w:bodyDiv w:val="1"/>
      <w:marLeft w:val="0"/>
      <w:marRight w:val="0"/>
      <w:marTop w:val="0"/>
      <w:marBottom w:val="0"/>
      <w:divBdr>
        <w:top w:val="none" w:sz="0" w:space="0" w:color="auto"/>
        <w:left w:val="none" w:sz="0" w:space="0" w:color="auto"/>
        <w:bottom w:val="none" w:sz="0" w:space="0" w:color="auto"/>
        <w:right w:val="none" w:sz="0" w:space="0" w:color="auto"/>
      </w:divBdr>
    </w:div>
    <w:div w:id="2086994622">
      <w:bodyDiv w:val="1"/>
      <w:marLeft w:val="0"/>
      <w:marRight w:val="0"/>
      <w:marTop w:val="0"/>
      <w:marBottom w:val="0"/>
      <w:divBdr>
        <w:top w:val="none" w:sz="0" w:space="0" w:color="auto"/>
        <w:left w:val="none" w:sz="0" w:space="0" w:color="auto"/>
        <w:bottom w:val="none" w:sz="0" w:space="0" w:color="auto"/>
        <w:right w:val="none" w:sz="0" w:space="0" w:color="auto"/>
      </w:divBdr>
    </w:div>
    <w:div w:id="21413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3088D043ADB6D40B38EC7A4D2FE1737" ma:contentTypeVersion="111" ma:contentTypeDescription="" ma:contentTypeScope="" ma:versionID="3c573386db5243db0ce8f71bdaa652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PG</Prefix>
    <Visibility xmlns="dc463f71-b30c-4ab2-9473-d307f9d35888">Full Visibility</Visibility>
    <DocumentSetType xmlns="dc463f71-b30c-4ab2-9473-d307f9d35888">Letter</DocumentSetType>
    <IsConfidential xmlns="dc463f71-b30c-4ab2-9473-d307f9d35888">false</IsConfidential>
    <CaseType xmlns="dc463f71-b30c-4ab2-9473-d307f9d35888">Staff Investigation</CaseType>
    <IndustryCode xmlns="dc463f71-b30c-4ab2-9473-d307f9d35888">015</IndustryCode>
    <CaseStatus xmlns="dc463f71-b30c-4ab2-9473-d307f9d35888">Closed</CaseStatus>
    <OpenedDate xmlns="dc463f71-b30c-4ab2-9473-d307f9d35888">2015-01-22T08:00:00+00:00</OpenedDate>
    <Date1 xmlns="dc463f71-b30c-4ab2-9473-d307f9d35888">2018-02-08T00:44:00+00:00</Date1>
    <IsDocumentOrder xmlns="dc463f71-b30c-4ab2-9473-d307f9d35888">false</IsDocumentOrder>
    <IsHighlyConfidential xmlns="dc463f71-b30c-4ab2-9473-d307f9d35888">false</IsHighlyConfidential>
    <CaseCompanyNames xmlns="dc463f71-b30c-4ab2-9473-d307f9d35888">Cascade Natural Gas Corporation</CaseCompanyNames>
    <Nickname xmlns="http://schemas.microsoft.com/sharepoint/v3" xsi:nil="true"/>
    <DocketNumber xmlns="dc463f71-b30c-4ab2-9473-d307f9d35888">150120</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Props1.xml><?xml version="1.0" encoding="utf-8"?>
<ds:datastoreItem xmlns:ds="http://schemas.openxmlformats.org/officeDocument/2006/customXml" ds:itemID="{0FF7685D-B94C-4083-B17C-BF81671DBDB6}"/>
</file>

<file path=customXml/itemProps2.xml><?xml version="1.0" encoding="utf-8"?>
<ds:datastoreItem xmlns:ds="http://schemas.openxmlformats.org/officeDocument/2006/customXml" ds:itemID="{8EB19C0F-9BC1-42F5-86DA-7496569ED21A}"/>
</file>

<file path=customXml/itemProps3.xml><?xml version="1.0" encoding="utf-8"?>
<ds:datastoreItem xmlns:ds="http://schemas.openxmlformats.org/officeDocument/2006/customXml" ds:itemID="{E78D2F39-6DEA-402B-B9C6-399AA071D3D5}"/>
</file>

<file path=customXml/itemProps4.xml><?xml version="1.0" encoding="utf-8"?>
<ds:datastoreItem xmlns:ds="http://schemas.openxmlformats.org/officeDocument/2006/customXml" ds:itemID="{C767ABC5-DA22-4D4C-BC37-EA2E931AB5C4}"/>
</file>

<file path=docProps/app.xml><?xml version="1.0" encoding="utf-8"?>
<Properties xmlns="http://schemas.openxmlformats.org/officeDocument/2006/extended-properties" xmlns:vt="http://schemas.openxmlformats.org/officeDocument/2006/docPropsVTypes">
  <Template>Normal</Template>
  <TotalTime>64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Denise (UTC)</dc:creator>
  <cp:keywords/>
  <dc:description/>
  <cp:lastModifiedBy>Crawford, Denise (UTC)</cp:lastModifiedBy>
  <cp:revision>5</cp:revision>
  <cp:lastPrinted>2018-02-07T23:43:00Z</cp:lastPrinted>
  <dcterms:created xsi:type="dcterms:W3CDTF">2018-02-07T22:40:00Z</dcterms:created>
  <dcterms:modified xsi:type="dcterms:W3CDTF">2018-02-07T23:45:00Z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0x0101006E56B4D1795A2E4DB2F0B01679ED314A00A3088D043ADB6D40B38EC7A4D2FE1737</vt:lpwstr>
  </property>
  <property fmtid="{D5CDD505-2E9C-101B-9397-08002B2CF9AE}" pid="4" name="EfsecDocumentType">
    <vt:lpwstr>Documents</vt:lpwstr>
  </property>
  <property fmtid="{D5CDD505-2E9C-101B-9397-08002B2CF9AE}" pid="9" name="IsOfficialRecord">
    <vt:bool>false</vt:bool>
  </property>
  <property fmtid="{D5CDD505-2E9C-101B-9397-08002B2CF9AE}" pid="10" name="IsVisibleToEfsecCouncil">
    <vt:bool>false</vt:bool>
  </property>
  <property fmtid="{D5CDD505-2E9C-101B-9397-08002B2CF9AE}" pid="11" name="_docset_NoMedatataSyncRequired">
    <vt:lpwstr>False</vt:lpwstr>
  </property>
  <property fmtid="{D5CDD505-2E9C-101B-9397-08002B2CF9AE}" pid="12" name="IsEFSEC">
    <vt:bool>false</vt:bool>
  </property>
</Properties>
</file>