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AC" w:rsidRPr="00384017" w:rsidRDefault="007F5EDF" w:rsidP="00384017">
      <w:pPr>
        <w:pStyle w:val="Subtitle"/>
        <w:tabs>
          <w:tab w:val="right" w:pos="9180"/>
        </w:tabs>
        <w:ind w:right="36"/>
        <w:rPr>
          <w:sz w:val="24"/>
          <w:szCs w:val="24"/>
        </w:rPr>
      </w:pPr>
      <w:bookmarkStart w:id="0" w:name="_GoBack"/>
      <w:bookmarkEnd w:id="0"/>
      <w:r w:rsidRPr="00384017">
        <w:rPr>
          <w:sz w:val="24"/>
          <w:szCs w:val="24"/>
        </w:rPr>
        <w:t>TABLE OF CONTENTS</w:t>
      </w:r>
    </w:p>
    <w:p w:rsidR="00874378" w:rsidRDefault="007F5EDF">
      <w:pPr>
        <w:pStyle w:val="TOC1"/>
        <w:tabs>
          <w:tab w:val="right" w:leader="dot" w:pos="8846"/>
        </w:tabs>
        <w:rPr>
          <w:rFonts w:asciiTheme="minorHAnsi" w:eastAsiaTheme="minorEastAsia" w:hAnsiTheme="minorHAnsi" w:cstheme="minorBidi"/>
          <w:bCs w:val="0"/>
          <w:caps w:val="0"/>
          <w:noProof/>
          <w:sz w:val="22"/>
          <w:szCs w:val="22"/>
        </w:rPr>
      </w:pPr>
      <w:r w:rsidRPr="00384017">
        <w:rPr>
          <w:bCs w:val="0"/>
          <w:caps w:val="0"/>
        </w:rPr>
        <w:fldChar w:fldCharType="begin"/>
      </w:r>
      <w:r w:rsidRPr="00384017">
        <w:rPr>
          <w:bCs w:val="0"/>
          <w:caps w:val="0"/>
        </w:rPr>
        <w:instrText xml:space="preserve"> TOC \o "1-3" \h \z \u </w:instrText>
      </w:r>
      <w:r w:rsidRPr="00384017">
        <w:rPr>
          <w:bCs w:val="0"/>
          <w:caps w:val="0"/>
        </w:rPr>
        <w:fldChar w:fldCharType="separate"/>
      </w:r>
      <w:hyperlink w:anchor="_Toc386637262" w:history="1">
        <w:r w:rsidR="00874378" w:rsidRPr="001077E5">
          <w:rPr>
            <w:rStyle w:val="Hyperlink"/>
            <w:noProof/>
          </w:rPr>
          <w:t>QUALIFICATIONS</w:t>
        </w:r>
        <w:r w:rsidR="00874378">
          <w:rPr>
            <w:noProof/>
            <w:webHidden/>
          </w:rPr>
          <w:tab/>
        </w:r>
        <w:r w:rsidR="00874378">
          <w:rPr>
            <w:noProof/>
            <w:webHidden/>
          </w:rPr>
          <w:fldChar w:fldCharType="begin"/>
        </w:r>
        <w:r w:rsidR="00874378">
          <w:rPr>
            <w:noProof/>
            <w:webHidden/>
          </w:rPr>
          <w:instrText xml:space="preserve"> PAGEREF _Toc386637262 \h </w:instrText>
        </w:r>
        <w:r w:rsidR="00874378">
          <w:rPr>
            <w:noProof/>
            <w:webHidden/>
          </w:rPr>
        </w:r>
        <w:r w:rsidR="00874378">
          <w:rPr>
            <w:noProof/>
            <w:webHidden/>
          </w:rPr>
          <w:fldChar w:fldCharType="separate"/>
        </w:r>
        <w:r w:rsidR="0032112C">
          <w:rPr>
            <w:noProof/>
            <w:webHidden/>
          </w:rPr>
          <w:t>1</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63" w:history="1">
        <w:r w:rsidR="00874378" w:rsidRPr="001077E5">
          <w:rPr>
            <w:rStyle w:val="Hyperlink"/>
            <w:noProof/>
          </w:rPr>
          <w:t>Purpose of Testimony and summary of opinions</w:t>
        </w:r>
        <w:r w:rsidR="00874378">
          <w:rPr>
            <w:noProof/>
            <w:webHidden/>
          </w:rPr>
          <w:tab/>
        </w:r>
        <w:r w:rsidR="00874378">
          <w:rPr>
            <w:noProof/>
            <w:webHidden/>
          </w:rPr>
          <w:fldChar w:fldCharType="begin"/>
        </w:r>
        <w:r w:rsidR="00874378">
          <w:rPr>
            <w:noProof/>
            <w:webHidden/>
          </w:rPr>
          <w:instrText xml:space="preserve"> PAGEREF _Toc386637263 \h </w:instrText>
        </w:r>
        <w:r w:rsidR="00874378">
          <w:rPr>
            <w:noProof/>
            <w:webHidden/>
          </w:rPr>
        </w:r>
        <w:r w:rsidR="00874378">
          <w:rPr>
            <w:noProof/>
            <w:webHidden/>
          </w:rPr>
          <w:fldChar w:fldCharType="separate"/>
        </w:r>
        <w:r w:rsidR="0032112C">
          <w:rPr>
            <w:noProof/>
            <w:webHidden/>
          </w:rPr>
          <w:t>2</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64" w:history="1">
        <w:r w:rsidR="00874378" w:rsidRPr="001077E5">
          <w:rPr>
            <w:rStyle w:val="Hyperlink"/>
            <w:noProof/>
          </w:rPr>
          <w:t>Background on the Fair Rate of Return on Equity</w:t>
        </w:r>
        <w:r w:rsidR="00874378">
          <w:rPr>
            <w:noProof/>
            <w:webHidden/>
          </w:rPr>
          <w:tab/>
        </w:r>
        <w:r w:rsidR="00874378">
          <w:rPr>
            <w:noProof/>
            <w:webHidden/>
          </w:rPr>
          <w:fldChar w:fldCharType="begin"/>
        </w:r>
        <w:r w:rsidR="00874378">
          <w:rPr>
            <w:noProof/>
            <w:webHidden/>
          </w:rPr>
          <w:instrText xml:space="preserve"> PAGEREF _Toc386637264 \h </w:instrText>
        </w:r>
        <w:r w:rsidR="00874378">
          <w:rPr>
            <w:noProof/>
            <w:webHidden/>
          </w:rPr>
        </w:r>
        <w:r w:rsidR="00874378">
          <w:rPr>
            <w:noProof/>
            <w:webHidden/>
          </w:rPr>
          <w:fldChar w:fldCharType="separate"/>
        </w:r>
        <w:r w:rsidR="0032112C">
          <w:rPr>
            <w:noProof/>
            <w:webHidden/>
          </w:rPr>
          <w:t>4</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65" w:history="1">
        <w:r w:rsidR="00874378" w:rsidRPr="001077E5">
          <w:rPr>
            <w:rStyle w:val="Hyperlink"/>
            <w:noProof/>
          </w:rPr>
          <w:t>CURRENT CAPITAL MARKET CONDITIONS</w:t>
        </w:r>
        <w:r w:rsidR="00874378">
          <w:rPr>
            <w:noProof/>
            <w:webHidden/>
          </w:rPr>
          <w:tab/>
        </w:r>
        <w:r w:rsidR="00874378">
          <w:rPr>
            <w:noProof/>
            <w:webHidden/>
          </w:rPr>
          <w:fldChar w:fldCharType="begin"/>
        </w:r>
        <w:r w:rsidR="00874378">
          <w:rPr>
            <w:noProof/>
            <w:webHidden/>
          </w:rPr>
          <w:instrText xml:space="preserve"> PAGEREF _Toc386637265 \h </w:instrText>
        </w:r>
        <w:r w:rsidR="00874378">
          <w:rPr>
            <w:noProof/>
            <w:webHidden/>
          </w:rPr>
        </w:r>
        <w:r w:rsidR="00874378">
          <w:rPr>
            <w:noProof/>
            <w:webHidden/>
          </w:rPr>
          <w:fldChar w:fldCharType="separate"/>
        </w:r>
        <w:r w:rsidR="0032112C">
          <w:rPr>
            <w:noProof/>
            <w:webHidden/>
          </w:rPr>
          <w:t>7</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66" w:history="1">
        <w:r w:rsidR="00874378" w:rsidRPr="001077E5">
          <w:rPr>
            <w:rStyle w:val="Hyperlink"/>
            <w:noProof/>
          </w:rPr>
          <w:t>SELECTION OF A PROXY GROUP OF COMPANIES</w:t>
        </w:r>
        <w:r w:rsidR="00874378">
          <w:rPr>
            <w:noProof/>
            <w:webHidden/>
          </w:rPr>
          <w:tab/>
        </w:r>
        <w:r w:rsidR="00874378">
          <w:rPr>
            <w:noProof/>
            <w:webHidden/>
          </w:rPr>
          <w:fldChar w:fldCharType="begin"/>
        </w:r>
        <w:r w:rsidR="00874378">
          <w:rPr>
            <w:noProof/>
            <w:webHidden/>
          </w:rPr>
          <w:instrText xml:space="preserve"> PAGEREF _Toc386637266 \h </w:instrText>
        </w:r>
        <w:r w:rsidR="00874378">
          <w:rPr>
            <w:noProof/>
            <w:webHidden/>
          </w:rPr>
        </w:r>
        <w:r w:rsidR="00874378">
          <w:rPr>
            <w:noProof/>
            <w:webHidden/>
          </w:rPr>
          <w:fldChar w:fldCharType="separate"/>
        </w:r>
        <w:r w:rsidR="0032112C">
          <w:rPr>
            <w:noProof/>
            <w:webHidden/>
          </w:rPr>
          <w:t>7</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67" w:history="1">
        <w:r w:rsidR="00874378" w:rsidRPr="001077E5">
          <w:rPr>
            <w:rStyle w:val="Hyperlink"/>
            <w:noProof/>
          </w:rPr>
          <w:t>DIscounted Cash Flow AND YIELD-PLUS-GROWTH ModelS</w:t>
        </w:r>
        <w:r w:rsidR="00874378">
          <w:rPr>
            <w:noProof/>
            <w:webHidden/>
          </w:rPr>
          <w:tab/>
        </w:r>
        <w:r w:rsidR="00874378">
          <w:rPr>
            <w:noProof/>
            <w:webHidden/>
          </w:rPr>
          <w:fldChar w:fldCharType="begin"/>
        </w:r>
        <w:r w:rsidR="00874378">
          <w:rPr>
            <w:noProof/>
            <w:webHidden/>
          </w:rPr>
          <w:instrText xml:space="preserve"> PAGEREF _Toc386637267 \h </w:instrText>
        </w:r>
        <w:r w:rsidR="00874378">
          <w:rPr>
            <w:noProof/>
            <w:webHidden/>
          </w:rPr>
        </w:r>
        <w:r w:rsidR="00874378">
          <w:rPr>
            <w:noProof/>
            <w:webHidden/>
          </w:rPr>
          <w:fldChar w:fldCharType="separate"/>
        </w:r>
        <w:r w:rsidR="0032112C">
          <w:rPr>
            <w:noProof/>
            <w:webHidden/>
          </w:rPr>
          <w:t>10</w:t>
        </w:r>
        <w:r w:rsidR="00874378">
          <w:rPr>
            <w:noProof/>
            <w:webHidden/>
          </w:rPr>
          <w:fldChar w:fldCharType="end"/>
        </w:r>
      </w:hyperlink>
    </w:p>
    <w:p w:rsidR="00874378" w:rsidRDefault="00A33B85">
      <w:pPr>
        <w:pStyle w:val="TOC2"/>
        <w:tabs>
          <w:tab w:val="right" w:leader="dot" w:pos="8846"/>
        </w:tabs>
        <w:rPr>
          <w:rFonts w:asciiTheme="minorHAnsi" w:eastAsiaTheme="minorEastAsia" w:hAnsiTheme="minorHAnsi" w:cstheme="minorBidi"/>
          <w:noProof/>
          <w:sz w:val="22"/>
          <w:szCs w:val="22"/>
        </w:rPr>
      </w:pPr>
      <w:hyperlink w:anchor="_Toc386637268" w:history="1">
        <w:r w:rsidR="00874378" w:rsidRPr="001077E5">
          <w:rPr>
            <w:rStyle w:val="Hyperlink"/>
            <w:noProof/>
          </w:rPr>
          <w:t>Overview of the DCF Model</w:t>
        </w:r>
        <w:r w:rsidR="00874378">
          <w:rPr>
            <w:noProof/>
            <w:webHidden/>
          </w:rPr>
          <w:tab/>
        </w:r>
        <w:r w:rsidR="00874378">
          <w:rPr>
            <w:noProof/>
            <w:webHidden/>
          </w:rPr>
          <w:fldChar w:fldCharType="begin"/>
        </w:r>
        <w:r w:rsidR="00874378">
          <w:rPr>
            <w:noProof/>
            <w:webHidden/>
          </w:rPr>
          <w:instrText xml:space="preserve"> PAGEREF _Toc386637268 \h </w:instrText>
        </w:r>
        <w:r w:rsidR="00874378">
          <w:rPr>
            <w:noProof/>
            <w:webHidden/>
          </w:rPr>
        </w:r>
        <w:r w:rsidR="00874378">
          <w:rPr>
            <w:noProof/>
            <w:webHidden/>
          </w:rPr>
          <w:fldChar w:fldCharType="separate"/>
        </w:r>
        <w:r w:rsidR="0032112C">
          <w:rPr>
            <w:noProof/>
            <w:webHidden/>
          </w:rPr>
          <w:t>10</w:t>
        </w:r>
        <w:r w:rsidR="00874378">
          <w:rPr>
            <w:noProof/>
            <w:webHidden/>
          </w:rPr>
          <w:fldChar w:fldCharType="end"/>
        </w:r>
      </w:hyperlink>
    </w:p>
    <w:p w:rsidR="00874378" w:rsidRDefault="00A33B85">
      <w:pPr>
        <w:pStyle w:val="TOC2"/>
        <w:tabs>
          <w:tab w:val="right" w:leader="dot" w:pos="8846"/>
        </w:tabs>
        <w:rPr>
          <w:rFonts w:asciiTheme="minorHAnsi" w:eastAsiaTheme="minorEastAsia" w:hAnsiTheme="minorHAnsi" w:cstheme="minorBidi"/>
          <w:noProof/>
          <w:sz w:val="22"/>
          <w:szCs w:val="22"/>
        </w:rPr>
      </w:pPr>
      <w:hyperlink w:anchor="_Toc386637269" w:history="1">
        <w:r w:rsidR="00874378" w:rsidRPr="001077E5">
          <w:rPr>
            <w:rStyle w:val="Hyperlink"/>
            <w:noProof/>
          </w:rPr>
          <w:t>Inputs into the DCF Calculations</w:t>
        </w:r>
        <w:r w:rsidR="00874378">
          <w:rPr>
            <w:noProof/>
            <w:webHidden/>
          </w:rPr>
          <w:tab/>
        </w:r>
        <w:r w:rsidR="00874378">
          <w:rPr>
            <w:noProof/>
            <w:webHidden/>
          </w:rPr>
          <w:fldChar w:fldCharType="begin"/>
        </w:r>
        <w:r w:rsidR="00874378">
          <w:rPr>
            <w:noProof/>
            <w:webHidden/>
          </w:rPr>
          <w:instrText xml:space="preserve"> PAGEREF _Toc386637269 \h </w:instrText>
        </w:r>
        <w:r w:rsidR="00874378">
          <w:rPr>
            <w:noProof/>
            <w:webHidden/>
          </w:rPr>
        </w:r>
        <w:r w:rsidR="00874378">
          <w:rPr>
            <w:noProof/>
            <w:webHidden/>
          </w:rPr>
          <w:fldChar w:fldCharType="separate"/>
        </w:r>
        <w:r w:rsidR="0032112C">
          <w:rPr>
            <w:noProof/>
            <w:webHidden/>
          </w:rPr>
          <w:t>11</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70" w:history="1">
        <w:r w:rsidR="00874378" w:rsidRPr="001077E5">
          <w:rPr>
            <w:rStyle w:val="Hyperlink"/>
            <w:noProof/>
          </w:rPr>
          <w:t>CAPM and risk premium models</w:t>
        </w:r>
        <w:r w:rsidR="00874378">
          <w:rPr>
            <w:noProof/>
            <w:webHidden/>
          </w:rPr>
          <w:tab/>
        </w:r>
        <w:r w:rsidR="00874378">
          <w:rPr>
            <w:noProof/>
            <w:webHidden/>
          </w:rPr>
          <w:fldChar w:fldCharType="begin"/>
        </w:r>
        <w:r w:rsidR="00874378">
          <w:rPr>
            <w:noProof/>
            <w:webHidden/>
          </w:rPr>
          <w:instrText xml:space="preserve"> PAGEREF _Toc386637270 \h </w:instrText>
        </w:r>
        <w:r w:rsidR="00874378">
          <w:rPr>
            <w:noProof/>
            <w:webHidden/>
          </w:rPr>
        </w:r>
        <w:r w:rsidR="00874378">
          <w:rPr>
            <w:noProof/>
            <w:webHidden/>
          </w:rPr>
          <w:fldChar w:fldCharType="separate"/>
        </w:r>
        <w:r w:rsidR="0032112C">
          <w:rPr>
            <w:noProof/>
            <w:webHidden/>
          </w:rPr>
          <w:t>13</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71" w:history="1">
        <w:r w:rsidR="00874378" w:rsidRPr="001077E5">
          <w:rPr>
            <w:rStyle w:val="Hyperlink"/>
            <w:noProof/>
          </w:rPr>
          <w:t>Business and Financial RISKs Relative TO the proxy Group</w:t>
        </w:r>
        <w:r w:rsidR="00874378">
          <w:rPr>
            <w:noProof/>
            <w:webHidden/>
          </w:rPr>
          <w:tab/>
        </w:r>
        <w:r w:rsidR="00874378">
          <w:rPr>
            <w:noProof/>
            <w:webHidden/>
          </w:rPr>
          <w:fldChar w:fldCharType="begin"/>
        </w:r>
        <w:r w:rsidR="00874378">
          <w:rPr>
            <w:noProof/>
            <w:webHidden/>
          </w:rPr>
          <w:instrText xml:space="preserve"> PAGEREF _Toc386637271 \h </w:instrText>
        </w:r>
        <w:r w:rsidR="00874378">
          <w:rPr>
            <w:noProof/>
            <w:webHidden/>
          </w:rPr>
        </w:r>
        <w:r w:rsidR="00874378">
          <w:rPr>
            <w:noProof/>
            <w:webHidden/>
          </w:rPr>
          <w:fldChar w:fldCharType="separate"/>
        </w:r>
        <w:r w:rsidR="0032112C">
          <w:rPr>
            <w:noProof/>
            <w:webHidden/>
          </w:rPr>
          <w:t>18</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72" w:history="1">
        <w:r w:rsidR="00874378" w:rsidRPr="001077E5">
          <w:rPr>
            <w:rStyle w:val="Hyperlink"/>
            <w:noProof/>
          </w:rPr>
          <w:t>Comparison to Allowed Returns</w:t>
        </w:r>
        <w:r w:rsidR="00874378">
          <w:rPr>
            <w:noProof/>
            <w:webHidden/>
          </w:rPr>
          <w:tab/>
        </w:r>
        <w:r w:rsidR="00874378">
          <w:rPr>
            <w:noProof/>
            <w:webHidden/>
          </w:rPr>
          <w:fldChar w:fldCharType="begin"/>
        </w:r>
        <w:r w:rsidR="00874378">
          <w:rPr>
            <w:noProof/>
            <w:webHidden/>
          </w:rPr>
          <w:instrText xml:space="preserve"> PAGEREF _Toc386637272 \h </w:instrText>
        </w:r>
        <w:r w:rsidR="00874378">
          <w:rPr>
            <w:noProof/>
            <w:webHidden/>
          </w:rPr>
        </w:r>
        <w:r w:rsidR="00874378">
          <w:rPr>
            <w:noProof/>
            <w:webHidden/>
          </w:rPr>
          <w:fldChar w:fldCharType="separate"/>
        </w:r>
        <w:r w:rsidR="0032112C">
          <w:rPr>
            <w:noProof/>
            <w:webHidden/>
          </w:rPr>
          <w:t>20</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73" w:history="1">
        <w:r w:rsidR="00874378" w:rsidRPr="001077E5">
          <w:rPr>
            <w:rStyle w:val="Hyperlink"/>
            <w:noProof/>
          </w:rPr>
          <w:t>Hypothetical Capital Structure</w:t>
        </w:r>
        <w:r w:rsidR="00874378">
          <w:rPr>
            <w:noProof/>
            <w:webHidden/>
          </w:rPr>
          <w:tab/>
        </w:r>
        <w:r w:rsidR="00874378">
          <w:rPr>
            <w:noProof/>
            <w:webHidden/>
          </w:rPr>
          <w:fldChar w:fldCharType="begin"/>
        </w:r>
        <w:r w:rsidR="00874378">
          <w:rPr>
            <w:noProof/>
            <w:webHidden/>
          </w:rPr>
          <w:instrText xml:space="preserve"> PAGEREF _Toc386637273 \h </w:instrText>
        </w:r>
        <w:r w:rsidR="00874378">
          <w:rPr>
            <w:noProof/>
            <w:webHidden/>
          </w:rPr>
        </w:r>
        <w:r w:rsidR="00874378">
          <w:rPr>
            <w:noProof/>
            <w:webHidden/>
          </w:rPr>
          <w:fldChar w:fldCharType="separate"/>
        </w:r>
        <w:r w:rsidR="0032112C">
          <w:rPr>
            <w:noProof/>
            <w:webHidden/>
          </w:rPr>
          <w:t>21</w:t>
        </w:r>
        <w:r w:rsidR="00874378">
          <w:rPr>
            <w:noProof/>
            <w:webHidden/>
          </w:rPr>
          <w:fldChar w:fldCharType="end"/>
        </w:r>
      </w:hyperlink>
    </w:p>
    <w:p w:rsidR="00874378" w:rsidRDefault="00A33B85">
      <w:pPr>
        <w:pStyle w:val="TOC1"/>
        <w:tabs>
          <w:tab w:val="right" w:leader="dot" w:pos="8846"/>
        </w:tabs>
        <w:rPr>
          <w:rFonts w:asciiTheme="minorHAnsi" w:eastAsiaTheme="minorEastAsia" w:hAnsiTheme="minorHAnsi" w:cstheme="minorBidi"/>
          <w:bCs w:val="0"/>
          <w:caps w:val="0"/>
          <w:noProof/>
          <w:sz w:val="22"/>
          <w:szCs w:val="22"/>
        </w:rPr>
      </w:pPr>
      <w:hyperlink w:anchor="_Toc386637274" w:history="1">
        <w:r w:rsidR="00874378" w:rsidRPr="001077E5">
          <w:rPr>
            <w:rStyle w:val="Hyperlink"/>
            <w:noProof/>
          </w:rPr>
          <w:t>Recommended Return on Equity</w:t>
        </w:r>
        <w:r w:rsidR="00874378">
          <w:rPr>
            <w:noProof/>
            <w:webHidden/>
          </w:rPr>
          <w:tab/>
        </w:r>
        <w:r w:rsidR="00874378">
          <w:rPr>
            <w:noProof/>
            <w:webHidden/>
          </w:rPr>
          <w:fldChar w:fldCharType="begin"/>
        </w:r>
        <w:r w:rsidR="00874378">
          <w:rPr>
            <w:noProof/>
            <w:webHidden/>
          </w:rPr>
          <w:instrText xml:space="preserve"> PAGEREF _Toc386637274 \h </w:instrText>
        </w:r>
        <w:r w:rsidR="00874378">
          <w:rPr>
            <w:noProof/>
            <w:webHidden/>
          </w:rPr>
        </w:r>
        <w:r w:rsidR="00874378">
          <w:rPr>
            <w:noProof/>
            <w:webHidden/>
          </w:rPr>
          <w:fldChar w:fldCharType="separate"/>
        </w:r>
        <w:r w:rsidR="0032112C">
          <w:rPr>
            <w:noProof/>
            <w:webHidden/>
          </w:rPr>
          <w:t>27</w:t>
        </w:r>
        <w:r w:rsidR="00874378">
          <w:rPr>
            <w:noProof/>
            <w:webHidden/>
          </w:rPr>
          <w:fldChar w:fldCharType="end"/>
        </w:r>
      </w:hyperlink>
    </w:p>
    <w:p w:rsidR="008E22C3" w:rsidRDefault="007F5EDF" w:rsidP="008E22C3">
      <w:pPr>
        <w:rPr>
          <w:b/>
          <w:bCs/>
          <w:noProof/>
        </w:rPr>
      </w:pPr>
      <w:r w:rsidRPr="00384017">
        <w:rPr>
          <w:bCs/>
          <w:caps/>
          <w:szCs w:val="24"/>
        </w:rPr>
        <w:fldChar w:fldCharType="end"/>
      </w:r>
    </w:p>
    <w:p w:rsidR="008E22C3" w:rsidRDefault="008E22C3" w:rsidP="008E22C3"/>
    <w:p w:rsidR="008E22C3" w:rsidRPr="008E22C3" w:rsidRDefault="008E22C3" w:rsidP="008E22C3">
      <w:pPr>
        <w:spacing w:line="480" w:lineRule="auto"/>
        <w:jc w:val="center"/>
        <w:rPr>
          <w:b/>
        </w:rPr>
      </w:pPr>
      <w:r w:rsidRPr="008E22C3">
        <w:rPr>
          <w:b/>
        </w:rPr>
        <w:t>ATTACHED EXHIBIT</w:t>
      </w:r>
      <w:r w:rsidR="0084336F">
        <w:rPr>
          <w:b/>
        </w:rPr>
        <w:t>S</w:t>
      </w:r>
    </w:p>
    <w:p w:rsidR="008E22C3" w:rsidRDefault="008E22C3" w:rsidP="008E22C3">
      <w:pPr>
        <w:tabs>
          <w:tab w:val="left" w:pos="2610"/>
        </w:tabs>
        <w:jc w:val="left"/>
      </w:pPr>
      <w:r w:rsidRPr="00A715C9">
        <w:t>Exhibit No.__</w:t>
      </w:r>
      <w:proofErr w:type="gramStart"/>
      <w:r w:rsidRPr="00A715C9">
        <w:t>_(</w:t>
      </w:r>
      <w:proofErr w:type="gramEnd"/>
      <w:r>
        <w:t>KGS</w:t>
      </w:r>
      <w:r w:rsidRPr="00A715C9">
        <w:t>-</w:t>
      </w:r>
      <w:r>
        <w:t>2)—Experience</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rsidR="0084336F">
        <w:t>3)—ROE Recommendation of 10.0 Percent</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 xml:space="preserve">4)—Dividend Yields 1993 – Present </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5)—30 Year Treasury Yields 1993 – Present</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6)—</w:t>
      </w:r>
      <w:r w:rsidR="0084336F">
        <w:t>Electric Proxy Group of Twenty-F</w:t>
      </w:r>
      <w:r>
        <w:t xml:space="preserve">our Companies </w:t>
      </w:r>
    </w:p>
    <w:p w:rsidR="008E22C3" w:rsidRDefault="008E22C3" w:rsidP="008E22C3">
      <w:pPr>
        <w:tabs>
          <w:tab w:val="left" w:pos="2610"/>
        </w:tabs>
        <w:jc w:val="left"/>
      </w:pPr>
      <w:r w:rsidRPr="00A715C9">
        <w:t>Exhibit No.__</w:t>
      </w:r>
      <w:proofErr w:type="gramStart"/>
      <w:r w:rsidRPr="00A715C9">
        <w:t>_(</w:t>
      </w:r>
      <w:proofErr w:type="gramEnd"/>
      <w:r>
        <w:t>KGS</w:t>
      </w:r>
      <w:r w:rsidRPr="00A715C9">
        <w:t>-</w:t>
      </w:r>
      <w:r>
        <w:t>7)—Screening of Proxy Group</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8)—Electric Utility Return on Equity Data</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 xml:space="preserve">9)—Sustainable Growth Inputs </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10)—DCF Analysis</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rsidR="00D92334">
        <w:t>11)—Yield-P</w:t>
      </w:r>
      <w:r>
        <w:t>lus-Growth-Model</w:t>
      </w:r>
    </w:p>
    <w:p w:rsidR="008E22C3" w:rsidRDefault="008E22C3" w:rsidP="008E22C3">
      <w:pPr>
        <w:tabs>
          <w:tab w:val="left" w:pos="2610"/>
        </w:tabs>
        <w:jc w:val="left"/>
      </w:pPr>
      <w:r w:rsidRPr="00A715C9">
        <w:t>Exhibit No.__</w:t>
      </w:r>
      <w:proofErr w:type="gramStart"/>
      <w:r w:rsidRPr="00A715C9">
        <w:t>_(</w:t>
      </w:r>
      <w:proofErr w:type="gramEnd"/>
      <w:r>
        <w:t>KGS</w:t>
      </w:r>
      <w:r w:rsidRPr="00A715C9">
        <w:t>-</w:t>
      </w:r>
      <w:r>
        <w:t>12)—S&amp;P 500 Forward Looking Market Risk of Premium</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13)—CAPM Results</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14)—Risk Premium Model</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15)—Comparable Earnings Model</w:t>
      </w:r>
    </w:p>
    <w:p w:rsidR="008E22C3" w:rsidRPr="008E22C3" w:rsidRDefault="008E22C3" w:rsidP="008E22C3">
      <w:pPr>
        <w:tabs>
          <w:tab w:val="left" w:pos="2610"/>
        </w:tabs>
        <w:jc w:val="left"/>
        <w:rPr>
          <w:bCs/>
          <w:caps/>
          <w:szCs w:val="24"/>
        </w:rPr>
      </w:pPr>
      <w:r w:rsidRPr="00A715C9">
        <w:t>Exhibit No.__</w:t>
      </w:r>
      <w:proofErr w:type="gramStart"/>
      <w:r w:rsidRPr="00A715C9">
        <w:t>_(</w:t>
      </w:r>
      <w:proofErr w:type="gramEnd"/>
      <w:r>
        <w:t>KGS</w:t>
      </w:r>
      <w:r w:rsidRPr="00A715C9">
        <w:t>-</w:t>
      </w:r>
      <w:r>
        <w:t xml:space="preserve">16)—Comparable State Regulatory Returns </w:t>
      </w:r>
    </w:p>
    <w:p w:rsidR="008E22C3" w:rsidRDefault="008E22C3" w:rsidP="008E22C3">
      <w:pPr>
        <w:tabs>
          <w:tab w:val="left" w:pos="2610"/>
        </w:tabs>
        <w:jc w:val="left"/>
        <w:rPr>
          <w:bCs/>
          <w:caps/>
          <w:szCs w:val="24"/>
        </w:rPr>
      </w:pPr>
    </w:p>
    <w:p w:rsidR="008E22C3" w:rsidRPr="008E22C3" w:rsidRDefault="008E22C3" w:rsidP="008E22C3">
      <w:pPr>
        <w:tabs>
          <w:tab w:val="left" w:pos="2610"/>
        </w:tabs>
        <w:jc w:val="left"/>
        <w:rPr>
          <w:bCs/>
          <w:caps/>
          <w:szCs w:val="24"/>
        </w:rPr>
      </w:pPr>
    </w:p>
    <w:p w:rsidR="00EB35AC" w:rsidRPr="00384017" w:rsidRDefault="00EB35AC" w:rsidP="008E22C3">
      <w:pPr>
        <w:pStyle w:val="Subtitle"/>
        <w:spacing w:before="0" w:after="0"/>
        <w:ind w:left="-90" w:right="864"/>
        <w:jc w:val="left"/>
        <w:rPr>
          <w:bCs/>
          <w:caps/>
          <w:sz w:val="24"/>
          <w:szCs w:val="24"/>
        </w:rPr>
      </w:pPr>
    </w:p>
    <w:p w:rsidR="00EB35AC" w:rsidRPr="00384017" w:rsidRDefault="00EB35AC" w:rsidP="00384017">
      <w:pPr>
        <w:pStyle w:val="Subtitle"/>
        <w:jc w:val="left"/>
        <w:rPr>
          <w:bCs/>
          <w:caps/>
          <w:sz w:val="24"/>
          <w:szCs w:val="24"/>
        </w:rPr>
        <w:sectPr w:rsidR="00EB35AC" w:rsidRPr="00384017" w:rsidSect="0038401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288" w:gutter="144"/>
          <w:cols w:space="720"/>
          <w:titlePg/>
          <w:docGrid w:linePitch="326"/>
        </w:sectPr>
      </w:pPr>
    </w:p>
    <w:p w:rsidR="00EB35AC" w:rsidRPr="00384017" w:rsidRDefault="007F5EDF" w:rsidP="00482134">
      <w:pPr>
        <w:pStyle w:val="QAQuestion"/>
        <w:tabs>
          <w:tab w:val="num" w:pos="720"/>
        </w:tabs>
        <w:spacing w:after="0" w:line="480" w:lineRule="auto"/>
        <w:ind w:left="720" w:hanging="720"/>
        <w:jc w:val="left"/>
        <w:rPr>
          <w:b/>
          <w:szCs w:val="24"/>
        </w:rPr>
      </w:pPr>
      <w:r w:rsidRPr="00482134">
        <w:rPr>
          <w:b/>
          <w:szCs w:val="24"/>
        </w:rPr>
        <w:lastRenderedPageBreak/>
        <w:t>Q.</w:t>
      </w:r>
      <w:r w:rsidRPr="00384017">
        <w:rPr>
          <w:b/>
          <w:szCs w:val="24"/>
        </w:rPr>
        <w:tab/>
        <w:t>Please state your name, business address</w:t>
      </w:r>
      <w:r w:rsidR="00384017">
        <w:rPr>
          <w:b/>
          <w:szCs w:val="24"/>
        </w:rPr>
        <w:t>,</w:t>
      </w:r>
      <w:r w:rsidRPr="00384017">
        <w:rPr>
          <w:b/>
          <w:szCs w:val="24"/>
        </w:rPr>
        <w:t xml:space="preserve"> and </w:t>
      </w:r>
      <w:r w:rsidR="009D3399">
        <w:rPr>
          <w:b/>
          <w:szCs w:val="24"/>
        </w:rPr>
        <w:t>present position with Pacific Power &amp; Light Company (Pacific Power or Company), a division of PacifiCorp.</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My name is Kurt G. Strunk.  I am a Vice President at National Economic Research Associates, Inc. (NERA).  NERA is a firm of consulting economists with its principal offices in a number of major U.S. and European cities.  My business address is 1166 Avenue of t</w:t>
      </w:r>
      <w:r w:rsidR="00482134">
        <w:rPr>
          <w:szCs w:val="24"/>
        </w:rPr>
        <w:t>he Americas, New York, New York</w:t>
      </w:r>
      <w:r w:rsidRPr="00384017">
        <w:rPr>
          <w:szCs w:val="24"/>
        </w:rPr>
        <w:t xml:space="preserve"> 10036.</w:t>
      </w:r>
    </w:p>
    <w:p w:rsidR="00EB35AC" w:rsidRPr="00384017" w:rsidRDefault="007F5EDF" w:rsidP="0039223E">
      <w:pPr>
        <w:pStyle w:val="Heading1"/>
        <w:spacing w:before="0" w:after="0" w:line="480" w:lineRule="auto"/>
        <w:ind w:left="0"/>
      </w:pPr>
      <w:bookmarkStart w:id="1" w:name="_Toc386637262"/>
      <w:r w:rsidRPr="00384017">
        <w:t>QUALIFICATIONS</w:t>
      </w:r>
      <w:bookmarkEnd w:id="1"/>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your </w:t>
      </w:r>
      <w:r w:rsidR="0084336F">
        <w:rPr>
          <w:b/>
          <w:szCs w:val="24"/>
        </w:rPr>
        <w:pgNum/>
      </w:r>
      <w:proofErr w:type="spellStart"/>
      <w:r w:rsidR="0084336F">
        <w:rPr>
          <w:b/>
          <w:szCs w:val="24"/>
        </w:rPr>
        <w:t>ducation</w:t>
      </w:r>
      <w:proofErr w:type="spellEnd"/>
      <w:r w:rsidRPr="00384017">
        <w:rPr>
          <w:b/>
          <w:szCs w:val="24"/>
        </w:rPr>
        <w:t>.</w:t>
      </w:r>
    </w:p>
    <w:p w:rsidR="00EB35AC" w:rsidRPr="00384017" w:rsidRDefault="007F5EDF" w:rsidP="00384017">
      <w:pPr>
        <w:pStyle w:val="BodyText"/>
        <w:tabs>
          <w:tab w:val="num" w:pos="720"/>
        </w:tabs>
        <w:spacing w:after="0" w:line="480" w:lineRule="auto"/>
        <w:ind w:left="720" w:hanging="720"/>
        <w:jc w:val="left"/>
        <w:rPr>
          <w:szCs w:val="24"/>
        </w:rPr>
      </w:pPr>
      <w:r w:rsidRPr="00384017">
        <w:rPr>
          <w:szCs w:val="24"/>
        </w:rPr>
        <w:t>A.</w:t>
      </w:r>
      <w:r w:rsidRPr="00384017">
        <w:rPr>
          <w:szCs w:val="24"/>
        </w:rPr>
        <w:tab/>
        <w:t xml:space="preserve">I hold an M.B.A. in </w:t>
      </w:r>
      <w:r w:rsidR="00384017">
        <w:rPr>
          <w:szCs w:val="24"/>
        </w:rPr>
        <w:t>F</w:t>
      </w:r>
      <w:r w:rsidRPr="00384017">
        <w:rPr>
          <w:szCs w:val="24"/>
        </w:rPr>
        <w:t xml:space="preserve">inance with Distinction from INSEAD (The European Institute of Business Administration) and an honors degree in Economics from Vassar College.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your </w:t>
      </w:r>
      <w:r w:rsidR="00482134">
        <w:rPr>
          <w:b/>
          <w:szCs w:val="24"/>
        </w:rPr>
        <w:t>professional experience</w:t>
      </w:r>
      <w:r w:rsidRPr="00384017">
        <w:rPr>
          <w:b/>
          <w:szCs w:val="24"/>
        </w:rPr>
        <w:t>.</w:t>
      </w:r>
    </w:p>
    <w:p w:rsidR="00EB35AC" w:rsidRPr="00384017" w:rsidRDefault="007F5EDF" w:rsidP="00384017">
      <w:pPr>
        <w:pStyle w:val="BodyText"/>
        <w:tabs>
          <w:tab w:val="num" w:pos="720"/>
        </w:tabs>
        <w:spacing w:after="0" w:line="480" w:lineRule="auto"/>
        <w:ind w:left="720" w:hanging="720"/>
        <w:jc w:val="left"/>
        <w:rPr>
          <w:kern w:val="22"/>
          <w:szCs w:val="24"/>
        </w:rPr>
      </w:pPr>
      <w:r w:rsidRPr="00384017">
        <w:rPr>
          <w:szCs w:val="24"/>
        </w:rPr>
        <w:t>A.</w:t>
      </w:r>
      <w:r w:rsidRPr="00384017">
        <w:rPr>
          <w:szCs w:val="24"/>
        </w:rPr>
        <w:tab/>
        <w:t>Since the mid-1990s</w:t>
      </w:r>
      <w:r w:rsidRPr="00384017">
        <w:rPr>
          <w:kern w:val="22"/>
          <w:szCs w:val="24"/>
        </w:rPr>
        <w:t>, my work at NERA has focused on strategic and corporate financial issues facing public utilities in the natural gas, oil and electric power sectors.  I have served as a testifying expert on public utility rate matters before federal, state and provincial regulatory commissions in the U.S. and Canada, and in several U.S. court proceedings.  I have also served as a consulting expert in dozens of administrative law proceedings before North American and European energy regulators.  I have served as a</w:t>
      </w:r>
      <w:r w:rsidR="00C80151" w:rsidRPr="00384017">
        <w:rPr>
          <w:kern w:val="22"/>
          <w:szCs w:val="24"/>
        </w:rPr>
        <w:t>n</w:t>
      </w:r>
      <w:r w:rsidRPr="00384017">
        <w:rPr>
          <w:kern w:val="22"/>
          <w:szCs w:val="24"/>
        </w:rPr>
        <w:t xml:space="preserve"> </w:t>
      </w:r>
      <w:r w:rsidR="00C80151" w:rsidRPr="00384017">
        <w:rPr>
          <w:kern w:val="22"/>
          <w:szCs w:val="24"/>
        </w:rPr>
        <w:t xml:space="preserve">advisor </w:t>
      </w:r>
      <w:r w:rsidRPr="00384017">
        <w:rPr>
          <w:kern w:val="22"/>
          <w:szCs w:val="24"/>
        </w:rPr>
        <w:t>in over 50 rate cases.</w:t>
      </w:r>
    </w:p>
    <w:p w:rsidR="00EB35AC" w:rsidRPr="00384017" w:rsidRDefault="007F5EDF" w:rsidP="00384017">
      <w:pPr>
        <w:pStyle w:val="BodyText"/>
        <w:tabs>
          <w:tab w:val="num" w:pos="720"/>
        </w:tabs>
        <w:spacing w:after="0" w:line="480" w:lineRule="auto"/>
        <w:ind w:left="720" w:hanging="720"/>
        <w:jc w:val="left"/>
        <w:rPr>
          <w:kern w:val="22"/>
          <w:szCs w:val="24"/>
        </w:rPr>
      </w:pPr>
      <w:r w:rsidRPr="00384017">
        <w:rPr>
          <w:kern w:val="22"/>
          <w:szCs w:val="24"/>
        </w:rPr>
        <w:tab/>
      </w:r>
      <w:r w:rsidRPr="00384017">
        <w:rPr>
          <w:kern w:val="22"/>
          <w:szCs w:val="24"/>
        </w:rPr>
        <w:tab/>
        <w:t xml:space="preserve">My assignments frequently require that I determine the appropriate return on equity capital for energy </w:t>
      </w:r>
      <w:r w:rsidR="00464B2A" w:rsidRPr="00384017">
        <w:rPr>
          <w:kern w:val="22"/>
          <w:szCs w:val="24"/>
        </w:rPr>
        <w:t>companies</w:t>
      </w:r>
      <w:r w:rsidRPr="00384017">
        <w:rPr>
          <w:kern w:val="22"/>
          <w:szCs w:val="24"/>
        </w:rPr>
        <w:t>.  I have calculated and supported required rates of return in traditional rate cases for regulated entities</w:t>
      </w:r>
      <w:r w:rsidR="00464B2A" w:rsidRPr="00384017">
        <w:rPr>
          <w:kern w:val="22"/>
          <w:szCs w:val="24"/>
        </w:rPr>
        <w:t xml:space="preserve"> and in litigation and advisory work</w:t>
      </w:r>
      <w:r w:rsidRPr="00384017">
        <w:rPr>
          <w:kern w:val="22"/>
          <w:szCs w:val="24"/>
        </w:rPr>
        <w:t xml:space="preserve">.  I also speak on the topic at industry conferences.  </w:t>
      </w:r>
    </w:p>
    <w:p w:rsidR="00EB35AC" w:rsidRPr="00384017" w:rsidRDefault="007F5EDF" w:rsidP="00384017">
      <w:pPr>
        <w:pStyle w:val="BodyText"/>
        <w:tabs>
          <w:tab w:val="num" w:pos="720"/>
        </w:tabs>
        <w:spacing w:after="0" w:line="480" w:lineRule="auto"/>
        <w:ind w:left="720" w:hanging="720"/>
        <w:jc w:val="left"/>
        <w:rPr>
          <w:szCs w:val="24"/>
        </w:rPr>
      </w:pPr>
      <w:r w:rsidRPr="00384017">
        <w:rPr>
          <w:szCs w:val="24"/>
        </w:rPr>
        <w:lastRenderedPageBreak/>
        <w:tab/>
      </w:r>
      <w:r w:rsidRPr="00384017">
        <w:rPr>
          <w:szCs w:val="24"/>
        </w:rPr>
        <w:tab/>
        <w:t xml:space="preserve">My current curriculum vitae, which more fully details my educational, consulting and testifying experience, is provided as </w:t>
      </w:r>
      <w:r w:rsidRPr="00384017">
        <w:rPr>
          <w:bCs/>
          <w:szCs w:val="24"/>
        </w:rPr>
        <w:t xml:space="preserve">Exhibit </w:t>
      </w:r>
      <w:r w:rsidR="0006618F" w:rsidRPr="00384017">
        <w:rPr>
          <w:bCs/>
          <w:szCs w:val="24"/>
        </w:rPr>
        <w:t>No.__</w:t>
      </w:r>
      <w:proofErr w:type="gramStart"/>
      <w:r w:rsidR="0006618F" w:rsidRPr="00384017">
        <w:rPr>
          <w:bCs/>
          <w:szCs w:val="24"/>
        </w:rPr>
        <w:t>_(</w:t>
      </w:r>
      <w:proofErr w:type="gramEnd"/>
      <w:r w:rsidR="0006618F" w:rsidRPr="00384017">
        <w:rPr>
          <w:bCs/>
          <w:szCs w:val="24"/>
        </w:rPr>
        <w:t>KGS-2)</w:t>
      </w:r>
      <w:r w:rsidRPr="00384017">
        <w:rPr>
          <w:szCs w:val="24"/>
        </w:rPr>
        <w:t>.</w:t>
      </w:r>
    </w:p>
    <w:p w:rsidR="00EB35AC" w:rsidRPr="00384017" w:rsidRDefault="007F5EDF" w:rsidP="00301A3B">
      <w:pPr>
        <w:pStyle w:val="Heading1"/>
        <w:spacing w:before="0" w:after="0" w:line="480" w:lineRule="auto"/>
        <w:ind w:left="0"/>
      </w:pPr>
      <w:bookmarkStart w:id="2" w:name="_Toc354997998"/>
      <w:bookmarkStart w:id="3" w:name="_Toc355788472"/>
      <w:bookmarkStart w:id="4" w:name="_Toc384626544"/>
      <w:bookmarkStart w:id="5" w:name="_Toc384626564"/>
      <w:bookmarkStart w:id="6" w:name="_Toc384626606"/>
      <w:bookmarkStart w:id="7" w:name="_Toc386637263"/>
      <w:r w:rsidRPr="00384017">
        <w:t>Purpose of Testimony and summary of opinions</w:t>
      </w:r>
      <w:bookmarkEnd w:id="2"/>
      <w:bookmarkEnd w:id="3"/>
      <w:bookmarkEnd w:id="4"/>
      <w:bookmarkEnd w:id="5"/>
      <w:bookmarkEnd w:id="6"/>
      <w:bookmarkEnd w:id="7"/>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explain the purpose of your testimony. </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134C29" w:rsidRPr="00384017">
        <w:rPr>
          <w:szCs w:val="24"/>
        </w:rPr>
        <w:t xml:space="preserve">On behalf of </w:t>
      </w:r>
      <w:r w:rsidRPr="00384017">
        <w:rPr>
          <w:szCs w:val="24"/>
        </w:rPr>
        <w:t xml:space="preserve">Pacific Power &amp; Light Company (Pacific Power or Company), </w:t>
      </w:r>
      <w:r w:rsidR="00464B2A" w:rsidRPr="00384017">
        <w:rPr>
          <w:szCs w:val="24"/>
        </w:rPr>
        <w:t>a division of PacifiCorp</w:t>
      </w:r>
      <w:r w:rsidR="00134C29" w:rsidRPr="00384017">
        <w:rPr>
          <w:szCs w:val="24"/>
        </w:rPr>
        <w:t xml:space="preserve">, </w:t>
      </w:r>
      <w:r w:rsidR="00907D50" w:rsidRPr="00384017">
        <w:rPr>
          <w:szCs w:val="24"/>
        </w:rPr>
        <w:t xml:space="preserve">I </w:t>
      </w:r>
      <w:r w:rsidR="00134C29" w:rsidRPr="00384017">
        <w:rPr>
          <w:szCs w:val="24"/>
        </w:rPr>
        <w:t xml:space="preserve">present my estimate of the cost of equity </w:t>
      </w:r>
      <w:r w:rsidR="00464B2A" w:rsidRPr="00384017">
        <w:rPr>
          <w:szCs w:val="24"/>
        </w:rPr>
        <w:t>necessary to</w:t>
      </w:r>
      <w:r w:rsidRPr="00384017">
        <w:rPr>
          <w:szCs w:val="24"/>
        </w:rPr>
        <w:t xml:space="preserve"> provide a fair and reasonable return for the</w:t>
      </w:r>
      <w:r w:rsidR="00482134">
        <w:rPr>
          <w:szCs w:val="24"/>
        </w:rPr>
        <w:t xml:space="preserve"> Company’s equity investors.  </w:t>
      </w:r>
      <w:r w:rsidR="0084336F">
        <w:rPr>
          <w:szCs w:val="24"/>
        </w:rPr>
        <w:br/>
      </w:r>
      <w:r w:rsidR="00482134">
        <w:rPr>
          <w:szCs w:val="24"/>
        </w:rPr>
        <w:t xml:space="preserve">I </w:t>
      </w:r>
      <w:r w:rsidRPr="00384017">
        <w:rPr>
          <w:szCs w:val="24"/>
        </w:rPr>
        <w:t xml:space="preserve">recommend that the </w:t>
      </w:r>
      <w:r w:rsidR="00134C29" w:rsidRPr="00384017">
        <w:rPr>
          <w:szCs w:val="24"/>
        </w:rPr>
        <w:t xml:space="preserve">Washington Utilities and Transportation </w:t>
      </w:r>
      <w:r w:rsidRPr="00384017">
        <w:rPr>
          <w:szCs w:val="24"/>
        </w:rPr>
        <w:t xml:space="preserve">Commission </w:t>
      </w:r>
      <w:r w:rsidR="00134C29" w:rsidRPr="00384017">
        <w:rPr>
          <w:szCs w:val="24"/>
        </w:rPr>
        <w:t xml:space="preserve">(Commission) </w:t>
      </w:r>
      <w:r w:rsidRPr="00384017">
        <w:rPr>
          <w:szCs w:val="24"/>
        </w:rPr>
        <w:t xml:space="preserve">use this fair return on equity to calculate </w:t>
      </w:r>
      <w:r w:rsidR="00134C29" w:rsidRPr="00384017">
        <w:rPr>
          <w:szCs w:val="24"/>
        </w:rPr>
        <w:t>the Company’s</w:t>
      </w:r>
      <w:r w:rsidRPr="00384017">
        <w:rPr>
          <w:szCs w:val="24"/>
        </w:rPr>
        <w:t xml:space="preserve"> revenue requirement and </w:t>
      </w:r>
      <w:r w:rsidR="00E83625" w:rsidRPr="00384017">
        <w:rPr>
          <w:szCs w:val="24"/>
        </w:rPr>
        <w:t xml:space="preserve">to </w:t>
      </w:r>
      <w:r w:rsidRPr="00384017">
        <w:rPr>
          <w:szCs w:val="24"/>
        </w:rPr>
        <w:t>set rates</w:t>
      </w:r>
      <w:r w:rsidR="00C56003" w:rsidRPr="00384017">
        <w:rPr>
          <w:szCs w:val="24"/>
        </w:rPr>
        <w:t xml:space="preserve"> in this </w:t>
      </w:r>
      <w:r w:rsidR="00E83625" w:rsidRPr="00384017">
        <w:rPr>
          <w:szCs w:val="24"/>
        </w:rPr>
        <w:t>proceeding</w:t>
      </w:r>
      <w:r w:rsidRPr="00384017">
        <w:rPr>
          <w:szCs w:val="24"/>
        </w:rPr>
        <w:t xml:space="preserve">.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w:t>
      </w:r>
      <w:r w:rsidR="00907D50" w:rsidRPr="00384017">
        <w:rPr>
          <w:b/>
          <w:szCs w:val="24"/>
        </w:rPr>
        <w:t>summarize</w:t>
      </w:r>
      <w:r w:rsidRPr="00384017">
        <w:rPr>
          <w:b/>
          <w:szCs w:val="24"/>
        </w:rPr>
        <w:t xml:space="preserve"> how you derive your estimate of the Company’s cost of equity</w:t>
      </w:r>
      <w:r w:rsidR="00907D50" w:rsidRPr="00384017">
        <w:rPr>
          <w:b/>
          <w:szCs w:val="24"/>
        </w:rPr>
        <w:t xml:space="preserve">. </w:t>
      </w:r>
      <w:r w:rsidRPr="00384017">
        <w:rPr>
          <w:b/>
          <w:szCs w:val="24"/>
        </w:rPr>
        <w:t xml:space="preserve"> </w:t>
      </w:r>
    </w:p>
    <w:p w:rsidR="00EB35AC" w:rsidRPr="00384017" w:rsidRDefault="007F5EDF" w:rsidP="00A824CD">
      <w:pPr>
        <w:pStyle w:val="QAAnswer"/>
        <w:tabs>
          <w:tab w:val="num" w:pos="720"/>
        </w:tabs>
        <w:spacing w:after="0" w:line="480" w:lineRule="auto"/>
        <w:ind w:left="720" w:hanging="720"/>
        <w:jc w:val="left"/>
        <w:rPr>
          <w:szCs w:val="24"/>
        </w:rPr>
      </w:pPr>
      <w:r w:rsidRPr="00384017">
        <w:rPr>
          <w:szCs w:val="24"/>
        </w:rPr>
        <w:t>A.</w:t>
      </w:r>
      <w:r w:rsidRPr="00384017">
        <w:rPr>
          <w:szCs w:val="24"/>
        </w:rPr>
        <w:tab/>
        <w:t>To arrive at the cost of equity, I apply objective criteria to screen for a set of comparable companies, which I refer to as the proxy group.  I estimate the expected equity return for these companies using a Discounted Cash Flow (DCF) model</w:t>
      </w:r>
      <w:r w:rsidR="00C80151" w:rsidRPr="00384017">
        <w:rPr>
          <w:szCs w:val="24"/>
        </w:rPr>
        <w:t xml:space="preserve"> and</w:t>
      </w:r>
      <w:r w:rsidRPr="00384017">
        <w:rPr>
          <w:szCs w:val="24"/>
        </w:rPr>
        <w:t xml:space="preserve"> </w:t>
      </w:r>
      <w:r w:rsidR="00907D50" w:rsidRPr="00384017">
        <w:rPr>
          <w:szCs w:val="24"/>
        </w:rPr>
        <w:t xml:space="preserve">a </w:t>
      </w:r>
      <w:r w:rsidRPr="00384017">
        <w:rPr>
          <w:szCs w:val="24"/>
        </w:rPr>
        <w:t>Capital Asset Pricing Model (CAPM) model</w:t>
      </w:r>
      <w:r w:rsidR="00C80151" w:rsidRPr="00384017">
        <w:rPr>
          <w:szCs w:val="24"/>
        </w:rPr>
        <w:t xml:space="preserve">.  I also use the </w:t>
      </w:r>
      <w:r w:rsidR="00907D50" w:rsidRPr="00384017">
        <w:rPr>
          <w:szCs w:val="24"/>
        </w:rPr>
        <w:t>Risk Premium</w:t>
      </w:r>
      <w:r w:rsidR="00C80151" w:rsidRPr="00384017">
        <w:rPr>
          <w:szCs w:val="24"/>
        </w:rPr>
        <w:t>, Comparable Earnings, and Yield-</w:t>
      </w:r>
      <w:r w:rsidR="00A824CD">
        <w:rPr>
          <w:szCs w:val="24"/>
        </w:rPr>
        <w:t>P</w:t>
      </w:r>
      <w:r w:rsidR="00A824CD" w:rsidRPr="00384017">
        <w:rPr>
          <w:szCs w:val="24"/>
        </w:rPr>
        <w:t>lus</w:t>
      </w:r>
      <w:r w:rsidR="00C80151" w:rsidRPr="00384017">
        <w:rPr>
          <w:szCs w:val="24"/>
        </w:rPr>
        <w:t>-Growth models to estimate the cost of equity for electric utilities like Pacific Power</w:t>
      </w:r>
      <w:r w:rsidRPr="00384017">
        <w:rPr>
          <w:szCs w:val="24"/>
        </w:rPr>
        <w:t xml:space="preserve">.  The models </w:t>
      </w:r>
      <w:r w:rsidR="00C80151" w:rsidRPr="00384017">
        <w:rPr>
          <w:szCs w:val="24"/>
        </w:rPr>
        <w:t xml:space="preserve">I use </w:t>
      </w:r>
      <w:r w:rsidRPr="00384017">
        <w:rPr>
          <w:szCs w:val="24"/>
        </w:rPr>
        <w:t xml:space="preserve">provide direct and objective ways of determining the fair return.  </w:t>
      </w:r>
      <w:r w:rsidR="00907D50" w:rsidRPr="00384017">
        <w:rPr>
          <w:szCs w:val="24"/>
        </w:rPr>
        <w:t xml:space="preserve">I </w:t>
      </w:r>
      <w:r w:rsidRPr="00384017">
        <w:rPr>
          <w:szCs w:val="24"/>
        </w:rPr>
        <w:t xml:space="preserve">then put </w:t>
      </w:r>
      <w:r w:rsidR="00907D50" w:rsidRPr="00384017">
        <w:rPr>
          <w:szCs w:val="24"/>
        </w:rPr>
        <w:t xml:space="preserve">these model results </w:t>
      </w:r>
      <w:r w:rsidRPr="00384017">
        <w:rPr>
          <w:szCs w:val="24"/>
        </w:rPr>
        <w:t xml:space="preserve">into perspective by comparison to the allowed returns afforded to electric utilities by other state-level regulators in the United States.  </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b/>
      </w:r>
      <w:r w:rsidRPr="00384017">
        <w:rPr>
          <w:szCs w:val="24"/>
        </w:rPr>
        <w:tab/>
        <w:t xml:space="preserve">My estimate relies upon securities prices and analyst earnings forecasts from the capital markets in which the proxy companies’ securities trade.  These data provide evidence of the returns investors </w:t>
      </w:r>
      <w:r w:rsidRPr="00384017">
        <w:rPr>
          <w:i/>
          <w:szCs w:val="24"/>
        </w:rPr>
        <w:t>require</w:t>
      </w:r>
      <w:r w:rsidRPr="00384017">
        <w:rPr>
          <w:szCs w:val="24"/>
        </w:rPr>
        <w:t xml:space="preserve"> in exchange for providing capital for </w:t>
      </w:r>
      <w:r w:rsidRPr="00384017">
        <w:rPr>
          <w:szCs w:val="24"/>
        </w:rPr>
        <w:lastRenderedPageBreak/>
        <w:t xml:space="preserve">utility investments.  I use the capital market data in a number of models that are fully grounded in financial theory.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What is your recommendation for a fair return on equity</w:t>
      </w:r>
      <w:r w:rsidR="0006618F" w:rsidRPr="00384017">
        <w:rPr>
          <w:b/>
          <w:szCs w:val="24"/>
        </w:rPr>
        <w:t xml:space="preserve"> for Pacific Power</w:t>
      </w:r>
      <w:r w:rsidRPr="00384017">
        <w:rPr>
          <w:b/>
          <w:szCs w:val="24"/>
        </w:rPr>
        <w:t>?</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As shown in Exhibit </w:t>
      </w:r>
      <w:r w:rsidR="0006618F" w:rsidRPr="00384017">
        <w:rPr>
          <w:szCs w:val="24"/>
        </w:rPr>
        <w:t>No.__</w:t>
      </w:r>
      <w:proofErr w:type="gramStart"/>
      <w:r w:rsidR="0006618F" w:rsidRPr="00384017">
        <w:rPr>
          <w:szCs w:val="24"/>
        </w:rPr>
        <w:t>_(</w:t>
      </w:r>
      <w:proofErr w:type="gramEnd"/>
      <w:r w:rsidR="0006618F" w:rsidRPr="00384017">
        <w:rPr>
          <w:szCs w:val="24"/>
        </w:rPr>
        <w:t>KGS-3)</w:t>
      </w:r>
      <w:r w:rsidRPr="00384017">
        <w:rPr>
          <w:szCs w:val="24"/>
        </w:rPr>
        <w:t xml:space="preserve">, I recommend a return on equity of </w:t>
      </w:r>
      <w:r w:rsidR="0006618F" w:rsidRPr="00384017">
        <w:rPr>
          <w:szCs w:val="24"/>
        </w:rPr>
        <w:t>10.0</w:t>
      </w:r>
      <w:r w:rsidR="00482134">
        <w:rPr>
          <w:szCs w:val="24"/>
        </w:rPr>
        <w:t xml:space="preserve"> </w:t>
      </w:r>
      <w:r w:rsidRPr="00384017">
        <w:rPr>
          <w:szCs w:val="24"/>
        </w:rPr>
        <w:t xml:space="preserve">percent for the Company.  In my opinion, this is a fair </w:t>
      </w:r>
      <w:r w:rsidR="0006618F" w:rsidRPr="00384017">
        <w:rPr>
          <w:szCs w:val="24"/>
        </w:rPr>
        <w:t>return on equity</w:t>
      </w:r>
      <w:r w:rsidRPr="00384017">
        <w:rPr>
          <w:szCs w:val="24"/>
        </w:rPr>
        <w:t xml:space="preserve"> to use in establishing the Company’s</w:t>
      </w:r>
      <w:r w:rsidRPr="00384017">
        <w:rPr>
          <w:b/>
          <w:szCs w:val="24"/>
        </w:rPr>
        <w:t xml:space="preserve"> </w:t>
      </w:r>
      <w:r w:rsidRPr="00384017">
        <w:rPr>
          <w:szCs w:val="24"/>
        </w:rPr>
        <w:t>revenue requirement.</w:t>
      </w:r>
      <w:r w:rsidRPr="00384017">
        <w:rPr>
          <w:b/>
          <w:szCs w:val="24"/>
        </w:rPr>
        <w:t xml:space="preserve">  </w:t>
      </w:r>
      <w:r w:rsidRPr="00384017">
        <w:rPr>
          <w:szCs w:val="24"/>
        </w:rPr>
        <w:t xml:space="preserve">Adoption of this return on equity for </w:t>
      </w:r>
      <w:r w:rsidR="0006618F" w:rsidRPr="00384017">
        <w:rPr>
          <w:szCs w:val="24"/>
        </w:rPr>
        <w:t xml:space="preserve">determining </w:t>
      </w:r>
      <w:r w:rsidR="00A957E8" w:rsidRPr="00384017">
        <w:rPr>
          <w:szCs w:val="24"/>
        </w:rPr>
        <w:t xml:space="preserve">Pacific Power’s </w:t>
      </w:r>
      <w:r w:rsidRPr="00384017">
        <w:rPr>
          <w:szCs w:val="24"/>
        </w:rPr>
        <w:t>rates will provide appropriate compen</w:t>
      </w:r>
      <w:r w:rsidR="00384017">
        <w:rPr>
          <w:szCs w:val="24"/>
        </w:rPr>
        <w:t>sation to the Company’s owners—b</w:t>
      </w:r>
      <w:r w:rsidRPr="00384017">
        <w:rPr>
          <w:szCs w:val="24"/>
        </w:rPr>
        <w:t>oth for the time value of mo</w:t>
      </w:r>
      <w:r w:rsidR="00384017">
        <w:rPr>
          <w:szCs w:val="24"/>
        </w:rPr>
        <w:t>ney and for the risks they face—</w:t>
      </w:r>
      <w:r w:rsidRPr="00384017">
        <w:rPr>
          <w:szCs w:val="24"/>
        </w:rPr>
        <w:t xml:space="preserve">and appropriate protections for </w:t>
      </w:r>
      <w:r w:rsidR="0006618F" w:rsidRPr="00384017">
        <w:rPr>
          <w:szCs w:val="24"/>
        </w:rPr>
        <w:t>customers</w:t>
      </w:r>
      <w:r w:rsidRPr="00384017">
        <w:rPr>
          <w:szCs w:val="24"/>
        </w:rPr>
        <w:t xml:space="preserve"> in the Company’s service territory in Washington.  In sum, its adoption will ensure that Pacific Power’s rates will squarely meet the requirements of Washington </w:t>
      </w:r>
      <w:r w:rsidR="00A957E8" w:rsidRPr="00384017">
        <w:rPr>
          <w:szCs w:val="24"/>
        </w:rPr>
        <w:t>law</w:t>
      </w:r>
      <w:r w:rsidRPr="00384017">
        <w:rPr>
          <w:szCs w:val="24"/>
        </w:rPr>
        <w:t xml:space="preserve"> that they be “just</w:t>
      </w:r>
      <w:r w:rsidR="00A957E8" w:rsidRPr="00384017">
        <w:rPr>
          <w:szCs w:val="24"/>
        </w:rPr>
        <w:t>, fair,</w:t>
      </w:r>
      <w:r w:rsidRPr="00384017">
        <w:rPr>
          <w:szCs w:val="24"/>
        </w:rPr>
        <w:t xml:space="preserve"> reasonable</w:t>
      </w:r>
      <w:r w:rsidR="00A957E8" w:rsidRPr="00384017">
        <w:rPr>
          <w:szCs w:val="24"/>
        </w:rPr>
        <w:t xml:space="preserve"> </w:t>
      </w:r>
      <w:r w:rsidR="00482134">
        <w:rPr>
          <w:szCs w:val="24"/>
        </w:rPr>
        <w:br/>
      </w:r>
      <w:r w:rsidR="00A957E8" w:rsidRPr="00384017">
        <w:rPr>
          <w:szCs w:val="24"/>
        </w:rPr>
        <w:t>and sufficient</w:t>
      </w:r>
      <w:r w:rsidRPr="00384017">
        <w:rPr>
          <w:szCs w:val="24"/>
        </w:rPr>
        <w:t>.”</w:t>
      </w:r>
      <w:r w:rsidR="00DD0A63" w:rsidRPr="00384017">
        <w:rPr>
          <w:rStyle w:val="FootnoteReference"/>
          <w:szCs w:val="24"/>
        </w:rPr>
        <w:footnoteReference w:id="2"/>
      </w:r>
      <w:r w:rsidR="00344178" w:rsidRPr="00384017">
        <w:rPr>
          <w:szCs w:val="24"/>
        </w:rPr>
        <w:t xml:space="preserve">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How is the remainder of your testimony organized?</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B205E9" w:rsidRPr="00384017">
        <w:rPr>
          <w:szCs w:val="24"/>
        </w:rPr>
        <w:t xml:space="preserve">First, </w:t>
      </w:r>
      <w:r w:rsidRPr="00384017">
        <w:rPr>
          <w:szCs w:val="24"/>
        </w:rPr>
        <w:t xml:space="preserve">I </w:t>
      </w:r>
      <w:r w:rsidR="00B205E9" w:rsidRPr="00384017">
        <w:rPr>
          <w:szCs w:val="24"/>
        </w:rPr>
        <w:t>provide</w:t>
      </w:r>
      <w:r w:rsidRPr="00384017">
        <w:rPr>
          <w:szCs w:val="24"/>
        </w:rPr>
        <w:t xml:space="preserve"> the regulatory and theoretical bases for my recommended cost of </w:t>
      </w:r>
      <w:r w:rsidR="00B205E9" w:rsidRPr="00384017">
        <w:rPr>
          <w:szCs w:val="24"/>
        </w:rPr>
        <w:t>equity</w:t>
      </w:r>
      <w:r w:rsidRPr="00384017">
        <w:rPr>
          <w:szCs w:val="24"/>
        </w:rPr>
        <w:t xml:space="preserve"> calculation</w:t>
      </w:r>
      <w:r w:rsidR="00DA761F" w:rsidRPr="00384017">
        <w:rPr>
          <w:szCs w:val="24"/>
        </w:rPr>
        <w:t>,</w:t>
      </w:r>
      <w:r w:rsidR="001D59A5" w:rsidRPr="00384017">
        <w:rPr>
          <w:szCs w:val="24"/>
        </w:rPr>
        <w:t xml:space="preserve"> provide general comments on capital market conditions,</w:t>
      </w:r>
      <w:r w:rsidR="00DA761F" w:rsidRPr="00384017">
        <w:rPr>
          <w:szCs w:val="24"/>
        </w:rPr>
        <w:t xml:space="preserve"> </w:t>
      </w:r>
      <w:r w:rsidR="00BD59E0" w:rsidRPr="00384017">
        <w:rPr>
          <w:szCs w:val="24"/>
        </w:rPr>
        <w:t xml:space="preserve">and </w:t>
      </w:r>
      <w:r w:rsidRPr="00384017">
        <w:rPr>
          <w:szCs w:val="24"/>
        </w:rPr>
        <w:t xml:space="preserve">explain how I arrived at an appropriate proxy group from which to estimate </w:t>
      </w:r>
      <w:r w:rsidR="00B205E9" w:rsidRPr="00384017">
        <w:rPr>
          <w:szCs w:val="24"/>
        </w:rPr>
        <w:t>cost of equity</w:t>
      </w:r>
      <w:r w:rsidRPr="00384017">
        <w:rPr>
          <w:szCs w:val="24"/>
        </w:rPr>
        <w:t xml:space="preserve">.  I </w:t>
      </w:r>
      <w:r w:rsidR="00B205E9" w:rsidRPr="00384017">
        <w:rPr>
          <w:szCs w:val="24"/>
        </w:rPr>
        <w:t xml:space="preserve">then </w:t>
      </w:r>
      <w:r w:rsidRPr="00384017">
        <w:rPr>
          <w:szCs w:val="24"/>
        </w:rPr>
        <w:t>provide a description of the DCF</w:t>
      </w:r>
      <w:r w:rsidR="001D59A5" w:rsidRPr="00384017">
        <w:rPr>
          <w:szCs w:val="24"/>
        </w:rPr>
        <w:t xml:space="preserve"> </w:t>
      </w:r>
      <w:r w:rsidR="00E941A5" w:rsidRPr="00384017">
        <w:rPr>
          <w:szCs w:val="24"/>
        </w:rPr>
        <w:t>m</w:t>
      </w:r>
      <w:r w:rsidR="001D59A5" w:rsidRPr="00384017">
        <w:rPr>
          <w:szCs w:val="24"/>
        </w:rPr>
        <w:t xml:space="preserve">odels I rely upon and the results obtained therefrom.  I go on to explain the </w:t>
      </w:r>
      <w:r w:rsidRPr="00384017">
        <w:rPr>
          <w:szCs w:val="24"/>
        </w:rPr>
        <w:t xml:space="preserve">CAPM </w:t>
      </w:r>
      <w:r w:rsidR="00B205E9" w:rsidRPr="00384017">
        <w:rPr>
          <w:szCs w:val="24"/>
        </w:rPr>
        <w:t xml:space="preserve">and Risk Premium </w:t>
      </w:r>
      <w:r w:rsidRPr="00384017">
        <w:rPr>
          <w:szCs w:val="24"/>
        </w:rPr>
        <w:t>m</w:t>
      </w:r>
      <w:r w:rsidR="00170E57" w:rsidRPr="00384017">
        <w:rPr>
          <w:szCs w:val="24"/>
        </w:rPr>
        <w:t>odels</w:t>
      </w:r>
      <w:r w:rsidR="001D59A5" w:rsidRPr="00384017">
        <w:rPr>
          <w:szCs w:val="24"/>
        </w:rPr>
        <w:t xml:space="preserve"> and their results, as well as the </w:t>
      </w:r>
      <w:r w:rsidRPr="00384017">
        <w:rPr>
          <w:szCs w:val="24"/>
        </w:rPr>
        <w:t xml:space="preserve">Comparable Earnings </w:t>
      </w:r>
      <w:r w:rsidR="001D59A5" w:rsidRPr="00384017">
        <w:rPr>
          <w:szCs w:val="24"/>
        </w:rPr>
        <w:t>Model.  These model results all inform my recommended cost of equity</w:t>
      </w:r>
      <w:r w:rsidRPr="00384017">
        <w:rPr>
          <w:szCs w:val="24"/>
        </w:rPr>
        <w:t xml:space="preserve">.  </w:t>
      </w:r>
      <w:r w:rsidR="001D59A5" w:rsidRPr="00384017">
        <w:rPr>
          <w:szCs w:val="24"/>
        </w:rPr>
        <w:t xml:space="preserve">Next, </w:t>
      </w:r>
      <w:r w:rsidRPr="00384017">
        <w:rPr>
          <w:szCs w:val="24"/>
        </w:rPr>
        <w:t>I discuss the business and financial risks faced by the Company as compared to those faced by proxy group companies</w:t>
      </w:r>
      <w:r w:rsidR="00170E57" w:rsidRPr="00384017">
        <w:rPr>
          <w:szCs w:val="24"/>
        </w:rPr>
        <w:t xml:space="preserve">, and </w:t>
      </w:r>
      <w:r w:rsidR="009826C3" w:rsidRPr="00384017">
        <w:rPr>
          <w:szCs w:val="24"/>
        </w:rPr>
        <w:t xml:space="preserve">compare </w:t>
      </w:r>
      <w:r w:rsidR="00170E57" w:rsidRPr="00384017">
        <w:rPr>
          <w:szCs w:val="24"/>
        </w:rPr>
        <w:t>my model results to allowed returns in other jurisdictions</w:t>
      </w:r>
      <w:r w:rsidRPr="00384017">
        <w:rPr>
          <w:szCs w:val="24"/>
        </w:rPr>
        <w:t xml:space="preserve">.  </w:t>
      </w:r>
      <w:r w:rsidR="00170E57" w:rsidRPr="00384017">
        <w:rPr>
          <w:szCs w:val="24"/>
        </w:rPr>
        <w:t xml:space="preserve">I also </w:t>
      </w:r>
      <w:r w:rsidRPr="00384017">
        <w:rPr>
          <w:szCs w:val="24"/>
        </w:rPr>
        <w:t xml:space="preserve">explain </w:t>
      </w:r>
      <w:r w:rsidRPr="00384017">
        <w:rPr>
          <w:szCs w:val="24"/>
        </w:rPr>
        <w:lastRenderedPageBreak/>
        <w:t xml:space="preserve">how my </w:t>
      </w:r>
      <w:r w:rsidR="00170E57" w:rsidRPr="00384017">
        <w:rPr>
          <w:szCs w:val="24"/>
        </w:rPr>
        <w:t>cost of equity</w:t>
      </w:r>
      <w:r w:rsidRPr="00384017">
        <w:rPr>
          <w:szCs w:val="24"/>
        </w:rPr>
        <w:t xml:space="preserve"> recommendation would differ </w:t>
      </w:r>
      <w:r w:rsidR="00170E57" w:rsidRPr="00384017">
        <w:rPr>
          <w:szCs w:val="24"/>
        </w:rPr>
        <w:t>if the Commission adopted a</w:t>
      </w:r>
      <w:r w:rsidRPr="00384017">
        <w:rPr>
          <w:szCs w:val="24"/>
        </w:rPr>
        <w:t xml:space="preserve"> hypothetical capital structure</w:t>
      </w:r>
      <w:r w:rsidR="00C80151" w:rsidRPr="00384017">
        <w:rPr>
          <w:szCs w:val="24"/>
        </w:rPr>
        <w:t xml:space="preserve"> with more debt leverage than currently employed by the Company</w:t>
      </w:r>
      <w:r w:rsidRPr="00384017">
        <w:rPr>
          <w:szCs w:val="24"/>
        </w:rPr>
        <w:t xml:space="preserve">. </w:t>
      </w:r>
      <w:r w:rsidR="00170E57" w:rsidRPr="00384017">
        <w:rPr>
          <w:szCs w:val="24"/>
        </w:rPr>
        <w:t xml:space="preserve"> I conclude by summarizing my return on equity recommendation </w:t>
      </w:r>
      <w:r w:rsidR="00DA761F" w:rsidRPr="00384017">
        <w:rPr>
          <w:szCs w:val="24"/>
        </w:rPr>
        <w:t xml:space="preserve">for Pacific Power </w:t>
      </w:r>
      <w:r w:rsidR="001D59A5" w:rsidRPr="00384017">
        <w:rPr>
          <w:szCs w:val="24"/>
        </w:rPr>
        <w:t>in this case.</w:t>
      </w:r>
    </w:p>
    <w:p w:rsidR="00EB35AC" w:rsidRPr="00384017" w:rsidRDefault="007F5EDF" w:rsidP="00301A3B">
      <w:pPr>
        <w:pStyle w:val="Heading1"/>
        <w:spacing w:before="0" w:after="0" w:line="480" w:lineRule="auto"/>
        <w:ind w:left="0"/>
      </w:pPr>
      <w:bookmarkStart w:id="8" w:name="_Toc354997999"/>
      <w:bookmarkStart w:id="9" w:name="_Toc355788473"/>
      <w:bookmarkStart w:id="10" w:name="_Toc384626545"/>
      <w:bookmarkStart w:id="11" w:name="_Toc384626565"/>
      <w:bookmarkStart w:id="12" w:name="_Toc384626607"/>
      <w:bookmarkStart w:id="13" w:name="_Toc386637264"/>
      <w:r w:rsidRPr="00384017">
        <w:t>Background on the Fair Rate of Return on Equity</w:t>
      </w:r>
      <w:bookmarkEnd w:id="8"/>
      <w:bookmarkEnd w:id="9"/>
      <w:bookmarkEnd w:id="10"/>
      <w:bookmarkEnd w:id="11"/>
      <w:bookmarkEnd w:id="12"/>
      <w:bookmarkEnd w:id="13"/>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Please summarize the legal and regulatory context for your recommendation of fair return on equity.</w:t>
      </w:r>
    </w:p>
    <w:p w:rsidR="00EB35AC" w:rsidRPr="00384017" w:rsidRDefault="007F5EDF" w:rsidP="00384017">
      <w:pPr>
        <w:pStyle w:val="QAQCont"/>
        <w:tabs>
          <w:tab w:val="num" w:pos="720"/>
        </w:tabs>
        <w:spacing w:after="0" w:line="480" w:lineRule="auto"/>
        <w:ind w:left="720" w:hanging="720"/>
        <w:jc w:val="left"/>
        <w:rPr>
          <w:szCs w:val="24"/>
        </w:rPr>
      </w:pPr>
      <w:r w:rsidRPr="00384017">
        <w:rPr>
          <w:szCs w:val="24"/>
        </w:rPr>
        <w:t>A.</w:t>
      </w:r>
      <w:r w:rsidRPr="00384017">
        <w:rPr>
          <w:szCs w:val="24"/>
        </w:rPr>
        <w:tab/>
        <w:t xml:space="preserve">Under </w:t>
      </w:r>
      <w:r w:rsidR="009826C3" w:rsidRPr="00384017">
        <w:rPr>
          <w:szCs w:val="24"/>
        </w:rPr>
        <w:t xml:space="preserve">RCW 80.01.040(3), </w:t>
      </w:r>
      <w:r w:rsidRPr="00384017">
        <w:rPr>
          <w:szCs w:val="24"/>
        </w:rPr>
        <w:t xml:space="preserve">the Commission is charged with regulating </w:t>
      </w:r>
      <w:r w:rsidR="009826C3" w:rsidRPr="00384017">
        <w:rPr>
          <w:szCs w:val="24"/>
        </w:rPr>
        <w:t>the supply of utility service in the public interest; under RCW 80.28.010(1), the Commission must ensure that rates are just, reasonable, and compensatory.</w:t>
      </w:r>
      <w:r w:rsidRPr="00384017">
        <w:rPr>
          <w:szCs w:val="24"/>
        </w:rPr>
        <w:t xml:space="preserve">  A key tenet in the determination of just and reasonable rates is that owners of regulated companies must be afforded a reasonable opportunity to earn a fair return on their invested capital.  Fair return is thus an essential component of a regulated company’s cost of service.</w:t>
      </w:r>
    </w:p>
    <w:p w:rsidR="00EB35AC" w:rsidRPr="00384017" w:rsidRDefault="007F5EDF" w:rsidP="00384017">
      <w:pPr>
        <w:pStyle w:val="QAQCont"/>
        <w:tabs>
          <w:tab w:val="num" w:pos="720"/>
        </w:tabs>
        <w:spacing w:after="0" w:line="480" w:lineRule="auto"/>
        <w:ind w:left="720" w:hanging="720"/>
        <w:jc w:val="left"/>
        <w:rPr>
          <w:szCs w:val="24"/>
        </w:rPr>
      </w:pPr>
      <w:r w:rsidRPr="00384017">
        <w:rPr>
          <w:szCs w:val="24"/>
        </w:rPr>
        <w:tab/>
      </w:r>
      <w:r w:rsidRPr="00384017">
        <w:rPr>
          <w:szCs w:val="24"/>
        </w:rPr>
        <w:tab/>
        <w:t xml:space="preserve">In administrative law proceedings in the United States, the practice of determining “fair return” is guided by the landmark Supreme Court decisions in </w:t>
      </w:r>
      <w:r w:rsidRPr="00384017">
        <w:rPr>
          <w:i/>
          <w:szCs w:val="24"/>
        </w:rPr>
        <w:t>Hope</w:t>
      </w:r>
      <w:r w:rsidRPr="00384017">
        <w:rPr>
          <w:szCs w:val="24"/>
        </w:rPr>
        <w:t xml:space="preserve"> and </w:t>
      </w:r>
      <w:r w:rsidRPr="00384017">
        <w:rPr>
          <w:i/>
          <w:szCs w:val="24"/>
        </w:rPr>
        <w:t>Bluefield</w:t>
      </w:r>
      <w:r w:rsidRPr="00384017">
        <w:rPr>
          <w:szCs w:val="24"/>
        </w:rPr>
        <w:t xml:space="preserve">.  These decisions establish that fair return must be sufficient to attract capital and must compensate investors at a level consistent with returns on investments of comparable risk.  In </w:t>
      </w:r>
      <w:r w:rsidRPr="00384017">
        <w:rPr>
          <w:i/>
          <w:szCs w:val="24"/>
        </w:rPr>
        <w:t>Bluefield</w:t>
      </w:r>
      <w:r w:rsidRPr="00384017">
        <w:rPr>
          <w:szCs w:val="24"/>
        </w:rPr>
        <w:t xml:space="preserve">, the Supreme Court held:  </w:t>
      </w:r>
    </w:p>
    <w:p w:rsidR="00EB35AC" w:rsidRPr="00384017" w:rsidRDefault="007F5EDF" w:rsidP="00301A3B">
      <w:pPr>
        <w:pStyle w:val="ColorfulGrid-Accent11"/>
        <w:tabs>
          <w:tab w:val="num" w:pos="1440"/>
        </w:tabs>
        <w:ind w:left="1440" w:right="936" w:hanging="1440"/>
        <w:jc w:val="left"/>
        <w:rPr>
          <w:i w:val="0"/>
          <w:szCs w:val="24"/>
        </w:rPr>
      </w:pPr>
      <w:r w:rsidRPr="00384017">
        <w:rPr>
          <w:szCs w:val="24"/>
        </w:rPr>
        <w:tab/>
      </w:r>
      <w:r w:rsidRPr="00384017">
        <w:rPr>
          <w:i w:val="0"/>
          <w:szCs w:val="24"/>
        </w:rPr>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w:t>
      </w:r>
      <w:r w:rsidR="00592126">
        <w:rPr>
          <w:i w:val="0"/>
          <w:szCs w:val="24"/>
        </w:rPr>
        <w:t>;</w:t>
      </w:r>
      <w:r w:rsidRPr="00384017">
        <w:rPr>
          <w:i w:val="0"/>
          <w:szCs w:val="24"/>
        </w:rPr>
        <w:t xml:space="preserve"> but it has no constitutional </w:t>
      </w:r>
      <w:r w:rsidRPr="00384017">
        <w:rPr>
          <w:i w:val="0"/>
          <w:szCs w:val="24"/>
        </w:rPr>
        <w:lastRenderedPageBreak/>
        <w:t>right to profits such as are realized or anticipated in highly profitable enterprises or speculative ventures.</w:t>
      </w:r>
      <w:r w:rsidRPr="00384017">
        <w:rPr>
          <w:rStyle w:val="FootnoteReference"/>
          <w:i w:val="0"/>
          <w:szCs w:val="24"/>
        </w:rPr>
        <w:footnoteReference w:id="3"/>
      </w:r>
    </w:p>
    <w:p w:rsidR="007346DC" w:rsidRPr="00384017" w:rsidRDefault="007346DC" w:rsidP="00301A3B">
      <w:pPr>
        <w:suppressLineNumbers/>
        <w:jc w:val="left"/>
        <w:rPr>
          <w:szCs w:val="24"/>
        </w:rPr>
      </w:pP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b/>
        <w:t xml:space="preserve">In </w:t>
      </w:r>
      <w:r w:rsidRPr="00384017">
        <w:rPr>
          <w:i/>
          <w:szCs w:val="24"/>
        </w:rPr>
        <w:t>Hope</w:t>
      </w:r>
      <w:r w:rsidRPr="00384017">
        <w:rPr>
          <w:szCs w:val="24"/>
        </w:rPr>
        <w:t>, the court found:</w:t>
      </w:r>
    </w:p>
    <w:p w:rsidR="00EB35AC" w:rsidRPr="00384017" w:rsidRDefault="007F5EDF" w:rsidP="00301A3B">
      <w:pPr>
        <w:pStyle w:val="ColorfulGrid-Accent11"/>
        <w:tabs>
          <w:tab w:val="num" w:pos="1440"/>
        </w:tabs>
        <w:ind w:left="1440" w:right="936" w:hanging="1440"/>
        <w:jc w:val="left"/>
        <w:rPr>
          <w:szCs w:val="24"/>
        </w:rPr>
      </w:pPr>
      <w:r w:rsidRPr="00384017">
        <w:rPr>
          <w:szCs w:val="24"/>
        </w:rPr>
        <w:tab/>
      </w:r>
      <w:r w:rsidR="00DA761F" w:rsidRPr="00384017">
        <w:rPr>
          <w:i w:val="0"/>
          <w:szCs w:val="24"/>
        </w:rPr>
        <w:t>[T]</w:t>
      </w:r>
      <w:r w:rsidRPr="00384017">
        <w:rPr>
          <w:i w:val="0"/>
          <w:szCs w:val="24"/>
        </w:rPr>
        <w:t>he return to the equity owner should be commensurate with returns on investments in other enterprises having corresponding risks.  That return, moreover, should be sufficient to assure confidence in the financial integrity of the enterprise, so as to maintain its credit and attract capital.</w:t>
      </w:r>
      <w:r w:rsidRPr="00384017">
        <w:rPr>
          <w:rStyle w:val="FootnoteReference"/>
          <w:i w:val="0"/>
          <w:szCs w:val="24"/>
        </w:rPr>
        <w:footnoteReference w:id="4"/>
      </w:r>
      <w:r w:rsidRPr="00384017">
        <w:rPr>
          <w:i w:val="0"/>
          <w:szCs w:val="24"/>
        </w:rPr>
        <w:t xml:space="preserve"> </w:t>
      </w:r>
    </w:p>
    <w:p w:rsidR="00EB35AC" w:rsidRPr="00384017" w:rsidRDefault="007F5EDF" w:rsidP="00301A3B">
      <w:pPr>
        <w:pStyle w:val="QAAnswer"/>
        <w:tabs>
          <w:tab w:val="num" w:pos="720"/>
        </w:tabs>
        <w:spacing w:before="240" w:after="0" w:line="480" w:lineRule="auto"/>
        <w:ind w:left="720" w:hanging="720"/>
        <w:jc w:val="left"/>
        <w:rPr>
          <w:szCs w:val="24"/>
        </w:rPr>
      </w:pPr>
      <w:r w:rsidRPr="00384017">
        <w:rPr>
          <w:szCs w:val="24"/>
        </w:rPr>
        <w:tab/>
      </w:r>
      <w:r w:rsidRPr="00384017">
        <w:rPr>
          <w:szCs w:val="24"/>
        </w:rPr>
        <w:tab/>
        <w:t>Rates of return that compensate investors for opportunity costs and permit utilities to attract capital are a cornerstone of regulatory practice in the United States.</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Does the manner in which fair return is </w:t>
      </w:r>
      <w:r w:rsidR="009826C3" w:rsidRPr="00384017">
        <w:rPr>
          <w:b/>
          <w:szCs w:val="24"/>
        </w:rPr>
        <w:t>determined</w:t>
      </w:r>
      <w:r w:rsidRPr="00384017">
        <w:rPr>
          <w:b/>
          <w:szCs w:val="24"/>
        </w:rPr>
        <w:t xml:space="preserve"> in regulatory practice comport with economic and financial theory </w:t>
      </w:r>
      <w:r w:rsidR="009826C3" w:rsidRPr="00384017">
        <w:rPr>
          <w:b/>
          <w:szCs w:val="24"/>
        </w:rPr>
        <w:t>on</w:t>
      </w:r>
      <w:r w:rsidRPr="00384017">
        <w:rPr>
          <w:b/>
          <w:szCs w:val="24"/>
        </w:rPr>
        <w:t xml:space="preserve"> cost of capital?</w:t>
      </w:r>
    </w:p>
    <w:p w:rsidR="00EB35AC" w:rsidRPr="00384017" w:rsidRDefault="007F5EDF" w:rsidP="00384017">
      <w:pPr>
        <w:pStyle w:val="QAAnswer"/>
        <w:tabs>
          <w:tab w:val="num" w:pos="720"/>
        </w:tabs>
        <w:spacing w:after="0" w:line="480" w:lineRule="auto"/>
        <w:ind w:left="720" w:hanging="720"/>
        <w:jc w:val="left"/>
        <w:rPr>
          <w:spacing w:val="-2"/>
          <w:szCs w:val="24"/>
        </w:rPr>
      </w:pPr>
      <w:r w:rsidRPr="00384017">
        <w:rPr>
          <w:szCs w:val="24"/>
        </w:rPr>
        <w:t>A.</w:t>
      </w:r>
      <w:r w:rsidRPr="00384017">
        <w:rPr>
          <w:szCs w:val="24"/>
        </w:rPr>
        <w:tab/>
        <w:t>Yes.  The</w:t>
      </w:r>
      <w:r w:rsidRPr="00384017">
        <w:rPr>
          <w:spacing w:val="-2"/>
          <w:szCs w:val="24"/>
        </w:rPr>
        <w:t xml:space="preserve"> legal standards for determining a fair rate of return</w:t>
      </w:r>
      <w:r w:rsidR="007E258E" w:rsidRPr="00384017">
        <w:rPr>
          <w:spacing w:val="-2"/>
          <w:szCs w:val="24"/>
        </w:rPr>
        <w:t xml:space="preserve"> for regulated utilities</w:t>
      </w:r>
      <w:r w:rsidRPr="00384017">
        <w:rPr>
          <w:spacing w:val="-2"/>
          <w:szCs w:val="24"/>
        </w:rPr>
        <w:t xml:space="preserve"> comport with the theory established in the field of financial economics.  Financial economists have long recognized that the cost of capital must be assessed recognizing the opportunity costs of foregoing alternative investments and current consumption.</w:t>
      </w:r>
      <w:r w:rsidRPr="00384017">
        <w:rPr>
          <w:rStyle w:val="FootnoteReference"/>
          <w:spacing w:val="-2"/>
          <w:szCs w:val="24"/>
        </w:rPr>
        <w:footnoteReference w:id="5"/>
      </w:r>
      <w:r w:rsidRPr="00384017">
        <w:rPr>
          <w:spacing w:val="-2"/>
          <w:szCs w:val="24"/>
        </w:rPr>
        <w:t xml:space="preserve">  Financial economics also recognizes that investors must be compensated for risk and that returns must be commensurate with the level of risk in order to attract capital.  In this regard, regulatory practice and financial theory align well.</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Is the cost of equity capital directly observable?  </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 xml:space="preserve">A. </w:t>
      </w:r>
      <w:r w:rsidRPr="00384017">
        <w:rPr>
          <w:szCs w:val="24"/>
        </w:rPr>
        <w:tab/>
        <w:t xml:space="preserve">No.  It is not possible to observe the cost of equity directly in the capital markets. </w:t>
      </w:r>
      <w:r w:rsidR="00E0587F" w:rsidRPr="00384017">
        <w:rPr>
          <w:szCs w:val="24"/>
        </w:rPr>
        <w:t xml:space="preserve"> </w:t>
      </w:r>
      <w:r w:rsidRPr="00384017">
        <w:rPr>
          <w:szCs w:val="24"/>
        </w:rPr>
        <w:t xml:space="preserve">The return expectations of equity investors are not published directly in trade journals, as are some other financial data.  They must be estimated or derived </w:t>
      </w:r>
      <w:r w:rsidRPr="00384017">
        <w:rPr>
          <w:szCs w:val="24"/>
        </w:rPr>
        <w:lastRenderedPageBreak/>
        <w:t>indirectly using financial models and the financial data that are made available to the public.  In this regard, it is unlike the cost of debt, which anyone may directly observe from the coupon rates and market prices of long-term debt instruments issued by corporations.</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Must the cost of equity be assessed on a forward-looking basis? </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 xml:space="preserve">A. </w:t>
      </w:r>
      <w:r w:rsidRPr="00384017">
        <w:rPr>
          <w:szCs w:val="24"/>
        </w:rPr>
        <w:tab/>
        <w:t>Yes.  The cost of equity can only reflect the forward-looking expectations of investors who demand compensation for the use of their money in risky investments.  It is essential that the cost of equity capital be defined a</w:t>
      </w:r>
      <w:r w:rsidR="001D59A5" w:rsidRPr="00384017">
        <w:rPr>
          <w:szCs w:val="24"/>
        </w:rPr>
        <w:t>s a forward-looking concept.</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Please describe the risks that must be considered in assessing the cost of equity.</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The cost of equity that investors demand is a function of the business and financial risks to</w:t>
      </w:r>
      <w:r w:rsidRPr="00384017">
        <w:rPr>
          <w:bCs/>
          <w:szCs w:val="24"/>
        </w:rPr>
        <w:t xml:space="preserve"> which their capital is exposed</w:t>
      </w:r>
      <w:r w:rsidRPr="00384017">
        <w:rPr>
          <w:szCs w:val="24"/>
        </w:rPr>
        <w:t>.  “Business risk” refers to the level of risk embedded in the business itself, while “financial risk” refers to risks arising from choices management makes regarding how the firm is financed.  If the firm employs a high level of debt leverage in its capital structure, such leverage amplifies risk for the equity investor because the equity investor is a residual claimant, only entitled to the firm’s cash flows after the debt cap</w:t>
      </w:r>
      <w:r w:rsidR="001D59A5" w:rsidRPr="00384017">
        <w:rPr>
          <w:szCs w:val="24"/>
        </w:rPr>
        <w:t>ital providers have been paid.</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Did the principles for determining fair return in regulatory practice and those established by financial economics guide your assessment of the Company’s cost of equity? </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Yes.  These principles guided my analysis and assessment of the </w:t>
      </w:r>
      <w:bookmarkStart w:id="14" w:name="_Toc354998000"/>
      <w:bookmarkStart w:id="15" w:name="_Toc355788474"/>
      <w:bookmarkStart w:id="16" w:name="_Toc384626546"/>
      <w:bookmarkStart w:id="17" w:name="_Toc384626566"/>
      <w:bookmarkStart w:id="18" w:name="_Toc384626608"/>
      <w:r w:rsidR="001D59A5" w:rsidRPr="00384017">
        <w:rPr>
          <w:szCs w:val="24"/>
        </w:rPr>
        <w:t xml:space="preserve">cost of equity for </w:t>
      </w:r>
      <w:r w:rsidR="00482134">
        <w:rPr>
          <w:szCs w:val="24"/>
        </w:rPr>
        <w:br/>
      </w:r>
      <w:r w:rsidR="001D59A5" w:rsidRPr="00384017">
        <w:rPr>
          <w:szCs w:val="24"/>
        </w:rPr>
        <w:t>the Company.</w:t>
      </w:r>
    </w:p>
    <w:p w:rsidR="00EB35AC" w:rsidRPr="00384017" w:rsidRDefault="00F44990" w:rsidP="00301A3B">
      <w:pPr>
        <w:pStyle w:val="Heading1"/>
        <w:spacing w:before="0" w:after="0" w:line="480" w:lineRule="auto"/>
        <w:ind w:left="0"/>
      </w:pPr>
      <w:bookmarkStart w:id="19" w:name="_Toc386637265"/>
      <w:bookmarkEnd w:id="14"/>
      <w:bookmarkEnd w:id="15"/>
      <w:bookmarkEnd w:id="16"/>
      <w:bookmarkEnd w:id="17"/>
      <w:bookmarkEnd w:id="18"/>
      <w:r w:rsidRPr="00384017">
        <w:lastRenderedPageBreak/>
        <w:t>CURRENT CAPITAL MARKET CONDITIONS</w:t>
      </w:r>
      <w:bookmarkEnd w:id="19"/>
    </w:p>
    <w:p w:rsidR="00F44990" w:rsidRPr="00384017" w:rsidRDefault="00F44990"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recent trends in capital market conditions that provide context for your recommendations. </w:t>
      </w:r>
    </w:p>
    <w:p w:rsidR="00F44990" w:rsidRPr="00384017" w:rsidRDefault="00F44990"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Current capital market conditions are unique from a historical perspective.  Yields on long-term treasury bonds </w:t>
      </w:r>
      <w:r w:rsidR="00E2405B" w:rsidRPr="00384017">
        <w:rPr>
          <w:szCs w:val="24"/>
        </w:rPr>
        <w:t>have been suppressed by the Federal Reserve’s bond</w:t>
      </w:r>
      <w:r w:rsidR="00E941A5" w:rsidRPr="00384017">
        <w:rPr>
          <w:szCs w:val="24"/>
        </w:rPr>
        <w:t>-</w:t>
      </w:r>
      <w:r w:rsidR="00E2405B" w:rsidRPr="00384017">
        <w:rPr>
          <w:szCs w:val="24"/>
        </w:rPr>
        <w:t>buying program and remain at levels</w:t>
      </w:r>
      <w:r w:rsidRPr="00384017">
        <w:rPr>
          <w:szCs w:val="24"/>
        </w:rPr>
        <w:t xml:space="preserve"> well below their historical average.  Although statements from the Federal Reserve indicate that this program will be tapered, the agency has moved slowly</w:t>
      </w:r>
      <w:r w:rsidR="00E941A5" w:rsidRPr="00384017">
        <w:rPr>
          <w:szCs w:val="24"/>
        </w:rPr>
        <w:t>,</w:t>
      </w:r>
      <w:r w:rsidRPr="00384017">
        <w:rPr>
          <w:szCs w:val="24"/>
        </w:rPr>
        <w:t xml:space="preserve"> </w:t>
      </w:r>
      <w:r w:rsidR="00301A3B">
        <w:rPr>
          <w:szCs w:val="24"/>
        </w:rPr>
        <w:t>and risk-free interest rates—t</w:t>
      </w:r>
      <w:r w:rsidRPr="00384017">
        <w:rPr>
          <w:szCs w:val="24"/>
        </w:rPr>
        <w:t xml:space="preserve">hose relied upon by financial analysts to model investor </w:t>
      </w:r>
      <w:r w:rsidR="00500F03" w:rsidRPr="00384017">
        <w:rPr>
          <w:szCs w:val="24"/>
        </w:rPr>
        <w:t xml:space="preserve">return </w:t>
      </w:r>
      <w:r w:rsidR="00301A3B">
        <w:rPr>
          <w:szCs w:val="24"/>
        </w:rPr>
        <w:t>expectations—</w:t>
      </w:r>
      <w:r w:rsidRPr="00384017">
        <w:rPr>
          <w:szCs w:val="24"/>
        </w:rPr>
        <w:t xml:space="preserve">remain near all-time lows.  </w:t>
      </w:r>
      <w:r w:rsidR="00CC4491" w:rsidRPr="00384017">
        <w:rPr>
          <w:szCs w:val="24"/>
        </w:rPr>
        <w:t xml:space="preserve">At the same time, </w:t>
      </w:r>
      <w:r w:rsidR="009E43E5" w:rsidRPr="00384017">
        <w:rPr>
          <w:szCs w:val="24"/>
        </w:rPr>
        <w:t xml:space="preserve">as </w:t>
      </w:r>
      <w:r w:rsidR="00CC4491" w:rsidRPr="00384017">
        <w:rPr>
          <w:szCs w:val="24"/>
        </w:rPr>
        <w:t xml:space="preserve">demand for stocks has pushed equity prices up, dividend yields </w:t>
      </w:r>
      <w:r w:rsidR="009E43E5" w:rsidRPr="00384017">
        <w:rPr>
          <w:szCs w:val="24"/>
        </w:rPr>
        <w:t>have fallen significantly since 200</w:t>
      </w:r>
      <w:r w:rsidR="003A300A" w:rsidRPr="00384017">
        <w:rPr>
          <w:szCs w:val="24"/>
        </w:rPr>
        <w:t>9</w:t>
      </w:r>
      <w:r w:rsidR="00EF4380" w:rsidRPr="00384017">
        <w:rPr>
          <w:szCs w:val="24"/>
        </w:rPr>
        <w:t>, both for industrial firms generally and for utilities</w:t>
      </w:r>
      <w:r w:rsidR="009E43E5" w:rsidRPr="00384017">
        <w:rPr>
          <w:szCs w:val="24"/>
        </w:rPr>
        <w:t xml:space="preserve">.  </w:t>
      </w:r>
      <w:r w:rsidR="00EF4380" w:rsidRPr="00384017">
        <w:rPr>
          <w:szCs w:val="24"/>
        </w:rPr>
        <w:t xml:space="preserve">I show this in Exhibit </w:t>
      </w:r>
      <w:r w:rsidR="00E941A5" w:rsidRPr="00384017">
        <w:rPr>
          <w:szCs w:val="24"/>
        </w:rPr>
        <w:t>No.__</w:t>
      </w:r>
      <w:proofErr w:type="gramStart"/>
      <w:r w:rsidR="00E941A5" w:rsidRPr="00384017">
        <w:rPr>
          <w:szCs w:val="24"/>
        </w:rPr>
        <w:t>_</w:t>
      </w:r>
      <w:r w:rsidR="00EF4380" w:rsidRPr="00384017">
        <w:rPr>
          <w:szCs w:val="24"/>
        </w:rPr>
        <w:t>(</w:t>
      </w:r>
      <w:proofErr w:type="gramEnd"/>
      <w:r w:rsidR="00EF4380" w:rsidRPr="00384017">
        <w:rPr>
          <w:szCs w:val="24"/>
        </w:rPr>
        <w:t>KGS-4</w:t>
      </w:r>
      <w:r w:rsidR="00E941A5" w:rsidRPr="00384017">
        <w:rPr>
          <w:szCs w:val="24"/>
        </w:rPr>
        <w:t>)</w:t>
      </w:r>
      <w:r w:rsidR="00EF4380" w:rsidRPr="00384017">
        <w:rPr>
          <w:szCs w:val="24"/>
        </w:rPr>
        <w:t xml:space="preserve"> and </w:t>
      </w:r>
      <w:r w:rsidR="00E941A5" w:rsidRPr="00384017">
        <w:rPr>
          <w:szCs w:val="24"/>
        </w:rPr>
        <w:t>Exhibit No.___(</w:t>
      </w:r>
      <w:r w:rsidR="00EF4380" w:rsidRPr="00384017">
        <w:rPr>
          <w:szCs w:val="24"/>
        </w:rPr>
        <w:t>KGS-5).</w:t>
      </w:r>
      <w:r w:rsidR="00461578" w:rsidRPr="00384017">
        <w:rPr>
          <w:szCs w:val="24"/>
        </w:rPr>
        <w:t xml:space="preserve">  Since 2009, stock prices </w:t>
      </w:r>
      <w:r w:rsidR="00910F6F">
        <w:rPr>
          <w:szCs w:val="24"/>
        </w:rPr>
        <w:t xml:space="preserve">for utilities </w:t>
      </w:r>
      <w:r w:rsidR="00461578" w:rsidRPr="00384017">
        <w:rPr>
          <w:szCs w:val="24"/>
        </w:rPr>
        <w:t xml:space="preserve">have exhibited more volatility than </w:t>
      </w:r>
      <w:r w:rsidR="00910F6F">
        <w:rPr>
          <w:szCs w:val="24"/>
        </w:rPr>
        <w:t xml:space="preserve">stock prices for </w:t>
      </w:r>
      <w:r w:rsidR="00461578" w:rsidRPr="00384017">
        <w:rPr>
          <w:szCs w:val="24"/>
        </w:rPr>
        <w:t>industrial</w:t>
      </w:r>
      <w:r w:rsidR="00910F6F">
        <w:rPr>
          <w:szCs w:val="24"/>
        </w:rPr>
        <w:t xml:space="preserve"> firms</w:t>
      </w:r>
      <w:r w:rsidR="00461578" w:rsidRPr="00384017">
        <w:rPr>
          <w:szCs w:val="24"/>
        </w:rPr>
        <w:t>.</w:t>
      </w:r>
    </w:p>
    <w:p w:rsidR="00CC4491" w:rsidRPr="00384017" w:rsidRDefault="00CC4491" w:rsidP="00301A3B">
      <w:pPr>
        <w:pStyle w:val="Heading1"/>
        <w:spacing w:before="0" w:after="0" w:line="480" w:lineRule="auto"/>
        <w:ind w:left="0"/>
      </w:pPr>
      <w:bookmarkStart w:id="20" w:name="_Toc386637266"/>
      <w:r w:rsidRPr="00384017">
        <w:t>SELECTION OF A PROXY GROUP OF COMPANIES</w:t>
      </w:r>
      <w:bookmarkEnd w:id="20"/>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Do you rely on </w:t>
      </w:r>
      <w:r w:rsidR="00301A3B">
        <w:rPr>
          <w:b/>
          <w:szCs w:val="24"/>
        </w:rPr>
        <w:t xml:space="preserve">a </w:t>
      </w:r>
      <w:r w:rsidRPr="00384017">
        <w:rPr>
          <w:b/>
          <w:szCs w:val="24"/>
        </w:rPr>
        <w:t xml:space="preserve">proxy group of comparable companies when </w:t>
      </w:r>
      <w:r w:rsidR="0032227A" w:rsidRPr="00384017">
        <w:rPr>
          <w:b/>
          <w:szCs w:val="24"/>
        </w:rPr>
        <w:t>determining the cost of equity for Pacific Power</w:t>
      </w:r>
      <w:r w:rsidRPr="00384017">
        <w:rPr>
          <w:b/>
          <w:szCs w:val="24"/>
        </w:rPr>
        <w:t>?</w:t>
      </w:r>
    </w:p>
    <w:p w:rsidR="00EB35AC" w:rsidRPr="00384017" w:rsidRDefault="007F5EDF" w:rsidP="00384017">
      <w:pPr>
        <w:tabs>
          <w:tab w:val="num" w:pos="720"/>
        </w:tabs>
        <w:spacing w:line="480" w:lineRule="auto"/>
        <w:ind w:left="720" w:hanging="720"/>
        <w:jc w:val="left"/>
        <w:rPr>
          <w:szCs w:val="24"/>
        </w:rPr>
      </w:pPr>
      <w:r w:rsidRPr="00384017">
        <w:rPr>
          <w:szCs w:val="24"/>
        </w:rPr>
        <w:t xml:space="preserve">A. </w:t>
      </w:r>
      <w:r w:rsidRPr="00384017">
        <w:rPr>
          <w:szCs w:val="24"/>
        </w:rPr>
        <w:tab/>
        <w:t xml:space="preserve">Yes.  To determine the cost of equity for the Company, I rely upon a proxy group of comparable companies in the same industry to gauge investors’ return expectations for investments with corresponding risks.  The use of a proxy group containing multiple firms assures a stable, reliable and objective estimate of the cost of capital.  </w:t>
      </w:r>
    </w:p>
    <w:p w:rsidR="00EB35AC" w:rsidRPr="00384017" w:rsidRDefault="007F5EDF" w:rsidP="008F694B">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What comparable companies do you employ for Pacific Power?</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As shown in Exhibit </w:t>
      </w:r>
      <w:r w:rsidR="00401DEB" w:rsidRPr="00384017">
        <w:rPr>
          <w:szCs w:val="24"/>
        </w:rPr>
        <w:t>No.___(KGS-</w:t>
      </w:r>
      <w:r w:rsidR="00461578" w:rsidRPr="00384017">
        <w:rPr>
          <w:szCs w:val="24"/>
        </w:rPr>
        <w:t>6</w:t>
      </w:r>
      <w:r w:rsidR="00401DEB" w:rsidRPr="00384017">
        <w:rPr>
          <w:szCs w:val="24"/>
        </w:rPr>
        <w:t>)</w:t>
      </w:r>
      <w:r w:rsidRPr="00384017">
        <w:rPr>
          <w:szCs w:val="24"/>
        </w:rPr>
        <w:t>, my electric proxy group includes twenty</w:t>
      </w:r>
      <w:r w:rsidR="00401DEB" w:rsidRPr="00384017">
        <w:rPr>
          <w:szCs w:val="24"/>
        </w:rPr>
        <w:t>-</w:t>
      </w:r>
      <w:r w:rsidRPr="00384017">
        <w:rPr>
          <w:szCs w:val="24"/>
        </w:rPr>
        <w:t xml:space="preserve">four companies: </w:t>
      </w:r>
      <w:r w:rsidR="00301A3B">
        <w:rPr>
          <w:szCs w:val="24"/>
        </w:rPr>
        <w:t>(</w:t>
      </w:r>
      <w:r w:rsidRPr="00384017">
        <w:rPr>
          <w:szCs w:val="24"/>
        </w:rPr>
        <w:t xml:space="preserve">1) Alliant Energy Corporation; </w:t>
      </w:r>
      <w:r w:rsidR="00301A3B">
        <w:rPr>
          <w:szCs w:val="24"/>
        </w:rPr>
        <w:t>(</w:t>
      </w:r>
      <w:r w:rsidRPr="00384017">
        <w:rPr>
          <w:szCs w:val="24"/>
        </w:rPr>
        <w:t xml:space="preserve">2) American Electric Power Co., Inc.; </w:t>
      </w:r>
      <w:r w:rsidR="00301A3B">
        <w:rPr>
          <w:szCs w:val="24"/>
        </w:rPr>
        <w:lastRenderedPageBreak/>
        <w:t>(</w:t>
      </w:r>
      <w:r w:rsidRPr="00384017">
        <w:rPr>
          <w:szCs w:val="24"/>
        </w:rPr>
        <w:t xml:space="preserve">3) </w:t>
      </w:r>
      <w:proofErr w:type="spellStart"/>
      <w:r w:rsidRPr="00384017">
        <w:rPr>
          <w:szCs w:val="24"/>
        </w:rPr>
        <w:t>Avista</w:t>
      </w:r>
      <w:proofErr w:type="spellEnd"/>
      <w:r w:rsidRPr="00384017">
        <w:rPr>
          <w:szCs w:val="24"/>
        </w:rPr>
        <w:t xml:space="preserve"> Corp.; </w:t>
      </w:r>
      <w:r w:rsidR="00301A3B">
        <w:rPr>
          <w:szCs w:val="24"/>
        </w:rPr>
        <w:t>(</w:t>
      </w:r>
      <w:r w:rsidRPr="00384017">
        <w:rPr>
          <w:szCs w:val="24"/>
        </w:rPr>
        <w:t xml:space="preserve">4) Black Hills Corp.; </w:t>
      </w:r>
      <w:r w:rsidR="00301A3B">
        <w:rPr>
          <w:szCs w:val="24"/>
        </w:rPr>
        <w:t>(</w:t>
      </w:r>
      <w:r w:rsidRPr="00384017">
        <w:rPr>
          <w:szCs w:val="24"/>
        </w:rPr>
        <w:t xml:space="preserve">5) </w:t>
      </w:r>
      <w:proofErr w:type="spellStart"/>
      <w:r w:rsidRPr="00384017">
        <w:rPr>
          <w:szCs w:val="24"/>
        </w:rPr>
        <w:t>CenterPoint</w:t>
      </w:r>
      <w:proofErr w:type="spellEnd"/>
      <w:r w:rsidRPr="00384017">
        <w:rPr>
          <w:szCs w:val="24"/>
        </w:rPr>
        <w:t xml:space="preserve"> Energy, Inc.; </w:t>
      </w:r>
      <w:r w:rsidR="00301A3B">
        <w:rPr>
          <w:szCs w:val="24"/>
        </w:rPr>
        <w:t>(</w:t>
      </w:r>
      <w:r w:rsidRPr="00384017">
        <w:rPr>
          <w:szCs w:val="24"/>
        </w:rPr>
        <w:t xml:space="preserve">6) </w:t>
      </w:r>
      <w:proofErr w:type="spellStart"/>
      <w:r w:rsidRPr="00384017">
        <w:rPr>
          <w:szCs w:val="24"/>
        </w:rPr>
        <w:t>Cleco</w:t>
      </w:r>
      <w:proofErr w:type="spellEnd"/>
      <w:r w:rsidRPr="00384017">
        <w:rPr>
          <w:szCs w:val="24"/>
        </w:rPr>
        <w:t xml:space="preserve"> Corp.; </w:t>
      </w:r>
      <w:r w:rsidR="00301A3B">
        <w:rPr>
          <w:szCs w:val="24"/>
        </w:rPr>
        <w:t>(</w:t>
      </w:r>
      <w:r w:rsidRPr="00384017">
        <w:rPr>
          <w:szCs w:val="24"/>
        </w:rPr>
        <w:t xml:space="preserve">7) Consolidated Edison, Inc.; </w:t>
      </w:r>
      <w:r w:rsidR="00301A3B">
        <w:rPr>
          <w:szCs w:val="24"/>
        </w:rPr>
        <w:t>(</w:t>
      </w:r>
      <w:r w:rsidRPr="00384017">
        <w:rPr>
          <w:szCs w:val="24"/>
        </w:rPr>
        <w:t xml:space="preserve">8) Dominion Resources, Inc.; </w:t>
      </w:r>
      <w:r w:rsidR="00301A3B">
        <w:rPr>
          <w:szCs w:val="24"/>
        </w:rPr>
        <w:t>(</w:t>
      </w:r>
      <w:r w:rsidRPr="00384017">
        <w:rPr>
          <w:szCs w:val="24"/>
        </w:rPr>
        <w:t xml:space="preserve">9) DTE Energy Company; </w:t>
      </w:r>
      <w:r w:rsidR="00301A3B">
        <w:rPr>
          <w:szCs w:val="24"/>
        </w:rPr>
        <w:t>(</w:t>
      </w:r>
      <w:r w:rsidRPr="00384017">
        <w:rPr>
          <w:szCs w:val="24"/>
        </w:rPr>
        <w:t xml:space="preserve">10) Duke Energy Corp.; </w:t>
      </w:r>
      <w:r w:rsidR="00301A3B">
        <w:rPr>
          <w:szCs w:val="24"/>
        </w:rPr>
        <w:t>(</w:t>
      </w:r>
      <w:r w:rsidRPr="00384017">
        <w:rPr>
          <w:szCs w:val="24"/>
        </w:rPr>
        <w:t xml:space="preserve">11) El Paso Electric Company; </w:t>
      </w:r>
      <w:r w:rsidR="00301A3B">
        <w:rPr>
          <w:szCs w:val="24"/>
        </w:rPr>
        <w:t>(</w:t>
      </w:r>
      <w:r w:rsidRPr="00384017">
        <w:rPr>
          <w:szCs w:val="24"/>
        </w:rPr>
        <w:t>12)</w:t>
      </w:r>
      <w:r w:rsidR="00482134">
        <w:rPr>
          <w:szCs w:val="24"/>
        </w:rPr>
        <w:t xml:space="preserve"> </w:t>
      </w:r>
      <w:r w:rsidR="00023426" w:rsidRPr="00384017">
        <w:rPr>
          <w:szCs w:val="24"/>
        </w:rPr>
        <w:t>IDAC</w:t>
      </w:r>
      <w:r w:rsidR="00910F6F">
        <w:rPr>
          <w:szCs w:val="24"/>
        </w:rPr>
        <w:t>ORP,</w:t>
      </w:r>
      <w:r w:rsidR="00023426" w:rsidRPr="00384017">
        <w:rPr>
          <w:szCs w:val="24"/>
        </w:rPr>
        <w:t xml:space="preserve"> </w:t>
      </w:r>
      <w:r w:rsidRPr="00384017">
        <w:rPr>
          <w:szCs w:val="24"/>
        </w:rPr>
        <w:t xml:space="preserve">Inc.; </w:t>
      </w:r>
      <w:r w:rsidR="00301A3B">
        <w:rPr>
          <w:szCs w:val="24"/>
        </w:rPr>
        <w:t>(</w:t>
      </w:r>
      <w:r w:rsidRPr="00384017">
        <w:rPr>
          <w:szCs w:val="24"/>
        </w:rPr>
        <w:t xml:space="preserve">13) </w:t>
      </w:r>
      <w:proofErr w:type="spellStart"/>
      <w:r w:rsidRPr="00384017">
        <w:rPr>
          <w:szCs w:val="24"/>
        </w:rPr>
        <w:t>NextEra</w:t>
      </w:r>
      <w:proofErr w:type="spellEnd"/>
      <w:r w:rsidRPr="00384017">
        <w:rPr>
          <w:szCs w:val="24"/>
        </w:rPr>
        <w:t xml:space="preserve"> Energy, Inc.; </w:t>
      </w:r>
      <w:r w:rsidR="00301A3B">
        <w:rPr>
          <w:szCs w:val="24"/>
        </w:rPr>
        <w:t>(</w:t>
      </w:r>
      <w:r w:rsidRPr="00384017">
        <w:rPr>
          <w:szCs w:val="24"/>
        </w:rPr>
        <w:t xml:space="preserve">14) Northeast Utilities; </w:t>
      </w:r>
      <w:r w:rsidR="00301A3B">
        <w:rPr>
          <w:szCs w:val="24"/>
        </w:rPr>
        <w:t>(</w:t>
      </w:r>
      <w:r w:rsidRPr="00384017">
        <w:rPr>
          <w:szCs w:val="24"/>
        </w:rPr>
        <w:t>15)</w:t>
      </w:r>
      <w:r w:rsidR="00482134">
        <w:rPr>
          <w:szCs w:val="24"/>
        </w:rPr>
        <w:t xml:space="preserve"> </w:t>
      </w:r>
      <w:proofErr w:type="spellStart"/>
      <w:r w:rsidRPr="00384017">
        <w:rPr>
          <w:szCs w:val="24"/>
        </w:rPr>
        <w:t>NorthWestern</w:t>
      </w:r>
      <w:proofErr w:type="spellEnd"/>
      <w:r w:rsidRPr="00384017">
        <w:rPr>
          <w:szCs w:val="24"/>
        </w:rPr>
        <w:t xml:space="preserve"> Corporation; </w:t>
      </w:r>
      <w:r w:rsidR="00301A3B">
        <w:rPr>
          <w:szCs w:val="24"/>
        </w:rPr>
        <w:t>(</w:t>
      </w:r>
      <w:r w:rsidRPr="00384017">
        <w:rPr>
          <w:szCs w:val="24"/>
        </w:rPr>
        <w:t xml:space="preserve">16) OGE Energy Corp.; </w:t>
      </w:r>
      <w:r w:rsidR="00301A3B">
        <w:rPr>
          <w:szCs w:val="24"/>
        </w:rPr>
        <w:t>(</w:t>
      </w:r>
      <w:r w:rsidRPr="00384017">
        <w:rPr>
          <w:szCs w:val="24"/>
        </w:rPr>
        <w:t xml:space="preserve">17) Pepco Holdings, Inc.; </w:t>
      </w:r>
      <w:r w:rsidR="00301A3B">
        <w:rPr>
          <w:szCs w:val="24"/>
        </w:rPr>
        <w:t>(</w:t>
      </w:r>
      <w:r w:rsidRPr="00384017">
        <w:rPr>
          <w:szCs w:val="24"/>
        </w:rPr>
        <w:t xml:space="preserve">18) Pinnacle West Capital Corporation; </w:t>
      </w:r>
      <w:r w:rsidR="00301A3B">
        <w:rPr>
          <w:szCs w:val="24"/>
        </w:rPr>
        <w:t>(</w:t>
      </w:r>
      <w:r w:rsidRPr="00384017">
        <w:rPr>
          <w:szCs w:val="24"/>
        </w:rPr>
        <w:t xml:space="preserve">19) Portland General Electric Company; </w:t>
      </w:r>
      <w:r w:rsidR="00301A3B">
        <w:rPr>
          <w:szCs w:val="24"/>
        </w:rPr>
        <w:t>(</w:t>
      </w:r>
      <w:r w:rsidRPr="00384017">
        <w:rPr>
          <w:szCs w:val="24"/>
        </w:rPr>
        <w:t xml:space="preserve">20) SCANA Corporation; </w:t>
      </w:r>
      <w:r w:rsidR="00301A3B">
        <w:rPr>
          <w:szCs w:val="24"/>
        </w:rPr>
        <w:t>(</w:t>
      </w:r>
      <w:r w:rsidRPr="00384017">
        <w:rPr>
          <w:szCs w:val="24"/>
        </w:rPr>
        <w:t xml:space="preserve">21) The Southern Company; </w:t>
      </w:r>
      <w:r w:rsidR="00301A3B">
        <w:rPr>
          <w:szCs w:val="24"/>
        </w:rPr>
        <w:t>(</w:t>
      </w:r>
      <w:r w:rsidRPr="00384017">
        <w:rPr>
          <w:szCs w:val="24"/>
        </w:rPr>
        <w:t>22) Westar Energy, Inc.;</w:t>
      </w:r>
      <w:r w:rsidR="00301A3B">
        <w:rPr>
          <w:szCs w:val="24"/>
        </w:rPr>
        <w:t xml:space="preserve"> (</w:t>
      </w:r>
      <w:r w:rsidRPr="00384017">
        <w:rPr>
          <w:szCs w:val="24"/>
        </w:rPr>
        <w:t xml:space="preserve">23) Wisconsin Energy Corporation; and </w:t>
      </w:r>
      <w:r w:rsidR="00301A3B">
        <w:rPr>
          <w:szCs w:val="24"/>
        </w:rPr>
        <w:t>(</w:t>
      </w:r>
      <w:r w:rsidRPr="00384017">
        <w:rPr>
          <w:szCs w:val="24"/>
        </w:rPr>
        <w:t xml:space="preserve">24) Xcel Energy Inc.  Like Pacific Power, each of these companies has substantial electric utility operations.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How did you arrive at this proxy group?</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I used a series of screening criteria that allowed me to identify firms that have similar characteristics to Pacific Power.  The specific characteristics I sought to </w:t>
      </w:r>
      <w:r w:rsidR="003447F8">
        <w:rPr>
          <w:szCs w:val="24"/>
        </w:rPr>
        <w:br/>
      </w:r>
      <w:r w:rsidRPr="00384017">
        <w:rPr>
          <w:szCs w:val="24"/>
        </w:rPr>
        <w:t xml:space="preserve">identify include: </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That a company is considered an “Electric Utility” by the Value Line Investment Survey.</w:t>
      </w:r>
      <w:r w:rsidRPr="00384017">
        <w:rPr>
          <w:szCs w:val="24"/>
        </w:rPr>
        <w:t xml:space="preserve">  This requirement simply establishes the initial universe of potential proxy companies.  </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That a company has a credit rating from Moody’s or S</w:t>
      </w:r>
      <w:r w:rsidR="00401DEB" w:rsidRPr="00384017">
        <w:rPr>
          <w:b/>
          <w:szCs w:val="24"/>
        </w:rPr>
        <w:t xml:space="preserve">tandard </w:t>
      </w:r>
      <w:r w:rsidRPr="00384017">
        <w:rPr>
          <w:b/>
          <w:szCs w:val="24"/>
        </w:rPr>
        <w:t>&amp;</w:t>
      </w:r>
      <w:r w:rsidR="00401DEB" w:rsidRPr="00384017">
        <w:rPr>
          <w:b/>
          <w:szCs w:val="24"/>
        </w:rPr>
        <w:t xml:space="preserve"> </w:t>
      </w:r>
      <w:r w:rsidRPr="00384017">
        <w:rPr>
          <w:b/>
          <w:szCs w:val="24"/>
        </w:rPr>
        <w:t>P</w:t>
      </w:r>
      <w:r w:rsidR="00401DEB" w:rsidRPr="00384017">
        <w:rPr>
          <w:b/>
          <w:szCs w:val="24"/>
        </w:rPr>
        <w:t>oor’s (S&amp;P)</w:t>
      </w:r>
      <w:r w:rsidRPr="00384017">
        <w:rPr>
          <w:b/>
          <w:szCs w:val="24"/>
        </w:rPr>
        <w:t xml:space="preserve"> that is comparable to that of the Company, </w:t>
      </w:r>
      <w:r w:rsidRPr="00384017">
        <w:rPr>
          <w:b/>
          <w:i/>
          <w:szCs w:val="24"/>
        </w:rPr>
        <w:t>i.e.</w:t>
      </w:r>
      <w:r w:rsidRPr="00384017">
        <w:rPr>
          <w:b/>
          <w:szCs w:val="24"/>
        </w:rPr>
        <w:t>, not more than one rating up or down.</w:t>
      </w:r>
      <w:r w:rsidRPr="00384017">
        <w:rPr>
          <w:szCs w:val="24"/>
        </w:rPr>
        <w:t xml:space="preserve">  I examined credit ratings so that the proxy companies selected are of comparable creditworthiness to PacifiCorp.</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 xml:space="preserve">That a company has ten quarters of constant or increasing dividends.  </w:t>
      </w:r>
      <w:r w:rsidRPr="00384017">
        <w:rPr>
          <w:szCs w:val="24"/>
        </w:rPr>
        <w:t xml:space="preserve">This criterion is necessary to assure that the DCF model functions predictably and yields robust results. </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lastRenderedPageBreak/>
        <w:t xml:space="preserve">That a company has a positive </w:t>
      </w:r>
      <w:r w:rsidR="00A824CD">
        <w:rPr>
          <w:b/>
          <w:szCs w:val="24"/>
        </w:rPr>
        <w:t>five</w:t>
      </w:r>
      <w:r w:rsidRPr="00384017">
        <w:rPr>
          <w:b/>
          <w:szCs w:val="24"/>
        </w:rPr>
        <w:t xml:space="preserve">-year growth forecast.  </w:t>
      </w:r>
      <w:r w:rsidRPr="00384017">
        <w:rPr>
          <w:szCs w:val="24"/>
        </w:rPr>
        <w:t>Like</w:t>
      </w:r>
      <w:r w:rsidRPr="00384017">
        <w:rPr>
          <w:b/>
          <w:szCs w:val="24"/>
        </w:rPr>
        <w:t xml:space="preserve"> </w:t>
      </w:r>
      <w:r w:rsidRPr="00384017">
        <w:rPr>
          <w:szCs w:val="24"/>
        </w:rPr>
        <w:t xml:space="preserve">the criteria above, this is necessary to assure that the DCF model, in its single-stage format, functions predictably and yields robust results. </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 xml:space="preserve">That a company does not have merger or other extraordinary activity within the past six months significant enough to distort the DCF inputs.  </w:t>
      </w:r>
      <w:r w:rsidRPr="00384017">
        <w:rPr>
          <w:szCs w:val="24"/>
        </w:rPr>
        <w:t>Such a criterion is needed to assure that the DCF results are not biased by idiosyncratic</w:t>
      </w:r>
      <w:r w:rsidR="00401DEB" w:rsidRPr="00384017">
        <w:rPr>
          <w:szCs w:val="24"/>
        </w:rPr>
        <w:t>,</w:t>
      </w:r>
      <w:r w:rsidRPr="00384017">
        <w:rPr>
          <w:szCs w:val="24"/>
        </w:rPr>
        <w:t xml:space="preserve"> event-driven stock price movements. </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 xml:space="preserve">That a company operates primarily in regulated businesses.  </w:t>
      </w:r>
      <w:r w:rsidRPr="00384017">
        <w:rPr>
          <w:szCs w:val="24"/>
        </w:rPr>
        <w:t>I exclude companies whose operations are primarily unregulated because they do not meet a basic level of comparability.  While having some unregulated interests is not sufficient grounds to exclude a company, firms whose businesses are predominantly unregulated do not make suitable comparisons to Pacific Power, a company that derives nearly all of its revenues from regulated operations.</w:t>
      </w:r>
    </w:p>
    <w:p w:rsidR="00EB35AC" w:rsidRPr="00384017" w:rsidRDefault="007F5EDF" w:rsidP="00384017">
      <w:pPr>
        <w:pStyle w:val="ListNumber"/>
        <w:numPr>
          <w:ilvl w:val="0"/>
          <w:numId w:val="6"/>
        </w:numPr>
        <w:tabs>
          <w:tab w:val="num" w:pos="1080"/>
        </w:tabs>
        <w:spacing w:after="0" w:line="480" w:lineRule="auto"/>
        <w:ind w:left="1080"/>
        <w:rPr>
          <w:szCs w:val="24"/>
        </w:rPr>
      </w:pPr>
      <w:r w:rsidRPr="00384017">
        <w:rPr>
          <w:b/>
          <w:szCs w:val="24"/>
        </w:rPr>
        <w:t xml:space="preserve">That there is data available regarding a company to perform DCF analysis.  </w:t>
      </w:r>
      <w:r w:rsidRPr="00384017">
        <w:rPr>
          <w:szCs w:val="24"/>
        </w:rPr>
        <w:t>This criterion is needed because, of course, if the data is unavailable, the DCF model cannot be run.  Some companies do not have sufficient analyst coverage for a consensus earnings forecast to be produced.  Companies with fewer than two analysts covering their stock are not eligible for inclusion in the proxy group.</w:t>
      </w:r>
    </w:p>
    <w:p w:rsidR="00EB35AC" w:rsidRPr="00384017" w:rsidRDefault="007F5EDF" w:rsidP="008F694B">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how </w:t>
      </w:r>
      <w:r w:rsidR="00401DEB" w:rsidRPr="00384017">
        <w:rPr>
          <w:b/>
          <w:szCs w:val="24"/>
        </w:rPr>
        <w:t xml:space="preserve">you applied </w:t>
      </w:r>
      <w:r w:rsidRPr="00384017">
        <w:rPr>
          <w:b/>
          <w:szCs w:val="24"/>
        </w:rPr>
        <w:t xml:space="preserve">the screening criteria. </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I started with the </w:t>
      </w:r>
      <w:r w:rsidR="003447F8">
        <w:rPr>
          <w:szCs w:val="24"/>
        </w:rPr>
        <w:t>48</w:t>
      </w:r>
      <w:r w:rsidRPr="00384017">
        <w:rPr>
          <w:szCs w:val="24"/>
        </w:rPr>
        <w:t xml:space="preserve"> companies classified by Value Line as being in the electric utility industry.  The application of the credit rating screen reduced the proxy group to </w:t>
      </w:r>
      <w:r w:rsidR="003447F8">
        <w:rPr>
          <w:szCs w:val="24"/>
        </w:rPr>
        <w:t>35</w:t>
      </w:r>
      <w:r w:rsidRPr="00384017">
        <w:rPr>
          <w:szCs w:val="24"/>
        </w:rPr>
        <w:t xml:space="preserve"> companies.  Screening for companies with constant or increasing dividends and growth forecast resulted in the elimination of seven companies, bringing the group </w:t>
      </w:r>
      <w:r w:rsidR="003447F8">
        <w:rPr>
          <w:szCs w:val="24"/>
        </w:rPr>
        <w:br/>
      </w:r>
      <w:r w:rsidRPr="00384017">
        <w:rPr>
          <w:szCs w:val="24"/>
        </w:rPr>
        <w:lastRenderedPageBreak/>
        <w:t xml:space="preserve">to </w:t>
      </w:r>
      <w:r w:rsidR="003447F8">
        <w:rPr>
          <w:szCs w:val="24"/>
        </w:rPr>
        <w:t>28</w:t>
      </w:r>
      <w:r w:rsidRPr="00384017">
        <w:rPr>
          <w:szCs w:val="24"/>
        </w:rPr>
        <w:t xml:space="preserve">.  I then eliminated three companies whose revenues were primarily generated from businesses outside of the regulated electricity sector.  In addition, I excluded ITC Holdings because it is a stand-alone transmission company, not a vertically-integrated utility like Pacific Power. </w:t>
      </w:r>
      <w:r w:rsidR="00401DEB" w:rsidRPr="00384017">
        <w:rPr>
          <w:szCs w:val="24"/>
        </w:rPr>
        <w:t xml:space="preserve"> </w:t>
      </w:r>
      <w:r w:rsidRPr="00384017">
        <w:rPr>
          <w:szCs w:val="24"/>
        </w:rPr>
        <w:t xml:space="preserve">All remaining companies, </w:t>
      </w:r>
      <w:r w:rsidR="003447F8">
        <w:rPr>
          <w:szCs w:val="24"/>
        </w:rPr>
        <w:t>24</w:t>
      </w:r>
      <w:r w:rsidRPr="00384017">
        <w:rPr>
          <w:szCs w:val="24"/>
        </w:rPr>
        <w:t xml:space="preserve"> </w:t>
      </w:r>
      <w:r w:rsidR="00401DEB" w:rsidRPr="00384017">
        <w:rPr>
          <w:szCs w:val="24"/>
        </w:rPr>
        <w:t>in all</w:t>
      </w:r>
      <w:r w:rsidRPr="00384017">
        <w:rPr>
          <w:szCs w:val="24"/>
        </w:rPr>
        <w:t xml:space="preserve">, had data available to run the DCF model, and </w:t>
      </w:r>
      <w:r w:rsidR="0032227A" w:rsidRPr="00384017">
        <w:rPr>
          <w:szCs w:val="24"/>
        </w:rPr>
        <w:t xml:space="preserve">I </w:t>
      </w:r>
      <w:r w:rsidRPr="00384017">
        <w:rPr>
          <w:szCs w:val="24"/>
        </w:rPr>
        <w:t xml:space="preserve">adopted </w:t>
      </w:r>
      <w:r w:rsidR="0032227A" w:rsidRPr="00384017">
        <w:rPr>
          <w:szCs w:val="24"/>
        </w:rPr>
        <w:t xml:space="preserve">them </w:t>
      </w:r>
      <w:r w:rsidRPr="00384017">
        <w:rPr>
          <w:szCs w:val="24"/>
        </w:rPr>
        <w:t xml:space="preserve">as the proxy group.  This screening selection is shown in Exhibit </w:t>
      </w:r>
      <w:r w:rsidR="00401DEB" w:rsidRPr="00384017">
        <w:rPr>
          <w:szCs w:val="24"/>
        </w:rPr>
        <w:t>No.</w:t>
      </w:r>
      <w:r w:rsidR="00E0587F" w:rsidRPr="00384017">
        <w:rPr>
          <w:szCs w:val="24"/>
        </w:rPr>
        <w:t>_</w:t>
      </w:r>
      <w:r w:rsidR="00401DEB" w:rsidRPr="00384017">
        <w:rPr>
          <w:szCs w:val="24"/>
        </w:rPr>
        <w:t>_</w:t>
      </w:r>
      <w:proofErr w:type="gramStart"/>
      <w:r w:rsidR="00401DEB" w:rsidRPr="00384017">
        <w:rPr>
          <w:szCs w:val="24"/>
        </w:rPr>
        <w:t>_(</w:t>
      </w:r>
      <w:proofErr w:type="gramEnd"/>
      <w:r w:rsidR="00401DEB" w:rsidRPr="00384017">
        <w:rPr>
          <w:szCs w:val="24"/>
        </w:rPr>
        <w:t>KGS-</w:t>
      </w:r>
      <w:r w:rsidR="00461578" w:rsidRPr="00384017">
        <w:rPr>
          <w:szCs w:val="24"/>
        </w:rPr>
        <w:t>7</w:t>
      </w:r>
      <w:r w:rsidR="00401DEB" w:rsidRPr="00384017">
        <w:rPr>
          <w:szCs w:val="24"/>
        </w:rPr>
        <w:t xml:space="preserve">). </w:t>
      </w:r>
      <w:r w:rsidR="003447F8">
        <w:rPr>
          <w:szCs w:val="24"/>
        </w:rPr>
        <w:t xml:space="preserve"> </w:t>
      </w:r>
      <w:r w:rsidRPr="00384017">
        <w:rPr>
          <w:szCs w:val="24"/>
        </w:rPr>
        <w:t xml:space="preserve">As noted in this exhibit, the results of screens were only reported if a prospective proxy company passed all </w:t>
      </w:r>
      <w:r w:rsidR="003447F8">
        <w:rPr>
          <w:szCs w:val="24"/>
        </w:rPr>
        <w:br/>
      </w:r>
      <w:r w:rsidRPr="00384017">
        <w:rPr>
          <w:szCs w:val="24"/>
        </w:rPr>
        <w:t>prior screens.</w:t>
      </w:r>
    </w:p>
    <w:p w:rsidR="00EB35AC" w:rsidRPr="00384017" w:rsidRDefault="007F5EDF" w:rsidP="00A824CD">
      <w:pPr>
        <w:pStyle w:val="Heading1"/>
        <w:spacing w:before="0" w:after="0" w:line="480" w:lineRule="auto"/>
        <w:ind w:left="0"/>
      </w:pPr>
      <w:bookmarkStart w:id="21" w:name="_Toc355788477"/>
      <w:bookmarkStart w:id="22" w:name="_Toc354998003"/>
      <w:bookmarkStart w:id="23" w:name="_Toc355788478"/>
      <w:bookmarkStart w:id="24" w:name="_Toc384626547"/>
      <w:bookmarkStart w:id="25" w:name="_Toc384626567"/>
      <w:bookmarkStart w:id="26" w:name="_Toc384626609"/>
      <w:bookmarkStart w:id="27" w:name="_Toc386637267"/>
      <w:bookmarkEnd w:id="21"/>
      <w:r w:rsidRPr="00384017">
        <w:t xml:space="preserve">DIscounted Cash Flow </w:t>
      </w:r>
      <w:r w:rsidR="00C47311" w:rsidRPr="00384017">
        <w:t>AND YIELD</w:t>
      </w:r>
      <w:r w:rsidR="00A824CD">
        <w:t>-</w:t>
      </w:r>
      <w:r w:rsidR="00C47311" w:rsidRPr="00384017">
        <w:t>PLUS</w:t>
      </w:r>
      <w:r w:rsidR="00A824CD">
        <w:t>-</w:t>
      </w:r>
      <w:r w:rsidR="00C47311" w:rsidRPr="00384017">
        <w:t xml:space="preserve">GROWTH </w:t>
      </w:r>
      <w:r w:rsidRPr="00384017">
        <w:t>Model</w:t>
      </w:r>
      <w:bookmarkEnd w:id="22"/>
      <w:bookmarkEnd w:id="23"/>
      <w:bookmarkEnd w:id="24"/>
      <w:bookmarkEnd w:id="25"/>
      <w:bookmarkEnd w:id="26"/>
      <w:r w:rsidR="00C47311" w:rsidRPr="00384017">
        <w:t>S</w:t>
      </w:r>
      <w:bookmarkEnd w:id="27"/>
    </w:p>
    <w:p w:rsidR="00EB35AC" w:rsidRPr="00384017" w:rsidRDefault="007F5EDF" w:rsidP="00384017">
      <w:pPr>
        <w:pStyle w:val="Heading2"/>
        <w:numPr>
          <w:ilvl w:val="0"/>
          <w:numId w:val="0"/>
        </w:numPr>
        <w:tabs>
          <w:tab w:val="num" w:pos="720"/>
        </w:tabs>
        <w:spacing w:before="0" w:after="0" w:line="480" w:lineRule="auto"/>
        <w:ind w:left="720" w:hanging="720"/>
        <w:rPr>
          <w:sz w:val="24"/>
          <w:szCs w:val="24"/>
        </w:rPr>
      </w:pPr>
      <w:bookmarkStart w:id="28" w:name="_Toc354998004"/>
      <w:bookmarkStart w:id="29" w:name="_Toc355788479"/>
      <w:bookmarkStart w:id="30" w:name="_Toc384626548"/>
      <w:bookmarkStart w:id="31" w:name="_Toc384626568"/>
      <w:bookmarkStart w:id="32" w:name="_Toc384626610"/>
      <w:bookmarkStart w:id="33" w:name="_Toc386637268"/>
      <w:r w:rsidRPr="00384017">
        <w:rPr>
          <w:sz w:val="24"/>
          <w:szCs w:val="24"/>
        </w:rPr>
        <w:t xml:space="preserve">Overview of the </w:t>
      </w:r>
      <w:r w:rsidR="00A824CD">
        <w:rPr>
          <w:sz w:val="24"/>
          <w:szCs w:val="24"/>
        </w:rPr>
        <w:t xml:space="preserve">DCF </w:t>
      </w:r>
      <w:r w:rsidRPr="00384017">
        <w:rPr>
          <w:sz w:val="24"/>
          <w:szCs w:val="24"/>
        </w:rPr>
        <w:t>Model</w:t>
      </w:r>
      <w:bookmarkEnd w:id="28"/>
      <w:bookmarkEnd w:id="29"/>
      <w:bookmarkEnd w:id="30"/>
      <w:bookmarkEnd w:id="31"/>
      <w:bookmarkEnd w:id="32"/>
      <w:bookmarkEnd w:id="33"/>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the DCF model that you employ. </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The DCF model is the most commonly</w:t>
      </w:r>
      <w:r w:rsidR="00A824CD">
        <w:rPr>
          <w:szCs w:val="24"/>
        </w:rPr>
        <w:t xml:space="preserve"> </w:t>
      </w:r>
      <w:r w:rsidRPr="00384017">
        <w:rPr>
          <w:szCs w:val="24"/>
        </w:rPr>
        <w:t xml:space="preserve">used model in North American regulatory practice to determine the cost of equity for public utilities.  The DCF model is founded on a well-established principle in financial economics:  </w:t>
      </w:r>
      <w:r w:rsidRPr="00384017">
        <w:rPr>
          <w:i/>
          <w:szCs w:val="24"/>
        </w:rPr>
        <w:t>i.e.</w:t>
      </w:r>
      <w:r w:rsidRPr="00384017">
        <w:rPr>
          <w:szCs w:val="24"/>
        </w:rPr>
        <w:t>, that the price of a given asset in a competitive market is the discounted stream of future cash flows it can produce.</w:t>
      </w:r>
      <w:r w:rsidRPr="00384017">
        <w:rPr>
          <w:rStyle w:val="FootnoteReference"/>
          <w:spacing w:val="-2"/>
          <w:szCs w:val="24"/>
        </w:rPr>
        <w:footnoteReference w:id="6"/>
      </w:r>
      <w:r w:rsidRPr="00384017">
        <w:rPr>
          <w:szCs w:val="24"/>
        </w:rPr>
        <w:t xml:space="preserve">  Equity investments in public utilities produce cash dividends and capital gains.  Hence, the DCF model centers around the dividends and capital gains that can reasonably be expected to accrue to equity investors, which are reflected first in current dividends and second in forecast earnings growth.  The stream of expected dividends and growth</w:t>
      </w:r>
      <w:r w:rsidR="0032227A" w:rsidRPr="00384017">
        <w:rPr>
          <w:szCs w:val="24"/>
        </w:rPr>
        <w:t>—</w:t>
      </w:r>
      <w:r w:rsidRPr="00384017">
        <w:rPr>
          <w:szCs w:val="24"/>
        </w:rPr>
        <w:t>taken together with pricing for a utility’s common stock established by competitive trading on a stock exchange</w:t>
      </w:r>
      <w:r w:rsidR="0032227A" w:rsidRPr="00384017">
        <w:rPr>
          <w:szCs w:val="24"/>
        </w:rPr>
        <w:t>—</w:t>
      </w:r>
      <w:r w:rsidRPr="00384017">
        <w:rPr>
          <w:szCs w:val="24"/>
        </w:rPr>
        <w:t xml:space="preserve">allows financial economists to calculate the implied discount rate at which investors evaluate future dividends and </w:t>
      </w:r>
      <w:r w:rsidRPr="00384017">
        <w:rPr>
          <w:szCs w:val="24"/>
        </w:rPr>
        <w:lastRenderedPageBreak/>
        <w:t xml:space="preserve">growth.  The discount rate is precisely the return that investors require for committing their capital as equity in the public utility corporations to which the DCF model </w:t>
      </w:r>
      <w:r w:rsidR="003447F8">
        <w:rPr>
          <w:szCs w:val="24"/>
        </w:rPr>
        <w:br/>
      </w:r>
      <w:r w:rsidRPr="00384017">
        <w:rPr>
          <w:szCs w:val="24"/>
        </w:rPr>
        <w:t>is applied.</w:t>
      </w:r>
    </w:p>
    <w:p w:rsidR="00EB35AC" w:rsidRPr="00384017" w:rsidRDefault="007F5EDF" w:rsidP="00384017">
      <w:pPr>
        <w:pStyle w:val="Heading2"/>
        <w:numPr>
          <w:ilvl w:val="0"/>
          <w:numId w:val="0"/>
        </w:numPr>
        <w:tabs>
          <w:tab w:val="num" w:pos="720"/>
        </w:tabs>
        <w:spacing w:before="0" w:after="0" w:line="480" w:lineRule="auto"/>
        <w:ind w:left="720" w:hanging="720"/>
        <w:rPr>
          <w:sz w:val="24"/>
          <w:szCs w:val="24"/>
        </w:rPr>
      </w:pPr>
      <w:bookmarkStart w:id="34" w:name="_Toc354998005"/>
      <w:bookmarkStart w:id="35" w:name="_Toc355788480"/>
      <w:bookmarkStart w:id="36" w:name="_Toc384626549"/>
      <w:bookmarkStart w:id="37" w:name="_Toc384626569"/>
      <w:bookmarkStart w:id="38" w:name="_Toc384626611"/>
      <w:bookmarkStart w:id="39" w:name="_Toc386637269"/>
      <w:r w:rsidRPr="00384017">
        <w:rPr>
          <w:sz w:val="24"/>
          <w:szCs w:val="24"/>
        </w:rPr>
        <w:t>Inputs into the DCF Calculations</w:t>
      </w:r>
      <w:bookmarkEnd w:id="34"/>
      <w:bookmarkEnd w:id="35"/>
      <w:bookmarkEnd w:id="36"/>
      <w:bookmarkEnd w:id="37"/>
      <w:bookmarkEnd w:id="38"/>
      <w:bookmarkEnd w:id="39"/>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Please describe the inputs to your DCF calculations for the proxy group companies.</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I rely on the following inputs: </w:t>
      </w:r>
    </w:p>
    <w:p w:rsidR="00EB35AC" w:rsidRPr="00384017" w:rsidRDefault="007F5EDF" w:rsidP="00384017">
      <w:pPr>
        <w:pStyle w:val="ListNumber"/>
        <w:numPr>
          <w:ilvl w:val="0"/>
          <w:numId w:val="5"/>
        </w:numPr>
        <w:tabs>
          <w:tab w:val="num" w:pos="1080"/>
        </w:tabs>
        <w:spacing w:after="0" w:line="480" w:lineRule="auto"/>
        <w:ind w:left="1080"/>
        <w:rPr>
          <w:szCs w:val="24"/>
        </w:rPr>
      </w:pPr>
      <w:r w:rsidRPr="00384017">
        <w:rPr>
          <w:szCs w:val="24"/>
        </w:rPr>
        <w:t>Common stock prices for proxy group companies, obtained f</w:t>
      </w:r>
      <w:r w:rsidR="003447F8">
        <w:rPr>
          <w:szCs w:val="24"/>
        </w:rPr>
        <w:t>rom Bloomberg Finance LP;</w:t>
      </w:r>
    </w:p>
    <w:p w:rsidR="00EB35AC" w:rsidRPr="00384017" w:rsidRDefault="007F5EDF" w:rsidP="00384017">
      <w:pPr>
        <w:pStyle w:val="ListNumber"/>
        <w:numPr>
          <w:ilvl w:val="0"/>
          <w:numId w:val="5"/>
        </w:numPr>
        <w:tabs>
          <w:tab w:val="num" w:pos="1080"/>
        </w:tabs>
        <w:spacing w:after="0" w:line="480" w:lineRule="auto"/>
        <w:ind w:left="1080"/>
        <w:rPr>
          <w:szCs w:val="24"/>
        </w:rPr>
      </w:pPr>
      <w:r w:rsidRPr="00384017">
        <w:rPr>
          <w:szCs w:val="24"/>
        </w:rPr>
        <w:t xml:space="preserve">Current dividends, obtained from Bloomberg Finance LP and/or </w:t>
      </w:r>
      <w:proofErr w:type="spellStart"/>
      <w:r w:rsidRPr="00384017">
        <w:rPr>
          <w:szCs w:val="24"/>
        </w:rPr>
        <w:t>Factset</w:t>
      </w:r>
      <w:proofErr w:type="spellEnd"/>
      <w:r w:rsidRPr="00384017">
        <w:rPr>
          <w:szCs w:val="24"/>
        </w:rPr>
        <w:t xml:space="preserve"> </w:t>
      </w:r>
      <w:r w:rsidR="003447F8">
        <w:rPr>
          <w:szCs w:val="24"/>
        </w:rPr>
        <w:br/>
      </w:r>
      <w:r w:rsidRPr="00384017">
        <w:rPr>
          <w:szCs w:val="24"/>
        </w:rPr>
        <w:t>Data Systems;</w:t>
      </w:r>
    </w:p>
    <w:p w:rsidR="00EB35AC" w:rsidRPr="00384017" w:rsidRDefault="007F5EDF" w:rsidP="00384017">
      <w:pPr>
        <w:pStyle w:val="ListNumber"/>
        <w:numPr>
          <w:ilvl w:val="0"/>
          <w:numId w:val="5"/>
        </w:numPr>
        <w:tabs>
          <w:tab w:val="num" w:pos="1080"/>
        </w:tabs>
        <w:spacing w:after="0" w:line="480" w:lineRule="auto"/>
        <w:ind w:left="1080"/>
        <w:rPr>
          <w:szCs w:val="24"/>
        </w:rPr>
      </w:pPr>
      <w:r w:rsidRPr="00384017">
        <w:rPr>
          <w:szCs w:val="24"/>
        </w:rPr>
        <w:t>Forecast earnings growth rates, summarized by IBES and obtained from Yahoo F</w:t>
      </w:r>
      <w:r w:rsidR="003447F8">
        <w:rPr>
          <w:szCs w:val="24"/>
        </w:rPr>
        <w:t xml:space="preserve">inance and </w:t>
      </w:r>
      <w:proofErr w:type="spellStart"/>
      <w:r w:rsidR="003447F8">
        <w:rPr>
          <w:szCs w:val="24"/>
        </w:rPr>
        <w:t>Factset</w:t>
      </w:r>
      <w:proofErr w:type="spellEnd"/>
      <w:r w:rsidR="003447F8">
        <w:rPr>
          <w:szCs w:val="24"/>
        </w:rPr>
        <w:t xml:space="preserve"> Data Systems;</w:t>
      </w:r>
    </w:p>
    <w:p w:rsidR="00EB35AC" w:rsidRPr="00384017" w:rsidRDefault="007F5EDF" w:rsidP="00384017">
      <w:pPr>
        <w:pStyle w:val="ListNumber"/>
        <w:numPr>
          <w:ilvl w:val="0"/>
          <w:numId w:val="5"/>
        </w:numPr>
        <w:tabs>
          <w:tab w:val="num" w:pos="1080"/>
        </w:tabs>
        <w:spacing w:after="0" w:line="480" w:lineRule="auto"/>
        <w:ind w:left="1080"/>
        <w:rPr>
          <w:szCs w:val="24"/>
        </w:rPr>
      </w:pPr>
      <w:r w:rsidRPr="00384017">
        <w:rPr>
          <w:szCs w:val="24"/>
        </w:rPr>
        <w:t xml:space="preserve">Estimated sustainable growth rates, using data obtained from Value Line. </w:t>
      </w:r>
    </w:p>
    <w:p w:rsidR="00EB35AC" w:rsidRDefault="007F5EDF" w:rsidP="003447F8">
      <w:pPr>
        <w:pStyle w:val="QAAnswer"/>
        <w:tabs>
          <w:tab w:val="num" w:pos="720"/>
          <w:tab w:val="left" w:pos="1440"/>
        </w:tabs>
        <w:spacing w:after="0" w:line="480" w:lineRule="auto"/>
        <w:ind w:left="720" w:hanging="720"/>
        <w:jc w:val="left"/>
        <w:rPr>
          <w:szCs w:val="24"/>
        </w:rPr>
      </w:pPr>
      <w:r w:rsidRPr="00384017">
        <w:rPr>
          <w:szCs w:val="24"/>
        </w:rPr>
        <w:tab/>
      </w:r>
      <w:r w:rsidRPr="00384017">
        <w:rPr>
          <w:szCs w:val="24"/>
        </w:rPr>
        <w:tab/>
        <w:t xml:space="preserve">The first two data sets are used to calculate the dividend yield, while the </w:t>
      </w:r>
      <w:r w:rsidR="0032227A" w:rsidRPr="00384017">
        <w:rPr>
          <w:szCs w:val="24"/>
        </w:rPr>
        <w:t>second</w:t>
      </w:r>
      <w:r w:rsidRPr="00384017">
        <w:rPr>
          <w:szCs w:val="24"/>
        </w:rPr>
        <w:t xml:space="preserve"> two represent different ways of assessing investors’ growth expectations.  The use of consensus forecasts for earnings growth is the first method I utilize.  The second is the development of a sustainable growth rate, reflecting the firm’s retained earnings as well as expected returns from the sale of new stock at a premium to book value.  </w:t>
      </w:r>
      <w:r w:rsidRPr="00384017">
        <w:rPr>
          <w:spacing w:val="-2"/>
          <w:szCs w:val="24"/>
        </w:rPr>
        <w:t xml:space="preserve">The sustainable growth inputs can be found in </w:t>
      </w:r>
      <w:r w:rsidRPr="00384017">
        <w:rPr>
          <w:bCs/>
          <w:spacing w:val="-2"/>
          <w:szCs w:val="24"/>
        </w:rPr>
        <w:t>Exhibit</w:t>
      </w:r>
      <w:r w:rsidR="00FE6088" w:rsidRPr="00384017">
        <w:rPr>
          <w:bCs/>
          <w:spacing w:val="-2"/>
          <w:szCs w:val="24"/>
        </w:rPr>
        <w:t xml:space="preserve"> No.__</w:t>
      </w:r>
      <w:proofErr w:type="gramStart"/>
      <w:r w:rsidR="00FE6088" w:rsidRPr="00384017">
        <w:rPr>
          <w:bCs/>
          <w:spacing w:val="-2"/>
          <w:szCs w:val="24"/>
        </w:rPr>
        <w:t>_(</w:t>
      </w:r>
      <w:proofErr w:type="gramEnd"/>
      <w:r w:rsidR="00FE6088" w:rsidRPr="00384017">
        <w:rPr>
          <w:bCs/>
          <w:spacing w:val="-2"/>
          <w:szCs w:val="24"/>
        </w:rPr>
        <w:t>KGS-</w:t>
      </w:r>
      <w:r w:rsidR="00461578" w:rsidRPr="00384017">
        <w:rPr>
          <w:bCs/>
          <w:spacing w:val="-2"/>
          <w:szCs w:val="24"/>
        </w:rPr>
        <w:t>8</w:t>
      </w:r>
      <w:r w:rsidR="00FE6088" w:rsidRPr="00384017">
        <w:rPr>
          <w:bCs/>
          <w:spacing w:val="-2"/>
          <w:szCs w:val="24"/>
        </w:rPr>
        <w:t>)</w:t>
      </w:r>
      <w:r w:rsidRPr="00384017">
        <w:rPr>
          <w:spacing w:val="-2"/>
          <w:szCs w:val="24"/>
        </w:rPr>
        <w:t xml:space="preserve"> and </w:t>
      </w:r>
      <w:r w:rsidRPr="00384017">
        <w:rPr>
          <w:bCs/>
          <w:spacing w:val="-2"/>
          <w:szCs w:val="24"/>
        </w:rPr>
        <w:t xml:space="preserve">Exhibit </w:t>
      </w:r>
      <w:r w:rsidR="0039223E">
        <w:rPr>
          <w:bCs/>
          <w:spacing w:val="-2"/>
          <w:szCs w:val="24"/>
        </w:rPr>
        <w:t>No.</w:t>
      </w:r>
      <w:r w:rsidR="00FE6088" w:rsidRPr="00384017">
        <w:rPr>
          <w:bCs/>
          <w:spacing w:val="-2"/>
          <w:szCs w:val="24"/>
        </w:rPr>
        <w:t>___(KGS-</w:t>
      </w:r>
      <w:r w:rsidR="00461578" w:rsidRPr="00384017">
        <w:rPr>
          <w:bCs/>
          <w:spacing w:val="-2"/>
          <w:szCs w:val="24"/>
        </w:rPr>
        <w:t>9</w:t>
      </w:r>
      <w:r w:rsidR="00FE6088" w:rsidRPr="00384017">
        <w:rPr>
          <w:bCs/>
          <w:spacing w:val="-2"/>
          <w:szCs w:val="24"/>
        </w:rPr>
        <w:t>)</w:t>
      </w:r>
      <w:r w:rsidRPr="00384017">
        <w:rPr>
          <w:spacing w:val="-2"/>
          <w:szCs w:val="24"/>
        </w:rPr>
        <w:t xml:space="preserve">.  </w:t>
      </w:r>
      <w:r w:rsidRPr="00384017">
        <w:rPr>
          <w:szCs w:val="24"/>
        </w:rPr>
        <w:t xml:space="preserve">My DCF analysis relies upon an average of the results (consensus forecasts and sustainable growth) when determining the </w:t>
      </w:r>
      <w:r w:rsidR="00FE6088" w:rsidRPr="00384017">
        <w:rPr>
          <w:szCs w:val="24"/>
        </w:rPr>
        <w:t>cost of equity</w:t>
      </w:r>
      <w:r w:rsidRPr="00384017">
        <w:rPr>
          <w:szCs w:val="24"/>
        </w:rPr>
        <w:t>.</w:t>
      </w:r>
    </w:p>
    <w:p w:rsidR="003447F8" w:rsidRPr="003447F8" w:rsidRDefault="003447F8" w:rsidP="003447F8">
      <w:pPr>
        <w:pStyle w:val="QAQCont"/>
        <w:suppressLineNumbers/>
      </w:pP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lastRenderedPageBreak/>
        <w:t>Q.</w:t>
      </w:r>
      <w:r w:rsidRPr="00384017">
        <w:rPr>
          <w:b/>
          <w:szCs w:val="24"/>
        </w:rPr>
        <w:tab/>
        <w:t>Please explain how the stock price data and dividend information is used.</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I calculate an average dividend yield for each proxy group company by aggregating the dividends earned in the most recent </w:t>
      </w:r>
      <w:r w:rsidR="00A824CD">
        <w:rPr>
          <w:szCs w:val="24"/>
        </w:rPr>
        <w:t>12</w:t>
      </w:r>
      <w:r w:rsidRPr="00384017">
        <w:rPr>
          <w:szCs w:val="24"/>
        </w:rPr>
        <w:t>-month time period divided by the average stock price during that period.  I then convert the historic</w:t>
      </w:r>
      <w:r w:rsidR="00FE6088" w:rsidRPr="00384017">
        <w:rPr>
          <w:szCs w:val="24"/>
        </w:rPr>
        <w:t>al</w:t>
      </w:r>
      <w:r w:rsidRPr="00384017">
        <w:rPr>
          <w:szCs w:val="24"/>
        </w:rPr>
        <w:t xml:space="preserve"> dividend yields to forward-looking dividend yields by multiplying by one plus the growth rate.  The data used in my analysis covers the period through mid-February 2014.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Does the DCF model combine the dividend yields with the growth forecasts to arrive at a cost of equity for the proxy group of electric utilities?</w:t>
      </w:r>
    </w:p>
    <w:p w:rsidR="00EB35AC" w:rsidRDefault="007F5EDF" w:rsidP="00384017">
      <w:pPr>
        <w:pStyle w:val="QAAnswer"/>
        <w:tabs>
          <w:tab w:val="num" w:pos="720"/>
        </w:tabs>
        <w:spacing w:after="0" w:line="480" w:lineRule="auto"/>
        <w:ind w:left="720" w:hanging="720"/>
        <w:jc w:val="left"/>
        <w:rPr>
          <w:b/>
          <w:szCs w:val="24"/>
        </w:rPr>
      </w:pPr>
      <w:r w:rsidRPr="00384017">
        <w:rPr>
          <w:szCs w:val="24"/>
        </w:rPr>
        <w:t xml:space="preserve">A. </w:t>
      </w:r>
      <w:r w:rsidRPr="00384017">
        <w:rPr>
          <w:szCs w:val="24"/>
        </w:rPr>
        <w:tab/>
        <w:t xml:space="preserve">Yes.  The DCF model is structured to evaluate the cost of equity as “yield” plus “growth.”  As noted above, the use of the </w:t>
      </w:r>
      <w:r w:rsidR="00A824CD">
        <w:rPr>
          <w:szCs w:val="24"/>
        </w:rPr>
        <w:t>12</w:t>
      </w:r>
      <w:r w:rsidRPr="00384017">
        <w:rPr>
          <w:szCs w:val="24"/>
        </w:rPr>
        <w:t>-month stock prices, together with the corresponding dividend per share payments, allows me to calculate the historic</w:t>
      </w:r>
      <w:r w:rsidR="00C23E53" w:rsidRPr="00384017">
        <w:rPr>
          <w:szCs w:val="24"/>
        </w:rPr>
        <w:t>al</w:t>
      </w:r>
      <w:r w:rsidRPr="00384017">
        <w:rPr>
          <w:szCs w:val="24"/>
        </w:rPr>
        <w:t xml:space="preserve"> yield component, which I then convert to a forward-looking dividend yield by adjusting for one year of growth.  As shown in Exhibit </w:t>
      </w:r>
      <w:r w:rsidR="00C23E53" w:rsidRPr="00384017">
        <w:rPr>
          <w:szCs w:val="24"/>
        </w:rPr>
        <w:t>No.__</w:t>
      </w:r>
      <w:proofErr w:type="gramStart"/>
      <w:r w:rsidR="00C23E53" w:rsidRPr="00384017">
        <w:rPr>
          <w:szCs w:val="24"/>
        </w:rPr>
        <w:t>_(</w:t>
      </w:r>
      <w:proofErr w:type="gramEnd"/>
      <w:r w:rsidR="00C23E53" w:rsidRPr="00384017">
        <w:rPr>
          <w:szCs w:val="24"/>
        </w:rPr>
        <w:t>KGS-</w:t>
      </w:r>
      <w:r w:rsidR="00461578" w:rsidRPr="00384017">
        <w:rPr>
          <w:szCs w:val="24"/>
        </w:rPr>
        <w:t>10</w:t>
      </w:r>
      <w:r w:rsidR="00C23E53" w:rsidRPr="00384017">
        <w:rPr>
          <w:szCs w:val="24"/>
        </w:rPr>
        <w:t>)</w:t>
      </w:r>
      <w:r w:rsidRPr="00384017">
        <w:rPr>
          <w:szCs w:val="24"/>
        </w:rPr>
        <w:t>, this yields an average cost of equity for the electric utility proxy group of 9.23 percent.</w:t>
      </w:r>
      <w:r w:rsidRPr="00384017">
        <w:rPr>
          <w:b/>
          <w:szCs w:val="24"/>
        </w:rPr>
        <w:t xml:space="preserve"> </w:t>
      </w:r>
    </w:p>
    <w:p w:rsidR="00A824CD" w:rsidRPr="00A824CD" w:rsidRDefault="00A824CD" w:rsidP="004A283E">
      <w:pPr>
        <w:pStyle w:val="QAQCont"/>
        <w:ind w:left="0"/>
        <w:rPr>
          <w:b/>
        </w:rPr>
      </w:pPr>
      <w:r w:rsidRPr="004A283E">
        <w:rPr>
          <w:b/>
        </w:rPr>
        <w:t>Yield-Plus-Growth Model</w:t>
      </w:r>
    </w:p>
    <w:p w:rsidR="00C47311" w:rsidRPr="00384017" w:rsidRDefault="00C47311"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Have you performed a </w:t>
      </w:r>
      <w:r w:rsidR="00E2405B" w:rsidRPr="00384017">
        <w:rPr>
          <w:b/>
          <w:szCs w:val="24"/>
        </w:rPr>
        <w:t>Y</w:t>
      </w:r>
      <w:r w:rsidRPr="00384017">
        <w:rPr>
          <w:b/>
          <w:szCs w:val="24"/>
        </w:rPr>
        <w:t>ield</w:t>
      </w:r>
      <w:r w:rsidR="00A824CD">
        <w:rPr>
          <w:b/>
          <w:szCs w:val="24"/>
        </w:rPr>
        <w:t>-</w:t>
      </w:r>
      <w:r w:rsidR="00E2405B" w:rsidRPr="00384017">
        <w:rPr>
          <w:b/>
          <w:szCs w:val="24"/>
        </w:rPr>
        <w:t>P</w:t>
      </w:r>
      <w:r w:rsidRPr="00384017">
        <w:rPr>
          <w:b/>
          <w:szCs w:val="24"/>
        </w:rPr>
        <w:t>lus</w:t>
      </w:r>
      <w:r w:rsidR="00A824CD">
        <w:rPr>
          <w:b/>
          <w:szCs w:val="24"/>
        </w:rPr>
        <w:t>-</w:t>
      </w:r>
      <w:r w:rsidR="00E2405B" w:rsidRPr="00384017">
        <w:rPr>
          <w:b/>
          <w:szCs w:val="24"/>
        </w:rPr>
        <w:t>G</w:t>
      </w:r>
      <w:r w:rsidRPr="00384017">
        <w:rPr>
          <w:b/>
          <w:szCs w:val="24"/>
        </w:rPr>
        <w:t>rowth model?</w:t>
      </w:r>
    </w:p>
    <w:p w:rsidR="00C47311" w:rsidRPr="00384017" w:rsidRDefault="00C47311" w:rsidP="00384017">
      <w:pPr>
        <w:pStyle w:val="QAQCont"/>
        <w:spacing w:after="0" w:line="480" w:lineRule="auto"/>
        <w:ind w:left="720" w:hanging="720"/>
        <w:jc w:val="left"/>
        <w:rPr>
          <w:szCs w:val="24"/>
        </w:rPr>
      </w:pPr>
      <w:r w:rsidRPr="00384017">
        <w:rPr>
          <w:szCs w:val="24"/>
        </w:rPr>
        <w:t>A.</w:t>
      </w:r>
      <w:r w:rsidRPr="00384017">
        <w:rPr>
          <w:szCs w:val="24"/>
        </w:rPr>
        <w:tab/>
        <w:t xml:space="preserve">Yes.  The </w:t>
      </w:r>
      <w:r w:rsidR="00E2405B" w:rsidRPr="00384017">
        <w:rPr>
          <w:szCs w:val="24"/>
        </w:rPr>
        <w:t>Y</w:t>
      </w:r>
      <w:r w:rsidRPr="00384017">
        <w:rPr>
          <w:szCs w:val="24"/>
        </w:rPr>
        <w:t>ield</w:t>
      </w:r>
      <w:r w:rsidR="00A824CD">
        <w:rPr>
          <w:szCs w:val="24"/>
        </w:rPr>
        <w:t>-</w:t>
      </w:r>
      <w:r w:rsidR="00E2405B" w:rsidRPr="00384017">
        <w:rPr>
          <w:szCs w:val="24"/>
        </w:rPr>
        <w:t>P</w:t>
      </w:r>
      <w:r w:rsidRPr="00384017">
        <w:rPr>
          <w:szCs w:val="24"/>
        </w:rPr>
        <w:t>lus</w:t>
      </w:r>
      <w:r w:rsidR="00A824CD">
        <w:rPr>
          <w:szCs w:val="24"/>
        </w:rPr>
        <w:t>-</w:t>
      </w:r>
      <w:r w:rsidR="00E2405B" w:rsidRPr="00384017">
        <w:rPr>
          <w:szCs w:val="24"/>
        </w:rPr>
        <w:t>G</w:t>
      </w:r>
      <w:r w:rsidRPr="00384017">
        <w:rPr>
          <w:szCs w:val="24"/>
        </w:rPr>
        <w:t xml:space="preserve">rowth model I employ examines the two components of required return for the electric power industry as a whole.  Specifically, I rely on the observed dividend yield for the industry (the </w:t>
      </w:r>
      <w:r w:rsidRPr="00384017">
        <w:rPr>
          <w:szCs w:val="24"/>
          <w:u w:val="single"/>
        </w:rPr>
        <w:t>yield component</w:t>
      </w:r>
      <w:r w:rsidRPr="00384017">
        <w:rPr>
          <w:szCs w:val="24"/>
        </w:rPr>
        <w:t xml:space="preserve"> of the required return) and expectations of earnings growth (the </w:t>
      </w:r>
      <w:r w:rsidRPr="00384017">
        <w:rPr>
          <w:szCs w:val="24"/>
          <w:u w:val="single"/>
        </w:rPr>
        <w:t>growth component</w:t>
      </w:r>
      <w:r w:rsidRPr="00384017">
        <w:rPr>
          <w:szCs w:val="24"/>
        </w:rPr>
        <w:t xml:space="preserve">).  When combined, these two data points offer an objective reading of investor expectations for the industry.  </w:t>
      </w:r>
      <w:r w:rsidR="00880501" w:rsidRPr="00384017">
        <w:rPr>
          <w:szCs w:val="24"/>
        </w:rPr>
        <w:t>T</w:t>
      </w:r>
      <w:r w:rsidRPr="00384017">
        <w:rPr>
          <w:szCs w:val="24"/>
        </w:rPr>
        <w:t xml:space="preserve">he industry </w:t>
      </w:r>
      <w:r w:rsidR="00A824CD">
        <w:rPr>
          <w:szCs w:val="24"/>
        </w:rPr>
        <w:t>Y</w:t>
      </w:r>
      <w:r w:rsidRPr="00384017">
        <w:rPr>
          <w:szCs w:val="24"/>
        </w:rPr>
        <w:t>ield-</w:t>
      </w:r>
      <w:r w:rsidR="00A824CD">
        <w:rPr>
          <w:szCs w:val="24"/>
        </w:rPr>
        <w:t>P</w:t>
      </w:r>
      <w:r w:rsidRPr="00384017">
        <w:rPr>
          <w:szCs w:val="24"/>
        </w:rPr>
        <w:t>lus-</w:t>
      </w:r>
      <w:r w:rsidR="00A824CD">
        <w:rPr>
          <w:szCs w:val="24"/>
        </w:rPr>
        <w:t>G</w:t>
      </w:r>
      <w:r w:rsidRPr="00384017">
        <w:rPr>
          <w:szCs w:val="24"/>
        </w:rPr>
        <w:t xml:space="preserve">rowth estimate is </w:t>
      </w:r>
      <w:r w:rsidR="00880501" w:rsidRPr="00384017">
        <w:rPr>
          <w:szCs w:val="24"/>
        </w:rPr>
        <w:t>a form of the DCF model.  It</w:t>
      </w:r>
      <w:r w:rsidR="003447F8">
        <w:rPr>
          <w:szCs w:val="24"/>
        </w:rPr>
        <w:t xml:space="preserve"> </w:t>
      </w:r>
      <w:r w:rsidR="00880501" w:rsidRPr="00384017">
        <w:rPr>
          <w:szCs w:val="24"/>
        </w:rPr>
        <w:t xml:space="preserve">is </w:t>
      </w:r>
      <w:r w:rsidRPr="00384017">
        <w:rPr>
          <w:szCs w:val="24"/>
        </w:rPr>
        <w:t xml:space="preserve">among </w:t>
      </w:r>
      <w:r w:rsidRPr="00384017">
        <w:rPr>
          <w:szCs w:val="24"/>
        </w:rPr>
        <w:lastRenderedPageBreak/>
        <w:t xml:space="preserve">the factors that influence investors’ forward-looking expectations about rates of return for companies like Pacific Power.  </w:t>
      </w:r>
    </w:p>
    <w:p w:rsidR="00C47311" w:rsidRPr="00384017" w:rsidRDefault="00C47311"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summarize the results of the industry </w:t>
      </w:r>
      <w:r w:rsidR="00A824CD">
        <w:rPr>
          <w:b/>
          <w:szCs w:val="24"/>
        </w:rPr>
        <w:t>Y</w:t>
      </w:r>
      <w:r w:rsidRPr="00384017">
        <w:rPr>
          <w:b/>
          <w:szCs w:val="24"/>
        </w:rPr>
        <w:t>ield</w:t>
      </w:r>
      <w:r w:rsidR="00A824CD">
        <w:rPr>
          <w:b/>
          <w:szCs w:val="24"/>
        </w:rPr>
        <w:t>-P</w:t>
      </w:r>
      <w:r w:rsidRPr="00384017">
        <w:rPr>
          <w:b/>
          <w:szCs w:val="24"/>
        </w:rPr>
        <w:t>lus</w:t>
      </w:r>
      <w:r w:rsidR="00A824CD">
        <w:rPr>
          <w:b/>
          <w:szCs w:val="24"/>
        </w:rPr>
        <w:t>-G</w:t>
      </w:r>
      <w:r w:rsidRPr="00384017">
        <w:rPr>
          <w:b/>
          <w:szCs w:val="24"/>
        </w:rPr>
        <w:t>rowth model.</w:t>
      </w:r>
    </w:p>
    <w:p w:rsidR="00C47311" w:rsidRPr="00384017" w:rsidRDefault="00C47311" w:rsidP="00384017">
      <w:pPr>
        <w:pStyle w:val="QAQCont"/>
        <w:spacing w:after="0" w:line="480" w:lineRule="auto"/>
        <w:ind w:left="720" w:hanging="720"/>
        <w:jc w:val="left"/>
        <w:rPr>
          <w:szCs w:val="24"/>
        </w:rPr>
      </w:pPr>
      <w:r w:rsidRPr="00384017">
        <w:rPr>
          <w:szCs w:val="24"/>
        </w:rPr>
        <w:t>A.</w:t>
      </w:r>
      <w:r w:rsidRPr="00384017">
        <w:rPr>
          <w:szCs w:val="24"/>
        </w:rPr>
        <w:tab/>
        <w:t>As shown in Exhibit No.__</w:t>
      </w:r>
      <w:proofErr w:type="gramStart"/>
      <w:r w:rsidRPr="00384017">
        <w:rPr>
          <w:szCs w:val="24"/>
        </w:rPr>
        <w:t>_(</w:t>
      </w:r>
      <w:proofErr w:type="gramEnd"/>
      <w:r w:rsidRPr="00384017">
        <w:rPr>
          <w:szCs w:val="24"/>
        </w:rPr>
        <w:t>KGS-1</w:t>
      </w:r>
      <w:r w:rsidR="00461578" w:rsidRPr="00384017">
        <w:rPr>
          <w:szCs w:val="24"/>
        </w:rPr>
        <w:t>1</w:t>
      </w:r>
      <w:r w:rsidRPr="00384017">
        <w:rPr>
          <w:szCs w:val="24"/>
        </w:rPr>
        <w:t xml:space="preserve">), the industry </w:t>
      </w:r>
      <w:r w:rsidR="00A824CD">
        <w:rPr>
          <w:szCs w:val="24"/>
        </w:rPr>
        <w:t>Y</w:t>
      </w:r>
      <w:r w:rsidRPr="00384017">
        <w:rPr>
          <w:szCs w:val="24"/>
        </w:rPr>
        <w:t>ield-</w:t>
      </w:r>
      <w:r w:rsidR="00A824CD">
        <w:rPr>
          <w:szCs w:val="24"/>
        </w:rPr>
        <w:t>P</w:t>
      </w:r>
      <w:r w:rsidRPr="00384017">
        <w:rPr>
          <w:szCs w:val="24"/>
        </w:rPr>
        <w:t>lus-</w:t>
      </w:r>
      <w:r w:rsidR="00A824CD">
        <w:rPr>
          <w:szCs w:val="24"/>
        </w:rPr>
        <w:t>G</w:t>
      </w:r>
      <w:r w:rsidRPr="00384017">
        <w:rPr>
          <w:szCs w:val="24"/>
        </w:rPr>
        <w:t xml:space="preserve">rowth model yields an expected return on equity of 9.90 percent. </w:t>
      </w:r>
    </w:p>
    <w:p w:rsidR="00EB35AC" w:rsidRPr="00384017" w:rsidRDefault="007F5EDF" w:rsidP="00A824CD">
      <w:pPr>
        <w:pStyle w:val="Heading1"/>
        <w:spacing w:before="0" w:after="0" w:line="480" w:lineRule="auto"/>
        <w:ind w:left="0"/>
      </w:pPr>
      <w:bookmarkStart w:id="40" w:name="_Toc354998006"/>
      <w:bookmarkStart w:id="41" w:name="_Toc355788481"/>
      <w:bookmarkStart w:id="42" w:name="_Toc384626550"/>
      <w:bookmarkStart w:id="43" w:name="_Toc384626570"/>
      <w:bookmarkStart w:id="44" w:name="_Toc384626612"/>
      <w:bookmarkStart w:id="45" w:name="_Toc386637270"/>
      <w:r w:rsidRPr="00384017">
        <w:t>CAPM</w:t>
      </w:r>
      <w:bookmarkEnd w:id="40"/>
      <w:bookmarkEnd w:id="41"/>
      <w:bookmarkEnd w:id="42"/>
      <w:bookmarkEnd w:id="43"/>
      <w:bookmarkEnd w:id="44"/>
      <w:r w:rsidR="0032227A" w:rsidRPr="00384017">
        <w:t xml:space="preserve"> and risk premium models</w:t>
      </w:r>
      <w:bookmarkEnd w:id="45"/>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Please describe the Equity Risk Premium approach.</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The Equity Risk Premium model is a build-up model that starts with the expected return on riskless assets and adds various </w:t>
      </w:r>
      <w:proofErr w:type="spellStart"/>
      <w:r w:rsidRPr="00384017">
        <w:rPr>
          <w:szCs w:val="24"/>
        </w:rPr>
        <w:t>premia</w:t>
      </w:r>
      <w:proofErr w:type="spellEnd"/>
      <w:r w:rsidRPr="00384017">
        <w:rPr>
          <w:szCs w:val="24"/>
        </w:rPr>
        <w:t xml:space="preserve"> to reflect the increasing levels of risk faced by equity investors.  The additional </w:t>
      </w:r>
      <w:proofErr w:type="spellStart"/>
      <w:r w:rsidRPr="00384017">
        <w:rPr>
          <w:szCs w:val="24"/>
        </w:rPr>
        <w:t>premia</w:t>
      </w:r>
      <w:proofErr w:type="spellEnd"/>
      <w:r w:rsidRPr="00384017">
        <w:rPr>
          <w:szCs w:val="24"/>
        </w:rPr>
        <w:t xml:space="preserve"> added include a general stock market return premium, and in some cases an industry or size-specific premium.</w:t>
      </w:r>
      <w:r w:rsidRPr="00384017">
        <w:rPr>
          <w:rStyle w:val="FootnoteReference"/>
          <w:szCs w:val="24"/>
        </w:rPr>
        <w:footnoteReference w:id="7"/>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Please describe the Capital Asset Pricing Model.</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The CAPM starts with the expected return on riskless assets and adds a premium that is company-specific to reflect the increased risks faced by that company’s equity investors.  The degree of market risk embedded in an individual stock is measured by its beta.  Technically, beta measures the level of correlation between the returns on a given stock and the returns on the broader market.</w:t>
      </w:r>
      <w:r w:rsidRPr="00384017">
        <w:rPr>
          <w:szCs w:val="24"/>
          <w:vertAlign w:val="superscript"/>
        </w:rPr>
        <w:footnoteReference w:id="8"/>
      </w:r>
      <w:r w:rsidR="00A824CD">
        <w:rPr>
          <w:szCs w:val="24"/>
          <w:vertAlign w:val="superscript"/>
        </w:rPr>
        <w:t xml:space="preserve"> </w:t>
      </w:r>
      <w:r w:rsidRPr="00384017">
        <w:rPr>
          <w:szCs w:val="24"/>
        </w:rPr>
        <w:t xml:space="preserve"> Investors in any given stock, therefore, should expect to earn a return equal to the return on riskless assets plus a premium that depends on beta, the degree of market risk associated with that particular stock.  In equation form, the CAPM is represented as follows:</w:t>
      </w:r>
    </w:p>
    <w:p w:rsidR="00C5005B" w:rsidRDefault="00C5005B" w:rsidP="00C5005B">
      <w:pPr>
        <w:pStyle w:val="BodyText"/>
        <w:suppressLineNumbers/>
        <w:tabs>
          <w:tab w:val="num" w:pos="720"/>
        </w:tabs>
        <w:spacing w:after="0" w:line="480" w:lineRule="auto"/>
        <w:ind w:left="720"/>
        <w:jc w:val="left"/>
        <w:rPr>
          <w:szCs w:val="24"/>
        </w:rPr>
      </w:pPr>
    </w:p>
    <w:p w:rsidR="00C5005B" w:rsidRDefault="00C5005B" w:rsidP="00C5005B">
      <w:pPr>
        <w:pStyle w:val="BodyText"/>
        <w:suppressLineNumbers/>
        <w:tabs>
          <w:tab w:val="num" w:pos="720"/>
        </w:tabs>
        <w:spacing w:after="0" w:line="480" w:lineRule="auto"/>
        <w:ind w:left="720"/>
        <w:jc w:val="left"/>
        <w:rPr>
          <w:szCs w:val="24"/>
        </w:rPr>
      </w:pPr>
    </w:p>
    <w:p w:rsidR="00EB35AC" w:rsidRPr="00384017" w:rsidRDefault="007F5EDF" w:rsidP="003447F8">
      <w:pPr>
        <w:pStyle w:val="BodyText"/>
        <w:tabs>
          <w:tab w:val="num" w:pos="720"/>
        </w:tabs>
        <w:spacing w:after="0" w:line="480" w:lineRule="auto"/>
        <w:ind w:left="720"/>
        <w:jc w:val="left"/>
        <w:rPr>
          <w:szCs w:val="24"/>
        </w:rPr>
      </w:pPr>
      <w:proofErr w:type="spellStart"/>
      <w:proofErr w:type="gramStart"/>
      <w:r w:rsidRPr="00384017">
        <w:rPr>
          <w:szCs w:val="24"/>
        </w:rPr>
        <w:lastRenderedPageBreak/>
        <w:t>k</w:t>
      </w:r>
      <w:r w:rsidRPr="00384017">
        <w:rPr>
          <w:szCs w:val="24"/>
          <w:vertAlign w:val="subscript"/>
        </w:rPr>
        <w:t>e</w:t>
      </w:r>
      <w:proofErr w:type="spellEnd"/>
      <w:proofErr w:type="gramEnd"/>
      <w:r w:rsidRPr="00384017">
        <w:rPr>
          <w:szCs w:val="24"/>
        </w:rPr>
        <w:t xml:space="preserve"> =  </w:t>
      </w:r>
      <w:proofErr w:type="spellStart"/>
      <w:r w:rsidRPr="00384017">
        <w:rPr>
          <w:szCs w:val="24"/>
        </w:rPr>
        <w:t>R</w:t>
      </w:r>
      <w:r w:rsidRPr="00384017">
        <w:rPr>
          <w:szCs w:val="24"/>
          <w:vertAlign w:val="subscript"/>
        </w:rPr>
        <w:t>f</w:t>
      </w:r>
      <w:proofErr w:type="spellEnd"/>
      <w:r w:rsidRPr="00384017">
        <w:rPr>
          <w:szCs w:val="24"/>
        </w:rPr>
        <w:t xml:space="preserve"> + ß * (R</w:t>
      </w:r>
      <w:r w:rsidRPr="00384017">
        <w:rPr>
          <w:szCs w:val="24"/>
          <w:vertAlign w:val="subscript"/>
        </w:rPr>
        <w:t>m</w:t>
      </w:r>
      <w:r w:rsidRPr="00384017">
        <w:rPr>
          <w:szCs w:val="24"/>
        </w:rPr>
        <w:t xml:space="preserve"> - </w:t>
      </w:r>
      <w:proofErr w:type="spellStart"/>
      <w:r w:rsidRPr="00384017">
        <w:rPr>
          <w:szCs w:val="24"/>
        </w:rPr>
        <w:t>R</w:t>
      </w:r>
      <w:r w:rsidRPr="00384017">
        <w:rPr>
          <w:szCs w:val="24"/>
          <w:vertAlign w:val="subscript"/>
        </w:rPr>
        <w:t>f</w:t>
      </w:r>
      <w:proofErr w:type="spellEnd"/>
      <w:r w:rsidRPr="00384017">
        <w:rPr>
          <w:szCs w:val="24"/>
        </w:rPr>
        <w:t xml:space="preserve"> )</w:t>
      </w:r>
    </w:p>
    <w:p w:rsidR="00EB35AC" w:rsidRPr="00384017" w:rsidRDefault="002A7AB3" w:rsidP="003447F8">
      <w:pPr>
        <w:pStyle w:val="BodyText"/>
        <w:keepNext/>
        <w:spacing w:after="0" w:line="480" w:lineRule="auto"/>
        <w:ind w:left="720"/>
        <w:jc w:val="left"/>
        <w:rPr>
          <w:szCs w:val="24"/>
        </w:rPr>
      </w:pPr>
      <w:r>
        <w:rPr>
          <w:szCs w:val="24"/>
        </w:rPr>
        <w:t>W</w:t>
      </w:r>
      <w:r w:rsidR="007F5EDF" w:rsidRPr="00384017">
        <w:rPr>
          <w:szCs w:val="24"/>
        </w:rPr>
        <w:t>here</w:t>
      </w:r>
      <w:r>
        <w:rPr>
          <w:szCs w:val="24"/>
        </w:rPr>
        <w:t>:</w:t>
      </w:r>
    </w:p>
    <w:p w:rsidR="00EB35AC" w:rsidRPr="00384017" w:rsidRDefault="007F5EDF" w:rsidP="003447F8">
      <w:pPr>
        <w:pStyle w:val="BodyText"/>
        <w:spacing w:after="0" w:line="480" w:lineRule="auto"/>
        <w:ind w:left="720"/>
        <w:jc w:val="left"/>
        <w:rPr>
          <w:szCs w:val="24"/>
        </w:rPr>
      </w:pPr>
      <w:proofErr w:type="spellStart"/>
      <w:proofErr w:type="gramStart"/>
      <w:r w:rsidRPr="00384017">
        <w:rPr>
          <w:szCs w:val="24"/>
        </w:rPr>
        <w:t>k</w:t>
      </w:r>
      <w:r w:rsidRPr="00384017">
        <w:rPr>
          <w:szCs w:val="24"/>
          <w:vertAlign w:val="subscript"/>
        </w:rPr>
        <w:t>e</w:t>
      </w:r>
      <w:proofErr w:type="spellEnd"/>
      <w:proofErr w:type="gramEnd"/>
      <w:r w:rsidRPr="00384017">
        <w:rPr>
          <w:szCs w:val="24"/>
        </w:rPr>
        <w:t xml:space="preserve"> is the required return on equity capital;</w:t>
      </w:r>
    </w:p>
    <w:p w:rsidR="00EB35AC" w:rsidRPr="00384017" w:rsidRDefault="007F5EDF" w:rsidP="003447F8">
      <w:pPr>
        <w:pStyle w:val="BodyText"/>
        <w:spacing w:after="0" w:line="480" w:lineRule="auto"/>
        <w:ind w:left="720"/>
        <w:jc w:val="left"/>
        <w:rPr>
          <w:szCs w:val="24"/>
        </w:rPr>
      </w:pPr>
      <w:proofErr w:type="spellStart"/>
      <w:proofErr w:type="gramStart"/>
      <w:r w:rsidRPr="00384017">
        <w:rPr>
          <w:szCs w:val="24"/>
        </w:rPr>
        <w:t>R</w:t>
      </w:r>
      <w:r w:rsidRPr="00384017">
        <w:rPr>
          <w:szCs w:val="24"/>
          <w:vertAlign w:val="subscript"/>
        </w:rPr>
        <w:t>f</w:t>
      </w:r>
      <w:proofErr w:type="spellEnd"/>
      <w:proofErr w:type="gramEnd"/>
      <w:r w:rsidRPr="00384017">
        <w:rPr>
          <w:szCs w:val="24"/>
        </w:rPr>
        <w:t xml:space="preserve"> is the current expected return on riskless assets;</w:t>
      </w:r>
    </w:p>
    <w:p w:rsidR="00EB35AC" w:rsidRPr="00384017" w:rsidRDefault="007F5EDF" w:rsidP="003447F8">
      <w:pPr>
        <w:pStyle w:val="BodyText"/>
        <w:spacing w:after="0" w:line="480" w:lineRule="auto"/>
        <w:ind w:left="1440" w:firstLine="0"/>
        <w:jc w:val="left"/>
        <w:rPr>
          <w:szCs w:val="24"/>
        </w:rPr>
      </w:pPr>
      <w:r w:rsidRPr="00384017">
        <w:rPr>
          <w:szCs w:val="24"/>
        </w:rPr>
        <w:t xml:space="preserve">ß </w:t>
      </w:r>
      <w:proofErr w:type="gramStart"/>
      <w:r w:rsidRPr="00384017">
        <w:rPr>
          <w:szCs w:val="24"/>
        </w:rPr>
        <w:t>is</w:t>
      </w:r>
      <w:proofErr w:type="gramEnd"/>
      <w:r w:rsidRPr="00384017">
        <w:rPr>
          <w:szCs w:val="24"/>
        </w:rPr>
        <w:t xml:space="preserve"> the degree of systematic market risk for the stock (correlation to the </w:t>
      </w:r>
      <w:r w:rsidR="003447F8">
        <w:rPr>
          <w:szCs w:val="24"/>
        </w:rPr>
        <w:br/>
      </w:r>
      <w:r w:rsidRPr="00384017">
        <w:rPr>
          <w:szCs w:val="24"/>
        </w:rPr>
        <w:t>broader market);</w:t>
      </w:r>
    </w:p>
    <w:p w:rsidR="00EB35AC" w:rsidRPr="00384017" w:rsidRDefault="007F5EDF" w:rsidP="003447F8">
      <w:pPr>
        <w:pStyle w:val="BodyText"/>
        <w:spacing w:after="0" w:line="480" w:lineRule="auto"/>
        <w:ind w:left="720"/>
        <w:jc w:val="left"/>
        <w:rPr>
          <w:szCs w:val="24"/>
        </w:rPr>
      </w:pPr>
      <w:r w:rsidRPr="00384017">
        <w:rPr>
          <w:szCs w:val="24"/>
        </w:rPr>
        <w:t>R</w:t>
      </w:r>
      <w:r w:rsidRPr="00384017">
        <w:rPr>
          <w:szCs w:val="24"/>
          <w:vertAlign w:val="subscript"/>
        </w:rPr>
        <w:t>m,</w:t>
      </w:r>
      <w:r w:rsidRPr="00384017">
        <w:rPr>
          <w:szCs w:val="24"/>
        </w:rPr>
        <w:t xml:space="preserve"> is the expected ret</w:t>
      </w:r>
      <w:r w:rsidR="002A7AB3">
        <w:rPr>
          <w:szCs w:val="24"/>
        </w:rPr>
        <w:t>urn on risky equity investments;</w:t>
      </w:r>
      <w:r w:rsidRPr="00384017">
        <w:rPr>
          <w:szCs w:val="24"/>
        </w:rPr>
        <w:t xml:space="preserve"> and </w:t>
      </w:r>
    </w:p>
    <w:p w:rsidR="00EB35AC" w:rsidRPr="00384017" w:rsidRDefault="007F5EDF" w:rsidP="003447F8">
      <w:pPr>
        <w:pStyle w:val="BodyText"/>
        <w:spacing w:after="0" w:line="480" w:lineRule="auto"/>
        <w:ind w:left="720"/>
        <w:jc w:val="left"/>
        <w:rPr>
          <w:szCs w:val="24"/>
        </w:rPr>
      </w:pPr>
      <w:r w:rsidRPr="00384017">
        <w:rPr>
          <w:szCs w:val="24"/>
        </w:rPr>
        <w:t xml:space="preserve">(Rm - </w:t>
      </w:r>
      <w:proofErr w:type="spellStart"/>
      <w:proofErr w:type="gramStart"/>
      <w:r w:rsidRPr="00384017">
        <w:rPr>
          <w:szCs w:val="24"/>
        </w:rPr>
        <w:t>Rf</w:t>
      </w:r>
      <w:proofErr w:type="spellEnd"/>
      <w:r w:rsidRPr="00384017">
        <w:rPr>
          <w:szCs w:val="24"/>
        </w:rPr>
        <w:t xml:space="preserve"> )</w:t>
      </w:r>
      <w:proofErr w:type="gramEnd"/>
      <w:r w:rsidRPr="00384017">
        <w:rPr>
          <w:szCs w:val="24"/>
        </w:rPr>
        <w:t xml:space="preserve"> represents the premium required by investors in the stock market.</w:t>
      </w:r>
    </w:p>
    <w:p w:rsidR="00EB35AC" w:rsidRPr="00384017" w:rsidRDefault="007F5EDF" w:rsidP="003447F8">
      <w:pPr>
        <w:pStyle w:val="QAQCont"/>
        <w:tabs>
          <w:tab w:val="num" w:pos="720"/>
          <w:tab w:val="left" w:pos="1440"/>
        </w:tabs>
        <w:spacing w:after="0" w:line="480" w:lineRule="auto"/>
        <w:ind w:left="720" w:hanging="720"/>
        <w:jc w:val="left"/>
        <w:rPr>
          <w:szCs w:val="24"/>
        </w:rPr>
      </w:pPr>
      <w:r w:rsidRPr="00384017">
        <w:rPr>
          <w:szCs w:val="24"/>
        </w:rPr>
        <w:tab/>
      </w:r>
      <w:r w:rsidRPr="00384017">
        <w:rPr>
          <w:szCs w:val="24"/>
        </w:rPr>
        <w:tab/>
        <w:t xml:space="preserve">CAPM can be viewed as a special case of the Equity Risk Premium model in which the Company’s equity risk premium is determined by the beta and the overall premium demanded by investors for holding stocks.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How did you calculate the premium required by investors for holding stocks?</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I calculate this premium (known as the “Equity Risk Premium” or “Market Risk Premium”) as the difference between the expected return on the S&amp;P 500 index and the yield on long-term U. S. treasury bonds.  Exhibit</w:t>
      </w:r>
      <w:r w:rsidR="006971CD" w:rsidRPr="00384017">
        <w:rPr>
          <w:szCs w:val="24"/>
        </w:rPr>
        <w:t xml:space="preserve"> No.__</w:t>
      </w:r>
      <w:proofErr w:type="gramStart"/>
      <w:r w:rsidR="006971CD" w:rsidRPr="00384017">
        <w:rPr>
          <w:szCs w:val="24"/>
        </w:rPr>
        <w:t>_(</w:t>
      </w:r>
      <w:proofErr w:type="gramEnd"/>
      <w:r w:rsidR="006971CD" w:rsidRPr="00384017">
        <w:rPr>
          <w:szCs w:val="24"/>
        </w:rPr>
        <w:t>KGS-</w:t>
      </w:r>
      <w:r w:rsidR="00461578" w:rsidRPr="00384017">
        <w:rPr>
          <w:szCs w:val="24"/>
        </w:rPr>
        <w:t>12</w:t>
      </w:r>
      <w:r w:rsidR="006971CD" w:rsidRPr="00384017">
        <w:rPr>
          <w:szCs w:val="24"/>
        </w:rPr>
        <w:t>)</w:t>
      </w:r>
      <w:r w:rsidRPr="00384017">
        <w:rPr>
          <w:b/>
          <w:szCs w:val="24"/>
        </w:rPr>
        <w:t xml:space="preserve"> </w:t>
      </w:r>
      <w:r w:rsidRPr="00384017">
        <w:rPr>
          <w:szCs w:val="24"/>
        </w:rPr>
        <w:t xml:space="preserve">presents </w:t>
      </w:r>
      <w:r w:rsidR="003447F8">
        <w:rPr>
          <w:szCs w:val="24"/>
        </w:rPr>
        <w:br/>
      </w:r>
      <w:r w:rsidRPr="00384017">
        <w:rPr>
          <w:szCs w:val="24"/>
        </w:rPr>
        <w:t>this calculation.</w:t>
      </w:r>
    </w:p>
    <w:p w:rsidR="00EB35AC" w:rsidRPr="00384017" w:rsidRDefault="003447F8" w:rsidP="00384017">
      <w:pPr>
        <w:pStyle w:val="QAQuestion"/>
        <w:tabs>
          <w:tab w:val="num" w:pos="720"/>
        </w:tabs>
        <w:spacing w:after="0" w:line="480" w:lineRule="auto"/>
        <w:ind w:left="720" w:hanging="720"/>
        <w:jc w:val="left"/>
        <w:rPr>
          <w:b/>
          <w:szCs w:val="24"/>
        </w:rPr>
      </w:pPr>
      <w:r>
        <w:rPr>
          <w:b/>
          <w:szCs w:val="24"/>
        </w:rPr>
        <w:t>Q.</w:t>
      </w:r>
      <w:r w:rsidR="007F5EDF" w:rsidRPr="00384017">
        <w:rPr>
          <w:b/>
          <w:szCs w:val="24"/>
        </w:rPr>
        <w:tab/>
        <w:t>Are there other approaches to assessing the premium?</w:t>
      </w:r>
    </w:p>
    <w:p w:rsidR="00EB35AC"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Yes, financial analysts also assess market risk </w:t>
      </w:r>
      <w:proofErr w:type="spellStart"/>
      <w:r w:rsidRPr="00384017">
        <w:rPr>
          <w:szCs w:val="24"/>
        </w:rPr>
        <w:t>premia</w:t>
      </w:r>
      <w:proofErr w:type="spellEnd"/>
      <w:r w:rsidRPr="00384017">
        <w:rPr>
          <w:szCs w:val="24"/>
        </w:rPr>
        <w:t xml:space="preserve"> on a historic</w:t>
      </w:r>
      <w:r w:rsidR="006971CD" w:rsidRPr="00384017">
        <w:rPr>
          <w:szCs w:val="24"/>
        </w:rPr>
        <w:t>al</w:t>
      </w:r>
      <w:r w:rsidRPr="00384017">
        <w:rPr>
          <w:szCs w:val="24"/>
        </w:rPr>
        <w:t xml:space="preserve"> basis.  They derive this by examining the actual historic</w:t>
      </w:r>
      <w:r w:rsidR="008169E8" w:rsidRPr="00384017">
        <w:rPr>
          <w:szCs w:val="24"/>
        </w:rPr>
        <w:t>al</w:t>
      </w:r>
      <w:r w:rsidRPr="00384017">
        <w:rPr>
          <w:szCs w:val="24"/>
        </w:rPr>
        <w:t xml:space="preserve"> performance of stock invest</w:t>
      </w:r>
      <w:r w:rsidR="002A7AB3">
        <w:rPr>
          <w:szCs w:val="24"/>
        </w:rPr>
        <w:t xml:space="preserve">ments relative to the generally </w:t>
      </w:r>
      <w:r w:rsidRPr="00384017">
        <w:rPr>
          <w:szCs w:val="24"/>
        </w:rPr>
        <w:t>accepted measure of a risk-free return reflected in long-term (e.g., 20- or 30-year) government bonds.</w:t>
      </w:r>
    </w:p>
    <w:p w:rsidR="00C5005B" w:rsidRDefault="00C5005B" w:rsidP="00C5005B">
      <w:pPr>
        <w:pStyle w:val="QAQCont"/>
        <w:suppressLineNumbers/>
      </w:pPr>
    </w:p>
    <w:p w:rsidR="00C5005B" w:rsidRPr="00C5005B" w:rsidRDefault="00C5005B" w:rsidP="00C5005B">
      <w:pPr>
        <w:pStyle w:val="QAQCont"/>
        <w:suppressLineNumbers/>
      </w:pPr>
    </w:p>
    <w:p w:rsidR="00EB35AC" w:rsidRPr="00384017" w:rsidRDefault="003447F8" w:rsidP="00384017">
      <w:pPr>
        <w:pStyle w:val="QAQuestion"/>
        <w:tabs>
          <w:tab w:val="num" w:pos="720"/>
        </w:tabs>
        <w:spacing w:after="0" w:line="480" w:lineRule="auto"/>
        <w:ind w:left="720" w:hanging="720"/>
        <w:jc w:val="left"/>
        <w:rPr>
          <w:b/>
          <w:szCs w:val="24"/>
        </w:rPr>
      </w:pPr>
      <w:r>
        <w:rPr>
          <w:b/>
          <w:szCs w:val="24"/>
        </w:rPr>
        <w:lastRenderedPageBreak/>
        <w:t>Q.</w:t>
      </w:r>
      <w:r w:rsidR="007F5EDF" w:rsidRPr="00384017">
        <w:rPr>
          <w:b/>
          <w:szCs w:val="24"/>
        </w:rPr>
        <w:tab/>
        <w:t>Why have you elected to rely on a forward-looking Market Risk Premium?</w:t>
      </w:r>
    </w:p>
    <w:p w:rsidR="002A7AB3"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I rely on the forward-looking premium because in the current interest rate environment, the historic</w:t>
      </w:r>
      <w:r w:rsidR="006971CD" w:rsidRPr="00384017">
        <w:rPr>
          <w:szCs w:val="24"/>
        </w:rPr>
        <w:t>al</w:t>
      </w:r>
      <w:r w:rsidRPr="00384017">
        <w:rPr>
          <w:szCs w:val="24"/>
        </w:rPr>
        <w:t xml:space="preserve"> market risk premium does not characterize investors’ forward-looking return requirements as accurately as the forward-looking premium does.  The spread between the risk-free rate and the required returns for holding equities has broadened as the Federal Reserve System has aggressively acted to keep interest rates at record lows and stimulate the economy.  This is reflected in a relatively stable awarding of allowed returns to public utilities in the context of a rapid decline in treasury yields, the market’s metric of the “risk-free” rate.  As shown in Figure 1 below, since 2006, the average allowed return for electric utilities has hovered in the range of 10.0 to 10.5 percent, while treasury yields fell 200 basis points and then </w:t>
      </w:r>
      <w:r w:rsidR="006971CD" w:rsidRPr="00384017">
        <w:rPr>
          <w:szCs w:val="24"/>
        </w:rPr>
        <w:t xml:space="preserve">started to </w:t>
      </w:r>
      <w:r w:rsidRPr="00384017">
        <w:rPr>
          <w:szCs w:val="24"/>
        </w:rPr>
        <w:t>recover</w:t>
      </w:r>
      <w:r w:rsidR="006971CD" w:rsidRPr="00384017">
        <w:rPr>
          <w:szCs w:val="24"/>
        </w:rPr>
        <w:t>.</w:t>
      </w:r>
      <w:r w:rsidRPr="00384017">
        <w:rPr>
          <w:szCs w:val="24"/>
        </w:rPr>
        <w:t xml:space="preserve">  If the market risk premium had been unchanged during this period, the allowed returns</w:t>
      </w:r>
      <w:r w:rsidR="006971CD" w:rsidRPr="00384017">
        <w:rPr>
          <w:szCs w:val="24"/>
        </w:rPr>
        <w:t>—</w:t>
      </w:r>
      <w:r w:rsidRPr="00384017">
        <w:rPr>
          <w:szCs w:val="24"/>
        </w:rPr>
        <w:t xml:space="preserve">which themselves are based on the capital market data put forth by public utilities and </w:t>
      </w:r>
      <w:proofErr w:type="spellStart"/>
      <w:r w:rsidRPr="00384017">
        <w:rPr>
          <w:szCs w:val="24"/>
        </w:rPr>
        <w:t>interven</w:t>
      </w:r>
      <w:r w:rsidR="002A7AB3">
        <w:rPr>
          <w:szCs w:val="24"/>
        </w:rPr>
        <w:t>o</w:t>
      </w:r>
      <w:r w:rsidRPr="00384017">
        <w:rPr>
          <w:szCs w:val="24"/>
        </w:rPr>
        <w:t>rs</w:t>
      </w:r>
      <w:proofErr w:type="spellEnd"/>
      <w:r w:rsidRPr="00384017">
        <w:rPr>
          <w:szCs w:val="24"/>
        </w:rPr>
        <w:t xml:space="preserve"> alike</w:t>
      </w:r>
      <w:r w:rsidR="006971CD" w:rsidRPr="00384017">
        <w:rPr>
          <w:szCs w:val="24"/>
        </w:rPr>
        <w:t>—</w:t>
      </w:r>
      <w:r w:rsidRPr="00384017">
        <w:rPr>
          <w:szCs w:val="24"/>
        </w:rPr>
        <w:t>would have declined as precipitously as the treasury yields did.  They did not.  A constant historic</w:t>
      </w:r>
      <w:r w:rsidR="006971CD" w:rsidRPr="00384017">
        <w:rPr>
          <w:szCs w:val="24"/>
        </w:rPr>
        <w:t>al</w:t>
      </w:r>
      <w:r w:rsidRPr="00384017">
        <w:rPr>
          <w:szCs w:val="24"/>
        </w:rPr>
        <w:t xml:space="preserve"> equity risk premium ignores the elevated cost of holding risky securities relative to the riskless security benchmark.  The forward-looking premium thus provides financial analysts and this Commission the most accurate gauge of investor demands in the current market environment where required returns on equities have decoupled from treasury yields.</w:t>
      </w:r>
      <w:r w:rsidR="002A7AB3">
        <w:rPr>
          <w:szCs w:val="24"/>
        </w:rPr>
        <w:br w:type="page"/>
      </w:r>
    </w:p>
    <w:p w:rsidR="00EB35AC" w:rsidRPr="00384017" w:rsidRDefault="007F5EDF" w:rsidP="002A7AB3">
      <w:pPr>
        <w:pStyle w:val="QAQCont"/>
        <w:keepNext/>
        <w:suppressLineNumbers/>
        <w:spacing w:after="0" w:line="240" w:lineRule="auto"/>
        <w:ind w:left="0"/>
        <w:jc w:val="center"/>
        <w:rPr>
          <w:b/>
          <w:szCs w:val="24"/>
        </w:rPr>
      </w:pPr>
      <w:r w:rsidRPr="00384017">
        <w:rPr>
          <w:b/>
          <w:szCs w:val="24"/>
        </w:rPr>
        <w:lastRenderedPageBreak/>
        <w:t>Figure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322"/>
        <w:gridCol w:w="1908"/>
      </w:tblGrid>
      <w:tr w:rsidR="00EB35AC" w:rsidRPr="00384017" w:rsidTr="002A7AB3">
        <w:trPr>
          <w:cantSplit/>
          <w:trHeight w:val="692"/>
          <w:jc w:val="center"/>
        </w:trPr>
        <w:tc>
          <w:tcPr>
            <w:tcW w:w="1530" w:type="dxa"/>
            <w:tcBorders>
              <w:bottom w:val="nil"/>
            </w:tcBorders>
            <w:shd w:val="clear" w:color="auto" w:fill="auto"/>
            <w:vAlign w:val="center"/>
          </w:tcPr>
          <w:p w:rsidR="00EB35AC" w:rsidRPr="00384017" w:rsidRDefault="007F5EDF" w:rsidP="002A7AB3">
            <w:pPr>
              <w:pStyle w:val="QAQuestion"/>
              <w:keepNext/>
              <w:keepLines/>
              <w:tabs>
                <w:tab w:val="num" w:pos="720"/>
              </w:tabs>
              <w:spacing w:after="0" w:line="240" w:lineRule="auto"/>
              <w:ind w:left="0" w:firstLine="0"/>
              <w:jc w:val="center"/>
              <w:rPr>
                <w:b/>
                <w:szCs w:val="24"/>
              </w:rPr>
            </w:pPr>
            <w:r w:rsidRPr="00384017">
              <w:rPr>
                <w:b/>
                <w:szCs w:val="24"/>
              </w:rPr>
              <w:t>Year</w:t>
            </w:r>
          </w:p>
        </w:tc>
        <w:tc>
          <w:tcPr>
            <w:tcW w:w="2322" w:type="dxa"/>
            <w:tcBorders>
              <w:bottom w:val="nil"/>
            </w:tcBorders>
            <w:shd w:val="clear" w:color="auto" w:fill="auto"/>
            <w:vAlign w:val="center"/>
          </w:tcPr>
          <w:p w:rsidR="00EB35AC" w:rsidRPr="002A7AB3" w:rsidRDefault="007F5EDF" w:rsidP="002A7AB3">
            <w:pPr>
              <w:pStyle w:val="QAQuestion"/>
              <w:keepNext/>
              <w:keepLines/>
              <w:spacing w:after="0" w:line="240" w:lineRule="auto"/>
              <w:ind w:left="0" w:firstLine="0"/>
              <w:jc w:val="center"/>
              <w:rPr>
                <w:b/>
                <w:szCs w:val="24"/>
              </w:rPr>
            </w:pPr>
            <w:r w:rsidRPr="002A7AB3">
              <w:rPr>
                <w:b/>
                <w:szCs w:val="24"/>
              </w:rPr>
              <w:t>Treasury Yield</w:t>
            </w:r>
          </w:p>
          <w:p w:rsidR="002A7AB3" w:rsidRPr="002A7AB3" w:rsidRDefault="002A7AB3" w:rsidP="002A7AB3">
            <w:pPr>
              <w:pStyle w:val="QAQCont"/>
              <w:spacing w:after="0" w:line="240" w:lineRule="auto"/>
              <w:ind w:left="0"/>
              <w:jc w:val="center"/>
            </w:pPr>
            <w:r w:rsidRPr="002A7AB3">
              <w:rPr>
                <w:b/>
              </w:rPr>
              <w:t>(30-year)</w:t>
            </w:r>
            <w:r w:rsidR="00023426" w:rsidRPr="00384017">
              <w:rPr>
                <w:rStyle w:val="FootnoteReference"/>
                <w:b/>
                <w:szCs w:val="24"/>
              </w:rPr>
              <w:footnoteReference w:id="9"/>
            </w:r>
          </w:p>
        </w:tc>
        <w:tc>
          <w:tcPr>
            <w:tcW w:w="1908" w:type="dxa"/>
            <w:tcBorders>
              <w:bottom w:val="nil"/>
            </w:tcBorders>
            <w:shd w:val="clear" w:color="auto" w:fill="auto"/>
            <w:vAlign w:val="center"/>
          </w:tcPr>
          <w:p w:rsidR="002A7AB3" w:rsidRDefault="007F5EDF" w:rsidP="002A7AB3">
            <w:pPr>
              <w:pStyle w:val="QAQuestion"/>
              <w:keepNext/>
              <w:keepLines/>
              <w:tabs>
                <w:tab w:val="num" w:pos="720"/>
              </w:tabs>
              <w:spacing w:after="0" w:line="240" w:lineRule="auto"/>
              <w:ind w:left="0" w:firstLine="0"/>
              <w:jc w:val="center"/>
              <w:rPr>
                <w:b/>
                <w:szCs w:val="24"/>
              </w:rPr>
            </w:pPr>
            <w:r w:rsidRPr="00384017">
              <w:rPr>
                <w:b/>
                <w:szCs w:val="24"/>
              </w:rPr>
              <w:t>Electric Utility</w:t>
            </w:r>
          </w:p>
          <w:p w:rsidR="002A7AB3" w:rsidRPr="002A7AB3" w:rsidRDefault="002A7AB3" w:rsidP="002A7AB3">
            <w:pPr>
              <w:pStyle w:val="QAQuestion"/>
              <w:keepNext/>
              <w:keepLines/>
              <w:tabs>
                <w:tab w:val="num" w:pos="720"/>
              </w:tabs>
              <w:spacing w:after="0" w:line="240" w:lineRule="auto"/>
              <w:ind w:left="0" w:firstLine="0"/>
              <w:jc w:val="center"/>
              <w:rPr>
                <w:b/>
              </w:rPr>
            </w:pPr>
            <w:r w:rsidRPr="002A7AB3">
              <w:rPr>
                <w:b/>
              </w:rPr>
              <w:t>Allowed ROE</w:t>
            </w:r>
            <w:r w:rsidR="00023426" w:rsidRPr="00384017">
              <w:rPr>
                <w:rStyle w:val="FootnoteReference"/>
                <w:b/>
                <w:szCs w:val="24"/>
              </w:rPr>
              <w:footnoteReference w:id="10"/>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2006</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4.91</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10.32</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2007</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4.84</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10.30</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2008</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4.28</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10.41</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2009</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4.08</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10.52</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2010</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4.25</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10.37</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2011</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3.91</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10.29</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2012</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2.92</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10.17</w:t>
            </w:r>
          </w:p>
        </w:tc>
      </w:tr>
      <w:tr w:rsidR="00EB35AC" w:rsidRPr="00384017" w:rsidTr="002A7AB3">
        <w:trPr>
          <w:cantSplit/>
          <w:jc w:val="center"/>
        </w:trPr>
        <w:tc>
          <w:tcPr>
            <w:tcW w:w="1530"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2013</w:t>
            </w:r>
          </w:p>
        </w:tc>
        <w:tc>
          <w:tcPr>
            <w:tcW w:w="2322"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3.45</w:t>
            </w:r>
          </w:p>
        </w:tc>
        <w:tc>
          <w:tcPr>
            <w:tcW w:w="1908" w:type="dxa"/>
            <w:shd w:val="clear" w:color="auto" w:fill="auto"/>
            <w:vAlign w:val="bottom"/>
          </w:tcPr>
          <w:p w:rsidR="00EB35AC" w:rsidRPr="00384017" w:rsidRDefault="007F5EDF" w:rsidP="002A7AB3">
            <w:pPr>
              <w:tabs>
                <w:tab w:val="num" w:pos="720"/>
              </w:tabs>
              <w:jc w:val="center"/>
              <w:rPr>
                <w:color w:val="000000"/>
                <w:szCs w:val="24"/>
              </w:rPr>
            </w:pPr>
            <w:r w:rsidRPr="00384017">
              <w:rPr>
                <w:color w:val="000000"/>
                <w:szCs w:val="24"/>
              </w:rPr>
              <w:t>10.02</w:t>
            </w:r>
          </w:p>
        </w:tc>
      </w:tr>
    </w:tbl>
    <w:p w:rsidR="00EB35AC" w:rsidRPr="00384017" w:rsidRDefault="007F5EDF" w:rsidP="002A7AB3">
      <w:pPr>
        <w:pStyle w:val="QAQuestion"/>
        <w:tabs>
          <w:tab w:val="num" w:pos="720"/>
        </w:tabs>
        <w:spacing w:before="240" w:after="0" w:line="480" w:lineRule="auto"/>
        <w:ind w:left="720" w:hanging="720"/>
        <w:jc w:val="left"/>
        <w:rPr>
          <w:b/>
          <w:szCs w:val="24"/>
        </w:rPr>
      </w:pPr>
      <w:r w:rsidRPr="00384017">
        <w:rPr>
          <w:b/>
          <w:szCs w:val="24"/>
        </w:rPr>
        <w:t>Q.</w:t>
      </w:r>
      <w:r w:rsidRPr="00384017">
        <w:rPr>
          <w:b/>
          <w:szCs w:val="24"/>
        </w:rPr>
        <w:tab/>
        <w:t>Have regulators acknowledged the inapplicability of the historic</w:t>
      </w:r>
      <w:r w:rsidR="00DF2FAB" w:rsidRPr="00384017">
        <w:rPr>
          <w:b/>
          <w:szCs w:val="24"/>
        </w:rPr>
        <w:t>al</w:t>
      </w:r>
      <w:r w:rsidRPr="00384017">
        <w:rPr>
          <w:b/>
          <w:szCs w:val="24"/>
        </w:rPr>
        <w:t xml:space="preserve"> market risk premium in the current interest rate environment?</w:t>
      </w:r>
    </w:p>
    <w:p w:rsidR="00EB35AC" w:rsidRPr="00384017" w:rsidRDefault="007F5EDF" w:rsidP="00384017">
      <w:pPr>
        <w:pStyle w:val="QAQCont"/>
        <w:spacing w:after="0" w:line="480" w:lineRule="auto"/>
        <w:ind w:left="720" w:hanging="720"/>
        <w:jc w:val="left"/>
        <w:rPr>
          <w:b/>
          <w:szCs w:val="24"/>
        </w:rPr>
      </w:pPr>
      <w:r w:rsidRPr="00384017">
        <w:rPr>
          <w:szCs w:val="24"/>
        </w:rPr>
        <w:t>A.</w:t>
      </w:r>
      <w:r w:rsidRPr="00384017">
        <w:rPr>
          <w:szCs w:val="24"/>
        </w:rPr>
        <w:tab/>
        <w:t>Yes, for its part, the F</w:t>
      </w:r>
      <w:r w:rsidR="00BE462D" w:rsidRPr="00384017">
        <w:rPr>
          <w:szCs w:val="24"/>
        </w:rPr>
        <w:t>ederal Energy Regulatory Commission (F</w:t>
      </w:r>
      <w:r w:rsidRPr="00384017">
        <w:rPr>
          <w:szCs w:val="24"/>
        </w:rPr>
        <w:t>ERC</w:t>
      </w:r>
      <w:r w:rsidR="00BE462D" w:rsidRPr="00384017">
        <w:rPr>
          <w:szCs w:val="24"/>
        </w:rPr>
        <w:t>)</w:t>
      </w:r>
      <w:r w:rsidRPr="00384017">
        <w:rPr>
          <w:szCs w:val="24"/>
        </w:rPr>
        <w:t xml:space="preserve"> acknowledged, in its ruling in Docket No. ER14-500-000, that </w:t>
      </w:r>
      <w:r w:rsidR="002A7AB3">
        <w:rPr>
          <w:szCs w:val="24"/>
        </w:rPr>
        <w:t xml:space="preserve">the </w:t>
      </w:r>
      <w:r w:rsidRPr="00384017">
        <w:rPr>
          <w:szCs w:val="24"/>
        </w:rPr>
        <w:t>“current low treasury bond rate environment creates a need to adjust the CAPM results, consistent with the financial theory that the equity risk premium exceeds the long-term average when long-term U.S. Treasury bond rates are lower than average, and vice-versa.”</w:t>
      </w:r>
      <w:r w:rsidR="00DF2FAB" w:rsidRPr="00384017">
        <w:rPr>
          <w:rStyle w:val="FootnoteReference"/>
          <w:szCs w:val="24"/>
        </w:rPr>
        <w:footnoteReference w:id="11"/>
      </w:r>
      <w:r w:rsidRPr="00384017">
        <w:rPr>
          <w:szCs w:val="24"/>
        </w:rPr>
        <w:t xml:space="preserve">  The Australian Energy Regulator (AER) also has recently increased its equity risk premium used to determine allowed returns taking into consideration many factors, including analyses of the forward-looking risk premium.</w:t>
      </w:r>
      <w:r w:rsidRPr="00384017">
        <w:rPr>
          <w:rStyle w:val="FootnoteReference"/>
          <w:szCs w:val="24"/>
        </w:rPr>
        <w:footnoteReference w:id="12"/>
      </w:r>
      <w:r w:rsidRPr="00384017">
        <w:rPr>
          <w:szCs w:val="24"/>
        </w:rPr>
        <w:t xml:space="preserve">  Moreover, as shown in Figure 1</w:t>
      </w:r>
      <w:r w:rsidRPr="00384017">
        <w:rPr>
          <w:b/>
          <w:szCs w:val="24"/>
        </w:rPr>
        <w:t xml:space="preserve"> </w:t>
      </w:r>
      <w:r w:rsidRPr="00384017">
        <w:rPr>
          <w:szCs w:val="24"/>
        </w:rPr>
        <w:t>above, the allowed returns granted by state regulators in the United States demonstrate an implicit recognition of the increased equity risk premium set against the currently low level of treasury yields.</w:t>
      </w:r>
    </w:p>
    <w:p w:rsidR="00EB35AC" w:rsidRPr="00384017" w:rsidRDefault="007F5EDF" w:rsidP="00AD33B0">
      <w:pPr>
        <w:pStyle w:val="QAQuestion"/>
        <w:keepNext/>
        <w:tabs>
          <w:tab w:val="num" w:pos="720"/>
        </w:tabs>
        <w:spacing w:after="0" w:line="480" w:lineRule="auto"/>
        <w:ind w:left="720" w:hanging="720"/>
        <w:jc w:val="left"/>
        <w:rPr>
          <w:b/>
          <w:szCs w:val="24"/>
        </w:rPr>
      </w:pPr>
      <w:r w:rsidRPr="00384017">
        <w:rPr>
          <w:b/>
          <w:szCs w:val="24"/>
        </w:rPr>
        <w:lastRenderedPageBreak/>
        <w:t>Q.</w:t>
      </w:r>
      <w:r w:rsidRPr="00384017">
        <w:rPr>
          <w:b/>
          <w:szCs w:val="24"/>
        </w:rPr>
        <w:tab/>
        <w:t>Please summarize your CAPM results</w:t>
      </w:r>
      <w:r w:rsidR="00DF2FAB" w:rsidRPr="00384017">
        <w:rPr>
          <w:b/>
          <w:szCs w:val="24"/>
        </w:rPr>
        <w:t>.</w:t>
      </w:r>
    </w:p>
    <w:p w:rsidR="00DD0A63"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As shown in Exhibit </w:t>
      </w:r>
      <w:r w:rsidR="00DF2FAB" w:rsidRPr="00384017">
        <w:rPr>
          <w:szCs w:val="24"/>
        </w:rPr>
        <w:t>No.__</w:t>
      </w:r>
      <w:proofErr w:type="gramStart"/>
      <w:r w:rsidR="00DF2FAB" w:rsidRPr="00384017">
        <w:rPr>
          <w:szCs w:val="24"/>
        </w:rPr>
        <w:t>_(</w:t>
      </w:r>
      <w:proofErr w:type="gramEnd"/>
      <w:r w:rsidR="00DF2FAB" w:rsidRPr="00384017">
        <w:rPr>
          <w:szCs w:val="24"/>
        </w:rPr>
        <w:t>KGS-1</w:t>
      </w:r>
      <w:r w:rsidR="00461578" w:rsidRPr="00384017">
        <w:rPr>
          <w:szCs w:val="24"/>
        </w:rPr>
        <w:t>3</w:t>
      </w:r>
      <w:r w:rsidR="00DF2FAB" w:rsidRPr="00384017">
        <w:rPr>
          <w:szCs w:val="24"/>
        </w:rPr>
        <w:t>)</w:t>
      </w:r>
      <w:r w:rsidRPr="00384017">
        <w:rPr>
          <w:szCs w:val="24"/>
        </w:rPr>
        <w:t>, the CAPM model yields an average return on equity of 9.67 percent for the proxy group.</w:t>
      </w:r>
      <w:r w:rsidR="00DD0A63" w:rsidRPr="00384017">
        <w:rPr>
          <w:szCs w:val="24"/>
        </w:rPr>
        <w:t xml:space="preserve"> </w:t>
      </w:r>
    </w:p>
    <w:p w:rsidR="00880501" w:rsidRPr="00384017" w:rsidRDefault="00880501"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693DF9" w:rsidRPr="00384017">
        <w:rPr>
          <w:b/>
          <w:szCs w:val="24"/>
        </w:rPr>
        <w:t xml:space="preserve">Turning now to the </w:t>
      </w:r>
      <w:r w:rsidR="00CF68D8" w:rsidRPr="00384017">
        <w:rPr>
          <w:b/>
          <w:szCs w:val="24"/>
        </w:rPr>
        <w:t xml:space="preserve">Risk Premium </w:t>
      </w:r>
      <w:r w:rsidR="008169E8" w:rsidRPr="00384017">
        <w:rPr>
          <w:b/>
          <w:szCs w:val="24"/>
        </w:rPr>
        <w:t>m</w:t>
      </w:r>
      <w:r w:rsidR="00CF68D8" w:rsidRPr="00384017">
        <w:rPr>
          <w:b/>
          <w:szCs w:val="24"/>
        </w:rPr>
        <w:t>odel</w:t>
      </w:r>
      <w:r w:rsidR="00693DF9" w:rsidRPr="00384017">
        <w:rPr>
          <w:b/>
          <w:szCs w:val="24"/>
        </w:rPr>
        <w:t>, how does it</w:t>
      </w:r>
      <w:r w:rsidR="00CF68D8" w:rsidRPr="00384017">
        <w:rPr>
          <w:b/>
          <w:szCs w:val="24"/>
        </w:rPr>
        <w:t xml:space="preserve"> differ from the CAPM?</w:t>
      </w:r>
      <w:r w:rsidRPr="00384017">
        <w:rPr>
          <w:b/>
          <w:szCs w:val="24"/>
        </w:rPr>
        <w:t xml:space="preserve"> </w:t>
      </w:r>
    </w:p>
    <w:p w:rsidR="00880501" w:rsidRPr="00384017" w:rsidRDefault="00880501"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r>
      <w:r w:rsidR="00693DF9" w:rsidRPr="00384017">
        <w:rPr>
          <w:szCs w:val="24"/>
        </w:rPr>
        <w:t xml:space="preserve">I rely on the Risk Premium model to estimate a cost of equity estimate for the electric utility industry broadly, whereas my use of the </w:t>
      </w:r>
      <w:r w:rsidRPr="00384017">
        <w:rPr>
          <w:szCs w:val="24"/>
        </w:rPr>
        <w:t xml:space="preserve">CAPM model </w:t>
      </w:r>
      <w:r w:rsidR="00693DF9" w:rsidRPr="00384017">
        <w:rPr>
          <w:szCs w:val="24"/>
        </w:rPr>
        <w:t xml:space="preserve">focuses on </w:t>
      </w:r>
      <w:r w:rsidR="00CF68D8" w:rsidRPr="00384017">
        <w:rPr>
          <w:szCs w:val="24"/>
        </w:rPr>
        <w:t xml:space="preserve">using observed capital market data </w:t>
      </w:r>
      <w:r w:rsidR="00693DF9" w:rsidRPr="00384017">
        <w:rPr>
          <w:szCs w:val="24"/>
        </w:rPr>
        <w:t xml:space="preserve">to develop the cost of equity </w:t>
      </w:r>
      <w:r w:rsidR="00CF68D8" w:rsidRPr="00384017">
        <w:rPr>
          <w:szCs w:val="24"/>
        </w:rPr>
        <w:t xml:space="preserve">for the </w:t>
      </w:r>
      <w:r w:rsidR="00B51140" w:rsidRPr="00384017">
        <w:rPr>
          <w:szCs w:val="24"/>
        </w:rPr>
        <w:t xml:space="preserve">companies in the </w:t>
      </w:r>
      <w:r w:rsidR="00CF68D8" w:rsidRPr="00384017">
        <w:rPr>
          <w:szCs w:val="24"/>
        </w:rPr>
        <w:t>proxy group</w:t>
      </w:r>
      <w:r w:rsidR="00B51140" w:rsidRPr="00384017">
        <w:rPr>
          <w:szCs w:val="24"/>
        </w:rPr>
        <w:t>.</w:t>
      </w:r>
    </w:p>
    <w:p w:rsidR="00693DF9" w:rsidRPr="00384017" w:rsidRDefault="00693DF9"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w:t>
      </w:r>
      <w:r w:rsidR="00DA35E8" w:rsidRPr="00384017">
        <w:rPr>
          <w:b/>
          <w:szCs w:val="24"/>
        </w:rPr>
        <w:t>explain</w:t>
      </w:r>
      <w:r w:rsidRPr="00384017">
        <w:rPr>
          <w:b/>
          <w:szCs w:val="24"/>
        </w:rPr>
        <w:t xml:space="preserve"> the Risk Premium </w:t>
      </w:r>
      <w:r w:rsidR="008169E8" w:rsidRPr="00384017">
        <w:rPr>
          <w:b/>
          <w:szCs w:val="24"/>
        </w:rPr>
        <w:t>m</w:t>
      </w:r>
      <w:r w:rsidRPr="00384017">
        <w:rPr>
          <w:b/>
          <w:szCs w:val="24"/>
        </w:rPr>
        <w:t>odel.</w:t>
      </w:r>
    </w:p>
    <w:p w:rsidR="00693DF9" w:rsidRPr="00384017" w:rsidRDefault="00693DF9"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The Risk Premium model use</w:t>
      </w:r>
      <w:r w:rsidR="00DA35E8" w:rsidRPr="00384017">
        <w:rPr>
          <w:szCs w:val="24"/>
        </w:rPr>
        <w:t>s</w:t>
      </w:r>
      <w:r w:rsidRPr="00384017">
        <w:rPr>
          <w:szCs w:val="24"/>
        </w:rPr>
        <w:t xml:space="preserve"> the historical relationship between </w:t>
      </w:r>
      <w:r w:rsidR="00DA35E8" w:rsidRPr="00384017">
        <w:rPr>
          <w:szCs w:val="24"/>
        </w:rPr>
        <w:t xml:space="preserve">electric </w:t>
      </w:r>
      <w:r w:rsidRPr="00384017">
        <w:rPr>
          <w:szCs w:val="24"/>
        </w:rPr>
        <w:t>utility returns and bond yields</w:t>
      </w:r>
      <w:r w:rsidR="0002220B" w:rsidRPr="00384017">
        <w:rPr>
          <w:szCs w:val="24"/>
        </w:rPr>
        <w:t xml:space="preserve"> to predict the cost of equity </w:t>
      </w:r>
      <w:r w:rsidR="00DA35E8" w:rsidRPr="00384017">
        <w:rPr>
          <w:szCs w:val="24"/>
        </w:rPr>
        <w:t>today using</w:t>
      </w:r>
      <w:r w:rsidR="0002220B" w:rsidRPr="00384017">
        <w:rPr>
          <w:szCs w:val="24"/>
        </w:rPr>
        <w:t xml:space="preserve"> the yields </w:t>
      </w:r>
      <w:r w:rsidR="00DA35E8" w:rsidRPr="00384017">
        <w:rPr>
          <w:szCs w:val="24"/>
        </w:rPr>
        <w:t xml:space="preserve">currently </w:t>
      </w:r>
      <w:r w:rsidR="0002220B" w:rsidRPr="00384017">
        <w:rPr>
          <w:szCs w:val="24"/>
        </w:rPr>
        <w:t>observed on bonds.  I model th</w:t>
      </w:r>
      <w:r w:rsidR="00DA35E8" w:rsidRPr="00384017">
        <w:rPr>
          <w:szCs w:val="24"/>
        </w:rPr>
        <w:t>is</w:t>
      </w:r>
      <w:r w:rsidR="0002220B" w:rsidRPr="00384017">
        <w:rPr>
          <w:szCs w:val="24"/>
        </w:rPr>
        <w:t xml:space="preserve"> historical relationship by developing a least-squares regression </w:t>
      </w:r>
      <w:r w:rsidR="00B44D18" w:rsidRPr="00384017">
        <w:rPr>
          <w:szCs w:val="24"/>
        </w:rPr>
        <w:t>analysis</w:t>
      </w:r>
      <w:r w:rsidR="0002220B" w:rsidRPr="00384017">
        <w:rPr>
          <w:szCs w:val="24"/>
        </w:rPr>
        <w:t xml:space="preserve"> that uses the bond yield to explain the average allowed return for electric utilities as a function of the level of interest rates (</w:t>
      </w:r>
      <w:r w:rsidR="00B44D18" w:rsidRPr="00384017">
        <w:rPr>
          <w:szCs w:val="24"/>
        </w:rPr>
        <w:t xml:space="preserve">as </w:t>
      </w:r>
      <w:r w:rsidR="0002220B" w:rsidRPr="00384017">
        <w:rPr>
          <w:szCs w:val="24"/>
        </w:rPr>
        <w:t xml:space="preserve">reflected in the yields on government bonds, A-rated utility bonds, and BBB-rated utility bonds).  Specifying the model in this fashion takes account of the fact that the equity risk premium varies with the overall level of interest rates.  </w:t>
      </w:r>
      <w:r w:rsidR="00B44D18" w:rsidRPr="00384017">
        <w:rPr>
          <w:szCs w:val="24"/>
        </w:rPr>
        <w:t>My</w:t>
      </w:r>
      <w:r w:rsidR="00DA35E8" w:rsidRPr="00384017">
        <w:rPr>
          <w:szCs w:val="24"/>
        </w:rPr>
        <w:t xml:space="preserve"> method</w:t>
      </w:r>
      <w:r w:rsidR="00B44D18" w:rsidRPr="00384017">
        <w:rPr>
          <w:szCs w:val="24"/>
        </w:rPr>
        <w:t>ology</w:t>
      </w:r>
      <w:r w:rsidR="00DA35E8" w:rsidRPr="00384017">
        <w:rPr>
          <w:szCs w:val="24"/>
        </w:rPr>
        <w:t xml:space="preserve"> tracks how the model has been applied by </w:t>
      </w:r>
      <w:r w:rsidR="00B44D18" w:rsidRPr="00384017">
        <w:rPr>
          <w:szCs w:val="24"/>
        </w:rPr>
        <w:t>financial</w:t>
      </w:r>
      <w:r w:rsidR="00DA35E8" w:rsidRPr="00384017">
        <w:rPr>
          <w:szCs w:val="24"/>
        </w:rPr>
        <w:t xml:space="preserve"> economists, as evidenced in the academic literature.</w:t>
      </w:r>
      <w:r w:rsidR="00CE65A0" w:rsidRPr="00384017">
        <w:rPr>
          <w:rStyle w:val="FootnoteReference"/>
          <w:szCs w:val="24"/>
        </w:rPr>
        <w:footnoteReference w:id="13"/>
      </w:r>
    </w:p>
    <w:p w:rsidR="00B51140" w:rsidRPr="00384017" w:rsidRDefault="00B51140" w:rsidP="00AD33B0">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 xml:space="preserve">What are the results of your Risk Premium </w:t>
      </w:r>
      <w:r w:rsidR="008169E8" w:rsidRPr="00384017">
        <w:rPr>
          <w:b/>
          <w:szCs w:val="24"/>
        </w:rPr>
        <w:t>m</w:t>
      </w:r>
      <w:r w:rsidRPr="00384017">
        <w:rPr>
          <w:b/>
          <w:szCs w:val="24"/>
        </w:rPr>
        <w:t>odel?</w:t>
      </w:r>
    </w:p>
    <w:p w:rsidR="00AD33B0" w:rsidRDefault="00B51140" w:rsidP="00AD33B0">
      <w:pPr>
        <w:pStyle w:val="QAQCont"/>
        <w:spacing w:after="0" w:line="480" w:lineRule="auto"/>
        <w:ind w:left="720" w:hanging="720"/>
        <w:jc w:val="left"/>
        <w:rPr>
          <w:szCs w:val="24"/>
        </w:rPr>
      </w:pPr>
      <w:r w:rsidRPr="00384017">
        <w:rPr>
          <w:szCs w:val="24"/>
        </w:rPr>
        <w:t>A.</w:t>
      </w:r>
      <w:r w:rsidRPr="00384017">
        <w:rPr>
          <w:szCs w:val="24"/>
        </w:rPr>
        <w:tab/>
        <w:t xml:space="preserve">The Risk Premium model indicates a cost of equity </w:t>
      </w:r>
      <w:r w:rsidR="00B44D18" w:rsidRPr="00384017">
        <w:rPr>
          <w:szCs w:val="24"/>
        </w:rPr>
        <w:t xml:space="preserve">for electric utilities </w:t>
      </w:r>
      <w:r w:rsidRPr="00384017">
        <w:rPr>
          <w:szCs w:val="24"/>
        </w:rPr>
        <w:t xml:space="preserve">in the range of 10.10 percent to 10.29 percent, with an average of 10.22 percent.  The different </w:t>
      </w:r>
      <w:r w:rsidRPr="00384017">
        <w:rPr>
          <w:szCs w:val="24"/>
        </w:rPr>
        <w:lastRenderedPageBreak/>
        <w:t>estimates correspond to the use of different bond</w:t>
      </w:r>
      <w:r w:rsidR="00B44D18" w:rsidRPr="00384017">
        <w:rPr>
          <w:szCs w:val="24"/>
        </w:rPr>
        <w:t>s</w:t>
      </w:r>
      <w:r w:rsidRPr="00384017">
        <w:rPr>
          <w:szCs w:val="24"/>
        </w:rPr>
        <w:t xml:space="preserve"> as the </w:t>
      </w:r>
      <w:proofErr w:type="spellStart"/>
      <w:r w:rsidRPr="00384017">
        <w:rPr>
          <w:szCs w:val="24"/>
        </w:rPr>
        <w:t>numéraire</w:t>
      </w:r>
      <w:proofErr w:type="spellEnd"/>
      <w:r w:rsidR="00B44D18" w:rsidRPr="00384017">
        <w:rPr>
          <w:szCs w:val="24"/>
        </w:rPr>
        <w:t xml:space="preserve"> for modeling purposes.  As noted above and shown in Exhibit No.__</w:t>
      </w:r>
      <w:proofErr w:type="gramStart"/>
      <w:r w:rsidR="00B44D18" w:rsidRPr="00384017">
        <w:rPr>
          <w:szCs w:val="24"/>
        </w:rPr>
        <w:t>_(</w:t>
      </w:r>
      <w:proofErr w:type="gramEnd"/>
      <w:r w:rsidR="00B44D18" w:rsidRPr="00384017">
        <w:rPr>
          <w:szCs w:val="24"/>
        </w:rPr>
        <w:t>KGS-1</w:t>
      </w:r>
      <w:r w:rsidR="00461578" w:rsidRPr="00384017">
        <w:rPr>
          <w:szCs w:val="24"/>
        </w:rPr>
        <w:t>4</w:t>
      </w:r>
      <w:r w:rsidR="00B44D18" w:rsidRPr="00384017">
        <w:rPr>
          <w:szCs w:val="24"/>
        </w:rPr>
        <w:t xml:space="preserve">), I rely on three different classes of bonds to assess the risk premium associated with electric utility stocks: government bonds, A-rated utility bonds, and BBB-rated utility bonds.   </w:t>
      </w:r>
      <w:bookmarkStart w:id="46" w:name="_Toc384626551"/>
      <w:bookmarkStart w:id="47" w:name="_Toc384626571"/>
      <w:bookmarkStart w:id="48" w:name="_Toc384626613"/>
    </w:p>
    <w:p w:rsidR="00EB35AC" w:rsidRPr="00AD33B0" w:rsidRDefault="00AD33B0" w:rsidP="00AD33B0">
      <w:pPr>
        <w:pStyle w:val="QAQuestion"/>
        <w:tabs>
          <w:tab w:val="num" w:pos="0"/>
        </w:tabs>
        <w:spacing w:after="0" w:line="480" w:lineRule="auto"/>
        <w:ind w:left="0" w:firstLine="0"/>
        <w:jc w:val="center"/>
        <w:rPr>
          <w:b/>
          <w:szCs w:val="24"/>
        </w:rPr>
      </w:pPr>
      <w:r w:rsidRPr="00AD33B0">
        <w:rPr>
          <w:b/>
          <w:szCs w:val="24"/>
        </w:rPr>
        <w:t>COMPARABLE EARNINGS</w:t>
      </w:r>
      <w:bookmarkEnd w:id="46"/>
      <w:bookmarkEnd w:id="47"/>
      <w:bookmarkEnd w:id="48"/>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Have you performed a comparable earnings analysis?</w:t>
      </w:r>
    </w:p>
    <w:p w:rsidR="00EB35AC" w:rsidRPr="00384017" w:rsidRDefault="007F5EDF" w:rsidP="00384017">
      <w:pPr>
        <w:pStyle w:val="QAQCont"/>
        <w:spacing w:after="0" w:line="480" w:lineRule="auto"/>
        <w:ind w:left="720" w:hanging="720"/>
        <w:jc w:val="left"/>
        <w:rPr>
          <w:szCs w:val="24"/>
        </w:rPr>
      </w:pPr>
      <w:r w:rsidRPr="00384017">
        <w:rPr>
          <w:szCs w:val="24"/>
        </w:rPr>
        <w:t>A.</w:t>
      </w:r>
      <w:r w:rsidRPr="00384017">
        <w:rPr>
          <w:szCs w:val="24"/>
        </w:rPr>
        <w:tab/>
        <w:t xml:space="preserve">Yes, I have.  I analyzed the returns actually earned by utilities and industrial firms since 2002.  The </w:t>
      </w:r>
      <w:r w:rsidRPr="00384017">
        <w:rPr>
          <w:i/>
          <w:szCs w:val="24"/>
        </w:rPr>
        <w:t>Hope</w:t>
      </w:r>
      <w:r w:rsidRPr="00384017">
        <w:rPr>
          <w:szCs w:val="24"/>
        </w:rPr>
        <w:t xml:space="preserve"> decision establishes that a utility must be granted the opportunity to earn returns that are comparable to those earned by </w:t>
      </w:r>
      <w:r w:rsidRPr="00384017">
        <w:rPr>
          <w:i/>
          <w:szCs w:val="24"/>
        </w:rPr>
        <w:t>unregulated</w:t>
      </w:r>
      <w:r w:rsidRPr="00384017">
        <w:rPr>
          <w:szCs w:val="24"/>
        </w:rPr>
        <w:t xml:space="preserve"> firms of similar risk.  Consistent with </w:t>
      </w:r>
      <w:r w:rsidRPr="00384017">
        <w:rPr>
          <w:i/>
          <w:szCs w:val="24"/>
        </w:rPr>
        <w:t>Hope</w:t>
      </w:r>
      <w:r w:rsidRPr="00384017">
        <w:rPr>
          <w:szCs w:val="24"/>
        </w:rPr>
        <w:t>, the industrial firms selected for my analysis form an appropriate unregulated peer group for comparison purposes,</w:t>
      </w:r>
      <w:r w:rsidRPr="00384017">
        <w:rPr>
          <w:rStyle w:val="FootnoteReference"/>
          <w:szCs w:val="24"/>
        </w:rPr>
        <w:footnoteReference w:id="14"/>
      </w:r>
      <w:r w:rsidRPr="00384017">
        <w:rPr>
          <w:szCs w:val="24"/>
        </w:rPr>
        <w:t xml:space="preserve"> while the utilities group contains peers from the same industry.</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Please summarize the results of the comparable earnings analysis</w:t>
      </w:r>
      <w:r w:rsidR="00DF2FAB" w:rsidRPr="00384017">
        <w:rPr>
          <w:b/>
          <w:szCs w:val="24"/>
        </w:rPr>
        <w:t>.</w:t>
      </w:r>
    </w:p>
    <w:p w:rsidR="00EB35AC" w:rsidRPr="00384017" w:rsidRDefault="007F5EDF" w:rsidP="00384017">
      <w:pPr>
        <w:pStyle w:val="QAQCont"/>
        <w:spacing w:after="0" w:line="480" w:lineRule="auto"/>
        <w:ind w:left="720" w:hanging="720"/>
        <w:jc w:val="left"/>
        <w:rPr>
          <w:szCs w:val="24"/>
        </w:rPr>
      </w:pPr>
      <w:r w:rsidRPr="00384017">
        <w:rPr>
          <w:szCs w:val="24"/>
        </w:rPr>
        <w:t>A.</w:t>
      </w:r>
      <w:r w:rsidRPr="00384017">
        <w:rPr>
          <w:szCs w:val="24"/>
        </w:rPr>
        <w:tab/>
        <w:t xml:space="preserve">As shown in Exhibit </w:t>
      </w:r>
      <w:r w:rsidR="00DF2FAB" w:rsidRPr="00384017">
        <w:rPr>
          <w:szCs w:val="24"/>
        </w:rPr>
        <w:t>No.__</w:t>
      </w:r>
      <w:proofErr w:type="gramStart"/>
      <w:r w:rsidR="00DF2FAB" w:rsidRPr="00384017">
        <w:rPr>
          <w:szCs w:val="24"/>
        </w:rPr>
        <w:t>_(</w:t>
      </w:r>
      <w:proofErr w:type="gramEnd"/>
      <w:r w:rsidR="00DF2FAB" w:rsidRPr="00384017">
        <w:rPr>
          <w:szCs w:val="24"/>
        </w:rPr>
        <w:t>KGS-1</w:t>
      </w:r>
      <w:r w:rsidR="00461578" w:rsidRPr="00384017">
        <w:rPr>
          <w:szCs w:val="24"/>
        </w:rPr>
        <w:t>5</w:t>
      </w:r>
      <w:r w:rsidR="00DF2FAB" w:rsidRPr="00384017">
        <w:rPr>
          <w:szCs w:val="24"/>
        </w:rPr>
        <w:t xml:space="preserve">), </w:t>
      </w:r>
      <w:r w:rsidRPr="00384017">
        <w:rPr>
          <w:szCs w:val="24"/>
        </w:rPr>
        <w:t>the Comparable Earnings model yields an average return on equity of 9.73 percent for the utility peers and 16.31 percent for the industrials.  These earned returns are one of the many factors that influence investors’ forward-looking expectations about rates of return.</w:t>
      </w:r>
    </w:p>
    <w:p w:rsidR="00EB35AC" w:rsidRPr="00384017" w:rsidRDefault="007F5EDF" w:rsidP="0039223E">
      <w:pPr>
        <w:pStyle w:val="Heading1"/>
        <w:ind w:left="0"/>
      </w:pPr>
      <w:bookmarkStart w:id="49" w:name="_Toc384626553"/>
      <w:bookmarkStart w:id="50" w:name="_Toc384626573"/>
      <w:bookmarkStart w:id="51" w:name="_Toc384626615"/>
      <w:bookmarkStart w:id="52" w:name="_Toc386637271"/>
      <w:r w:rsidRPr="00384017">
        <w:t>Business and Financial RISKs Relative TO the proxy Group</w:t>
      </w:r>
      <w:bookmarkEnd w:id="49"/>
      <w:bookmarkEnd w:id="50"/>
      <w:bookmarkEnd w:id="51"/>
      <w:bookmarkEnd w:id="52"/>
    </w:p>
    <w:p w:rsidR="00EB35AC" w:rsidRPr="00384017" w:rsidRDefault="007F5EDF" w:rsidP="0039223E">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What is the purpose of this section of your testimony?</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In this </w:t>
      </w:r>
      <w:r w:rsidR="00D738BC" w:rsidRPr="00384017">
        <w:rPr>
          <w:szCs w:val="24"/>
        </w:rPr>
        <w:t>s</w:t>
      </w:r>
      <w:r w:rsidRPr="00384017">
        <w:rPr>
          <w:szCs w:val="24"/>
        </w:rPr>
        <w:t>ection, I describe at a high level the business risks of the Company and compare them to those of the proxy group companies.</w:t>
      </w:r>
    </w:p>
    <w:p w:rsidR="00EB35AC" w:rsidRPr="00384017" w:rsidRDefault="007F5EDF" w:rsidP="00AD33B0">
      <w:pPr>
        <w:pStyle w:val="QAQuestion"/>
        <w:keepNext/>
        <w:tabs>
          <w:tab w:val="num" w:pos="720"/>
        </w:tabs>
        <w:spacing w:after="0" w:line="480" w:lineRule="auto"/>
        <w:ind w:left="720" w:hanging="720"/>
        <w:jc w:val="left"/>
        <w:rPr>
          <w:b/>
          <w:szCs w:val="24"/>
        </w:rPr>
      </w:pPr>
      <w:r w:rsidRPr="00384017">
        <w:rPr>
          <w:b/>
          <w:szCs w:val="24"/>
        </w:rPr>
        <w:lastRenderedPageBreak/>
        <w:t>Q.</w:t>
      </w:r>
      <w:r w:rsidRPr="00384017">
        <w:rPr>
          <w:b/>
          <w:szCs w:val="24"/>
        </w:rPr>
        <w:tab/>
        <w:t>What are the basic types of business risks applicable to electric utilities?</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r>
      <w:bookmarkStart w:id="53" w:name="_Toc37417593"/>
      <w:r w:rsidRPr="00384017">
        <w:rPr>
          <w:szCs w:val="24"/>
        </w:rPr>
        <w:t>Companies engaged in the generation, distribution and sale of electric power at retail face a variety of risks.  These include risks traditionally faced by any regulated utility in North America (</w:t>
      </w:r>
      <w:r w:rsidRPr="004A283E">
        <w:rPr>
          <w:szCs w:val="24"/>
        </w:rPr>
        <w:t>e.g</w:t>
      </w:r>
      <w:r w:rsidRPr="00384017">
        <w:rPr>
          <w:i/>
          <w:szCs w:val="24"/>
        </w:rPr>
        <w:t>.</w:t>
      </w:r>
      <w:r w:rsidRPr="00384017">
        <w:rPr>
          <w:szCs w:val="24"/>
        </w:rPr>
        <w:t>, the risk of prudence disallowance, the risk of regulatory lag, the risk that demand for service does not permit full recovery of costs, risk associated with general economic trends, interest rates and financial market conditions).  As companies like Pacific Power invest to keep pace with load growth, they also face construction risk, contracting and litigation risk, and potential delays in bringing new plant into service.  They face a material risk of future economic obsolescence for new plant that will go into rate base and be depreciated over an assumed useful life, which may or may not turn out to be the actual economic life.</w:t>
      </w:r>
    </w:p>
    <w:p w:rsidR="00EB35AC" w:rsidRPr="00384017" w:rsidRDefault="007F5EDF" w:rsidP="00384017">
      <w:pPr>
        <w:pStyle w:val="QAQuestion"/>
        <w:tabs>
          <w:tab w:val="num" w:pos="720"/>
        </w:tabs>
        <w:spacing w:after="0" w:line="480" w:lineRule="auto"/>
        <w:ind w:left="720" w:hanging="720"/>
        <w:jc w:val="left"/>
        <w:rPr>
          <w:b/>
          <w:szCs w:val="24"/>
        </w:rPr>
      </w:pPr>
      <w:bookmarkStart w:id="54" w:name="_Toc99790338"/>
      <w:bookmarkStart w:id="55" w:name="_Toc99790491"/>
      <w:bookmarkStart w:id="56" w:name="_Toc99788635"/>
      <w:bookmarkStart w:id="57" w:name="_Toc99790341"/>
      <w:bookmarkStart w:id="58" w:name="_Toc99790494"/>
      <w:bookmarkEnd w:id="53"/>
      <w:bookmarkEnd w:id="54"/>
      <w:bookmarkEnd w:id="55"/>
      <w:bookmarkEnd w:id="56"/>
      <w:bookmarkEnd w:id="57"/>
      <w:bookmarkEnd w:id="58"/>
      <w:r w:rsidRPr="00384017">
        <w:rPr>
          <w:b/>
          <w:szCs w:val="24"/>
        </w:rPr>
        <w:t>Q.</w:t>
      </w:r>
      <w:r w:rsidRPr="00384017">
        <w:rPr>
          <w:b/>
          <w:szCs w:val="24"/>
        </w:rPr>
        <w:tab/>
        <w:t xml:space="preserve">Are the proxy group companies of comparable business risk to </w:t>
      </w:r>
      <w:r w:rsidR="00A809CA" w:rsidRPr="00384017">
        <w:rPr>
          <w:b/>
          <w:szCs w:val="24"/>
        </w:rPr>
        <w:t>Pacific Power</w:t>
      </w:r>
      <w:r w:rsidRPr="00384017">
        <w:rPr>
          <w:b/>
          <w:szCs w:val="24"/>
        </w:rPr>
        <w:t xml:space="preserve">? </w:t>
      </w:r>
    </w:p>
    <w:p w:rsidR="00866390" w:rsidRPr="00384017" w:rsidRDefault="007F5EDF" w:rsidP="00384017">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4A0AC3" w:rsidRPr="00384017">
        <w:rPr>
          <w:szCs w:val="24"/>
        </w:rPr>
        <w:t>Yes, t</w:t>
      </w:r>
      <w:r w:rsidRPr="00384017">
        <w:rPr>
          <w:szCs w:val="24"/>
        </w:rPr>
        <w:t xml:space="preserve">hey are generally comparable in that they share the business risks that are typical of public utilities, as described above.  </w:t>
      </w:r>
      <w:r w:rsidR="00866390" w:rsidRPr="00384017">
        <w:rPr>
          <w:szCs w:val="24"/>
        </w:rPr>
        <w:t xml:space="preserve">In this regard, </w:t>
      </w:r>
      <w:r w:rsidR="00A809CA" w:rsidRPr="00384017">
        <w:rPr>
          <w:szCs w:val="24"/>
        </w:rPr>
        <w:t>Pacific Power</w:t>
      </w:r>
      <w:r w:rsidR="00866390" w:rsidRPr="00384017">
        <w:rPr>
          <w:szCs w:val="24"/>
        </w:rPr>
        <w:t xml:space="preserve"> is comparable to the Proxy Group and to the industry more broadly. </w:t>
      </w:r>
      <w:r w:rsidR="005666AC" w:rsidRPr="00384017">
        <w:rPr>
          <w:szCs w:val="24"/>
        </w:rPr>
        <w:t xml:space="preserve"> Furthermore, key financial metrics for the Company fall reasonably within the range of those observed for the proxy group companies.</w:t>
      </w:r>
    </w:p>
    <w:p w:rsidR="00866390" w:rsidRPr="00384017" w:rsidRDefault="00A809CA" w:rsidP="00384017">
      <w:pPr>
        <w:pStyle w:val="QAAnswer"/>
        <w:tabs>
          <w:tab w:val="num" w:pos="720"/>
        </w:tabs>
        <w:spacing w:after="0" w:line="480" w:lineRule="auto"/>
        <w:ind w:left="720" w:hanging="720"/>
        <w:jc w:val="left"/>
        <w:rPr>
          <w:szCs w:val="24"/>
        </w:rPr>
      </w:pPr>
      <w:r w:rsidRPr="00384017">
        <w:rPr>
          <w:szCs w:val="24"/>
        </w:rPr>
        <w:tab/>
      </w:r>
      <w:r w:rsidR="00866390" w:rsidRPr="00384017">
        <w:rPr>
          <w:szCs w:val="24"/>
        </w:rPr>
        <w:tab/>
      </w:r>
      <w:r w:rsidR="009608E6" w:rsidRPr="00384017">
        <w:rPr>
          <w:szCs w:val="24"/>
        </w:rPr>
        <w:t>Furthermore, Pacifi</w:t>
      </w:r>
      <w:r w:rsidRPr="00384017">
        <w:rPr>
          <w:szCs w:val="24"/>
        </w:rPr>
        <w:t>c Power</w:t>
      </w:r>
      <w:r w:rsidR="009608E6" w:rsidRPr="00384017">
        <w:rPr>
          <w:szCs w:val="24"/>
        </w:rPr>
        <w:t xml:space="preserve"> faces </w:t>
      </w:r>
      <w:r w:rsidR="00866390" w:rsidRPr="00384017">
        <w:rPr>
          <w:szCs w:val="24"/>
        </w:rPr>
        <w:t xml:space="preserve">certain </w:t>
      </w:r>
      <w:r w:rsidR="009608E6" w:rsidRPr="00384017">
        <w:rPr>
          <w:szCs w:val="24"/>
        </w:rPr>
        <w:t>challenges in Washington</w:t>
      </w:r>
      <w:r w:rsidR="00866390" w:rsidRPr="00384017">
        <w:rPr>
          <w:szCs w:val="24"/>
        </w:rPr>
        <w:t xml:space="preserve"> following the decision in </w:t>
      </w:r>
      <w:r w:rsidR="00F04387" w:rsidRPr="00384017">
        <w:rPr>
          <w:szCs w:val="24"/>
        </w:rPr>
        <w:t xml:space="preserve">its </w:t>
      </w:r>
      <w:r w:rsidR="00A91F50" w:rsidRPr="00384017">
        <w:rPr>
          <w:szCs w:val="24"/>
        </w:rPr>
        <w:t>2013 Washington</w:t>
      </w:r>
      <w:r w:rsidR="00F04387" w:rsidRPr="00384017">
        <w:rPr>
          <w:szCs w:val="24"/>
        </w:rPr>
        <w:t xml:space="preserve"> rate case, </w:t>
      </w:r>
      <w:r w:rsidR="00866390" w:rsidRPr="00384017">
        <w:rPr>
          <w:szCs w:val="24"/>
        </w:rPr>
        <w:t>Docket UE</w:t>
      </w:r>
      <w:r w:rsidR="00F04387" w:rsidRPr="00384017">
        <w:rPr>
          <w:szCs w:val="24"/>
        </w:rPr>
        <w:t>-</w:t>
      </w:r>
      <w:r w:rsidR="00866390" w:rsidRPr="00384017">
        <w:rPr>
          <w:szCs w:val="24"/>
        </w:rPr>
        <w:t xml:space="preserve">130043.  Regulatory Research Associates, a division of SNL Energy, </w:t>
      </w:r>
      <w:r w:rsidRPr="00384017">
        <w:rPr>
          <w:szCs w:val="24"/>
        </w:rPr>
        <w:t>explains these</w:t>
      </w:r>
      <w:r w:rsidR="00866390" w:rsidRPr="00384017">
        <w:rPr>
          <w:szCs w:val="24"/>
        </w:rPr>
        <w:t xml:space="preserve"> challenges: </w:t>
      </w:r>
    </w:p>
    <w:p w:rsidR="00EB35AC" w:rsidRDefault="00866390" w:rsidP="00601484">
      <w:pPr>
        <w:pStyle w:val="QAAnswer"/>
        <w:tabs>
          <w:tab w:val="num" w:pos="720"/>
        </w:tabs>
        <w:spacing w:after="0" w:line="240" w:lineRule="auto"/>
        <w:ind w:left="1440" w:right="936" w:hanging="720"/>
        <w:jc w:val="left"/>
        <w:rPr>
          <w:szCs w:val="24"/>
        </w:rPr>
      </w:pPr>
      <w:r w:rsidRPr="00384017">
        <w:rPr>
          <w:szCs w:val="24"/>
        </w:rPr>
        <w:tab/>
        <w:t xml:space="preserve">This Washington Utilities and Transportation Commission (WUTC) decision for PacifiCorp is </w:t>
      </w:r>
      <w:r w:rsidRPr="00384017">
        <w:rPr>
          <w:szCs w:val="24"/>
          <w:u w:val="single"/>
        </w:rPr>
        <w:t>negative from an investor viewpoint</w:t>
      </w:r>
      <w:r w:rsidRPr="00384017">
        <w:rPr>
          <w:szCs w:val="24"/>
        </w:rPr>
        <w:t xml:space="preserve">. </w:t>
      </w:r>
      <w:r w:rsidR="00AD33B0">
        <w:rPr>
          <w:szCs w:val="24"/>
        </w:rPr>
        <w:t xml:space="preserve"> </w:t>
      </w:r>
      <w:r w:rsidRPr="00384017">
        <w:rPr>
          <w:szCs w:val="24"/>
        </w:rPr>
        <w:t xml:space="preserve">The rate increase approved by the WUTC is less than one half that supported by PacifiCorp at the end of the case. </w:t>
      </w:r>
      <w:r w:rsidR="00AD33B0">
        <w:rPr>
          <w:szCs w:val="24"/>
        </w:rPr>
        <w:t xml:space="preserve"> </w:t>
      </w:r>
      <w:r w:rsidRPr="00384017">
        <w:rPr>
          <w:szCs w:val="24"/>
          <w:u w:val="single"/>
        </w:rPr>
        <w:t>The authorized 9.5% return on equity (ROE) is significantly below the average of returns authorized electric utilities nationwide during 2013</w:t>
      </w:r>
      <w:r w:rsidRPr="00384017">
        <w:rPr>
          <w:szCs w:val="24"/>
        </w:rPr>
        <w:t xml:space="preserve">, but is consistent </w:t>
      </w:r>
      <w:r w:rsidRPr="00384017">
        <w:rPr>
          <w:szCs w:val="24"/>
        </w:rPr>
        <w:lastRenderedPageBreak/>
        <w:t xml:space="preserve">with historical WUTC practice. </w:t>
      </w:r>
      <w:r w:rsidR="00685D51">
        <w:rPr>
          <w:szCs w:val="24"/>
        </w:rPr>
        <w:t xml:space="preserve"> </w:t>
      </w:r>
      <w:r w:rsidRPr="00384017">
        <w:rPr>
          <w:szCs w:val="24"/>
        </w:rPr>
        <w:t xml:space="preserve">In addition, </w:t>
      </w:r>
      <w:r w:rsidRPr="00384017">
        <w:rPr>
          <w:szCs w:val="24"/>
          <w:u w:val="single"/>
        </w:rPr>
        <w:t>the Commission utilized a hypothetical capital structure that is more leveraged than that supported by the company</w:t>
      </w:r>
      <w:r w:rsidRPr="00384017">
        <w:rPr>
          <w:szCs w:val="24"/>
        </w:rPr>
        <w:t xml:space="preserve">, but the approved capital structure is consistent with that approved in the last rate case decision that specified a ratemaking capital structure for PacifiCorp. </w:t>
      </w:r>
      <w:r w:rsidR="00685D51">
        <w:rPr>
          <w:szCs w:val="24"/>
        </w:rPr>
        <w:t xml:space="preserve"> </w:t>
      </w:r>
      <w:r w:rsidRPr="00384017">
        <w:rPr>
          <w:szCs w:val="24"/>
        </w:rPr>
        <w:t xml:space="preserve">Also, the WUTC once again rejected PacifiCorp's request for a power cost adjustment mechanism (PCAM), finding that the company's proposed mechanism was not designed in accordance with prior Commission directives; </w:t>
      </w:r>
      <w:r w:rsidRPr="00384017">
        <w:rPr>
          <w:szCs w:val="24"/>
          <w:u w:val="single"/>
        </w:rPr>
        <w:t>PacifiCorp is the only electric utility in the U.S. to operate without a fuel adjustment mechanism</w:t>
      </w:r>
      <w:r w:rsidRPr="00384017">
        <w:rPr>
          <w:szCs w:val="24"/>
        </w:rPr>
        <w:t xml:space="preserve">. </w:t>
      </w:r>
      <w:r w:rsidR="00685D51">
        <w:rPr>
          <w:szCs w:val="24"/>
        </w:rPr>
        <w:t xml:space="preserve"> </w:t>
      </w:r>
      <w:r w:rsidRPr="00384017">
        <w:rPr>
          <w:szCs w:val="24"/>
        </w:rPr>
        <w:t xml:space="preserve">On a more favorable note, while the WUTC has historically relied on an average rate base valuation, in the instant case, the WUTC accorded PacifiCorp end-of-period rate base treatment. </w:t>
      </w:r>
      <w:r w:rsidR="00685D51">
        <w:rPr>
          <w:szCs w:val="24"/>
        </w:rPr>
        <w:t xml:space="preserve"> </w:t>
      </w:r>
      <w:r w:rsidRPr="00384017">
        <w:rPr>
          <w:szCs w:val="24"/>
        </w:rPr>
        <w:t>We raised our rating of Washington regulation in July 2013, to Average/2 from Average/3, following a series of constructive decisions issued for the state's other electric utilities, and we are maintaining our Average/2 rating at this time, despite the negative aspects of the instant decision.</w:t>
      </w:r>
      <w:r w:rsidR="00D5317B" w:rsidRPr="00384017">
        <w:rPr>
          <w:rStyle w:val="FootnoteReference"/>
          <w:szCs w:val="24"/>
        </w:rPr>
        <w:footnoteReference w:id="15"/>
      </w:r>
    </w:p>
    <w:p w:rsidR="00601484" w:rsidRPr="00601484" w:rsidRDefault="00601484" w:rsidP="00601484">
      <w:pPr>
        <w:pStyle w:val="QAQCont"/>
        <w:suppressLineNumbers/>
        <w:spacing w:line="240" w:lineRule="auto"/>
      </w:pPr>
    </w:p>
    <w:p w:rsidR="00866390" w:rsidRPr="00384017" w:rsidRDefault="00A809CA" w:rsidP="00384017">
      <w:pPr>
        <w:pStyle w:val="QAAnswer"/>
        <w:tabs>
          <w:tab w:val="num" w:pos="720"/>
        </w:tabs>
        <w:spacing w:after="0" w:line="480" w:lineRule="auto"/>
        <w:ind w:left="720" w:hanging="720"/>
        <w:jc w:val="left"/>
        <w:rPr>
          <w:szCs w:val="24"/>
        </w:rPr>
      </w:pPr>
      <w:r w:rsidRPr="00384017">
        <w:rPr>
          <w:szCs w:val="24"/>
        </w:rPr>
        <w:tab/>
      </w:r>
      <w:r w:rsidRPr="00384017">
        <w:rPr>
          <w:szCs w:val="24"/>
        </w:rPr>
        <w:tab/>
      </w:r>
      <w:r w:rsidR="00866390" w:rsidRPr="00384017">
        <w:rPr>
          <w:szCs w:val="24"/>
        </w:rPr>
        <w:t xml:space="preserve">On balance, </w:t>
      </w:r>
      <w:r w:rsidRPr="00384017">
        <w:rPr>
          <w:szCs w:val="24"/>
        </w:rPr>
        <w:t>Pacific Power, the division of PacifiCorp for which rates are being set in this proceeding,</w:t>
      </w:r>
      <w:r w:rsidR="00866390" w:rsidRPr="00384017">
        <w:rPr>
          <w:szCs w:val="24"/>
        </w:rPr>
        <w:t xml:space="preserve"> is of comparable risk relative to the proxy group and the industry generally.</w:t>
      </w:r>
    </w:p>
    <w:p w:rsidR="00EB35AC" w:rsidRPr="00384017" w:rsidRDefault="007F5EDF" w:rsidP="00685D51">
      <w:pPr>
        <w:pStyle w:val="Heading1"/>
        <w:spacing w:before="0" w:after="0" w:line="480" w:lineRule="auto"/>
        <w:ind w:left="0"/>
      </w:pPr>
      <w:bookmarkStart w:id="59" w:name="_Toc354998009"/>
      <w:bookmarkStart w:id="60" w:name="_Toc355788484"/>
      <w:bookmarkStart w:id="61" w:name="_Toc384626556"/>
      <w:bookmarkStart w:id="62" w:name="_Toc384626576"/>
      <w:bookmarkStart w:id="63" w:name="_Toc384626618"/>
      <w:bookmarkStart w:id="64" w:name="_Toc386637272"/>
      <w:bookmarkStart w:id="65" w:name="_Toc384626554"/>
      <w:bookmarkStart w:id="66" w:name="_Toc384626574"/>
      <w:bookmarkStart w:id="67" w:name="_Toc384626616"/>
      <w:bookmarkStart w:id="68" w:name="_Toc354998008"/>
      <w:bookmarkStart w:id="69" w:name="_Toc355788483"/>
      <w:r w:rsidRPr="00384017">
        <w:t>Comparison to Allowed Returns</w:t>
      </w:r>
      <w:bookmarkEnd w:id="59"/>
      <w:bookmarkEnd w:id="60"/>
      <w:bookmarkEnd w:id="61"/>
      <w:bookmarkEnd w:id="62"/>
      <w:bookmarkEnd w:id="63"/>
      <w:bookmarkEnd w:id="64"/>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0F3A5D" w:rsidRPr="00384017">
        <w:rPr>
          <w:b/>
          <w:szCs w:val="24"/>
        </w:rPr>
        <w:t>Previously</w:t>
      </w:r>
      <w:r w:rsidRPr="00384017">
        <w:rPr>
          <w:b/>
          <w:szCs w:val="24"/>
        </w:rPr>
        <w:t xml:space="preserve">, you showed figures for returns granted to public utilities in other jurisdictions.  Are such returns relevant to this </w:t>
      </w:r>
      <w:r w:rsidR="00A809CA" w:rsidRPr="00384017">
        <w:rPr>
          <w:b/>
          <w:szCs w:val="24"/>
        </w:rPr>
        <w:t>proceeding?</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Yes.  The returns allowed by other state regulators can influence investor expectations for investments in public utilities in the United States.  An examination of the average rate of return granted to investors in public utilities is therefore useful to provide context to my recommendation. </w:t>
      </w:r>
    </w:p>
    <w:p w:rsidR="00601484" w:rsidRPr="00601484" w:rsidRDefault="007F5EDF" w:rsidP="00601484">
      <w:pPr>
        <w:pStyle w:val="QAQuestion"/>
        <w:widowControl w:val="0"/>
        <w:tabs>
          <w:tab w:val="num" w:pos="720"/>
        </w:tabs>
        <w:spacing w:after="0" w:line="480" w:lineRule="auto"/>
        <w:ind w:left="720" w:hanging="720"/>
        <w:jc w:val="left"/>
        <w:rPr>
          <w:b/>
          <w:szCs w:val="24"/>
        </w:rPr>
      </w:pPr>
      <w:r w:rsidRPr="00384017">
        <w:rPr>
          <w:b/>
          <w:szCs w:val="24"/>
        </w:rPr>
        <w:t xml:space="preserve">Q. </w:t>
      </w:r>
      <w:r w:rsidRPr="00384017">
        <w:rPr>
          <w:b/>
          <w:szCs w:val="24"/>
        </w:rPr>
        <w:tab/>
        <w:t>What levels of returns have state regulators awarded to public utilities recently?</w:t>
      </w:r>
    </w:p>
    <w:p w:rsidR="00EB35AC" w:rsidRPr="00384017" w:rsidRDefault="007F5EDF" w:rsidP="00601484">
      <w:pPr>
        <w:pStyle w:val="QAQuestion"/>
        <w:widowControl w:val="0"/>
        <w:tabs>
          <w:tab w:val="num" w:pos="720"/>
        </w:tabs>
        <w:spacing w:after="0" w:line="480" w:lineRule="auto"/>
        <w:ind w:left="720" w:hanging="720"/>
        <w:jc w:val="left"/>
        <w:rPr>
          <w:szCs w:val="24"/>
        </w:rPr>
      </w:pPr>
      <w:r w:rsidRPr="00384017">
        <w:rPr>
          <w:szCs w:val="24"/>
        </w:rPr>
        <w:t>A.</w:t>
      </w:r>
      <w:r w:rsidRPr="00384017">
        <w:rPr>
          <w:szCs w:val="24"/>
        </w:rPr>
        <w:tab/>
        <w:t xml:space="preserve">As shown in Exhibit </w:t>
      </w:r>
      <w:r w:rsidR="000F3A5D" w:rsidRPr="00384017">
        <w:rPr>
          <w:szCs w:val="24"/>
        </w:rPr>
        <w:t>No.__</w:t>
      </w:r>
      <w:proofErr w:type="gramStart"/>
      <w:r w:rsidR="00BE462D" w:rsidRPr="00384017">
        <w:rPr>
          <w:szCs w:val="24"/>
        </w:rPr>
        <w:t>_</w:t>
      </w:r>
      <w:r w:rsidR="000F3A5D" w:rsidRPr="00384017">
        <w:rPr>
          <w:szCs w:val="24"/>
        </w:rPr>
        <w:t>(</w:t>
      </w:r>
      <w:proofErr w:type="gramEnd"/>
      <w:r w:rsidR="000F3A5D" w:rsidRPr="00384017">
        <w:rPr>
          <w:szCs w:val="24"/>
        </w:rPr>
        <w:t>K</w:t>
      </w:r>
      <w:r w:rsidR="00461578" w:rsidRPr="00384017">
        <w:rPr>
          <w:szCs w:val="24"/>
        </w:rPr>
        <w:t>G</w:t>
      </w:r>
      <w:r w:rsidR="000F3A5D" w:rsidRPr="00384017">
        <w:rPr>
          <w:szCs w:val="24"/>
        </w:rPr>
        <w:t>S-1</w:t>
      </w:r>
      <w:r w:rsidR="00461578" w:rsidRPr="00384017">
        <w:rPr>
          <w:szCs w:val="24"/>
        </w:rPr>
        <w:t>6</w:t>
      </w:r>
      <w:r w:rsidR="000F3A5D" w:rsidRPr="00384017">
        <w:rPr>
          <w:szCs w:val="24"/>
        </w:rPr>
        <w:t>)</w:t>
      </w:r>
      <w:r w:rsidRPr="00384017">
        <w:rPr>
          <w:szCs w:val="24"/>
        </w:rPr>
        <w:t xml:space="preserve">, </w:t>
      </w:r>
      <w:r w:rsidR="00A116F5" w:rsidRPr="00384017">
        <w:rPr>
          <w:szCs w:val="24"/>
        </w:rPr>
        <w:t>return on equity</w:t>
      </w:r>
      <w:r w:rsidRPr="00384017">
        <w:rPr>
          <w:szCs w:val="24"/>
        </w:rPr>
        <w:t xml:space="preserve"> awards in 2013 for electric </w:t>
      </w:r>
      <w:r w:rsidRPr="00384017">
        <w:rPr>
          <w:szCs w:val="24"/>
        </w:rPr>
        <w:lastRenderedPageBreak/>
        <w:t>utilities ranged from 8.72 to 12.40</w:t>
      </w:r>
      <w:r w:rsidR="00A116F5" w:rsidRPr="00384017">
        <w:rPr>
          <w:szCs w:val="24"/>
        </w:rPr>
        <w:t xml:space="preserve"> percent</w:t>
      </w:r>
      <w:r w:rsidR="00685D51">
        <w:rPr>
          <w:szCs w:val="24"/>
        </w:rPr>
        <w:t xml:space="preserve">, with the average </w:t>
      </w:r>
      <w:r w:rsidRPr="00384017">
        <w:rPr>
          <w:szCs w:val="24"/>
        </w:rPr>
        <w:t xml:space="preserve">being 10.02 percent.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Is your </w:t>
      </w:r>
      <w:r w:rsidR="00A116F5" w:rsidRPr="00384017">
        <w:rPr>
          <w:b/>
          <w:szCs w:val="24"/>
        </w:rPr>
        <w:t>return</w:t>
      </w:r>
      <w:r w:rsidR="000F3A5D" w:rsidRPr="00384017">
        <w:rPr>
          <w:b/>
          <w:szCs w:val="24"/>
        </w:rPr>
        <w:t xml:space="preserve"> </w:t>
      </w:r>
      <w:r w:rsidR="00A116F5" w:rsidRPr="00384017">
        <w:rPr>
          <w:b/>
          <w:szCs w:val="24"/>
        </w:rPr>
        <w:t>on</w:t>
      </w:r>
      <w:r w:rsidR="000F3A5D" w:rsidRPr="00384017">
        <w:rPr>
          <w:b/>
          <w:szCs w:val="24"/>
        </w:rPr>
        <w:t xml:space="preserve"> equity</w:t>
      </w:r>
      <w:r w:rsidRPr="00384017">
        <w:rPr>
          <w:b/>
          <w:szCs w:val="24"/>
        </w:rPr>
        <w:t xml:space="preserve"> recommendation of </w:t>
      </w:r>
      <w:r w:rsidR="000F3A5D" w:rsidRPr="00384017">
        <w:rPr>
          <w:b/>
          <w:szCs w:val="24"/>
        </w:rPr>
        <w:t>10</w:t>
      </w:r>
      <w:r w:rsidR="00BE462D" w:rsidRPr="00384017">
        <w:rPr>
          <w:b/>
          <w:szCs w:val="24"/>
        </w:rPr>
        <w:t>.0</w:t>
      </w:r>
      <w:r w:rsidR="000F3A5D" w:rsidRPr="00384017">
        <w:rPr>
          <w:b/>
          <w:szCs w:val="24"/>
        </w:rPr>
        <w:t xml:space="preserve"> percent </w:t>
      </w:r>
      <w:r w:rsidRPr="00384017">
        <w:rPr>
          <w:b/>
          <w:szCs w:val="24"/>
        </w:rPr>
        <w:t xml:space="preserve">consistent with the observed </w:t>
      </w:r>
      <w:r w:rsidR="00A116F5" w:rsidRPr="00384017">
        <w:rPr>
          <w:b/>
          <w:szCs w:val="24"/>
        </w:rPr>
        <w:t>return on equity</w:t>
      </w:r>
      <w:r w:rsidRPr="00384017">
        <w:rPr>
          <w:b/>
          <w:szCs w:val="24"/>
        </w:rPr>
        <w:t xml:space="preserve"> awards from other states?</w:t>
      </w:r>
    </w:p>
    <w:p w:rsidR="00EB35AC" w:rsidRPr="00384017" w:rsidRDefault="007F5EDF" w:rsidP="00384017">
      <w:pPr>
        <w:pStyle w:val="QAAnswer"/>
        <w:tabs>
          <w:tab w:val="num" w:pos="720"/>
        </w:tabs>
        <w:spacing w:after="0" w:line="480" w:lineRule="auto"/>
        <w:ind w:left="720" w:hanging="720"/>
        <w:jc w:val="left"/>
        <w:rPr>
          <w:szCs w:val="24"/>
        </w:rPr>
      </w:pPr>
      <w:r w:rsidRPr="00384017">
        <w:rPr>
          <w:szCs w:val="24"/>
        </w:rPr>
        <w:t xml:space="preserve">A. </w:t>
      </w:r>
      <w:r w:rsidRPr="00384017">
        <w:rPr>
          <w:szCs w:val="24"/>
        </w:rPr>
        <w:tab/>
        <w:t xml:space="preserve">Yes, it is.  The average </w:t>
      </w:r>
      <w:r w:rsidR="00A116F5" w:rsidRPr="00384017">
        <w:rPr>
          <w:szCs w:val="24"/>
        </w:rPr>
        <w:t>return on equity</w:t>
      </w:r>
      <w:r w:rsidRPr="00384017">
        <w:rPr>
          <w:szCs w:val="24"/>
        </w:rPr>
        <w:t xml:space="preserve"> award of 10.02 </w:t>
      </w:r>
      <w:r w:rsidR="00A116F5" w:rsidRPr="00384017">
        <w:rPr>
          <w:szCs w:val="24"/>
        </w:rPr>
        <w:t xml:space="preserve">percent </w:t>
      </w:r>
      <w:r w:rsidRPr="00384017">
        <w:rPr>
          <w:szCs w:val="24"/>
        </w:rPr>
        <w:t xml:space="preserve">for electric utilities </w:t>
      </w:r>
      <w:r w:rsidR="00A116F5" w:rsidRPr="00384017">
        <w:rPr>
          <w:szCs w:val="24"/>
        </w:rPr>
        <w:t>is derived from</w:t>
      </w:r>
      <w:r w:rsidRPr="00384017">
        <w:rPr>
          <w:szCs w:val="24"/>
        </w:rPr>
        <w:t xml:space="preserve"> a diverse group of utilities that reflect the risk of the industry.  The recommended ROE of </w:t>
      </w:r>
      <w:r w:rsidR="00A116F5" w:rsidRPr="00384017">
        <w:rPr>
          <w:szCs w:val="24"/>
        </w:rPr>
        <w:t>10.0 percent</w:t>
      </w:r>
      <w:r w:rsidRPr="00384017">
        <w:rPr>
          <w:szCs w:val="24"/>
        </w:rPr>
        <w:t xml:space="preserve"> is consistent with the specifics of the investment climate context faced by Pacific Power’s owners and falls reasonably within the range of </w:t>
      </w:r>
      <w:r w:rsidR="00A116F5" w:rsidRPr="00384017">
        <w:rPr>
          <w:szCs w:val="24"/>
        </w:rPr>
        <w:t>equity returns</w:t>
      </w:r>
      <w:r w:rsidRPr="00384017">
        <w:rPr>
          <w:szCs w:val="24"/>
        </w:rPr>
        <w:t xml:space="preserve"> awarded by other state regulators.  </w:t>
      </w:r>
    </w:p>
    <w:p w:rsidR="00EB35AC" w:rsidRPr="00384017" w:rsidRDefault="007F5EDF" w:rsidP="00685D51">
      <w:pPr>
        <w:pStyle w:val="Heading1"/>
        <w:spacing w:before="0" w:after="0" w:line="480" w:lineRule="auto"/>
        <w:ind w:left="0"/>
      </w:pPr>
      <w:bookmarkStart w:id="70" w:name="_Toc386637273"/>
      <w:r w:rsidRPr="00384017">
        <w:t>Hypothetical Capital Structure</w:t>
      </w:r>
      <w:bookmarkEnd w:id="65"/>
      <w:bookmarkEnd w:id="66"/>
      <w:bookmarkEnd w:id="67"/>
      <w:bookmarkEnd w:id="70"/>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 xml:space="preserve">If the Commission were to </w:t>
      </w:r>
      <w:r w:rsidR="00A116F5" w:rsidRPr="00384017">
        <w:rPr>
          <w:b/>
          <w:szCs w:val="24"/>
        </w:rPr>
        <w:t>adopt</w:t>
      </w:r>
      <w:r w:rsidRPr="00384017">
        <w:rPr>
          <w:b/>
          <w:szCs w:val="24"/>
        </w:rPr>
        <w:t xml:space="preserve"> a</w:t>
      </w:r>
      <w:r w:rsidR="00685D51">
        <w:rPr>
          <w:b/>
          <w:szCs w:val="24"/>
        </w:rPr>
        <w:t xml:space="preserve"> hypothetical capital structure in this case,</w:t>
      </w:r>
      <w:r w:rsidRPr="00384017">
        <w:rPr>
          <w:b/>
          <w:szCs w:val="24"/>
        </w:rPr>
        <w:t xml:space="preserve"> as it did in Pacific Power’s last </w:t>
      </w:r>
      <w:r w:rsidR="008A47E2" w:rsidRPr="00384017">
        <w:rPr>
          <w:b/>
          <w:szCs w:val="24"/>
        </w:rPr>
        <w:t xml:space="preserve">Washington </w:t>
      </w:r>
      <w:r w:rsidRPr="00384017">
        <w:rPr>
          <w:b/>
          <w:szCs w:val="24"/>
        </w:rPr>
        <w:t xml:space="preserve">rate case, what adjustments would be needed to your cost of equity estimate? </w:t>
      </w:r>
    </w:p>
    <w:p w:rsidR="00EB35AC" w:rsidRPr="00384017" w:rsidRDefault="007F5EDF" w:rsidP="0039223E">
      <w:pPr>
        <w:pStyle w:val="QAQCont"/>
        <w:widowControl w:val="0"/>
        <w:tabs>
          <w:tab w:val="num" w:pos="720"/>
        </w:tabs>
        <w:spacing w:after="0" w:line="480" w:lineRule="auto"/>
        <w:ind w:left="720" w:hanging="720"/>
        <w:jc w:val="left"/>
        <w:rPr>
          <w:szCs w:val="24"/>
        </w:rPr>
      </w:pPr>
      <w:r w:rsidRPr="00384017">
        <w:rPr>
          <w:szCs w:val="24"/>
        </w:rPr>
        <w:t xml:space="preserve">A. </w:t>
      </w:r>
      <w:r w:rsidRPr="00384017">
        <w:rPr>
          <w:szCs w:val="24"/>
        </w:rPr>
        <w:tab/>
        <w:t xml:space="preserve">My cost of equity estimate relies upon </w:t>
      </w:r>
      <w:r w:rsidR="004C0628" w:rsidRPr="00384017">
        <w:rPr>
          <w:szCs w:val="24"/>
        </w:rPr>
        <w:t>the Company</w:t>
      </w:r>
      <w:r w:rsidRPr="00384017">
        <w:rPr>
          <w:szCs w:val="24"/>
        </w:rPr>
        <w:t>’s actual capital structure.  Imputing a higher debt ratio (e.g., 51</w:t>
      </w:r>
      <w:r w:rsidR="008A47E2" w:rsidRPr="00384017">
        <w:rPr>
          <w:szCs w:val="24"/>
        </w:rPr>
        <w:t xml:space="preserve"> percent</w:t>
      </w:r>
      <w:r w:rsidRPr="00384017">
        <w:rPr>
          <w:szCs w:val="24"/>
        </w:rPr>
        <w:t>) would necessarily raise the cost of equity.  This is because, as I note previously, a higher debt ratio raises risk for equity investors, who are contingent claimants and only receive dividends after the utility services debt.  A higher debt ratio thus means a lower probability of meeting a given future dividend payment, all else equal.  As explain below, I estimate that the imputation of a higher debt ratio would raise the cost of equity by 2</w:t>
      </w:r>
      <w:r w:rsidR="00185133">
        <w:rPr>
          <w:szCs w:val="24"/>
        </w:rPr>
        <w:t>8</w:t>
      </w:r>
      <w:r w:rsidRPr="00384017">
        <w:rPr>
          <w:szCs w:val="24"/>
        </w:rPr>
        <w:t xml:space="preserve"> basis points. </w:t>
      </w:r>
    </w:p>
    <w:p w:rsidR="00EB35AC" w:rsidRPr="00384017" w:rsidRDefault="00C5005B" w:rsidP="00384017">
      <w:pPr>
        <w:pStyle w:val="QAQuestion"/>
        <w:tabs>
          <w:tab w:val="num" w:pos="720"/>
        </w:tabs>
        <w:spacing w:after="0" w:line="480" w:lineRule="auto"/>
        <w:ind w:left="720" w:hanging="720"/>
        <w:jc w:val="left"/>
        <w:rPr>
          <w:b/>
          <w:szCs w:val="24"/>
        </w:rPr>
      </w:pPr>
      <w:r>
        <w:rPr>
          <w:b/>
          <w:szCs w:val="24"/>
        </w:rPr>
        <w:t>Q.</w:t>
      </w:r>
      <w:r w:rsidR="007F5EDF" w:rsidRPr="00384017">
        <w:rPr>
          <w:b/>
          <w:szCs w:val="24"/>
        </w:rPr>
        <w:tab/>
        <w:t xml:space="preserve">Does Pacific Power have an incentive to align its actual capital structure to the level approved for ratemaking purposes? </w:t>
      </w:r>
    </w:p>
    <w:p w:rsidR="00EB35AC" w:rsidRPr="00384017" w:rsidRDefault="007F5EDF" w:rsidP="00384017">
      <w:pPr>
        <w:pStyle w:val="QAQCont"/>
        <w:tabs>
          <w:tab w:val="num" w:pos="720"/>
        </w:tabs>
        <w:spacing w:after="0" w:line="480" w:lineRule="auto"/>
        <w:ind w:left="720" w:hanging="720"/>
        <w:jc w:val="left"/>
        <w:rPr>
          <w:szCs w:val="24"/>
        </w:rPr>
      </w:pPr>
      <w:r w:rsidRPr="00384017">
        <w:rPr>
          <w:szCs w:val="24"/>
        </w:rPr>
        <w:t xml:space="preserve">A. </w:t>
      </w:r>
      <w:r w:rsidRPr="00384017">
        <w:rPr>
          <w:szCs w:val="24"/>
        </w:rPr>
        <w:tab/>
        <w:t xml:space="preserve">Yes.  Maintaining a higher equity ratio when the Company is only granted a compensatory return on a smaller, deemed amount of equity does not make sense </w:t>
      </w:r>
      <w:r w:rsidRPr="00384017">
        <w:rPr>
          <w:szCs w:val="24"/>
        </w:rPr>
        <w:lastRenderedPageBreak/>
        <w:t xml:space="preserve">financially.  </w:t>
      </w:r>
      <w:r w:rsidR="0084336F">
        <w:rPr>
          <w:szCs w:val="24"/>
        </w:rPr>
        <w:t>The</w:t>
      </w:r>
      <w:r w:rsidRPr="00384017">
        <w:rPr>
          <w:szCs w:val="24"/>
        </w:rPr>
        <w:t xml:space="preserve"> Company </w:t>
      </w:r>
      <w:r w:rsidR="0084336F">
        <w:rPr>
          <w:szCs w:val="24"/>
        </w:rPr>
        <w:t xml:space="preserve">therefore </w:t>
      </w:r>
      <w:r w:rsidRPr="00384017">
        <w:rPr>
          <w:szCs w:val="24"/>
        </w:rPr>
        <w:t>has an incentive to manage its capital structure over time in a way that does not leave the actual equity percentage above the level approved by the Commission.</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 xml:space="preserve">Have you quantified by how much a hypothetical capital structure would affect the cost of equity? </w:t>
      </w:r>
    </w:p>
    <w:p w:rsidR="00C5005B" w:rsidRPr="00384017" w:rsidRDefault="007F5EDF" w:rsidP="00601484">
      <w:pPr>
        <w:pStyle w:val="QAQCont"/>
        <w:tabs>
          <w:tab w:val="num" w:pos="720"/>
        </w:tabs>
        <w:spacing w:after="0" w:line="480" w:lineRule="auto"/>
        <w:ind w:left="720" w:hanging="720"/>
        <w:jc w:val="left"/>
        <w:rPr>
          <w:szCs w:val="24"/>
        </w:rPr>
      </w:pPr>
      <w:r w:rsidRPr="00384017">
        <w:rPr>
          <w:szCs w:val="24"/>
        </w:rPr>
        <w:t xml:space="preserve">A. </w:t>
      </w:r>
      <w:r w:rsidRPr="00384017">
        <w:rPr>
          <w:szCs w:val="24"/>
        </w:rPr>
        <w:tab/>
        <w:t xml:space="preserve">Yes, I have done so for the debt ratio currently allowed by the Commission, </w:t>
      </w:r>
      <w:r w:rsidRPr="00384017">
        <w:rPr>
          <w:i/>
          <w:szCs w:val="24"/>
        </w:rPr>
        <w:t>i.e</w:t>
      </w:r>
      <w:r w:rsidRPr="00384017">
        <w:rPr>
          <w:szCs w:val="24"/>
        </w:rPr>
        <w:t xml:space="preserve">., </w:t>
      </w:r>
      <w:r w:rsidR="00C5005B">
        <w:rPr>
          <w:szCs w:val="24"/>
        </w:rPr>
        <w:br/>
      </w:r>
      <w:r w:rsidRPr="00384017">
        <w:rPr>
          <w:szCs w:val="24"/>
        </w:rPr>
        <w:t>51</w:t>
      </w:r>
      <w:r w:rsidR="00C5005B">
        <w:rPr>
          <w:szCs w:val="24"/>
        </w:rPr>
        <w:t xml:space="preserve"> </w:t>
      </w:r>
      <w:r w:rsidR="008A47E2" w:rsidRPr="00384017">
        <w:rPr>
          <w:szCs w:val="24"/>
        </w:rPr>
        <w:t>percent</w:t>
      </w:r>
      <w:r w:rsidRPr="00384017">
        <w:rPr>
          <w:szCs w:val="24"/>
        </w:rPr>
        <w:t>, using the results of the CAPM model.  These show the beta of the proxy group to be 0.71 on average.  To assess the incremental risk associated with a 51</w:t>
      </w:r>
      <w:r w:rsidR="00685D51">
        <w:rPr>
          <w:szCs w:val="24"/>
        </w:rPr>
        <w:t> </w:t>
      </w:r>
      <w:r w:rsidR="008A47E2" w:rsidRPr="00384017">
        <w:rPr>
          <w:szCs w:val="24"/>
        </w:rPr>
        <w:t>percent</w:t>
      </w:r>
      <w:r w:rsidRPr="00384017">
        <w:rPr>
          <w:szCs w:val="24"/>
        </w:rPr>
        <w:t xml:space="preserve"> debt ratio (currently allowed by the Commission for Pacific Power)</w:t>
      </w:r>
      <w:proofErr w:type="gramStart"/>
      <w:r w:rsidRPr="00384017">
        <w:rPr>
          <w:szCs w:val="24"/>
        </w:rPr>
        <w:t>,</w:t>
      </w:r>
      <w:proofErr w:type="gramEnd"/>
      <w:r w:rsidRPr="00384017">
        <w:rPr>
          <w:szCs w:val="24"/>
        </w:rPr>
        <w:t xml:space="preserve"> I use the well-established technique of re-levering the beta to a different capital structure.</w:t>
      </w:r>
      <w:r w:rsidR="00840732" w:rsidRPr="00384017">
        <w:rPr>
          <w:rStyle w:val="FootnoteReference"/>
          <w:szCs w:val="24"/>
        </w:rPr>
        <w:footnoteReference w:id="16"/>
      </w:r>
      <w:r w:rsidRPr="00384017">
        <w:rPr>
          <w:szCs w:val="24"/>
        </w:rPr>
        <w:t xml:space="preserve">  I then multiply the difference in beta by the market cost of risk, which yields the basis point increase in cost of equity that investors require at the higher imputed debt ratio.  The market cost of risk is the premium required by equity investors relative to the risk-free rate, as shown in Exhibit </w:t>
      </w:r>
      <w:r w:rsidR="008A47E2" w:rsidRPr="00384017">
        <w:rPr>
          <w:szCs w:val="24"/>
        </w:rPr>
        <w:t>No.__</w:t>
      </w:r>
      <w:proofErr w:type="gramStart"/>
      <w:r w:rsidR="008A47E2" w:rsidRPr="00384017">
        <w:rPr>
          <w:szCs w:val="24"/>
        </w:rPr>
        <w:t>_(</w:t>
      </w:r>
      <w:proofErr w:type="gramEnd"/>
      <w:r w:rsidR="008A47E2" w:rsidRPr="00384017">
        <w:rPr>
          <w:szCs w:val="24"/>
        </w:rPr>
        <w:t>KGS-</w:t>
      </w:r>
      <w:r w:rsidR="00461578" w:rsidRPr="00384017">
        <w:rPr>
          <w:szCs w:val="24"/>
        </w:rPr>
        <w:t>12</w:t>
      </w:r>
      <w:r w:rsidR="008A47E2" w:rsidRPr="00384017">
        <w:rPr>
          <w:szCs w:val="24"/>
        </w:rPr>
        <w:t>)</w:t>
      </w:r>
      <w:r w:rsidRPr="00384017">
        <w:rPr>
          <w:szCs w:val="24"/>
        </w:rPr>
        <w:t>.</w:t>
      </w:r>
    </w:p>
    <w:p w:rsidR="00EB35AC" w:rsidRPr="00384017" w:rsidRDefault="00C5005B" w:rsidP="00C5005B">
      <w:pPr>
        <w:pStyle w:val="QAQCont"/>
        <w:tabs>
          <w:tab w:val="num" w:pos="720"/>
        </w:tabs>
        <w:spacing w:after="0" w:line="480" w:lineRule="auto"/>
        <w:ind w:left="720" w:hanging="720"/>
        <w:jc w:val="left"/>
        <w:rPr>
          <w:szCs w:val="24"/>
        </w:rPr>
      </w:pPr>
      <w:r>
        <w:rPr>
          <w:szCs w:val="24"/>
        </w:rPr>
        <w:tab/>
      </w:r>
      <w:r w:rsidR="007F5EDF" w:rsidRPr="00384017">
        <w:rPr>
          <w:szCs w:val="24"/>
        </w:rPr>
        <w:t xml:space="preserve">The table below summarizes these calculations.  </w:t>
      </w:r>
    </w:p>
    <w:tbl>
      <w:tblPr>
        <w:tblStyle w:val="TableGrid"/>
        <w:tblW w:w="3851" w:type="pct"/>
        <w:jc w:val="center"/>
        <w:tblInd w:w="2169" w:type="dxa"/>
        <w:tblLook w:val="04A0" w:firstRow="1" w:lastRow="0" w:firstColumn="1" w:lastColumn="0" w:noHBand="0" w:noVBand="1"/>
      </w:tblPr>
      <w:tblGrid>
        <w:gridCol w:w="1945"/>
        <w:gridCol w:w="3722"/>
        <w:gridCol w:w="1431"/>
      </w:tblGrid>
      <w:tr w:rsidR="00500F03" w:rsidRPr="00384017" w:rsidTr="00500F03">
        <w:trPr>
          <w:jc w:val="center"/>
        </w:trPr>
        <w:tc>
          <w:tcPr>
            <w:tcW w:w="1370" w:type="pct"/>
          </w:tcPr>
          <w:p w:rsidR="00500F03" w:rsidRPr="00384017" w:rsidRDefault="00500F03" w:rsidP="00384017">
            <w:pPr>
              <w:ind w:left="720" w:hanging="720"/>
              <w:jc w:val="left"/>
              <w:rPr>
                <w:rFonts w:eastAsiaTheme="majorEastAsia"/>
                <w:szCs w:val="24"/>
              </w:rPr>
            </w:pPr>
            <w:r w:rsidRPr="00384017">
              <w:rPr>
                <w:rFonts w:eastAsiaTheme="majorEastAsia"/>
                <w:szCs w:val="24"/>
              </w:rPr>
              <w:t>(a)</w:t>
            </w:r>
          </w:p>
        </w:tc>
        <w:tc>
          <w:tcPr>
            <w:tcW w:w="2622" w:type="pct"/>
          </w:tcPr>
          <w:p w:rsidR="00500F03" w:rsidRPr="00384017" w:rsidRDefault="00500F03" w:rsidP="00384017">
            <w:pPr>
              <w:ind w:left="720" w:hanging="720"/>
              <w:jc w:val="left"/>
              <w:rPr>
                <w:rFonts w:eastAsiaTheme="majorEastAsia"/>
                <w:szCs w:val="24"/>
              </w:rPr>
            </w:pPr>
            <w:r w:rsidRPr="00384017">
              <w:rPr>
                <w:rFonts w:eastAsiaTheme="majorEastAsia"/>
                <w:szCs w:val="24"/>
              </w:rPr>
              <w:t>Proxy Group Beta</w:t>
            </w:r>
          </w:p>
        </w:tc>
        <w:tc>
          <w:tcPr>
            <w:tcW w:w="1008" w:type="pct"/>
          </w:tcPr>
          <w:p w:rsidR="00500F03" w:rsidRPr="00384017" w:rsidRDefault="00500F03" w:rsidP="00384017">
            <w:pPr>
              <w:ind w:left="720" w:hanging="720"/>
              <w:jc w:val="left"/>
              <w:rPr>
                <w:rFonts w:eastAsiaTheme="majorEastAsia"/>
                <w:szCs w:val="24"/>
              </w:rPr>
            </w:pPr>
            <w:r w:rsidRPr="00384017">
              <w:rPr>
                <w:rFonts w:eastAsiaTheme="majorEastAsia"/>
                <w:szCs w:val="24"/>
              </w:rPr>
              <w:t>0.71</w:t>
            </w:r>
          </w:p>
        </w:tc>
      </w:tr>
      <w:tr w:rsidR="00500F03" w:rsidRPr="00384017" w:rsidTr="00500F03">
        <w:trPr>
          <w:jc w:val="center"/>
        </w:trPr>
        <w:tc>
          <w:tcPr>
            <w:tcW w:w="1370" w:type="pct"/>
          </w:tcPr>
          <w:p w:rsidR="00500F03" w:rsidRPr="00384017" w:rsidRDefault="00500F03" w:rsidP="00384017">
            <w:pPr>
              <w:ind w:left="720" w:hanging="720"/>
              <w:jc w:val="left"/>
              <w:rPr>
                <w:rFonts w:eastAsiaTheme="majorEastAsia"/>
                <w:szCs w:val="24"/>
              </w:rPr>
            </w:pPr>
            <w:r w:rsidRPr="00384017">
              <w:rPr>
                <w:rFonts w:eastAsiaTheme="majorEastAsia"/>
                <w:szCs w:val="24"/>
              </w:rPr>
              <w:t>(b)</w:t>
            </w:r>
          </w:p>
        </w:tc>
        <w:tc>
          <w:tcPr>
            <w:tcW w:w="2622" w:type="pct"/>
          </w:tcPr>
          <w:p w:rsidR="00500F03" w:rsidRPr="00384017" w:rsidRDefault="00500F03" w:rsidP="00384017">
            <w:pPr>
              <w:ind w:left="720" w:hanging="720"/>
              <w:jc w:val="left"/>
              <w:rPr>
                <w:rFonts w:eastAsiaTheme="majorEastAsia"/>
                <w:szCs w:val="24"/>
              </w:rPr>
            </w:pPr>
            <w:r w:rsidRPr="00384017">
              <w:rPr>
                <w:rFonts w:eastAsiaTheme="majorEastAsia"/>
                <w:szCs w:val="24"/>
              </w:rPr>
              <w:t>Corresponding Unlevered Beta</w:t>
            </w:r>
          </w:p>
        </w:tc>
        <w:tc>
          <w:tcPr>
            <w:tcW w:w="1008" w:type="pct"/>
          </w:tcPr>
          <w:p w:rsidR="00500F03" w:rsidRPr="00384017" w:rsidRDefault="00500F03" w:rsidP="00384017">
            <w:pPr>
              <w:ind w:left="720" w:hanging="720"/>
              <w:jc w:val="left"/>
              <w:rPr>
                <w:rFonts w:eastAsiaTheme="majorEastAsia"/>
                <w:szCs w:val="24"/>
              </w:rPr>
            </w:pPr>
            <w:r w:rsidRPr="00384017">
              <w:rPr>
                <w:rFonts w:eastAsiaTheme="majorEastAsia"/>
                <w:szCs w:val="24"/>
              </w:rPr>
              <w:t>0.49</w:t>
            </w:r>
          </w:p>
        </w:tc>
      </w:tr>
      <w:tr w:rsidR="00500F03" w:rsidRPr="00384017" w:rsidTr="00500F03">
        <w:trPr>
          <w:jc w:val="center"/>
        </w:trPr>
        <w:tc>
          <w:tcPr>
            <w:tcW w:w="1370" w:type="pct"/>
          </w:tcPr>
          <w:p w:rsidR="00500F03" w:rsidRPr="00384017" w:rsidRDefault="00500F03" w:rsidP="00384017">
            <w:pPr>
              <w:ind w:left="720" w:hanging="720"/>
              <w:jc w:val="left"/>
              <w:rPr>
                <w:rFonts w:eastAsiaTheme="majorEastAsia"/>
                <w:szCs w:val="24"/>
              </w:rPr>
            </w:pPr>
            <w:r w:rsidRPr="00384017">
              <w:rPr>
                <w:rFonts w:eastAsiaTheme="majorEastAsia"/>
                <w:szCs w:val="24"/>
              </w:rPr>
              <w:t>(c)</w:t>
            </w:r>
          </w:p>
        </w:tc>
        <w:tc>
          <w:tcPr>
            <w:tcW w:w="2622" w:type="pct"/>
          </w:tcPr>
          <w:p w:rsidR="00500F03" w:rsidRPr="00384017" w:rsidRDefault="00500F03" w:rsidP="00384017">
            <w:pPr>
              <w:ind w:left="720" w:hanging="720"/>
              <w:jc w:val="left"/>
              <w:rPr>
                <w:rFonts w:eastAsiaTheme="majorEastAsia"/>
                <w:szCs w:val="24"/>
              </w:rPr>
            </w:pPr>
            <w:r w:rsidRPr="00384017">
              <w:rPr>
                <w:rFonts w:eastAsiaTheme="majorEastAsia"/>
                <w:szCs w:val="24"/>
              </w:rPr>
              <w:t>Beta differential as between 51.73% and 49% Equity Ratios</w:t>
            </w:r>
          </w:p>
        </w:tc>
        <w:tc>
          <w:tcPr>
            <w:tcW w:w="1008" w:type="pct"/>
          </w:tcPr>
          <w:p w:rsidR="00500F03" w:rsidRPr="00384017" w:rsidRDefault="00500F03" w:rsidP="00384017">
            <w:pPr>
              <w:ind w:left="720" w:hanging="720"/>
              <w:jc w:val="left"/>
              <w:rPr>
                <w:rFonts w:eastAsiaTheme="majorEastAsia"/>
                <w:szCs w:val="24"/>
              </w:rPr>
            </w:pPr>
            <w:r w:rsidRPr="00384017">
              <w:rPr>
                <w:rFonts w:eastAsiaTheme="majorEastAsia"/>
                <w:szCs w:val="24"/>
              </w:rPr>
              <w:t>0.03</w:t>
            </w:r>
          </w:p>
        </w:tc>
      </w:tr>
      <w:tr w:rsidR="00500F03" w:rsidRPr="00384017" w:rsidTr="00500F03">
        <w:trPr>
          <w:jc w:val="center"/>
        </w:trPr>
        <w:tc>
          <w:tcPr>
            <w:tcW w:w="1370" w:type="pct"/>
          </w:tcPr>
          <w:p w:rsidR="00500F03" w:rsidRPr="00384017" w:rsidRDefault="00500F03" w:rsidP="00384017">
            <w:pPr>
              <w:ind w:left="720" w:hanging="720"/>
              <w:jc w:val="left"/>
              <w:rPr>
                <w:rFonts w:eastAsiaTheme="majorEastAsia"/>
                <w:szCs w:val="24"/>
              </w:rPr>
            </w:pPr>
            <w:r w:rsidRPr="00384017">
              <w:rPr>
                <w:rFonts w:eastAsiaTheme="majorEastAsia"/>
                <w:szCs w:val="24"/>
              </w:rPr>
              <w:t>(d)</w:t>
            </w:r>
          </w:p>
        </w:tc>
        <w:tc>
          <w:tcPr>
            <w:tcW w:w="2622" w:type="pct"/>
          </w:tcPr>
          <w:p w:rsidR="00500F03" w:rsidRPr="00384017" w:rsidRDefault="00500F03" w:rsidP="00384017">
            <w:pPr>
              <w:ind w:left="720" w:hanging="720"/>
              <w:jc w:val="left"/>
              <w:rPr>
                <w:rFonts w:eastAsiaTheme="majorEastAsia"/>
                <w:szCs w:val="24"/>
              </w:rPr>
            </w:pPr>
            <w:r w:rsidRPr="00384017">
              <w:rPr>
                <w:rFonts w:eastAsiaTheme="majorEastAsia"/>
                <w:szCs w:val="24"/>
              </w:rPr>
              <w:t>Market Cost of Risk</w:t>
            </w:r>
          </w:p>
        </w:tc>
        <w:tc>
          <w:tcPr>
            <w:tcW w:w="1008" w:type="pct"/>
          </w:tcPr>
          <w:p w:rsidR="00500F03" w:rsidRPr="00384017" w:rsidRDefault="00500F03" w:rsidP="00384017">
            <w:pPr>
              <w:ind w:left="720" w:hanging="720"/>
              <w:jc w:val="left"/>
              <w:rPr>
                <w:rFonts w:eastAsiaTheme="majorEastAsia"/>
                <w:szCs w:val="24"/>
              </w:rPr>
            </w:pPr>
            <w:r w:rsidRPr="00384017">
              <w:rPr>
                <w:rFonts w:eastAsiaTheme="majorEastAsia"/>
                <w:szCs w:val="24"/>
              </w:rPr>
              <w:t>8.36%</w:t>
            </w:r>
          </w:p>
        </w:tc>
      </w:tr>
      <w:tr w:rsidR="00500F03" w:rsidRPr="00384017" w:rsidTr="00500F03">
        <w:trPr>
          <w:jc w:val="center"/>
        </w:trPr>
        <w:tc>
          <w:tcPr>
            <w:tcW w:w="1370" w:type="pct"/>
          </w:tcPr>
          <w:p w:rsidR="00500F03" w:rsidRPr="00384017" w:rsidRDefault="00500F03" w:rsidP="00384017">
            <w:pPr>
              <w:ind w:left="720" w:hanging="720"/>
              <w:jc w:val="left"/>
              <w:rPr>
                <w:rFonts w:eastAsiaTheme="majorEastAsia"/>
                <w:szCs w:val="24"/>
              </w:rPr>
            </w:pPr>
            <w:r w:rsidRPr="00384017">
              <w:rPr>
                <w:rFonts w:eastAsiaTheme="majorEastAsia"/>
                <w:szCs w:val="24"/>
              </w:rPr>
              <w:t>(e) = (c) *(d)</w:t>
            </w:r>
          </w:p>
        </w:tc>
        <w:tc>
          <w:tcPr>
            <w:tcW w:w="2622" w:type="pct"/>
          </w:tcPr>
          <w:p w:rsidR="00500F03" w:rsidRPr="00384017" w:rsidRDefault="00500F03" w:rsidP="00384017">
            <w:pPr>
              <w:ind w:left="720" w:hanging="720"/>
              <w:jc w:val="left"/>
              <w:rPr>
                <w:rFonts w:eastAsiaTheme="majorEastAsia"/>
                <w:szCs w:val="24"/>
              </w:rPr>
            </w:pPr>
            <w:r w:rsidRPr="00384017">
              <w:rPr>
                <w:rFonts w:eastAsiaTheme="majorEastAsia"/>
                <w:szCs w:val="24"/>
              </w:rPr>
              <w:t>Incremental Cost of Hypothetical Debt Ratio</w:t>
            </w:r>
          </w:p>
        </w:tc>
        <w:tc>
          <w:tcPr>
            <w:tcW w:w="1008" w:type="pct"/>
          </w:tcPr>
          <w:p w:rsidR="00500F03" w:rsidRPr="00384017" w:rsidRDefault="00500F03" w:rsidP="00185133">
            <w:pPr>
              <w:ind w:left="720" w:hanging="720"/>
              <w:jc w:val="left"/>
              <w:rPr>
                <w:rFonts w:eastAsiaTheme="majorEastAsia"/>
                <w:szCs w:val="24"/>
              </w:rPr>
            </w:pPr>
            <w:r w:rsidRPr="00384017">
              <w:rPr>
                <w:rFonts w:eastAsiaTheme="majorEastAsia"/>
                <w:szCs w:val="24"/>
              </w:rPr>
              <w:t>0.2</w:t>
            </w:r>
            <w:r w:rsidR="00185133">
              <w:rPr>
                <w:rFonts w:eastAsiaTheme="majorEastAsia"/>
                <w:szCs w:val="24"/>
              </w:rPr>
              <w:t>8</w:t>
            </w:r>
            <w:r w:rsidRPr="00384017">
              <w:rPr>
                <w:rFonts w:eastAsiaTheme="majorEastAsia"/>
                <w:szCs w:val="24"/>
              </w:rPr>
              <w:t>%</w:t>
            </w:r>
          </w:p>
        </w:tc>
      </w:tr>
    </w:tbl>
    <w:p w:rsidR="00EB35AC" w:rsidRPr="00384017" w:rsidRDefault="007F5EDF" w:rsidP="004A283E">
      <w:pPr>
        <w:pStyle w:val="QAQuestion"/>
        <w:tabs>
          <w:tab w:val="num" w:pos="720"/>
        </w:tabs>
        <w:spacing w:before="240" w:after="0" w:line="480" w:lineRule="auto"/>
        <w:ind w:left="720" w:hanging="720"/>
        <w:jc w:val="left"/>
        <w:rPr>
          <w:b/>
          <w:szCs w:val="24"/>
        </w:rPr>
      </w:pPr>
      <w:r w:rsidRPr="00384017">
        <w:rPr>
          <w:b/>
          <w:szCs w:val="24"/>
        </w:rPr>
        <w:t xml:space="preserve">Q. </w:t>
      </w:r>
      <w:r w:rsidRPr="00384017">
        <w:rPr>
          <w:b/>
          <w:szCs w:val="24"/>
        </w:rPr>
        <w:tab/>
        <w:t xml:space="preserve">Does a higher debt ratio affect the cost of debt?  </w:t>
      </w:r>
    </w:p>
    <w:p w:rsidR="00EB35AC" w:rsidRPr="00384017" w:rsidRDefault="007F5EDF" w:rsidP="00384017">
      <w:pPr>
        <w:pStyle w:val="QAQCont"/>
        <w:tabs>
          <w:tab w:val="num" w:pos="720"/>
        </w:tabs>
        <w:spacing w:after="0" w:line="480" w:lineRule="auto"/>
        <w:ind w:left="720" w:hanging="720"/>
        <w:jc w:val="left"/>
        <w:rPr>
          <w:szCs w:val="24"/>
        </w:rPr>
      </w:pPr>
      <w:r w:rsidRPr="00384017">
        <w:rPr>
          <w:szCs w:val="24"/>
        </w:rPr>
        <w:t xml:space="preserve">A. </w:t>
      </w:r>
      <w:r w:rsidRPr="00384017">
        <w:rPr>
          <w:szCs w:val="24"/>
        </w:rPr>
        <w:tab/>
        <w:t xml:space="preserve">Yes, it does.  Generally speaking, higher debt ratios correspond to lower credit ratings.  Lower credit ratings in turn lead to higher costs of debt.  Even within a given </w:t>
      </w:r>
      <w:r w:rsidRPr="00384017">
        <w:rPr>
          <w:szCs w:val="24"/>
        </w:rPr>
        <w:lastRenderedPageBreak/>
        <w:t>ratings bracket, a higher debt ratio can cause a given company to face a higher cost of debt relative to other similarly-situated companies with the same credit rating.</w:t>
      </w:r>
    </w:p>
    <w:p w:rsidR="00EB35AC" w:rsidRPr="00384017" w:rsidRDefault="00C5005B" w:rsidP="00040551">
      <w:pPr>
        <w:pStyle w:val="QAQuestion"/>
        <w:keepNext/>
        <w:widowControl w:val="0"/>
        <w:tabs>
          <w:tab w:val="num" w:pos="720"/>
        </w:tabs>
        <w:spacing w:after="0" w:line="480" w:lineRule="auto"/>
        <w:ind w:left="720" w:hanging="720"/>
        <w:jc w:val="left"/>
        <w:rPr>
          <w:b/>
          <w:szCs w:val="24"/>
        </w:rPr>
      </w:pPr>
      <w:r>
        <w:rPr>
          <w:b/>
          <w:szCs w:val="24"/>
        </w:rPr>
        <w:t>Q.</w:t>
      </w:r>
      <w:r w:rsidR="007F5EDF" w:rsidRPr="00384017">
        <w:rPr>
          <w:b/>
          <w:szCs w:val="24"/>
        </w:rPr>
        <w:tab/>
        <w:t xml:space="preserve">Is there any evidence </w:t>
      </w:r>
      <w:r w:rsidR="00685D51">
        <w:rPr>
          <w:b/>
          <w:szCs w:val="24"/>
        </w:rPr>
        <w:t>showing that</w:t>
      </w:r>
      <w:r w:rsidR="007F5EDF" w:rsidRPr="00384017">
        <w:rPr>
          <w:b/>
          <w:szCs w:val="24"/>
        </w:rPr>
        <w:t xml:space="preserve"> adopting the hypothetical debt ratio currently approved by the Commission could trigger a ratings downgrade?  </w:t>
      </w:r>
    </w:p>
    <w:p w:rsidR="00EB35AC" w:rsidRPr="00384017" w:rsidRDefault="00C5005B" w:rsidP="00040551">
      <w:pPr>
        <w:pStyle w:val="QAQCont"/>
        <w:keepNext/>
        <w:widowControl w:val="0"/>
        <w:tabs>
          <w:tab w:val="num" w:pos="720"/>
        </w:tabs>
        <w:spacing w:after="0" w:line="480" w:lineRule="auto"/>
        <w:ind w:left="720" w:hanging="720"/>
        <w:jc w:val="left"/>
        <w:rPr>
          <w:szCs w:val="24"/>
        </w:rPr>
      </w:pPr>
      <w:r>
        <w:rPr>
          <w:szCs w:val="24"/>
        </w:rPr>
        <w:t>A.</w:t>
      </w:r>
      <w:r w:rsidR="007F5EDF" w:rsidRPr="00384017">
        <w:rPr>
          <w:szCs w:val="24"/>
        </w:rPr>
        <w:tab/>
        <w:t xml:space="preserve">Yes.  Although rating agencies consider many factors when rating a company, published rating guidelines suggest that an increase in debt to more than 50 percent of the capital structure could trigger a downgrade for </w:t>
      </w:r>
      <w:r w:rsidR="00BD59E0" w:rsidRPr="00384017">
        <w:rPr>
          <w:szCs w:val="24"/>
        </w:rPr>
        <w:t>the Company</w:t>
      </w:r>
      <w:r w:rsidR="007F5EDF" w:rsidRPr="00384017">
        <w:rPr>
          <w:szCs w:val="24"/>
        </w:rPr>
        <w:t xml:space="preserve">. </w:t>
      </w:r>
    </w:p>
    <w:p w:rsidR="00EB35AC" w:rsidRPr="00384017" w:rsidRDefault="00C5005B" w:rsidP="00384017">
      <w:pPr>
        <w:pStyle w:val="QAQuestion"/>
        <w:tabs>
          <w:tab w:val="num" w:pos="720"/>
        </w:tabs>
        <w:spacing w:after="0" w:line="480" w:lineRule="auto"/>
        <w:ind w:left="720" w:hanging="720"/>
        <w:jc w:val="left"/>
        <w:rPr>
          <w:b/>
          <w:szCs w:val="24"/>
        </w:rPr>
      </w:pPr>
      <w:r>
        <w:rPr>
          <w:b/>
          <w:szCs w:val="24"/>
        </w:rPr>
        <w:t>Q.</w:t>
      </w:r>
      <w:r w:rsidR="007F5EDF" w:rsidRPr="00384017">
        <w:rPr>
          <w:b/>
          <w:szCs w:val="24"/>
        </w:rPr>
        <w:tab/>
        <w:t>Please explain.</w:t>
      </w:r>
    </w:p>
    <w:p w:rsidR="00EB35AC" w:rsidRPr="00384017" w:rsidRDefault="00C5005B" w:rsidP="00384017">
      <w:pPr>
        <w:pStyle w:val="QAQCont"/>
        <w:tabs>
          <w:tab w:val="num" w:pos="720"/>
        </w:tabs>
        <w:spacing w:after="0" w:line="480" w:lineRule="auto"/>
        <w:ind w:left="720" w:hanging="720"/>
        <w:jc w:val="left"/>
        <w:rPr>
          <w:szCs w:val="24"/>
        </w:rPr>
      </w:pPr>
      <w:r>
        <w:rPr>
          <w:szCs w:val="24"/>
        </w:rPr>
        <w:t>A.</w:t>
      </w:r>
      <w:r w:rsidR="007F5EDF" w:rsidRPr="00384017">
        <w:rPr>
          <w:szCs w:val="24"/>
        </w:rPr>
        <w:tab/>
        <w:t>Debt-to-capital ratio is a key metric considered by ratings agencies in assessing the financial risk of a given firm.  S</w:t>
      </w:r>
      <w:r w:rsidR="00BD59E0" w:rsidRPr="00384017">
        <w:rPr>
          <w:szCs w:val="24"/>
        </w:rPr>
        <w:t>&amp;P</w:t>
      </w:r>
      <w:r w:rsidR="007F5EDF" w:rsidRPr="00384017">
        <w:rPr>
          <w:szCs w:val="24"/>
        </w:rPr>
        <w:t>, for its part, has outlined ranges of debt-to-capital ratios for which it characterizes various degrees of financial risk.  For example, it considers firms with 45 to 50 percent debt in the capital structure to carry “Significant” financial risk, while firms with 50 to 60 percent debt have “Aggressive” levels of financial risk.</w:t>
      </w:r>
      <w:r w:rsidR="007F5EDF" w:rsidRPr="00384017">
        <w:rPr>
          <w:rStyle w:val="FootnoteReference"/>
          <w:szCs w:val="24"/>
        </w:rPr>
        <w:footnoteReference w:id="17"/>
      </w:r>
      <w:r w:rsidR="007F5EDF" w:rsidRPr="00384017">
        <w:rPr>
          <w:szCs w:val="24"/>
        </w:rPr>
        <w:t xml:space="preserve">  Hence, if </w:t>
      </w:r>
      <w:r w:rsidR="00BD59E0" w:rsidRPr="00384017">
        <w:rPr>
          <w:szCs w:val="24"/>
        </w:rPr>
        <w:t>the Company</w:t>
      </w:r>
      <w:r w:rsidR="007F5EDF" w:rsidRPr="00384017">
        <w:rPr>
          <w:szCs w:val="24"/>
        </w:rPr>
        <w:t xml:space="preserve"> were to increase its debt levels to </w:t>
      </w:r>
      <w:r>
        <w:rPr>
          <w:szCs w:val="24"/>
        </w:rPr>
        <w:br/>
      </w:r>
      <w:r w:rsidR="007F5EDF" w:rsidRPr="00384017">
        <w:rPr>
          <w:szCs w:val="24"/>
        </w:rPr>
        <w:t>51</w:t>
      </w:r>
      <w:r w:rsidR="00BD59E0" w:rsidRPr="00384017">
        <w:rPr>
          <w:szCs w:val="24"/>
        </w:rPr>
        <w:t xml:space="preserve"> percent</w:t>
      </w:r>
      <w:r w:rsidR="007F5EDF" w:rsidRPr="00384017">
        <w:rPr>
          <w:szCs w:val="24"/>
        </w:rPr>
        <w:t xml:space="preserve">, consistent with the approved capital structure, it would pass from the “Significant” financial risk bracket to the “Aggressive” one.  </w:t>
      </w:r>
    </w:p>
    <w:p w:rsidR="007346DC" w:rsidRPr="00384017" w:rsidRDefault="007F5EDF" w:rsidP="00384017">
      <w:pPr>
        <w:pStyle w:val="QAQCont"/>
        <w:tabs>
          <w:tab w:val="num" w:pos="720"/>
        </w:tabs>
        <w:spacing w:after="0" w:line="480" w:lineRule="auto"/>
        <w:ind w:left="720" w:hanging="720"/>
        <w:jc w:val="left"/>
        <w:rPr>
          <w:szCs w:val="24"/>
        </w:rPr>
      </w:pPr>
      <w:r w:rsidRPr="00384017">
        <w:rPr>
          <w:szCs w:val="24"/>
        </w:rPr>
        <w:tab/>
      </w:r>
      <w:r w:rsidRPr="00384017">
        <w:rPr>
          <w:szCs w:val="24"/>
        </w:rPr>
        <w:tab/>
        <w:t>When assigning issuer ratings, S</w:t>
      </w:r>
      <w:r w:rsidR="00BD59E0" w:rsidRPr="00384017">
        <w:rPr>
          <w:szCs w:val="24"/>
        </w:rPr>
        <w:t>&amp;P</w:t>
      </w:r>
      <w:r w:rsidRPr="00384017">
        <w:rPr>
          <w:szCs w:val="24"/>
        </w:rPr>
        <w:t xml:space="preserve"> considers this financial risk ranking together with its assessment of the Company’s business risk.  The figure below presents a matrix that S</w:t>
      </w:r>
      <w:r w:rsidR="00BD59E0" w:rsidRPr="00384017">
        <w:rPr>
          <w:szCs w:val="24"/>
        </w:rPr>
        <w:t>&amp;P</w:t>
      </w:r>
      <w:r w:rsidRPr="00384017">
        <w:rPr>
          <w:szCs w:val="24"/>
        </w:rPr>
        <w:t xml:space="preserve"> uses to guide its assignment of issuer ratings based on the business and financial risk rankings attributed to a given firm. </w:t>
      </w:r>
    </w:p>
    <w:p w:rsidR="00EB35AC" w:rsidRPr="00384017" w:rsidRDefault="007F5EDF" w:rsidP="0039223E">
      <w:pPr>
        <w:pStyle w:val="QAQCont"/>
        <w:keepNext/>
        <w:suppressLineNumbers/>
        <w:tabs>
          <w:tab w:val="num" w:pos="720"/>
        </w:tabs>
        <w:spacing w:after="0" w:line="240" w:lineRule="auto"/>
        <w:ind w:left="720" w:hanging="720"/>
        <w:jc w:val="center"/>
        <w:rPr>
          <w:szCs w:val="24"/>
        </w:rPr>
      </w:pPr>
      <w:r w:rsidRPr="00384017">
        <w:rPr>
          <w:b/>
          <w:szCs w:val="24"/>
        </w:rPr>
        <w:lastRenderedPageBreak/>
        <w:t>Figure 2</w:t>
      </w:r>
      <w:r w:rsidRPr="00384017">
        <w:rPr>
          <w:b/>
          <w:szCs w:val="24"/>
        </w:rPr>
        <w:br/>
        <w:t>Standard and Poor’s Business and Financial Risk Matrix</w:t>
      </w:r>
      <w:r w:rsidRPr="00384017">
        <w:rPr>
          <w:rStyle w:val="FootnoteReference"/>
          <w:b/>
          <w:szCs w:val="24"/>
        </w:rPr>
        <w:footnoteReference w:id="18"/>
      </w:r>
    </w:p>
    <w:p w:rsidR="00EB35AC" w:rsidRPr="00384017" w:rsidRDefault="007F5EDF" w:rsidP="0039223E">
      <w:pPr>
        <w:pStyle w:val="QAQCont"/>
        <w:suppressLineNumbers/>
        <w:tabs>
          <w:tab w:val="num" w:pos="720"/>
        </w:tabs>
        <w:spacing w:after="0" w:line="480" w:lineRule="auto"/>
        <w:ind w:left="720" w:hanging="720"/>
        <w:jc w:val="left"/>
        <w:rPr>
          <w:szCs w:val="24"/>
        </w:rPr>
      </w:pPr>
      <w:r w:rsidRPr="00384017">
        <w:rPr>
          <w:noProof/>
          <w:szCs w:val="24"/>
        </w:rPr>
        <w:drawing>
          <wp:inline distT="0" distB="0" distL="0" distR="0" wp14:anchorId="7EBEFF3E" wp14:editId="0052D6A7">
            <wp:extent cx="5661965" cy="1912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1965" cy="1912174"/>
                    </a:xfrm>
                    <a:prstGeom prst="rect">
                      <a:avLst/>
                    </a:prstGeom>
                    <a:noFill/>
                    <a:ln>
                      <a:noFill/>
                    </a:ln>
                  </pic:spPr>
                </pic:pic>
              </a:graphicData>
            </a:graphic>
          </wp:inline>
        </w:drawing>
      </w:r>
    </w:p>
    <w:p w:rsidR="00EB35AC" w:rsidRPr="00384017" w:rsidRDefault="007F5EDF" w:rsidP="00384017">
      <w:pPr>
        <w:pStyle w:val="QAQCont"/>
        <w:tabs>
          <w:tab w:val="num" w:pos="720"/>
        </w:tabs>
        <w:spacing w:after="0" w:line="480" w:lineRule="auto"/>
        <w:ind w:left="720" w:hanging="720"/>
        <w:jc w:val="left"/>
        <w:rPr>
          <w:szCs w:val="24"/>
        </w:rPr>
      </w:pPr>
      <w:r w:rsidRPr="00384017">
        <w:rPr>
          <w:szCs w:val="24"/>
        </w:rPr>
        <w:tab/>
        <w:t xml:space="preserve">This matrix indicates that a higher debt ratio would move </w:t>
      </w:r>
      <w:r w:rsidR="00BD59E0" w:rsidRPr="00384017">
        <w:rPr>
          <w:szCs w:val="24"/>
        </w:rPr>
        <w:t>the Company</w:t>
      </w:r>
      <w:r w:rsidRPr="00384017">
        <w:rPr>
          <w:szCs w:val="24"/>
        </w:rPr>
        <w:t xml:space="preserve"> to a BBB ratings profile from the A- ratings profile that it currently has.</w:t>
      </w:r>
    </w:p>
    <w:p w:rsidR="00EB35AC" w:rsidRPr="00384017" w:rsidRDefault="00C5005B" w:rsidP="00384017">
      <w:pPr>
        <w:pStyle w:val="QAQuestion"/>
        <w:tabs>
          <w:tab w:val="num" w:pos="720"/>
        </w:tabs>
        <w:spacing w:after="0" w:line="480" w:lineRule="auto"/>
        <w:ind w:left="720" w:hanging="720"/>
        <w:jc w:val="left"/>
        <w:rPr>
          <w:b/>
          <w:szCs w:val="24"/>
        </w:rPr>
      </w:pPr>
      <w:r>
        <w:rPr>
          <w:b/>
          <w:szCs w:val="24"/>
        </w:rPr>
        <w:t>Q.</w:t>
      </w:r>
      <w:r w:rsidR="007F5EDF" w:rsidRPr="00384017">
        <w:rPr>
          <w:b/>
          <w:szCs w:val="24"/>
        </w:rPr>
        <w:tab/>
        <w:t xml:space="preserve">With a BBB rating, by how much would </w:t>
      </w:r>
      <w:r w:rsidR="00BD59E0" w:rsidRPr="00384017">
        <w:rPr>
          <w:b/>
          <w:szCs w:val="24"/>
        </w:rPr>
        <w:t>the Company’s</w:t>
      </w:r>
      <w:r w:rsidR="007F5EDF" w:rsidRPr="00384017">
        <w:rPr>
          <w:b/>
          <w:szCs w:val="24"/>
        </w:rPr>
        <w:t xml:space="preserve"> cost of debt increase?</w:t>
      </w:r>
    </w:p>
    <w:p w:rsidR="00362AFA" w:rsidRPr="00384017" w:rsidRDefault="00C5005B" w:rsidP="00384017">
      <w:pPr>
        <w:pStyle w:val="QAQCont"/>
        <w:tabs>
          <w:tab w:val="num" w:pos="720"/>
        </w:tabs>
        <w:spacing w:after="0" w:line="480" w:lineRule="auto"/>
        <w:ind w:left="720" w:hanging="720"/>
        <w:jc w:val="left"/>
        <w:rPr>
          <w:szCs w:val="24"/>
        </w:rPr>
      </w:pPr>
      <w:r>
        <w:rPr>
          <w:szCs w:val="24"/>
        </w:rPr>
        <w:t>A.</w:t>
      </w:r>
      <w:r w:rsidR="007F5EDF" w:rsidRPr="00384017">
        <w:rPr>
          <w:szCs w:val="24"/>
        </w:rPr>
        <w:tab/>
        <w:t xml:space="preserve">While the precise increase is difficult to predict on an </w:t>
      </w:r>
      <w:r w:rsidR="007F5EDF" w:rsidRPr="00384017">
        <w:rPr>
          <w:i/>
          <w:szCs w:val="24"/>
        </w:rPr>
        <w:t>ex ante</w:t>
      </w:r>
      <w:r w:rsidR="007F5EDF" w:rsidRPr="00384017">
        <w:rPr>
          <w:szCs w:val="24"/>
        </w:rPr>
        <w:t xml:space="preserve"> basis, an examination of historic</w:t>
      </w:r>
      <w:r w:rsidR="0084336F">
        <w:rPr>
          <w:szCs w:val="24"/>
        </w:rPr>
        <w:t>al</w:t>
      </w:r>
      <w:r w:rsidR="007F5EDF" w:rsidRPr="00384017">
        <w:rPr>
          <w:szCs w:val="24"/>
        </w:rPr>
        <w:t xml:space="preserve"> yields for BBB- and A-rated utilities provides an indication of the likely order of magnitude difference.  Of course, much depends on the capital market conditions prevailing at the time </w:t>
      </w:r>
      <w:r w:rsidR="004C0628" w:rsidRPr="00384017">
        <w:rPr>
          <w:szCs w:val="24"/>
        </w:rPr>
        <w:t>the Company</w:t>
      </w:r>
      <w:r w:rsidR="007F5EDF" w:rsidRPr="00384017">
        <w:rPr>
          <w:szCs w:val="24"/>
        </w:rPr>
        <w:t xml:space="preserve"> needs to raise funds.  In the recent past, as shown in Figure 3</w:t>
      </w:r>
      <w:r w:rsidR="007F5EDF" w:rsidRPr="00384017">
        <w:rPr>
          <w:b/>
          <w:szCs w:val="24"/>
        </w:rPr>
        <w:t xml:space="preserve"> </w:t>
      </w:r>
      <w:r w:rsidR="007F5EDF" w:rsidRPr="00384017">
        <w:rPr>
          <w:szCs w:val="24"/>
        </w:rPr>
        <w:t xml:space="preserve">below, the spread has resulted in an incremental credit premium for BBB-rated utility bonds (relative to A-rated utility bonds) of on average 50 basis points and as high as 60 basis points in July 2012 and 180 basis points during the financial crisis in December 2008.  </w:t>
      </w:r>
    </w:p>
    <w:p w:rsidR="00EB35AC" w:rsidRPr="00384017" w:rsidRDefault="007F5EDF" w:rsidP="00040551">
      <w:pPr>
        <w:pStyle w:val="QAQCont"/>
        <w:keepNext/>
        <w:suppressLineNumbers/>
        <w:tabs>
          <w:tab w:val="num" w:pos="0"/>
        </w:tabs>
        <w:spacing w:after="0" w:line="240" w:lineRule="auto"/>
        <w:ind w:left="0"/>
        <w:jc w:val="center"/>
        <w:rPr>
          <w:szCs w:val="24"/>
        </w:rPr>
      </w:pPr>
      <w:r w:rsidRPr="00384017">
        <w:rPr>
          <w:b/>
          <w:szCs w:val="24"/>
        </w:rPr>
        <w:lastRenderedPageBreak/>
        <w:t>Figure 3</w:t>
      </w:r>
    </w:p>
    <w:p w:rsidR="00EB35AC" w:rsidRPr="00384017" w:rsidRDefault="007F5EDF" w:rsidP="00685D51">
      <w:pPr>
        <w:pStyle w:val="QAQCont"/>
        <w:suppressLineNumbers/>
        <w:spacing w:after="0" w:line="240" w:lineRule="auto"/>
        <w:ind w:left="720" w:hanging="720"/>
        <w:jc w:val="left"/>
        <w:rPr>
          <w:szCs w:val="24"/>
        </w:rPr>
      </w:pPr>
      <w:r w:rsidRPr="00384017">
        <w:rPr>
          <w:noProof/>
          <w:szCs w:val="24"/>
        </w:rPr>
        <w:drawing>
          <wp:inline distT="0" distB="0" distL="0" distR="0" wp14:anchorId="216B2E74" wp14:editId="27E1DF2D">
            <wp:extent cx="5852160" cy="424594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852160" cy="4245942"/>
                    </a:xfrm>
                    <a:prstGeom prst="rect">
                      <a:avLst/>
                    </a:prstGeom>
                  </pic:spPr>
                </pic:pic>
              </a:graphicData>
            </a:graphic>
          </wp:inline>
        </w:drawing>
      </w:r>
    </w:p>
    <w:p w:rsidR="00EB35AC" w:rsidRPr="00685D51" w:rsidRDefault="007F5EDF" w:rsidP="00685D51">
      <w:pPr>
        <w:pStyle w:val="BodyText"/>
        <w:suppressLineNumbers/>
        <w:spacing w:after="0" w:line="240" w:lineRule="auto"/>
        <w:ind w:left="720" w:hanging="720"/>
        <w:jc w:val="left"/>
        <w:rPr>
          <w:szCs w:val="24"/>
          <w:vertAlign w:val="superscript"/>
        </w:rPr>
      </w:pPr>
      <w:r w:rsidRPr="00685D51">
        <w:rPr>
          <w:szCs w:val="24"/>
          <w:vertAlign w:val="superscript"/>
        </w:rPr>
        <w:t>Source: Bloomberg Finance LP</w:t>
      </w:r>
    </w:p>
    <w:p w:rsidR="0052368D" w:rsidRPr="00384017" w:rsidRDefault="00C5005B" w:rsidP="00685D51">
      <w:pPr>
        <w:pStyle w:val="QAQuestion"/>
        <w:tabs>
          <w:tab w:val="num" w:pos="720"/>
        </w:tabs>
        <w:spacing w:before="240" w:after="0" w:line="480" w:lineRule="auto"/>
        <w:ind w:left="720" w:hanging="720"/>
        <w:jc w:val="left"/>
        <w:rPr>
          <w:b/>
          <w:szCs w:val="24"/>
        </w:rPr>
      </w:pPr>
      <w:r>
        <w:rPr>
          <w:b/>
          <w:szCs w:val="24"/>
        </w:rPr>
        <w:t>Q.</w:t>
      </w:r>
      <w:r w:rsidR="0052368D" w:rsidRPr="00384017">
        <w:rPr>
          <w:b/>
          <w:szCs w:val="24"/>
        </w:rPr>
        <w:tab/>
        <w:t xml:space="preserve">Does the graph above convey the true spread that may be faced by a utility seeking long-term financing?  </w:t>
      </w:r>
    </w:p>
    <w:p w:rsidR="00840732" w:rsidRPr="00384017" w:rsidRDefault="0052368D" w:rsidP="00384017">
      <w:pPr>
        <w:pStyle w:val="QAQuestion"/>
        <w:tabs>
          <w:tab w:val="num" w:pos="720"/>
        </w:tabs>
        <w:spacing w:after="0" w:line="480" w:lineRule="auto"/>
        <w:ind w:left="720" w:hanging="720"/>
        <w:jc w:val="left"/>
        <w:rPr>
          <w:szCs w:val="24"/>
        </w:rPr>
      </w:pPr>
      <w:r w:rsidRPr="00384017">
        <w:rPr>
          <w:szCs w:val="24"/>
        </w:rPr>
        <w:t xml:space="preserve">A. </w:t>
      </w:r>
      <w:r w:rsidRPr="00384017">
        <w:rPr>
          <w:szCs w:val="24"/>
        </w:rPr>
        <w:tab/>
        <w:t xml:space="preserve">No.  The spreads shown above reflect the average yield differentials for bonds in the BBB- and A-rated utility indices.  These indices tend to be heavily weighted with bonds </w:t>
      </w:r>
      <w:r w:rsidR="00362AFA" w:rsidRPr="00384017">
        <w:rPr>
          <w:szCs w:val="24"/>
        </w:rPr>
        <w:t xml:space="preserve">of </w:t>
      </w:r>
      <w:r w:rsidRPr="00384017">
        <w:rPr>
          <w:szCs w:val="24"/>
        </w:rPr>
        <w:t>three</w:t>
      </w:r>
      <w:r w:rsidR="00362AFA" w:rsidRPr="00384017">
        <w:rPr>
          <w:szCs w:val="24"/>
        </w:rPr>
        <w:t xml:space="preserve"> </w:t>
      </w:r>
      <w:r w:rsidRPr="00384017">
        <w:rPr>
          <w:szCs w:val="24"/>
        </w:rPr>
        <w:t>to</w:t>
      </w:r>
      <w:r w:rsidR="00362AFA" w:rsidRPr="00384017">
        <w:rPr>
          <w:szCs w:val="24"/>
        </w:rPr>
        <w:t xml:space="preserve"> </w:t>
      </w:r>
      <w:r w:rsidRPr="00384017">
        <w:rPr>
          <w:szCs w:val="24"/>
        </w:rPr>
        <w:t>five</w:t>
      </w:r>
      <w:r w:rsidR="00362AFA" w:rsidRPr="00384017">
        <w:rPr>
          <w:szCs w:val="24"/>
        </w:rPr>
        <w:t xml:space="preserve"> </w:t>
      </w:r>
      <w:r w:rsidRPr="00384017">
        <w:rPr>
          <w:szCs w:val="24"/>
        </w:rPr>
        <w:t>year</w:t>
      </w:r>
      <w:r w:rsidR="00362AFA" w:rsidRPr="00384017">
        <w:rPr>
          <w:szCs w:val="24"/>
        </w:rPr>
        <w:t>s remaining to maturity</w:t>
      </w:r>
      <w:r w:rsidRPr="00384017">
        <w:rPr>
          <w:szCs w:val="24"/>
        </w:rPr>
        <w:t xml:space="preserve">.  </w:t>
      </w:r>
      <w:r w:rsidR="00840732" w:rsidRPr="00384017">
        <w:rPr>
          <w:szCs w:val="24"/>
        </w:rPr>
        <w:t xml:space="preserve">The spread between A-rated bonds and BBB-rated bonds is higher that the value shown in the graph for bonds of longer duration.  </w:t>
      </w:r>
      <w:r w:rsidRPr="00384017">
        <w:rPr>
          <w:szCs w:val="24"/>
        </w:rPr>
        <w:t>A utility seeking long-term debt financing for long-lived utility infrastructure w</w:t>
      </w:r>
      <w:r w:rsidR="00840732" w:rsidRPr="00384017">
        <w:rPr>
          <w:szCs w:val="24"/>
        </w:rPr>
        <w:t>ill</w:t>
      </w:r>
      <w:r w:rsidRPr="00384017">
        <w:rPr>
          <w:szCs w:val="24"/>
        </w:rPr>
        <w:t xml:space="preserve"> face an additional premium to reflect the longer term nature of the</w:t>
      </w:r>
      <w:r w:rsidR="002F434B" w:rsidRPr="00384017">
        <w:rPr>
          <w:szCs w:val="24"/>
        </w:rPr>
        <w:t>ir specific bond</w:t>
      </w:r>
      <w:r w:rsidRPr="00384017">
        <w:rPr>
          <w:szCs w:val="24"/>
        </w:rPr>
        <w:t xml:space="preserve"> issue.  </w:t>
      </w:r>
      <w:r w:rsidR="002F434B" w:rsidRPr="00384017">
        <w:rPr>
          <w:szCs w:val="24"/>
        </w:rPr>
        <w:t xml:space="preserve">For example, as of April 9, 2014, the average yield for BBB-rated utility bonds with remaining terms of greater than twenty five years was </w:t>
      </w:r>
      <w:r w:rsidR="002F434B" w:rsidRPr="00384017">
        <w:rPr>
          <w:szCs w:val="24"/>
        </w:rPr>
        <w:lastRenderedPageBreak/>
        <w:t xml:space="preserve">approximately 200 basis points higher than that of </w:t>
      </w:r>
      <w:r w:rsidR="00840732" w:rsidRPr="00384017">
        <w:rPr>
          <w:szCs w:val="24"/>
        </w:rPr>
        <w:t xml:space="preserve">bonds with </w:t>
      </w:r>
      <w:r w:rsidR="002F434B" w:rsidRPr="00384017">
        <w:rPr>
          <w:szCs w:val="24"/>
        </w:rPr>
        <w:t xml:space="preserve">five-year </w:t>
      </w:r>
      <w:r w:rsidR="00840732" w:rsidRPr="00384017">
        <w:rPr>
          <w:szCs w:val="24"/>
        </w:rPr>
        <w:t xml:space="preserve">terms.  The incremental debt cost for a long-term BBB-rated bond relative to a long-term </w:t>
      </w:r>
      <w:r w:rsidR="00685D51">
        <w:rPr>
          <w:szCs w:val="24"/>
        </w:rPr>
        <w:br/>
      </w:r>
      <w:r w:rsidR="00840732" w:rsidRPr="00384017">
        <w:rPr>
          <w:szCs w:val="24"/>
        </w:rPr>
        <w:t xml:space="preserve">A-rated bond on this same date was nearly fifty basis points, although the index values (also reflecting bonds of shorter-duration) differed by less than </w:t>
      </w:r>
      <w:r w:rsidR="00565A21" w:rsidRPr="00384017">
        <w:rPr>
          <w:szCs w:val="24"/>
        </w:rPr>
        <w:t>twenty</w:t>
      </w:r>
      <w:r w:rsidR="00840732" w:rsidRPr="00384017">
        <w:rPr>
          <w:szCs w:val="24"/>
        </w:rPr>
        <w:t xml:space="preserve"> </w:t>
      </w:r>
      <w:r w:rsidR="00C5005B">
        <w:rPr>
          <w:szCs w:val="24"/>
        </w:rPr>
        <w:br/>
      </w:r>
      <w:r w:rsidR="00840732" w:rsidRPr="00384017">
        <w:rPr>
          <w:szCs w:val="24"/>
        </w:rPr>
        <w:t>basis points.</w:t>
      </w:r>
    </w:p>
    <w:p w:rsidR="00565A21" w:rsidRPr="00384017" w:rsidRDefault="00565A21" w:rsidP="002E12BD">
      <w:pPr>
        <w:pStyle w:val="QAQCont"/>
        <w:spacing w:after="0" w:line="480" w:lineRule="auto"/>
        <w:ind w:left="720" w:firstLine="720"/>
        <w:jc w:val="left"/>
        <w:rPr>
          <w:szCs w:val="24"/>
        </w:rPr>
      </w:pPr>
      <w:r w:rsidRPr="00384017">
        <w:rPr>
          <w:szCs w:val="24"/>
        </w:rPr>
        <w:t xml:space="preserve">Mr. </w:t>
      </w:r>
      <w:r w:rsidR="00C5005B">
        <w:rPr>
          <w:szCs w:val="24"/>
        </w:rPr>
        <w:t xml:space="preserve">Bruce N. </w:t>
      </w:r>
      <w:r w:rsidRPr="00384017">
        <w:rPr>
          <w:szCs w:val="24"/>
        </w:rPr>
        <w:t>Williams is sponsoring an analysis of the incremental debt costs</w:t>
      </w:r>
      <w:r w:rsidR="0084336F">
        <w:rPr>
          <w:szCs w:val="24"/>
        </w:rPr>
        <w:t xml:space="preserve"> associated with financing the C</w:t>
      </w:r>
      <w:r w:rsidRPr="00384017">
        <w:rPr>
          <w:szCs w:val="24"/>
        </w:rPr>
        <w:t>ompany at an imputed equity ratio of 49</w:t>
      </w:r>
      <w:r w:rsidR="00685D51">
        <w:rPr>
          <w:szCs w:val="24"/>
        </w:rPr>
        <w:t>.10</w:t>
      </w:r>
      <w:r w:rsidR="00A91F50" w:rsidRPr="00384017">
        <w:rPr>
          <w:szCs w:val="24"/>
        </w:rPr>
        <w:t xml:space="preserve"> percent</w:t>
      </w:r>
      <w:r w:rsidR="00413F04" w:rsidRPr="00413F04">
        <w:rPr>
          <w:szCs w:val="24"/>
        </w:rPr>
        <w:t xml:space="preserve"> </w:t>
      </w:r>
      <w:r w:rsidR="00413F04">
        <w:rPr>
          <w:szCs w:val="24"/>
        </w:rPr>
        <w:t>and a BBB rating</w:t>
      </w:r>
      <w:r w:rsidRPr="00384017">
        <w:rPr>
          <w:szCs w:val="24"/>
        </w:rPr>
        <w:t xml:space="preserve">.  </w:t>
      </w:r>
      <w:r w:rsidR="00814457" w:rsidRPr="00384017">
        <w:rPr>
          <w:szCs w:val="24"/>
        </w:rPr>
        <w:t>His</w:t>
      </w:r>
      <w:r w:rsidRPr="00384017">
        <w:rPr>
          <w:szCs w:val="24"/>
        </w:rPr>
        <w:t xml:space="preserve"> analysis shows an incremental debt cost of </w:t>
      </w:r>
      <w:r w:rsidR="002E12BD">
        <w:rPr>
          <w:szCs w:val="24"/>
        </w:rPr>
        <w:t>6</w:t>
      </w:r>
      <w:r w:rsidRPr="00384017">
        <w:rPr>
          <w:szCs w:val="24"/>
        </w:rPr>
        <w:t>0 basis points</w:t>
      </w:r>
      <w:r w:rsidR="004A283E">
        <w:rPr>
          <w:szCs w:val="24"/>
        </w:rPr>
        <w:t>, reflecting a re</w:t>
      </w:r>
      <w:r w:rsidR="00C5005B">
        <w:rPr>
          <w:szCs w:val="24"/>
        </w:rPr>
        <w:t>-</w:t>
      </w:r>
      <w:r w:rsidR="004A283E">
        <w:rPr>
          <w:szCs w:val="24"/>
        </w:rPr>
        <w:t xml:space="preserve">pricing of </w:t>
      </w:r>
      <w:r w:rsidRPr="00384017">
        <w:rPr>
          <w:szCs w:val="24"/>
        </w:rPr>
        <w:t>recent debt issues</w:t>
      </w:r>
      <w:r w:rsidR="004A283E">
        <w:rPr>
          <w:szCs w:val="24"/>
        </w:rPr>
        <w:t xml:space="preserve"> blended with the cost of existing debt that predates the acquisition</w:t>
      </w:r>
      <w:r w:rsidR="0084336F">
        <w:rPr>
          <w:szCs w:val="24"/>
        </w:rPr>
        <w:t xml:space="preserve"> by MidAmerican Energy Holdings Company</w:t>
      </w:r>
      <w:r w:rsidRPr="00384017">
        <w:rPr>
          <w:szCs w:val="24"/>
        </w:rPr>
        <w:t xml:space="preserve">.  The evidence I </w:t>
      </w:r>
      <w:r w:rsidR="005503F9" w:rsidRPr="00384017">
        <w:rPr>
          <w:szCs w:val="24"/>
        </w:rPr>
        <w:t>present here</w:t>
      </w:r>
      <w:r w:rsidRPr="00384017">
        <w:rPr>
          <w:szCs w:val="24"/>
        </w:rPr>
        <w:t xml:space="preserve">, particularly the large spreads observed in the marketplace and the premiums that accompany long-term debt issues for utilities financing long-lived infrastructure assets, indicate that </w:t>
      </w:r>
      <w:r w:rsidR="002E12BD">
        <w:rPr>
          <w:szCs w:val="24"/>
        </w:rPr>
        <w:t>6</w:t>
      </w:r>
      <w:r w:rsidR="002E12BD" w:rsidRPr="00384017">
        <w:rPr>
          <w:szCs w:val="24"/>
        </w:rPr>
        <w:t>0</w:t>
      </w:r>
      <w:r w:rsidR="00C5005B">
        <w:rPr>
          <w:szCs w:val="24"/>
        </w:rPr>
        <w:t xml:space="preserve"> </w:t>
      </w:r>
      <w:r w:rsidRPr="00384017">
        <w:rPr>
          <w:szCs w:val="24"/>
        </w:rPr>
        <w:t xml:space="preserve">basis points is a reasonable estimate of the incremental debt costs </w:t>
      </w:r>
      <w:r w:rsidR="005503F9" w:rsidRPr="00384017">
        <w:rPr>
          <w:szCs w:val="24"/>
        </w:rPr>
        <w:t>that would accompany a reduction in the amount</w:t>
      </w:r>
      <w:r w:rsidRPr="00384017">
        <w:rPr>
          <w:szCs w:val="24"/>
        </w:rPr>
        <w:t xml:space="preserve"> </w:t>
      </w:r>
      <w:r w:rsidR="005503F9" w:rsidRPr="00384017">
        <w:rPr>
          <w:szCs w:val="24"/>
        </w:rPr>
        <w:t xml:space="preserve">of </w:t>
      </w:r>
      <w:r w:rsidRPr="00384017">
        <w:rPr>
          <w:szCs w:val="24"/>
        </w:rPr>
        <w:t>equity in the Company’s capital structure</w:t>
      </w:r>
      <w:r w:rsidR="004A283E">
        <w:rPr>
          <w:szCs w:val="24"/>
        </w:rPr>
        <w:t xml:space="preserve"> and a corresponding downgrade of the Company’s credit rating</w:t>
      </w:r>
      <w:r w:rsidRPr="00384017">
        <w:rPr>
          <w:szCs w:val="24"/>
        </w:rPr>
        <w:t>.</w:t>
      </w:r>
    </w:p>
    <w:p w:rsidR="0084336F" w:rsidRPr="0084336F" w:rsidRDefault="007F5EDF" w:rsidP="0084336F">
      <w:pPr>
        <w:pStyle w:val="QAQuestion"/>
        <w:widowControl w:val="0"/>
        <w:tabs>
          <w:tab w:val="num" w:pos="720"/>
        </w:tabs>
        <w:spacing w:after="0" w:line="480" w:lineRule="auto"/>
        <w:ind w:left="720" w:hanging="720"/>
        <w:jc w:val="left"/>
        <w:rPr>
          <w:b/>
          <w:szCs w:val="24"/>
        </w:rPr>
      </w:pPr>
      <w:r w:rsidRPr="00384017">
        <w:rPr>
          <w:b/>
          <w:szCs w:val="24"/>
        </w:rPr>
        <w:t xml:space="preserve">Q. </w:t>
      </w:r>
      <w:r w:rsidRPr="00384017">
        <w:rPr>
          <w:b/>
          <w:szCs w:val="24"/>
        </w:rPr>
        <w:tab/>
        <w:t>Please summarize the effects of imposing a hypothetical capital structure with a higher debt ratio.</w:t>
      </w:r>
    </w:p>
    <w:p w:rsidR="00EB35AC" w:rsidRPr="00384017" w:rsidRDefault="007F5EDF" w:rsidP="0084336F">
      <w:pPr>
        <w:pStyle w:val="QAQCont"/>
        <w:widowControl w:val="0"/>
        <w:tabs>
          <w:tab w:val="num" w:pos="720"/>
        </w:tabs>
        <w:spacing w:after="0" w:line="480" w:lineRule="auto"/>
        <w:ind w:left="720" w:hanging="720"/>
        <w:jc w:val="left"/>
        <w:rPr>
          <w:szCs w:val="24"/>
        </w:rPr>
      </w:pPr>
      <w:r w:rsidRPr="00384017">
        <w:rPr>
          <w:szCs w:val="24"/>
        </w:rPr>
        <w:t xml:space="preserve">A. </w:t>
      </w:r>
      <w:r w:rsidRPr="00384017">
        <w:rPr>
          <w:szCs w:val="24"/>
        </w:rPr>
        <w:tab/>
        <w:t>A hypothetical capital structure with a debt ratio greater than the level currently carried on the Company’s books will raise both the cost of debt and the cost of equity.  I estimate the incremental equity cost associated with the imposition of a deemed debt ratio of 51</w:t>
      </w:r>
      <w:r w:rsidR="004C0628" w:rsidRPr="00384017">
        <w:rPr>
          <w:szCs w:val="24"/>
        </w:rPr>
        <w:t xml:space="preserve"> percent</w:t>
      </w:r>
      <w:r w:rsidRPr="00384017">
        <w:rPr>
          <w:szCs w:val="24"/>
        </w:rPr>
        <w:t xml:space="preserve"> to be 2</w:t>
      </w:r>
      <w:r w:rsidR="00185133">
        <w:rPr>
          <w:szCs w:val="24"/>
        </w:rPr>
        <w:t>8</w:t>
      </w:r>
      <w:r w:rsidRPr="00384017">
        <w:rPr>
          <w:szCs w:val="24"/>
        </w:rPr>
        <w:t xml:space="preserve"> basis points.  My recommended </w:t>
      </w:r>
      <w:r w:rsidR="004C0628" w:rsidRPr="00384017">
        <w:rPr>
          <w:szCs w:val="24"/>
        </w:rPr>
        <w:t>return on equity</w:t>
      </w:r>
      <w:r w:rsidRPr="00384017">
        <w:rPr>
          <w:szCs w:val="24"/>
        </w:rPr>
        <w:t xml:space="preserve"> is shown in the table below at the two capital structures</w:t>
      </w:r>
      <w:r w:rsidR="004C0628" w:rsidRPr="00384017">
        <w:rPr>
          <w:szCs w:val="24"/>
        </w:rPr>
        <w:t>.</w:t>
      </w:r>
      <w:r w:rsidRPr="00384017">
        <w:rPr>
          <w:szCs w:val="24"/>
        </w:rPr>
        <w:t xml:space="preserve"> </w:t>
      </w:r>
    </w:p>
    <w:tbl>
      <w:tblPr>
        <w:tblStyle w:val="TableGrid"/>
        <w:tblW w:w="3261" w:type="pct"/>
        <w:jc w:val="center"/>
        <w:tblInd w:w="348" w:type="dxa"/>
        <w:tblLook w:val="04A0" w:firstRow="1" w:lastRow="0" w:firstColumn="1" w:lastColumn="0" w:noHBand="0" w:noVBand="1"/>
      </w:tblPr>
      <w:tblGrid>
        <w:gridCol w:w="4085"/>
        <w:gridCol w:w="1926"/>
      </w:tblGrid>
      <w:tr w:rsidR="00EB35AC" w:rsidRPr="00384017" w:rsidTr="004A283E">
        <w:trPr>
          <w:jc w:val="center"/>
        </w:trPr>
        <w:tc>
          <w:tcPr>
            <w:tcW w:w="3398" w:type="pct"/>
            <w:vAlign w:val="center"/>
          </w:tcPr>
          <w:p w:rsidR="00EB35AC" w:rsidRPr="004A283E" w:rsidRDefault="007F5EDF" w:rsidP="00137EFC">
            <w:pPr>
              <w:keepNext/>
              <w:keepLines/>
              <w:ind w:firstLine="43"/>
              <w:jc w:val="center"/>
              <w:rPr>
                <w:rFonts w:eastAsiaTheme="majorEastAsia"/>
                <w:b/>
                <w:szCs w:val="24"/>
              </w:rPr>
            </w:pPr>
            <w:r w:rsidRPr="004A283E">
              <w:rPr>
                <w:rFonts w:eastAsiaTheme="majorEastAsia"/>
                <w:b/>
                <w:szCs w:val="24"/>
              </w:rPr>
              <w:lastRenderedPageBreak/>
              <w:t>Capital Structure</w:t>
            </w:r>
          </w:p>
        </w:tc>
        <w:tc>
          <w:tcPr>
            <w:tcW w:w="1602" w:type="pct"/>
            <w:vAlign w:val="center"/>
          </w:tcPr>
          <w:p w:rsidR="00EB35AC" w:rsidRPr="004A283E" w:rsidRDefault="007F5EDF" w:rsidP="00137EFC">
            <w:pPr>
              <w:keepNext/>
              <w:keepLines/>
              <w:ind w:firstLine="43"/>
              <w:jc w:val="center"/>
              <w:rPr>
                <w:rFonts w:eastAsiaTheme="majorEastAsia"/>
                <w:b/>
                <w:szCs w:val="24"/>
              </w:rPr>
            </w:pPr>
            <w:r w:rsidRPr="004A283E">
              <w:rPr>
                <w:rFonts w:eastAsiaTheme="majorEastAsia"/>
                <w:b/>
                <w:szCs w:val="24"/>
              </w:rPr>
              <w:t>Recommended ROE</w:t>
            </w:r>
          </w:p>
        </w:tc>
      </w:tr>
      <w:tr w:rsidR="00EB35AC" w:rsidRPr="00384017" w:rsidTr="004A283E">
        <w:trPr>
          <w:jc w:val="center"/>
        </w:trPr>
        <w:tc>
          <w:tcPr>
            <w:tcW w:w="3398" w:type="pct"/>
          </w:tcPr>
          <w:p w:rsidR="00EB35AC" w:rsidRPr="00384017" w:rsidRDefault="007F5EDF" w:rsidP="00137EFC">
            <w:pPr>
              <w:keepNext/>
              <w:keepLines/>
              <w:ind w:left="720" w:hanging="720"/>
              <w:jc w:val="left"/>
              <w:rPr>
                <w:rFonts w:eastAsiaTheme="majorEastAsia"/>
                <w:szCs w:val="24"/>
              </w:rPr>
            </w:pPr>
            <w:r w:rsidRPr="00384017">
              <w:rPr>
                <w:rFonts w:eastAsiaTheme="majorEastAsia"/>
                <w:szCs w:val="24"/>
              </w:rPr>
              <w:t>Actual Debt Ratio</w:t>
            </w:r>
          </w:p>
        </w:tc>
        <w:tc>
          <w:tcPr>
            <w:tcW w:w="1602" w:type="pct"/>
          </w:tcPr>
          <w:p w:rsidR="00EB35AC" w:rsidRPr="00384017" w:rsidRDefault="00DD0A63" w:rsidP="00137EFC">
            <w:pPr>
              <w:keepNext/>
              <w:keepLines/>
              <w:ind w:left="720" w:hanging="720"/>
              <w:jc w:val="right"/>
              <w:rPr>
                <w:rFonts w:eastAsiaTheme="majorEastAsia"/>
                <w:b/>
                <w:bCs/>
                <w:caps/>
                <w:szCs w:val="24"/>
              </w:rPr>
            </w:pPr>
            <w:r w:rsidRPr="00384017">
              <w:rPr>
                <w:rFonts w:eastAsiaTheme="majorEastAsia"/>
                <w:szCs w:val="24"/>
              </w:rPr>
              <w:t>10.0%</w:t>
            </w:r>
          </w:p>
        </w:tc>
      </w:tr>
      <w:tr w:rsidR="00EB35AC" w:rsidRPr="00384017" w:rsidTr="004A283E">
        <w:trPr>
          <w:jc w:val="center"/>
        </w:trPr>
        <w:tc>
          <w:tcPr>
            <w:tcW w:w="3398" w:type="pct"/>
          </w:tcPr>
          <w:p w:rsidR="0084336F" w:rsidRDefault="0084336F" w:rsidP="00137EFC">
            <w:pPr>
              <w:keepNext/>
              <w:keepLines/>
              <w:ind w:left="720" w:hanging="720"/>
              <w:jc w:val="left"/>
              <w:rPr>
                <w:rFonts w:eastAsiaTheme="majorEastAsia"/>
                <w:szCs w:val="24"/>
              </w:rPr>
            </w:pPr>
            <w:r>
              <w:rPr>
                <w:rFonts w:eastAsiaTheme="majorEastAsia"/>
                <w:szCs w:val="24"/>
              </w:rPr>
              <w:t xml:space="preserve">WUTC Imputed Debt Ratio </w:t>
            </w:r>
          </w:p>
          <w:p w:rsidR="00EB35AC" w:rsidRPr="00384017" w:rsidRDefault="007F5EDF" w:rsidP="00137EFC">
            <w:pPr>
              <w:keepNext/>
              <w:keepLines/>
              <w:ind w:left="720" w:hanging="720"/>
              <w:jc w:val="left"/>
              <w:rPr>
                <w:rFonts w:eastAsiaTheme="majorEastAsia"/>
                <w:szCs w:val="24"/>
              </w:rPr>
            </w:pPr>
            <w:r w:rsidRPr="00384017">
              <w:rPr>
                <w:rFonts w:eastAsiaTheme="majorEastAsia"/>
                <w:szCs w:val="24"/>
              </w:rPr>
              <w:t>(currently allowed ratio)</w:t>
            </w:r>
          </w:p>
        </w:tc>
        <w:tc>
          <w:tcPr>
            <w:tcW w:w="1602" w:type="pct"/>
          </w:tcPr>
          <w:p w:rsidR="00EB35AC" w:rsidRPr="00384017" w:rsidRDefault="00DD0A63" w:rsidP="00185133">
            <w:pPr>
              <w:keepNext/>
              <w:keepLines/>
              <w:ind w:left="720" w:hanging="720"/>
              <w:jc w:val="right"/>
              <w:rPr>
                <w:rFonts w:eastAsiaTheme="majorEastAsia"/>
                <w:b/>
                <w:bCs/>
                <w:caps/>
                <w:szCs w:val="24"/>
              </w:rPr>
            </w:pPr>
            <w:r w:rsidRPr="00384017">
              <w:rPr>
                <w:rFonts w:eastAsiaTheme="majorEastAsia"/>
                <w:szCs w:val="24"/>
              </w:rPr>
              <w:t>10.2</w:t>
            </w:r>
            <w:r w:rsidR="00185133">
              <w:rPr>
                <w:rFonts w:eastAsiaTheme="majorEastAsia"/>
                <w:szCs w:val="24"/>
              </w:rPr>
              <w:t>8</w:t>
            </w:r>
            <w:r w:rsidRPr="00384017">
              <w:rPr>
                <w:rFonts w:eastAsiaTheme="majorEastAsia"/>
                <w:szCs w:val="24"/>
              </w:rPr>
              <w:t>%</w:t>
            </w:r>
          </w:p>
        </w:tc>
      </w:tr>
    </w:tbl>
    <w:p w:rsidR="00EB35AC" w:rsidRPr="00384017" w:rsidRDefault="007F5EDF" w:rsidP="00137EFC">
      <w:pPr>
        <w:pStyle w:val="Heading1"/>
        <w:spacing w:before="240" w:after="0" w:line="480" w:lineRule="auto"/>
        <w:ind w:left="0"/>
      </w:pPr>
      <w:bookmarkStart w:id="71" w:name="_Toc384626555"/>
      <w:bookmarkStart w:id="72" w:name="_Toc384626575"/>
      <w:bookmarkStart w:id="73" w:name="_Toc384626617"/>
      <w:bookmarkStart w:id="74" w:name="_Toc386637274"/>
      <w:r w:rsidRPr="00384017">
        <w:t xml:space="preserve">Recommended Return on </w:t>
      </w:r>
      <w:bookmarkEnd w:id="68"/>
      <w:bookmarkEnd w:id="69"/>
      <w:bookmarkEnd w:id="71"/>
      <w:bookmarkEnd w:id="72"/>
      <w:bookmarkEnd w:id="73"/>
      <w:r w:rsidR="00000890" w:rsidRPr="00384017">
        <w:t>Equity</w:t>
      </w:r>
      <w:bookmarkEnd w:id="74"/>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summarize your recommendations for </w:t>
      </w:r>
      <w:r w:rsidR="00DD0A63" w:rsidRPr="00384017">
        <w:rPr>
          <w:b/>
          <w:szCs w:val="24"/>
        </w:rPr>
        <w:t xml:space="preserve">Pacific Power’s </w:t>
      </w:r>
      <w:r w:rsidRPr="00384017">
        <w:rPr>
          <w:b/>
          <w:szCs w:val="24"/>
        </w:rPr>
        <w:t xml:space="preserve">return on equity. </w:t>
      </w:r>
    </w:p>
    <w:p w:rsidR="008B78FF" w:rsidRPr="00384017" w:rsidRDefault="007F5EDF" w:rsidP="00384017">
      <w:pPr>
        <w:pStyle w:val="QAAnswer"/>
        <w:tabs>
          <w:tab w:val="num" w:pos="720"/>
        </w:tabs>
        <w:spacing w:after="0" w:line="480" w:lineRule="auto"/>
        <w:ind w:left="720" w:hanging="720"/>
        <w:jc w:val="left"/>
        <w:rPr>
          <w:szCs w:val="24"/>
        </w:rPr>
      </w:pPr>
      <w:r w:rsidRPr="00384017">
        <w:rPr>
          <w:szCs w:val="24"/>
        </w:rPr>
        <w:t xml:space="preserve">A. </w:t>
      </w:r>
      <w:r w:rsidRPr="00384017">
        <w:rPr>
          <w:szCs w:val="24"/>
        </w:rPr>
        <w:tab/>
        <w:t>The financial analyses I performed indicate investor return expectations in the range of 9.</w:t>
      </w:r>
      <w:r w:rsidR="00185133">
        <w:rPr>
          <w:szCs w:val="24"/>
        </w:rPr>
        <w:t>2</w:t>
      </w:r>
      <w:r w:rsidRPr="00384017">
        <w:rPr>
          <w:szCs w:val="24"/>
        </w:rPr>
        <w:t xml:space="preserve">3 percent to </w:t>
      </w:r>
      <w:r w:rsidR="00DD0A63" w:rsidRPr="00384017">
        <w:rPr>
          <w:szCs w:val="24"/>
        </w:rPr>
        <w:t>10.2</w:t>
      </w:r>
      <w:r w:rsidR="00B44D18" w:rsidRPr="00384017">
        <w:rPr>
          <w:szCs w:val="24"/>
        </w:rPr>
        <w:t>2</w:t>
      </w:r>
      <w:r w:rsidRPr="00384017">
        <w:rPr>
          <w:szCs w:val="24"/>
        </w:rPr>
        <w:t xml:space="preserve"> percent for the electric proxy group and for the electric industry more broadly, depending on the model.  I recommend that the Commission adopt a </w:t>
      </w:r>
      <w:r w:rsidR="00DD0A63" w:rsidRPr="00384017">
        <w:rPr>
          <w:szCs w:val="24"/>
        </w:rPr>
        <w:t xml:space="preserve">10.0 </w:t>
      </w:r>
      <w:r w:rsidRPr="00384017">
        <w:rPr>
          <w:szCs w:val="24"/>
        </w:rPr>
        <w:t xml:space="preserve">percent </w:t>
      </w:r>
      <w:r w:rsidR="008977CD" w:rsidRPr="00384017">
        <w:rPr>
          <w:szCs w:val="24"/>
        </w:rPr>
        <w:t>return on equity</w:t>
      </w:r>
      <w:r w:rsidRPr="00384017">
        <w:rPr>
          <w:szCs w:val="24"/>
        </w:rPr>
        <w:t xml:space="preserve">, corresponding to the Company’s actual, applied-for capital structure.  </w:t>
      </w:r>
    </w:p>
    <w:p w:rsidR="001161B3" w:rsidRPr="00384017" w:rsidRDefault="00707626" w:rsidP="00384017">
      <w:pPr>
        <w:pStyle w:val="QAAnswer"/>
        <w:tabs>
          <w:tab w:val="num" w:pos="720"/>
        </w:tabs>
        <w:spacing w:after="0" w:line="480" w:lineRule="auto"/>
        <w:ind w:left="720" w:hanging="720"/>
        <w:jc w:val="left"/>
        <w:rPr>
          <w:szCs w:val="24"/>
        </w:rPr>
      </w:pPr>
      <w:r w:rsidRPr="00384017">
        <w:rPr>
          <w:szCs w:val="24"/>
        </w:rPr>
        <w:t xml:space="preserve"> </w:t>
      </w:r>
      <w:r w:rsidRPr="00384017">
        <w:rPr>
          <w:szCs w:val="24"/>
        </w:rPr>
        <w:tab/>
      </w:r>
      <w:r w:rsidR="005666AC" w:rsidRPr="00384017">
        <w:rPr>
          <w:szCs w:val="24"/>
        </w:rPr>
        <w:tab/>
      </w:r>
      <w:r w:rsidR="008B78FF" w:rsidRPr="00384017">
        <w:rPr>
          <w:szCs w:val="24"/>
        </w:rPr>
        <w:t xml:space="preserve">Sound public policy </w:t>
      </w:r>
      <w:r w:rsidR="005C0C48" w:rsidRPr="00384017">
        <w:rPr>
          <w:szCs w:val="24"/>
        </w:rPr>
        <w:t xml:space="preserve">and </w:t>
      </w:r>
      <w:r w:rsidR="00C000A8" w:rsidRPr="00384017">
        <w:rPr>
          <w:szCs w:val="24"/>
        </w:rPr>
        <w:t>regulatory</w:t>
      </w:r>
      <w:r w:rsidR="005C0C48" w:rsidRPr="00384017">
        <w:rPr>
          <w:szCs w:val="24"/>
        </w:rPr>
        <w:t xml:space="preserve"> precedent call</w:t>
      </w:r>
      <w:r w:rsidR="008B78FF" w:rsidRPr="00384017">
        <w:rPr>
          <w:szCs w:val="24"/>
        </w:rPr>
        <w:t xml:space="preserve"> for a rate of return that allows the Company to maintain its credit and attract capital.  </w:t>
      </w:r>
      <w:r w:rsidR="00565A21" w:rsidRPr="00384017">
        <w:rPr>
          <w:szCs w:val="24"/>
        </w:rPr>
        <w:t xml:space="preserve">This </w:t>
      </w:r>
      <w:r w:rsidR="001161B3" w:rsidRPr="00384017">
        <w:rPr>
          <w:szCs w:val="24"/>
        </w:rPr>
        <w:t xml:space="preserve">principle </w:t>
      </w:r>
      <w:r w:rsidR="00565A21" w:rsidRPr="00384017">
        <w:rPr>
          <w:szCs w:val="24"/>
        </w:rPr>
        <w:t xml:space="preserve">has long been acknowledged by economists, including James C. </w:t>
      </w:r>
      <w:proofErr w:type="spellStart"/>
      <w:r w:rsidR="00565A21" w:rsidRPr="00384017">
        <w:rPr>
          <w:szCs w:val="24"/>
        </w:rPr>
        <w:t>Bonbright</w:t>
      </w:r>
      <w:proofErr w:type="spellEnd"/>
      <w:r w:rsidR="001161B3" w:rsidRPr="00384017">
        <w:rPr>
          <w:szCs w:val="24"/>
        </w:rPr>
        <w:t>, who noted in his 1961 treatise that both regulatory commissions and company representatives seek “credit-sustaining revenue.”</w:t>
      </w:r>
      <w:r w:rsidR="001161B3" w:rsidRPr="00384017">
        <w:rPr>
          <w:rStyle w:val="FootnoteReference"/>
          <w:szCs w:val="24"/>
        </w:rPr>
        <w:footnoteReference w:id="19"/>
      </w:r>
      <w:r w:rsidR="001161B3" w:rsidRPr="00384017">
        <w:rPr>
          <w:szCs w:val="24"/>
        </w:rPr>
        <w:t xml:space="preserve">  </w:t>
      </w:r>
      <w:r w:rsidR="008B78FF" w:rsidRPr="00384017">
        <w:rPr>
          <w:szCs w:val="24"/>
        </w:rPr>
        <w:t xml:space="preserve">Currently, </w:t>
      </w:r>
      <w:r w:rsidR="00A91F50" w:rsidRPr="00384017">
        <w:rPr>
          <w:szCs w:val="24"/>
        </w:rPr>
        <w:t>customers</w:t>
      </w:r>
      <w:r w:rsidR="008B78FF" w:rsidRPr="00384017">
        <w:rPr>
          <w:szCs w:val="24"/>
        </w:rPr>
        <w:t xml:space="preserve"> in Washington benefit from the Company’s healthy financial metrics and credit rating.  </w:t>
      </w:r>
      <w:r w:rsidR="00F41C9F" w:rsidRPr="00384017">
        <w:rPr>
          <w:szCs w:val="24"/>
        </w:rPr>
        <w:t xml:space="preserve">A compensatory return is needed to preserve those benefits for </w:t>
      </w:r>
      <w:r w:rsidR="00A91F50" w:rsidRPr="00384017">
        <w:rPr>
          <w:szCs w:val="24"/>
        </w:rPr>
        <w:t>customers</w:t>
      </w:r>
      <w:r w:rsidR="00F41C9F" w:rsidRPr="00384017">
        <w:rPr>
          <w:szCs w:val="24"/>
        </w:rPr>
        <w:t xml:space="preserve">. </w:t>
      </w:r>
    </w:p>
    <w:p w:rsidR="0084336F" w:rsidRDefault="005666AC" w:rsidP="00384017">
      <w:pPr>
        <w:pStyle w:val="QAAnswer"/>
        <w:tabs>
          <w:tab w:val="num" w:pos="720"/>
        </w:tabs>
        <w:spacing w:after="0" w:line="480" w:lineRule="auto"/>
        <w:ind w:left="720" w:hanging="720"/>
        <w:jc w:val="left"/>
        <w:rPr>
          <w:szCs w:val="24"/>
        </w:rPr>
      </w:pPr>
      <w:r w:rsidRPr="00384017">
        <w:rPr>
          <w:szCs w:val="24"/>
        </w:rPr>
        <w:tab/>
      </w:r>
      <w:r w:rsidR="00565A21" w:rsidRPr="00384017">
        <w:rPr>
          <w:szCs w:val="24"/>
        </w:rPr>
        <w:tab/>
      </w:r>
      <w:r w:rsidR="008B78FF" w:rsidRPr="00384017">
        <w:rPr>
          <w:szCs w:val="24"/>
        </w:rPr>
        <w:t xml:space="preserve">If the Commission were to authorize a less-than-compensatory return on equity, </w:t>
      </w:r>
      <w:r w:rsidR="00E941A5" w:rsidRPr="00384017">
        <w:rPr>
          <w:szCs w:val="24"/>
        </w:rPr>
        <w:t>this</w:t>
      </w:r>
      <w:r w:rsidR="008B78FF" w:rsidRPr="00384017">
        <w:rPr>
          <w:szCs w:val="24"/>
        </w:rPr>
        <w:t xml:space="preserve"> would put pressure on the Company’s financials and </w:t>
      </w:r>
      <w:r w:rsidR="001161B3" w:rsidRPr="00384017">
        <w:rPr>
          <w:szCs w:val="24"/>
        </w:rPr>
        <w:t xml:space="preserve">would appear to </w:t>
      </w:r>
      <w:r w:rsidR="008B78FF" w:rsidRPr="00384017">
        <w:rPr>
          <w:szCs w:val="24"/>
        </w:rPr>
        <w:t xml:space="preserve">create a disincentive for the Company to invest in the service territory.  </w:t>
      </w:r>
      <w:r w:rsidR="001161B3" w:rsidRPr="00384017">
        <w:rPr>
          <w:szCs w:val="24"/>
        </w:rPr>
        <w:t xml:space="preserve">However, the Company is committed to maintaining service standards and adequate investment.  In this context, inadequate </w:t>
      </w:r>
      <w:r w:rsidR="00344178" w:rsidRPr="00384017">
        <w:rPr>
          <w:szCs w:val="24"/>
        </w:rPr>
        <w:t xml:space="preserve">authorized </w:t>
      </w:r>
      <w:r w:rsidR="001161B3" w:rsidRPr="00384017">
        <w:rPr>
          <w:szCs w:val="24"/>
        </w:rPr>
        <w:t xml:space="preserve">returns and insufficient </w:t>
      </w:r>
      <w:r w:rsidR="00344178" w:rsidRPr="00384017">
        <w:rPr>
          <w:szCs w:val="24"/>
        </w:rPr>
        <w:t xml:space="preserve">authorized </w:t>
      </w:r>
      <w:r w:rsidR="001161B3" w:rsidRPr="00384017">
        <w:rPr>
          <w:szCs w:val="24"/>
        </w:rPr>
        <w:t>revenue</w:t>
      </w:r>
      <w:r w:rsidR="00344178" w:rsidRPr="00384017">
        <w:rPr>
          <w:szCs w:val="24"/>
        </w:rPr>
        <w:t xml:space="preserve"> </w:t>
      </w:r>
      <w:r w:rsidR="00344178" w:rsidRPr="00384017">
        <w:rPr>
          <w:szCs w:val="24"/>
        </w:rPr>
        <w:lastRenderedPageBreak/>
        <w:t>requirements</w:t>
      </w:r>
      <w:r w:rsidR="001161B3" w:rsidRPr="00384017">
        <w:rPr>
          <w:szCs w:val="24"/>
        </w:rPr>
        <w:t xml:space="preserve"> </w:t>
      </w:r>
      <w:r w:rsidR="00F41C9F" w:rsidRPr="00384017">
        <w:rPr>
          <w:szCs w:val="24"/>
        </w:rPr>
        <w:t>can</w:t>
      </w:r>
      <w:r w:rsidR="001161B3" w:rsidRPr="00384017">
        <w:rPr>
          <w:szCs w:val="24"/>
        </w:rPr>
        <w:t xml:space="preserve"> </w:t>
      </w:r>
      <w:r w:rsidR="00F41C9F" w:rsidRPr="00384017">
        <w:rPr>
          <w:szCs w:val="24"/>
        </w:rPr>
        <w:t>reasonably be expected to</w:t>
      </w:r>
      <w:r w:rsidR="001161B3" w:rsidRPr="00384017">
        <w:rPr>
          <w:szCs w:val="24"/>
        </w:rPr>
        <w:t xml:space="preserve"> have two effects.  First, they </w:t>
      </w:r>
      <w:r w:rsidR="00344178" w:rsidRPr="00384017">
        <w:rPr>
          <w:szCs w:val="24"/>
        </w:rPr>
        <w:t>will</w:t>
      </w:r>
      <w:r w:rsidR="001161B3" w:rsidRPr="00384017">
        <w:rPr>
          <w:szCs w:val="24"/>
        </w:rPr>
        <w:t xml:space="preserve"> lead to a drop in </w:t>
      </w:r>
      <w:r w:rsidR="00F41C9F" w:rsidRPr="00384017">
        <w:rPr>
          <w:szCs w:val="24"/>
        </w:rPr>
        <w:t xml:space="preserve">the Company’s </w:t>
      </w:r>
      <w:r w:rsidR="001161B3" w:rsidRPr="00384017">
        <w:rPr>
          <w:szCs w:val="24"/>
        </w:rPr>
        <w:t>credit quality</w:t>
      </w:r>
      <w:r w:rsidR="00F41C9F" w:rsidRPr="00384017">
        <w:rPr>
          <w:szCs w:val="24"/>
        </w:rPr>
        <w:t xml:space="preserve">, which in turn </w:t>
      </w:r>
      <w:r w:rsidR="00344178" w:rsidRPr="00384017">
        <w:rPr>
          <w:szCs w:val="24"/>
        </w:rPr>
        <w:t xml:space="preserve">raises costs </w:t>
      </w:r>
      <w:r w:rsidR="001161B3" w:rsidRPr="00384017">
        <w:rPr>
          <w:szCs w:val="24"/>
        </w:rPr>
        <w:t xml:space="preserve">for </w:t>
      </w:r>
      <w:r w:rsidR="00A91F50" w:rsidRPr="00384017">
        <w:rPr>
          <w:szCs w:val="24"/>
        </w:rPr>
        <w:t>customers</w:t>
      </w:r>
      <w:r w:rsidR="008B78FF" w:rsidRPr="00384017">
        <w:rPr>
          <w:szCs w:val="24"/>
        </w:rPr>
        <w:t>.</w:t>
      </w:r>
      <w:r w:rsidR="001161B3" w:rsidRPr="00384017">
        <w:rPr>
          <w:szCs w:val="24"/>
        </w:rPr>
        <w:t xml:space="preserve">  Second, they </w:t>
      </w:r>
      <w:r w:rsidR="00344178" w:rsidRPr="00384017">
        <w:rPr>
          <w:szCs w:val="24"/>
        </w:rPr>
        <w:t>will</w:t>
      </w:r>
      <w:r w:rsidR="001161B3" w:rsidRPr="00384017">
        <w:rPr>
          <w:szCs w:val="24"/>
        </w:rPr>
        <w:t xml:space="preserve"> </w:t>
      </w:r>
      <w:r w:rsidR="00F41C9F" w:rsidRPr="00384017">
        <w:rPr>
          <w:szCs w:val="24"/>
        </w:rPr>
        <w:t>cause</w:t>
      </w:r>
      <w:r w:rsidR="001161B3" w:rsidRPr="00384017">
        <w:rPr>
          <w:szCs w:val="24"/>
        </w:rPr>
        <w:t xml:space="preserve"> the Company to need </w:t>
      </w:r>
      <w:r w:rsidR="00F41C9F" w:rsidRPr="00384017">
        <w:rPr>
          <w:szCs w:val="24"/>
        </w:rPr>
        <w:t xml:space="preserve">to file repeated rate cases, the consequences of which also harm </w:t>
      </w:r>
      <w:r w:rsidR="00A91F50" w:rsidRPr="00384017">
        <w:rPr>
          <w:szCs w:val="24"/>
        </w:rPr>
        <w:t>customers</w:t>
      </w:r>
      <w:r w:rsidR="00F41C9F" w:rsidRPr="00384017">
        <w:rPr>
          <w:szCs w:val="24"/>
        </w:rPr>
        <w:t xml:space="preserve"> in the long term</w:t>
      </w:r>
      <w:r w:rsidR="0084336F">
        <w:rPr>
          <w:szCs w:val="24"/>
        </w:rPr>
        <w:t>.</w:t>
      </w:r>
    </w:p>
    <w:p w:rsidR="00344178" w:rsidRPr="00384017" w:rsidRDefault="005666AC" w:rsidP="00384017">
      <w:pPr>
        <w:pStyle w:val="QAAnswer"/>
        <w:tabs>
          <w:tab w:val="num" w:pos="720"/>
        </w:tabs>
        <w:spacing w:after="0" w:line="480" w:lineRule="auto"/>
        <w:ind w:left="720" w:hanging="720"/>
        <w:jc w:val="left"/>
        <w:rPr>
          <w:szCs w:val="24"/>
        </w:rPr>
      </w:pPr>
      <w:r w:rsidRPr="00384017">
        <w:rPr>
          <w:szCs w:val="24"/>
        </w:rPr>
        <w:tab/>
      </w:r>
      <w:r w:rsidR="00344178" w:rsidRPr="00384017">
        <w:rPr>
          <w:szCs w:val="24"/>
        </w:rPr>
        <w:tab/>
        <w:t xml:space="preserve">In sum, credit-sustaining revenues are not only in the long-term interest of </w:t>
      </w:r>
      <w:r w:rsidR="00A91F50" w:rsidRPr="00384017">
        <w:rPr>
          <w:szCs w:val="24"/>
        </w:rPr>
        <w:t>customers</w:t>
      </w:r>
      <w:r w:rsidR="00344178" w:rsidRPr="00384017">
        <w:rPr>
          <w:szCs w:val="24"/>
        </w:rPr>
        <w:t xml:space="preserve"> because they keep financing costs down, but in their interest because they avoid the additional costs and </w:t>
      </w:r>
      <w:r w:rsidR="00814457" w:rsidRPr="00384017">
        <w:rPr>
          <w:szCs w:val="24"/>
        </w:rPr>
        <w:t>loss of</w:t>
      </w:r>
      <w:r w:rsidR="00344178" w:rsidRPr="00384017">
        <w:rPr>
          <w:szCs w:val="24"/>
        </w:rPr>
        <w:t xml:space="preserve"> efficiency incentives that constant rate reviews tend to cause.</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Does this conclude your direct testimony?</w:t>
      </w:r>
    </w:p>
    <w:p w:rsidR="00EB35AC" w:rsidRPr="00384017" w:rsidRDefault="00C5005B" w:rsidP="00384017">
      <w:pPr>
        <w:pStyle w:val="QAAnswer"/>
        <w:tabs>
          <w:tab w:val="num" w:pos="720"/>
        </w:tabs>
        <w:spacing w:after="0" w:line="480" w:lineRule="auto"/>
        <w:ind w:left="720" w:hanging="720"/>
        <w:jc w:val="left"/>
        <w:rPr>
          <w:szCs w:val="24"/>
        </w:rPr>
      </w:pPr>
      <w:r>
        <w:rPr>
          <w:szCs w:val="24"/>
        </w:rPr>
        <w:t>A.</w:t>
      </w:r>
      <w:r w:rsidR="007F5EDF" w:rsidRPr="00384017">
        <w:rPr>
          <w:szCs w:val="24"/>
        </w:rPr>
        <w:tab/>
        <w:t>Yes.</w:t>
      </w:r>
    </w:p>
    <w:sectPr w:rsidR="00EB35AC" w:rsidRPr="00384017" w:rsidSect="00482134">
      <w:footerReference w:type="first" r:id="rId16"/>
      <w:pgSz w:w="12240" w:h="15840" w:code="1"/>
      <w:pgMar w:top="1440" w:right="1440" w:bottom="1440" w:left="1800" w:header="720" w:footer="720" w:gutter="0"/>
      <w:lnNumType w:countBy="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B9" w:rsidRDefault="007359B9">
      <w:r>
        <w:separator/>
      </w:r>
    </w:p>
  </w:endnote>
  <w:endnote w:type="continuationSeparator" w:id="0">
    <w:p w:rsidR="007359B9" w:rsidRDefault="007359B9">
      <w:r>
        <w:continuationSeparator/>
      </w:r>
    </w:p>
  </w:endnote>
  <w:endnote w:type="continuationNotice" w:id="1">
    <w:p w:rsidR="007359B9" w:rsidRDefault="00735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685D51">
      <w:trPr>
        <w:trHeight w:hRule="exact" w:val="720"/>
        <w:jc w:val="center"/>
      </w:trPr>
      <w:tc>
        <w:tcPr>
          <w:tcW w:w="3931" w:type="dxa"/>
        </w:tcPr>
        <w:p w:rsidR="00685D51" w:rsidRDefault="00685D51">
          <w:pPr>
            <w:pStyle w:val="DrConLeft"/>
          </w:pPr>
        </w:p>
      </w:tc>
      <w:tc>
        <w:tcPr>
          <w:tcW w:w="1584" w:type="dxa"/>
        </w:tcPr>
        <w:p w:rsidR="00685D51" w:rsidRDefault="00685D51">
          <w:pPr>
            <w:pStyle w:val="Footer"/>
            <w:jc w:val="center"/>
            <w:rPr>
              <w:rStyle w:val="PageNumber"/>
              <w:sz w:val="40"/>
              <w:lang w:val="es-ES"/>
            </w:rPr>
          </w:pPr>
          <w:r>
            <w:rPr>
              <w:b/>
              <w:noProof/>
              <w:sz w:val="20"/>
            </w:rPr>
            <mc:AlternateContent>
              <mc:Choice Requires="wps">
                <w:drawing>
                  <wp:anchor distT="0" distB="0" distL="114300" distR="114300" simplePos="0" relativeHeight="251657728" behindDoc="1" locked="0" layoutInCell="0" allowOverlap="1" wp14:anchorId="72B69FB4" wp14:editId="6319BD31">
                    <wp:simplePos x="0" y="0"/>
                    <wp:positionH relativeFrom="margin">
                      <wp:posOffset>2528570</wp:posOffset>
                    </wp:positionH>
                    <wp:positionV relativeFrom="paragraph">
                      <wp:posOffset>50800</wp:posOffset>
                    </wp:positionV>
                    <wp:extent cx="777240"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D51" w:rsidRDefault="00685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99.1pt;margin-top:4pt;width:61.2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" o:allowincell="f" fillcolor="black" stroked="f">
                    <v:textbox>
                      <w:txbxContent>
                        <w:p w:rsidR="00685D51" w:rsidRDefault="00685D51"/>
                      </w:txbxContent>
                    </v:textbox>
                    <w10:wrap anchorx="margin"/>
                  </v:rect>
                </w:pict>
              </mc:Fallback>
            </mc:AlternateContent>
          </w:r>
          <w:r>
            <w:rPr>
              <w:rStyle w:val="PageNumber"/>
              <w:color w:val="FFFFFF"/>
              <w:sz w:val="40"/>
              <w:lang w:val="es-ES"/>
            </w:rPr>
            <w:t>n</w:t>
          </w:r>
          <w:r>
            <w:rPr>
              <w:rStyle w:val="PageNumber"/>
              <w:color w:val="FFFFFF"/>
              <w:lang w:val="es-ES"/>
            </w:rPr>
            <w:t>/</w:t>
          </w:r>
          <w:r>
            <w:rPr>
              <w:rStyle w:val="PageNumber"/>
              <w:color w:val="FFFFFF"/>
              <w:sz w:val="40"/>
              <w:lang w:val="es-ES"/>
            </w:rPr>
            <w:t>e</w:t>
          </w:r>
          <w:r>
            <w:rPr>
              <w:rStyle w:val="PageNumber"/>
              <w:color w:val="FFFFFF"/>
              <w:lang w:val="es-ES"/>
            </w:rPr>
            <w:t>/</w:t>
          </w:r>
          <w:r>
            <w:rPr>
              <w:rStyle w:val="PageNumber"/>
              <w:color w:val="FFFFFF"/>
              <w:sz w:val="40"/>
              <w:lang w:val="es-ES"/>
            </w:rPr>
            <w:t>r</w:t>
          </w:r>
          <w:r>
            <w:rPr>
              <w:rStyle w:val="PageNumber"/>
              <w:color w:val="FFFFFF"/>
              <w:lang w:val="es-ES"/>
            </w:rPr>
            <w:t>/</w:t>
          </w:r>
          <w:r>
            <w:rPr>
              <w:rStyle w:val="PageNumber"/>
              <w:color w:val="FFFFFF"/>
              <w:sz w:val="40"/>
              <w:lang w:val="es-ES"/>
            </w:rPr>
            <w:t>a</w:t>
          </w:r>
        </w:p>
        <w:p w:rsidR="00685D51" w:rsidRDefault="00685D51">
          <w:pPr>
            <w:pStyle w:val="Footer"/>
            <w:jc w:val="center"/>
          </w:pPr>
          <w:r>
            <w:rPr>
              <w:rStyle w:val="PageNumber"/>
              <w:i/>
              <w:sz w:val="14"/>
            </w:rPr>
            <w:fldChar w:fldCharType="begin"/>
          </w:r>
          <w:r>
            <w:rPr>
              <w:rStyle w:val="PageNumber"/>
              <w:i/>
              <w:sz w:val="14"/>
            </w:rPr>
            <w:instrText xml:space="preserve"> ADVANCE </w:instrText>
          </w:r>
          <w:r>
            <w:rPr>
              <w:rStyle w:val="PageNumber"/>
              <w:i/>
              <w:sz w:val="14"/>
            </w:rPr>
            <w:fldChar w:fldCharType="end"/>
          </w:r>
          <w:r>
            <w:rPr>
              <w:rStyle w:val="PageNumber"/>
              <w:i/>
              <w:sz w:val="14"/>
            </w:rPr>
            <w:fldChar w:fldCharType="begin"/>
          </w:r>
          <w:r>
            <w:rPr>
              <w:rStyle w:val="PageNumber"/>
              <w:i/>
              <w:sz w:val="14"/>
            </w:rPr>
            <w:instrText xml:space="preserve"> ADVANCE \u 4 </w:instrText>
          </w:r>
          <w:r>
            <w:rPr>
              <w:rStyle w:val="PageNumber"/>
              <w:i/>
              <w:sz w:val="14"/>
            </w:rPr>
            <w:fldChar w:fldCharType="end"/>
          </w:r>
          <w:r>
            <w:rPr>
              <w:rStyle w:val="PageNumber"/>
              <w:i/>
              <w:sz w:val="14"/>
            </w:rPr>
            <w:t>Consulting Economists</w:t>
          </w:r>
        </w:p>
      </w:tc>
      <w:tc>
        <w:tcPr>
          <w:tcW w:w="3931" w:type="dxa"/>
        </w:tcPr>
        <w:p w:rsidR="00685D51" w:rsidRDefault="00685D51">
          <w:pPr>
            <w:pStyle w:val="DrConRight"/>
          </w:pPr>
        </w:p>
      </w:tc>
    </w:tr>
  </w:tbl>
  <w:p w:rsidR="00685D51" w:rsidRDefault="00685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1" w:rsidRDefault="00685D51" w:rsidP="00AD33B0">
    <w:pPr>
      <w:tabs>
        <w:tab w:val="right" w:pos="8820"/>
      </w:tabs>
      <w:ind w:right="36"/>
      <w:rPr>
        <w:noProof/>
      </w:rPr>
    </w:pPr>
    <w:r>
      <w:rPr>
        <w:noProof/>
      </w:rPr>
      <w:t>Direct Testimony of Kurt G. Strunk</w:t>
    </w:r>
    <w:r>
      <w:rPr>
        <w:noProof/>
      </w:rPr>
      <w:tab/>
      <w:t>Exhibit No.___(KGS-1T)</w:t>
    </w:r>
  </w:p>
  <w:p w:rsidR="00685D51" w:rsidRDefault="00685D51" w:rsidP="0039223E">
    <w:pPr>
      <w:tabs>
        <w:tab w:val="right" w:pos="9180"/>
      </w:tabs>
      <w:spacing w:line="288" w:lineRule="auto"/>
      <w:ind w:right="36"/>
      <w:jc w:val="right"/>
    </w:pPr>
    <w:r>
      <w:rPr>
        <w:noProof/>
      </w:rPr>
      <w:t xml:space="preserve">Page </w:t>
    </w:r>
    <w:r>
      <w:rPr>
        <w:noProof/>
      </w:rPr>
      <w:fldChar w:fldCharType="begin"/>
    </w:r>
    <w:r>
      <w:rPr>
        <w:noProof/>
      </w:rPr>
      <w:instrText xml:space="preserve"> PAGE   \* MERGEFORMAT </w:instrText>
    </w:r>
    <w:r>
      <w:rPr>
        <w:noProof/>
      </w:rPr>
      <w:fldChar w:fldCharType="separate"/>
    </w:r>
    <w:r w:rsidR="00A33B85">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1" w:rsidRDefault="00685D51">
    <w:pPr>
      <w:spacing w:line="288" w:lineRule="auto"/>
      <w:jc w:val="right"/>
    </w:pPr>
  </w:p>
  <w:p w:rsidR="00685D51" w:rsidRDefault="00685D51">
    <w:pPr>
      <w:pStyle w:val="Footer"/>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51" w:rsidRDefault="00685D51" w:rsidP="00342856">
    <w:pPr>
      <w:tabs>
        <w:tab w:val="right" w:pos="8820"/>
      </w:tabs>
      <w:rPr>
        <w:noProof/>
      </w:rPr>
    </w:pPr>
    <w:r>
      <w:rPr>
        <w:noProof/>
      </w:rPr>
      <w:t xml:space="preserve">Direct Testimony </w:t>
    </w:r>
    <w:r w:rsidR="00482134">
      <w:rPr>
        <w:noProof/>
      </w:rPr>
      <w:t>of Kurt G. Strunk</w:t>
    </w:r>
    <w:r w:rsidR="00482134">
      <w:rPr>
        <w:noProof/>
      </w:rPr>
      <w:tab/>
      <w:t>Exhibit No.___</w:t>
    </w:r>
    <w:r>
      <w:rPr>
        <w:noProof/>
      </w:rPr>
      <w:t>(KGS-1T)</w:t>
    </w:r>
  </w:p>
  <w:p w:rsidR="00685D51" w:rsidRDefault="00685D51" w:rsidP="0039223E">
    <w:pPr>
      <w:spacing w:line="288" w:lineRule="auto"/>
      <w:jc w:val="right"/>
      <w:rPr>
        <w:lang w:val="pt-BR"/>
      </w:rPr>
    </w:pPr>
    <w:r>
      <w:rPr>
        <w:noProof/>
      </w:rPr>
      <w:t xml:space="preserve">Page </w:t>
    </w:r>
    <w:r>
      <w:rPr>
        <w:noProof/>
      </w:rPr>
      <w:fldChar w:fldCharType="begin"/>
    </w:r>
    <w:r>
      <w:rPr>
        <w:noProof/>
      </w:rPr>
      <w:instrText xml:space="preserve"> PAGE   \* MERGEFORMAT </w:instrText>
    </w:r>
    <w:r>
      <w:rPr>
        <w:noProof/>
      </w:rPr>
      <w:fldChar w:fldCharType="separate"/>
    </w:r>
    <w:r w:rsidR="00A33B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B9" w:rsidRDefault="007359B9">
      <w:r>
        <w:separator/>
      </w:r>
    </w:p>
  </w:footnote>
  <w:footnote w:type="continuationSeparator" w:id="0">
    <w:p w:rsidR="007359B9" w:rsidRDefault="007359B9">
      <w:r>
        <w:continuationSeparator/>
      </w:r>
    </w:p>
    <w:p w:rsidR="007359B9" w:rsidRDefault="007359B9">
      <w:pPr>
        <w:pStyle w:val="FootnoteText"/>
      </w:pPr>
      <w:r>
        <w:t xml:space="preserve">(...continued) </w:t>
      </w:r>
    </w:p>
  </w:footnote>
  <w:footnote w:type="continuationNotice" w:id="1">
    <w:p w:rsidR="007359B9" w:rsidRDefault="007359B9">
      <w:pPr>
        <w:pStyle w:val="FootnoteText"/>
        <w:jc w:val="right"/>
      </w:pPr>
      <w:r>
        <w:t>(</w:t>
      </w:r>
      <w:proofErr w:type="gramStart"/>
      <w:r>
        <w:t>continued</w:t>
      </w:r>
      <w:proofErr w:type="gramEnd"/>
      <w:r>
        <w:t xml:space="preserve">...) </w:t>
      </w:r>
    </w:p>
  </w:footnote>
  <w:footnote w:id="2">
    <w:p w:rsidR="00685D51" w:rsidRDefault="00685D51" w:rsidP="00482134">
      <w:pPr>
        <w:pStyle w:val="FootnoteText"/>
        <w:tabs>
          <w:tab w:val="left" w:pos="720"/>
        </w:tabs>
      </w:pPr>
      <w:r>
        <w:rPr>
          <w:rStyle w:val="FootnoteReference"/>
        </w:rPr>
        <w:footnoteRef/>
      </w:r>
      <w:r>
        <w:t xml:space="preserve"> </w:t>
      </w:r>
      <w:proofErr w:type="gramStart"/>
      <w:r>
        <w:t>RCW 80.28.010(1).</w:t>
      </w:r>
      <w:proofErr w:type="gramEnd"/>
    </w:p>
  </w:footnote>
  <w:footnote w:id="3">
    <w:p w:rsidR="00685D51" w:rsidRDefault="00685D51" w:rsidP="00301A3B">
      <w:pPr>
        <w:pStyle w:val="FootnoteText"/>
        <w:spacing w:after="0"/>
        <w:ind w:left="0" w:firstLine="0"/>
        <w:jc w:val="left"/>
      </w:pPr>
      <w:r>
        <w:rPr>
          <w:rStyle w:val="FootnoteReference"/>
        </w:rPr>
        <w:footnoteRef/>
      </w:r>
      <w:r>
        <w:t xml:space="preserve"> </w:t>
      </w:r>
      <w:proofErr w:type="gramStart"/>
      <w:r>
        <w:rPr>
          <w:i/>
        </w:rPr>
        <w:t>Bluefield Water Works &amp; Improvement Co. v. Pub</w:t>
      </w:r>
      <w:r w:rsidR="00864BEC">
        <w:rPr>
          <w:i/>
        </w:rPr>
        <w:t>.</w:t>
      </w:r>
      <w:proofErr w:type="gramEnd"/>
      <w:r>
        <w:rPr>
          <w:i/>
        </w:rPr>
        <w:t xml:space="preserve"> </w:t>
      </w:r>
      <w:proofErr w:type="gramStart"/>
      <w:r w:rsidR="00864BEC">
        <w:rPr>
          <w:i/>
        </w:rPr>
        <w:t xml:space="preserve">Serv. </w:t>
      </w:r>
      <w:proofErr w:type="spellStart"/>
      <w:r w:rsidR="00864BEC">
        <w:rPr>
          <w:i/>
        </w:rPr>
        <w:t>Comm’n</w:t>
      </w:r>
      <w:proofErr w:type="spellEnd"/>
      <w:r w:rsidR="00864BEC">
        <w:rPr>
          <w:i/>
        </w:rPr>
        <w:t xml:space="preserve"> </w:t>
      </w:r>
      <w:r>
        <w:rPr>
          <w:i/>
        </w:rPr>
        <w:t>of W</w:t>
      </w:r>
      <w:r w:rsidR="00864BEC">
        <w:rPr>
          <w:i/>
        </w:rPr>
        <w:t>.</w:t>
      </w:r>
      <w:r>
        <w:rPr>
          <w:i/>
        </w:rPr>
        <w:t xml:space="preserve"> </w:t>
      </w:r>
      <w:r w:rsidR="00864BEC">
        <w:rPr>
          <w:i/>
        </w:rPr>
        <w:t>Va.</w:t>
      </w:r>
      <w:r>
        <w:rPr>
          <w:i/>
        </w:rPr>
        <w:t xml:space="preserve">, </w:t>
      </w:r>
      <w:r>
        <w:t>262 U.S. 679, 692-3 (1923).</w:t>
      </w:r>
      <w:proofErr w:type="gramEnd"/>
    </w:p>
  </w:footnote>
  <w:footnote w:id="4">
    <w:p w:rsidR="00685D51" w:rsidRDefault="00685D51" w:rsidP="00301A3B">
      <w:pPr>
        <w:pStyle w:val="FootnoteText"/>
        <w:spacing w:after="0"/>
        <w:ind w:left="0" w:firstLine="0"/>
        <w:jc w:val="left"/>
      </w:pPr>
      <w:r>
        <w:rPr>
          <w:rStyle w:val="FootnoteReference"/>
        </w:rPr>
        <w:footnoteRef/>
      </w:r>
      <w:r>
        <w:t xml:space="preserve"> </w:t>
      </w:r>
      <w:proofErr w:type="gramStart"/>
      <w:r>
        <w:rPr>
          <w:i/>
        </w:rPr>
        <w:t>Fed</w:t>
      </w:r>
      <w:r w:rsidR="00864BEC">
        <w:rPr>
          <w:i/>
        </w:rPr>
        <w:t>.</w:t>
      </w:r>
      <w:proofErr w:type="gramEnd"/>
      <w:r>
        <w:rPr>
          <w:i/>
        </w:rPr>
        <w:t xml:space="preserve"> </w:t>
      </w:r>
      <w:proofErr w:type="gramStart"/>
      <w:r w:rsidRPr="00301A3B">
        <w:rPr>
          <w:i/>
        </w:rPr>
        <w:t>Power</w:t>
      </w:r>
      <w:r>
        <w:rPr>
          <w:i/>
        </w:rPr>
        <w:t xml:space="preserve"> </w:t>
      </w:r>
      <w:proofErr w:type="spellStart"/>
      <w:r w:rsidR="00864BEC">
        <w:rPr>
          <w:i/>
        </w:rPr>
        <w:t>Comm’n</w:t>
      </w:r>
      <w:proofErr w:type="spellEnd"/>
      <w:r w:rsidR="00864BEC">
        <w:rPr>
          <w:i/>
        </w:rPr>
        <w:t xml:space="preserve"> </w:t>
      </w:r>
      <w:r>
        <w:rPr>
          <w:i/>
        </w:rPr>
        <w:t xml:space="preserve">v. Hope Natural Gas </w:t>
      </w:r>
      <w:r w:rsidR="00864BEC">
        <w:rPr>
          <w:i/>
        </w:rPr>
        <w:t>Co.</w:t>
      </w:r>
      <w:r>
        <w:t>, 320 U.S. 591</w:t>
      </w:r>
      <w:r w:rsidR="00864BEC">
        <w:t>, 603</w:t>
      </w:r>
      <w:r>
        <w:t xml:space="preserve"> (1944).</w:t>
      </w:r>
      <w:proofErr w:type="gramEnd"/>
    </w:p>
  </w:footnote>
  <w:footnote w:id="5">
    <w:p w:rsidR="00685D51" w:rsidRDefault="00685D51" w:rsidP="00301A3B">
      <w:pPr>
        <w:pStyle w:val="FootnoteText"/>
        <w:spacing w:after="0"/>
        <w:ind w:left="0" w:firstLine="0"/>
        <w:jc w:val="left"/>
      </w:pPr>
      <w:r>
        <w:rPr>
          <w:rStyle w:val="FootnoteReference"/>
        </w:rPr>
        <w:footnoteRef/>
      </w:r>
      <w:r>
        <w:t xml:space="preserve"> </w:t>
      </w:r>
      <w:proofErr w:type="gramStart"/>
      <w:r w:rsidR="00C949DF">
        <w:rPr>
          <w:i/>
        </w:rPr>
        <w:t xml:space="preserve">See </w:t>
      </w:r>
      <w:proofErr w:type="spellStart"/>
      <w:r w:rsidR="00C949DF">
        <w:t>Brealey</w:t>
      </w:r>
      <w:proofErr w:type="spellEnd"/>
      <w:r w:rsidR="00C949DF">
        <w:t xml:space="preserve"> and Myers, </w:t>
      </w:r>
      <w:r w:rsidR="00C949DF">
        <w:rPr>
          <w:i/>
          <w:iCs/>
        </w:rPr>
        <w:t>Principles of Corporate Finance</w:t>
      </w:r>
      <w:r w:rsidR="00C949DF">
        <w:t xml:space="preserve"> at 121, 544 (7th ed. 2003).</w:t>
      </w:r>
      <w:proofErr w:type="gramEnd"/>
      <w:r w:rsidR="00C949DF">
        <w:t xml:space="preserve">  </w:t>
      </w:r>
      <w:r w:rsidR="00C949DF">
        <w:rPr>
          <w:i/>
          <w:iCs/>
        </w:rPr>
        <w:t>See also</w:t>
      </w:r>
      <w:r w:rsidR="00C949DF">
        <w:t xml:space="preserve"> Ross, </w:t>
      </w:r>
      <w:proofErr w:type="spellStart"/>
      <w:r w:rsidR="00C949DF">
        <w:t>Westerfield</w:t>
      </w:r>
      <w:proofErr w:type="spellEnd"/>
      <w:r w:rsidR="00C949DF">
        <w:t xml:space="preserve">, and Jaffe, </w:t>
      </w:r>
      <w:r w:rsidR="00C949DF">
        <w:rPr>
          <w:i/>
          <w:iCs/>
        </w:rPr>
        <w:t xml:space="preserve">Corporate </w:t>
      </w:r>
      <w:r w:rsidR="00C949DF">
        <w:t>Finance</w:t>
      </w:r>
      <w:r w:rsidR="00C949DF">
        <w:rPr>
          <w:i/>
          <w:iCs/>
        </w:rPr>
        <w:t xml:space="preserve"> </w:t>
      </w:r>
      <w:r w:rsidR="00C949DF">
        <w:t>at 167 (4th ed. 1996).</w:t>
      </w:r>
    </w:p>
  </w:footnote>
  <w:footnote w:id="6">
    <w:p w:rsidR="00685D51" w:rsidRPr="00A824CD" w:rsidRDefault="00685D51" w:rsidP="00A824CD">
      <w:pPr>
        <w:pStyle w:val="FootnoteText"/>
        <w:spacing w:after="0"/>
        <w:ind w:left="0" w:firstLine="0"/>
        <w:jc w:val="left"/>
      </w:pPr>
      <w:r w:rsidRPr="00A824CD">
        <w:rPr>
          <w:rStyle w:val="FootnoteReference"/>
        </w:rPr>
        <w:footnoteRef/>
      </w:r>
      <w:r>
        <w:t xml:space="preserve"> </w:t>
      </w:r>
      <w:r w:rsidRPr="00A824CD">
        <w:t xml:space="preserve">For a discussion of the theory underlying the DCF model, </w:t>
      </w:r>
      <w:r w:rsidRPr="00A824CD">
        <w:rPr>
          <w:i/>
        </w:rPr>
        <w:t>see</w:t>
      </w:r>
      <w:r>
        <w:t xml:space="preserve"> </w:t>
      </w:r>
      <w:r w:rsidRPr="00A824CD">
        <w:t xml:space="preserve">M. Gordon, </w:t>
      </w:r>
      <w:r w:rsidRPr="00A824CD">
        <w:rPr>
          <w:i/>
        </w:rPr>
        <w:t>The Investment, Financing and Valuation of the Corporation</w:t>
      </w:r>
      <w:r w:rsidRPr="00A824CD">
        <w:t xml:space="preserve"> (1962).</w:t>
      </w:r>
    </w:p>
  </w:footnote>
  <w:footnote w:id="7">
    <w:p w:rsidR="00685D51" w:rsidRDefault="00685D51" w:rsidP="00A824CD">
      <w:pPr>
        <w:pStyle w:val="FootnoteText"/>
        <w:spacing w:after="0"/>
        <w:ind w:left="0" w:firstLine="0"/>
        <w:jc w:val="left"/>
        <w:rPr>
          <w:i/>
          <w:iCs/>
        </w:rPr>
      </w:pPr>
      <w:r>
        <w:rPr>
          <w:rStyle w:val="FootnoteReference"/>
        </w:rPr>
        <w:footnoteRef/>
      </w:r>
      <w:r>
        <w:t xml:space="preserve"> </w:t>
      </w:r>
      <w:r w:rsidRPr="005666AC">
        <w:rPr>
          <w:i/>
        </w:rPr>
        <w:t>See, e.g</w:t>
      </w:r>
      <w:r>
        <w:t xml:space="preserve">., Ibbotson Associates, </w:t>
      </w:r>
      <w:r w:rsidR="001D06DD" w:rsidRPr="001D06DD">
        <w:rPr>
          <w:i/>
        </w:rPr>
        <w:t>Market Results for</w:t>
      </w:r>
      <w:r w:rsidR="001D06DD">
        <w:t xml:space="preserve"> </w:t>
      </w:r>
      <w:r>
        <w:rPr>
          <w:i/>
          <w:iCs/>
        </w:rPr>
        <w:t>Stocks, Bonds, Bills and Inflation</w:t>
      </w:r>
      <w:r w:rsidR="00C137D2">
        <w:rPr>
          <w:i/>
          <w:iCs/>
        </w:rPr>
        <w:t>,</w:t>
      </w:r>
      <w:r>
        <w:rPr>
          <w:i/>
          <w:iCs/>
        </w:rPr>
        <w:t xml:space="preserve"> 201</w:t>
      </w:r>
      <w:r w:rsidR="001D06DD">
        <w:rPr>
          <w:i/>
          <w:iCs/>
        </w:rPr>
        <w:t>1</w:t>
      </w:r>
      <w:r>
        <w:rPr>
          <w:i/>
          <w:iCs/>
        </w:rPr>
        <w:t xml:space="preserve"> </w:t>
      </w:r>
      <w:r w:rsidR="001D06DD">
        <w:rPr>
          <w:i/>
          <w:iCs/>
        </w:rPr>
        <w:t xml:space="preserve">Valuation </w:t>
      </w:r>
      <w:r>
        <w:rPr>
          <w:i/>
          <w:iCs/>
        </w:rPr>
        <w:t>Yearbook</w:t>
      </w:r>
      <w:r w:rsidR="001D06DD">
        <w:rPr>
          <w:i/>
          <w:iCs/>
        </w:rPr>
        <w:t>.</w:t>
      </w:r>
    </w:p>
  </w:footnote>
  <w:footnote w:id="8">
    <w:p w:rsidR="00685D51" w:rsidRDefault="00685D51" w:rsidP="00A824CD">
      <w:pPr>
        <w:pStyle w:val="FootnoteText"/>
        <w:spacing w:after="0"/>
        <w:ind w:left="0" w:firstLine="0"/>
        <w:jc w:val="left"/>
      </w:pPr>
      <w:r>
        <w:rPr>
          <w:rStyle w:val="FootnoteReference"/>
        </w:rPr>
        <w:footnoteRef/>
      </w:r>
      <w:r>
        <w:t xml:space="preserve"> The more volatile the </w:t>
      </w:r>
      <w:proofErr w:type="gramStart"/>
      <w:r>
        <w:t>return of a particular stock</w:t>
      </w:r>
      <w:proofErr w:type="gramEnd"/>
      <w:r>
        <w:t xml:space="preserve"> relative to the broader market, the higher the beta.  </w:t>
      </w:r>
    </w:p>
  </w:footnote>
  <w:footnote w:id="9">
    <w:p w:rsidR="00023426" w:rsidRDefault="00023426" w:rsidP="00023426">
      <w:pPr>
        <w:pStyle w:val="FootnoteText"/>
        <w:spacing w:after="0"/>
        <w:ind w:left="0" w:firstLine="0"/>
        <w:jc w:val="left"/>
      </w:pPr>
      <w:r>
        <w:rPr>
          <w:rStyle w:val="FootnoteReference"/>
        </w:rPr>
        <w:footnoteRef/>
      </w:r>
      <w:r>
        <w:t xml:space="preserve"> </w:t>
      </w:r>
      <w:r w:rsidRPr="00DF2FAB">
        <w:t>Treasury yields obtained from the Federal Reserve’s h15 release.</w:t>
      </w:r>
    </w:p>
  </w:footnote>
  <w:footnote w:id="10">
    <w:p w:rsidR="00023426" w:rsidRDefault="00023426" w:rsidP="00023426">
      <w:pPr>
        <w:pStyle w:val="FootnoteText"/>
        <w:spacing w:after="0"/>
        <w:ind w:left="0" w:firstLine="0"/>
        <w:jc w:val="left"/>
      </w:pPr>
      <w:r>
        <w:rPr>
          <w:rStyle w:val="FootnoteReference"/>
        </w:rPr>
        <w:footnoteRef/>
      </w:r>
      <w:r>
        <w:t xml:space="preserve"> </w:t>
      </w:r>
      <w:r w:rsidRPr="00DF2FAB">
        <w:t xml:space="preserve">Allowed returns obtained from Regulatory Research Associates, a division of SNL Energy.  </w:t>
      </w:r>
    </w:p>
  </w:footnote>
  <w:footnote w:id="11">
    <w:p w:rsidR="00685D51" w:rsidRDefault="00685D51" w:rsidP="002A7AB3">
      <w:pPr>
        <w:pStyle w:val="FootnoteText"/>
        <w:spacing w:after="0"/>
        <w:ind w:left="0" w:firstLine="0"/>
        <w:jc w:val="left"/>
      </w:pPr>
      <w:r>
        <w:rPr>
          <w:rStyle w:val="FootnoteReference"/>
        </w:rPr>
        <w:footnoteRef/>
      </w:r>
      <w:r>
        <w:t xml:space="preserve"> </w:t>
      </w:r>
      <w:r w:rsidRPr="005666AC">
        <w:rPr>
          <w:i/>
        </w:rPr>
        <w:t>See</w:t>
      </w:r>
      <w:r>
        <w:t xml:space="preserve"> </w:t>
      </w:r>
      <w:r w:rsidRPr="005666AC">
        <w:rPr>
          <w:i/>
        </w:rPr>
        <w:t>Order Accepting Tariff Filing Subject to Condition and Denying Waiver</w:t>
      </w:r>
      <w:r w:rsidR="003241B7">
        <w:t xml:space="preserve">, </w:t>
      </w:r>
      <w:r w:rsidR="003241B7" w:rsidRPr="003241B7">
        <w:t>146 FERC ¶ 61,043</w:t>
      </w:r>
      <w:r w:rsidR="003241B7">
        <w:t xml:space="preserve"> </w:t>
      </w:r>
      <w:r>
        <w:t xml:space="preserve">at 36, FERC </w:t>
      </w:r>
      <w:r w:rsidRPr="00693DF9">
        <w:t>Docket No. ER14-500-000</w:t>
      </w:r>
      <w:r>
        <w:t xml:space="preserve"> (Jan. 28, 2014).</w:t>
      </w:r>
    </w:p>
  </w:footnote>
  <w:footnote w:id="12">
    <w:p w:rsidR="00685D51" w:rsidRDefault="00685D51" w:rsidP="002A7AB3">
      <w:pPr>
        <w:pStyle w:val="FootnoteText"/>
        <w:spacing w:after="0"/>
        <w:ind w:left="0" w:firstLine="0"/>
        <w:jc w:val="left"/>
      </w:pPr>
      <w:r>
        <w:rPr>
          <w:rStyle w:val="FootnoteReference"/>
        </w:rPr>
        <w:footnoteRef/>
      </w:r>
      <w:r>
        <w:t xml:space="preserve"> </w:t>
      </w:r>
      <w:r w:rsidRPr="0079684B">
        <w:rPr>
          <w:i/>
        </w:rPr>
        <w:t>See</w:t>
      </w:r>
      <w:r>
        <w:t xml:space="preserve"> </w:t>
      </w:r>
      <w:r w:rsidRPr="005666AC">
        <w:rPr>
          <w:i/>
        </w:rPr>
        <w:t>Explanatory Statement, Rate of Return Guideline</w:t>
      </w:r>
      <w:r>
        <w:t xml:space="preserve">, Australian Energy Regulator (Dec. 2013). </w:t>
      </w:r>
    </w:p>
  </w:footnote>
  <w:footnote w:id="13">
    <w:p w:rsidR="00685D51" w:rsidRDefault="00685D51" w:rsidP="00AD33B0">
      <w:pPr>
        <w:pStyle w:val="FootnoteText"/>
        <w:spacing w:after="0"/>
        <w:ind w:left="0" w:firstLine="0"/>
        <w:jc w:val="left"/>
      </w:pPr>
      <w:r>
        <w:rPr>
          <w:rStyle w:val="FootnoteReference"/>
        </w:rPr>
        <w:footnoteRef/>
      </w:r>
      <w:r>
        <w:t xml:space="preserve"> </w:t>
      </w:r>
      <w:r>
        <w:rPr>
          <w:i/>
        </w:rPr>
        <w:t>See</w:t>
      </w:r>
      <w:r w:rsidRPr="005666AC">
        <w:rPr>
          <w:i/>
        </w:rPr>
        <w:t xml:space="preserve"> </w:t>
      </w:r>
      <w:r>
        <w:t>W. Carleton, W</w:t>
      </w:r>
      <w:r w:rsidR="003A1052">
        <w:t>.</w:t>
      </w:r>
      <w:r>
        <w:t xml:space="preserve"> Chambers and J. </w:t>
      </w:r>
      <w:proofErr w:type="spellStart"/>
      <w:r>
        <w:t>Lakonishok</w:t>
      </w:r>
      <w:proofErr w:type="spellEnd"/>
      <w:r>
        <w:t xml:space="preserve">, </w:t>
      </w:r>
      <w:r w:rsidRPr="005666AC">
        <w:rPr>
          <w:i/>
        </w:rPr>
        <w:t>Inflation Risk and Regulatory Lag</w:t>
      </w:r>
      <w:r>
        <w:t xml:space="preserve">, </w:t>
      </w:r>
      <w:r w:rsidRPr="005666AC">
        <w:t>Journal of Finance</w:t>
      </w:r>
      <w:r>
        <w:t xml:space="preserve">, (May 1983).  A similar approach is presented in R. Harris, </w:t>
      </w:r>
      <w:r w:rsidRPr="005666AC">
        <w:rPr>
          <w:i/>
        </w:rPr>
        <w:t>Using Analysts’ Growth Forecasts to Estimate Shareholder Required Rates of Return</w:t>
      </w:r>
      <w:r>
        <w:t xml:space="preserve">, </w:t>
      </w:r>
      <w:r w:rsidRPr="005666AC">
        <w:t>Financial Management</w:t>
      </w:r>
      <w:r>
        <w:t xml:space="preserve"> (Spring 1986).</w:t>
      </w:r>
    </w:p>
  </w:footnote>
  <w:footnote w:id="14">
    <w:p w:rsidR="00685D51" w:rsidRDefault="00685D51">
      <w:pPr>
        <w:autoSpaceDE w:val="0"/>
        <w:autoSpaceDN w:val="0"/>
        <w:adjustRightInd w:val="0"/>
        <w:jc w:val="left"/>
      </w:pPr>
      <w:r w:rsidRPr="00362AFA">
        <w:rPr>
          <w:rStyle w:val="FootnoteReference"/>
          <w:sz w:val="20"/>
        </w:rPr>
        <w:footnoteRef/>
      </w:r>
      <w:r>
        <w:t xml:space="preserve"> </w:t>
      </w:r>
      <w:proofErr w:type="gramStart"/>
      <w:r w:rsidRPr="0079684B">
        <w:rPr>
          <w:i/>
          <w:sz w:val="20"/>
        </w:rPr>
        <w:t>See, e.g.,</w:t>
      </w:r>
      <w:r>
        <w:rPr>
          <w:sz w:val="20"/>
        </w:rPr>
        <w:t xml:space="preserve"> </w:t>
      </w:r>
      <w:r w:rsidR="003A1052">
        <w:rPr>
          <w:sz w:val="20"/>
        </w:rPr>
        <w:t xml:space="preserve">H. </w:t>
      </w:r>
      <w:proofErr w:type="spellStart"/>
      <w:r>
        <w:rPr>
          <w:sz w:val="20"/>
        </w:rPr>
        <w:t>Roseman</w:t>
      </w:r>
      <w:proofErr w:type="spellEnd"/>
      <w:r>
        <w:rPr>
          <w:sz w:val="20"/>
        </w:rPr>
        <w:t xml:space="preserve">, </w:t>
      </w:r>
      <w:r w:rsidRPr="0079684B">
        <w:rPr>
          <w:i/>
          <w:sz w:val="20"/>
        </w:rPr>
        <w:t>Comparable Earnings and the Fair Rate of Return,</w:t>
      </w:r>
      <w:r>
        <w:rPr>
          <w:sz w:val="20"/>
        </w:rPr>
        <w:t xml:space="preserve"> </w:t>
      </w:r>
      <w:r w:rsidRPr="0079684B">
        <w:rPr>
          <w:sz w:val="20"/>
        </w:rPr>
        <w:t>Public Utility Law</w:t>
      </w:r>
      <w:r>
        <w:rPr>
          <w:sz w:val="20"/>
        </w:rPr>
        <w:t xml:space="preserve"> (ABA 1970).</w:t>
      </w:r>
      <w:proofErr w:type="gramEnd"/>
      <w:r>
        <w:rPr>
          <w:sz w:val="20"/>
        </w:rPr>
        <w:t xml:space="preserve"> </w:t>
      </w:r>
    </w:p>
  </w:footnote>
  <w:footnote w:id="15">
    <w:p w:rsidR="00685D51" w:rsidRDefault="00685D51" w:rsidP="00EA3B54">
      <w:pPr>
        <w:pStyle w:val="FootnoteText"/>
        <w:spacing w:after="0"/>
        <w:ind w:left="0" w:firstLine="0"/>
        <w:jc w:val="left"/>
      </w:pPr>
      <w:r>
        <w:rPr>
          <w:rStyle w:val="FootnoteReference"/>
        </w:rPr>
        <w:footnoteRef/>
      </w:r>
      <w:r>
        <w:t xml:space="preserve"> </w:t>
      </w:r>
      <w:proofErr w:type="gramStart"/>
      <w:r>
        <w:rPr>
          <w:lang w:val="en"/>
        </w:rPr>
        <w:t>SNL Energy’s Regulatory Research Associates (RRA)</w:t>
      </w:r>
      <w:r w:rsidR="00EA3B54">
        <w:rPr>
          <w:lang w:val="en"/>
        </w:rPr>
        <w:t xml:space="preserve"> Regulatory Focus</w:t>
      </w:r>
      <w:r>
        <w:rPr>
          <w:lang w:val="en"/>
        </w:rPr>
        <w:t xml:space="preserve">, </w:t>
      </w:r>
      <w:r w:rsidRPr="005666AC">
        <w:rPr>
          <w:lang w:val="en"/>
        </w:rPr>
        <w:t>F</w:t>
      </w:r>
      <w:r>
        <w:rPr>
          <w:lang w:val="en"/>
        </w:rPr>
        <w:t>inal Report</w:t>
      </w:r>
      <w:r w:rsidR="00EA3B54">
        <w:rPr>
          <w:lang w:val="en"/>
        </w:rPr>
        <w:t xml:space="preserve"> on</w:t>
      </w:r>
      <w:r>
        <w:rPr>
          <w:lang w:val="en"/>
        </w:rPr>
        <w:t xml:space="preserve"> </w:t>
      </w:r>
      <w:r w:rsidRPr="005666AC">
        <w:rPr>
          <w:lang w:val="en"/>
        </w:rPr>
        <w:t>Docket UE-130043</w:t>
      </w:r>
      <w:r w:rsidR="00EA3B54">
        <w:rPr>
          <w:lang w:val="en"/>
        </w:rPr>
        <w:t xml:space="preserve"> (</w:t>
      </w:r>
      <w:r>
        <w:rPr>
          <w:lang w:val="en"/>
        </w:rPr>
        <w:t>Jan. 17</w:t>
      </w:r>
      <w:r w:rsidR="00EA3B54">
        <w:rPr>
          <w:lang w:val="en"/>
        </w:rPr>
        <w:t>,</w:t>
      </w:r>
      <w:r>
        <w:rPr>
          <w:lang w:val="en"/>
        </w:rPr>
        <w:t xml:space="preserve"> 2014</w:t>
      </w:r>
      <w:r w:rsidR="00EA3B54">
        <w:rPr>
          <w:lang w:val="en"/>
        </w:rPr>
        <w:t>)</w:t>
      </w:r>
      <w:r>
        <w:rPr>
          <w:lang w:val="en"/>
        </w:rPr>
        <w:t xml:space="preserve"> (emphasis added).</w:t>
      </w:r>
      <w:proofErr w:type="gramEnd"/>
    </w:p>
  </w:footnote>
  <w:footnote w:id="16">
    <w:p w:rsidR="00685D51" w:rsidRDefault="00685D51" w:rsidP="00685D51">
      <w:pPr>
        <w:pStyle w:val="FootnoteText"/>
        <w:spacing w:after="0"/>
        <w:ind w:left="0" w:firstLine="0"/>
        <w:jc w:val="left"/>
      </w:pPr>
      <w:r>
        <w:rPr>
          <w:rStyle w:val="FootnoteReference"/>
        </w:rPr>
        <w:footnoteRef/>
      </w:r>
      <w:r>
        <w:t xml:space="preserve"> </w:t>
      </w:r>
      <w:proofErr w:type="gramStart"/>
      <w:r w:rsidRPr="00565A21">
        <w:rPr>
          <w:i/>
        </w:rPr>
        <w:t>See</w:t>
      </w:r>
      <w:r>
        <w:t xml:space="preserve">, </w:t>
      </w:r>
      <w:r w:rsidR="007845D2" w:rsidRPr="00342856">
        <w:rPr>
          <w:i/>
        </w:rPr>
        <w:t>e.g.,</w:t>
      </w:r>
      <w:r w:rsidR="007845D2">
        <w:t xml:space="preserve"> Ross, </w:t>
      </w:r>
      <w:proofErr w:type="spellStart"/>
      <w:r w:rsidR="007845D2">
        <w:t>Westerfield</w:t>
      </w:r>
      <w:proofErr w:type="spellEnd"/>
      <w:r w:rsidR="007845D2">
        <w:t xml:space="preserve">, and Jaffe, </w:t>
      </w:r>
      <w:r w:rsidR="007845D2">
        <w:rPr>
          <w:i/>
        </w:rPr>
        <w:t xml:space="preserve">Corporate Finance, </w:t>
      </w:r>
      <w:r w:rsidR="007845D2" w:rsidRPr="00342856">
        <w:t>Chapter 17</w:t>
      </w:r>
      <w:r w:rsidR="007845D2">
        <w:t xml:space="preserve"> (</w:t>
      </w:r>
      <w:r w:rsidR="00F1060B">
        <w:t>4</w:t>
      </w:r>
      <w:r w:rsidR="00F1060B" w:rsidRPr="008F694B">
        <w:t>th</w:t>
      </w:r>
      <w:r w:rsidR="00F1060B">
        <w:t xml:space="preserve"> ed. 1</w:t>
      </w:r>
      <w:r w:rsidR="007845D2">
        <w:t>996).</w:t>
      </w:r>
      <w:proofErr w:type="gramEnd"/>
      <w:r w:rsidR="007845D2">
        <w:t xml:space="preserve"> </w:t>
      </w:r>
    </w:p>
  </w:footnote>
  <w:footnote w:id="17">
    <w:p w:rsidR="00685D51" w:rsidRDefault="00685D51" w:rsidP="00685D51">
      <w:pPr>
        <w:pStyle w:val="FootnoteText"/>
        <w:spacing w:after="0"/>
        <w:ind w:left="0" w:firstLine="0"/>
        <w:jc w:val="left"/>
      </w:pPr>
      <w:r>
        <w:rPr>
          <w:rStyle w:val="FootnoteReference"/>
        </w:rPr>
        <w:footnoteRef/>
      </w:r>
      <w:r>
        <w:t xml:space="preserve"> </w:t>
      </w:r>
      <w:r w:rsidRPr="00685D51">
        <w:rPr>
          <w:i/>
        </w:rPr>
        <w:t>See</w:t>
      </w:r>
      <w:r>
        <w:t xml:space="preserve"> </w:t>
      </w:r>
      <w:r>
        <w:rPr>
          <w:i/>
        </w:rPr>
        <w:t>Methodology:</w:t>
      </w:r>
      <w:r>
        <w:t xml:space="preserve"> </w:t>
      </w:r>
      <w:r>
        <w:rPr>
          <w:i/>
        </w:rPr>
        <w:t>Business Risk/Financial Risk Matrix Expanded</w:t>
      </w:r>
      <w:r w:rsidR="008F694B">
        <w:t xml:space="preserve"> at</w:t>
      </w:r>
      <w:r>
        <w:rPr>
          <w:i/>
        </w:rPr>
        <w:t xml:space="preserve"> </w:t>
      </w:r>
      <w:r w:rsidRPr="00342856">
        <w:t>3</w:t>
      </w:r>
      <w:r w:rsidR="00791CD5">
        <w:t>-4</w:t>
      </w:r>
      <w:r>
        <w:rPr>
          <w:i/>
        </w:rPr>
        <w:t xml:space="preserve"> </w:t>
      </w:r>
      <w:r>
        <w:t xml:space="preserve">Standard &amp; Poor’s Rating Service (Sept. 18, 2012). </w:t>
      </w:r>
    </w:p>
  </w:footnote>
  <w:footnote w:id="18">
    <w:p w:rsidR="00685D51" w:rsidRDefault="00685D51">
      <w:pPr>
        <w:pStyle w:val="FootnoteText"/>
      </w:pPr>
      <w:r>
        <w:rPr>
          <w:rStyle w:val="FootnoteReference"/>
        </w:rPr>
        <w:footnoteRef/>
      </w:r>
      <w:r>
        <w:t xml:space="preserve"> </w:t>
      </w:r>
      <w:proofErr w:type="gramStart"/>
      <w:r>
        <w:rPr>
          <w:i/>
        </w:rPr>
        <w:t>Id.</w:t>
      </w:r>
      <w:r>
        <w:t>at 2.</w:t>
      </w:r>
      <w:proofErr w:type="gramEnd"/>
    </w:p>
  </w:footnote>
  <w:footnote w:id="19">
    <w:p w:rsidR="00685D51" w:rsidRDefault="00685D51">
      <w:pPr>
        <w:pStyle w:val="FootnoteText"/>
      </w:pPr>
      <w:r>
        <w:rPr>
          <w:rStyle w:val="FootnoteReference"/>
        </w:rPr>
        <w:footnoteRef/>
      </w:r>
      <w:r>
        <w:t xml:space="preserve"> </w:t>
      </w:r>
      <w:r w:rsidRPr="001161B3">
        <w:rPr>
          <w:i/>
        </w:rPr>
        <w:t>See</w:t>
      </w:r>
      <w:r>
        <w:t xml:space="preserve"> J. </w:t>
      </w:r>
      <w:proofErr w:type="spellStart"/>
      <w:r>
        <w:t>Bonbright</w:t>
      </w:r>
      <w:proofErr w:type="spellEnd"/>
      <w:r>
        <w:t xml:space="preserve">, </w:t>
      </w:r>
      <w:r w:rsidRPr="001161B3">
        <w:rPr>
          <w:rStyle w:val="st"/>
          <w:i/>
        </w:rPr>
        <w:t>Principles of Public Utility Rates</w:t>
      </w:r>
      <w:r>
        <w:rPr>
          <w:rStyle w:val="st"/>
        </w:rPr>
        <w:t>, 50 (1961).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685D51">
      <w:trPr>
        <w:trHeight w:hRule="exact" w:val="720"/>
        <w:jc w:val="center"/>
      </w:trPr>
      <w:tc>
        <w:tcPr>
          <w:tcW w:w="3931" w:type="dxa"/>
        </w:tcPr>
        <w:p w:rsidR="00685D51" w:rsidRDefault="00A33B85">
          <w:pPr>
            <w:pStyle w:val="DrConLeft"/>
          </w:pPr>
          <w:r>
            <w:fldChar w:fldCharType="begin"/>
          </w:r>
          <w:r>
            <w:instrText xml:space="preserve"> DOCPROPERTY "zpsPrivilegedText1" </w:instrText>
          </w:r>
          <w:r>
            <w:fldChar w:fldCharType="separate"/>
          </w:r>
          <w:r w:rsidR="0032112C">
            <w:t>Privileged and Confidential</w:t>
          </w:r>
          <w:r>
            <w:fldChar w:fldCharType="end"/>
          </w:r>
        </w:p>
        <w:p w:rsidR="00685D51" w:rsidRDefault="00A33B85">
          <w:pPr>
            <w:pStyle w:val="DrConLeft"/>
          </w:pPr>
          <w:r>
            <w:fldChar w:fldCharType="begin"/>
          </w:r>
          <w:r>
            <w:instrText xml:space="preserve"> DOCPROPERTY "zpsPrivilegedText2" </w:instrText>
          </w:r>
          <w:r>
            <w:fldChar w:fldCharType="separate"/>
          </w:r>
          <w:r w:rsidR="0032112C">
            <w:t>Prepared at Request of Counsel</w:t>
          </w:r>
          <w:r>
            <w:fldChar w:fldCharType="end"/>
          </w:r>
        </w:p>
      </w:tc>
      <w:tc>
        <w:tcPr>
          <w:tcW w:w="1584" w:type="dxa"/>
        </w:tcPr>
        <w:p w:rsidR="00685D51" w:rsidRDefault="00685D51">
          <w:pPr>
            <w:pStyle w:val="Footer"/>
            <w:jc w:val="center"/>
          </w:pPr>
        </w:p>
        <w:p w:rsidR="00685D51" w:rsidRDefault="00685D51">
          <w:pPr>
            <w:pStyle w:val="Footer"/>
            <w:jc w:val="center"/>
          </w:pPr>
          <w:r>
            <w:t xml:space="preserve">- </w:t>
          </w:r>
          <w:r>
            <w:fldChar w:fldCharType="begin"/>
          </w:r>
          <w:r>
            <w:instrText xml:space="preserve"> PAGE </w:instrText>
          </w:r>
          <w:r>
            <w:fldChar w:fldCharType="separate"/>
          </w:r>
          <w:r>
            <w:rPr>
              <w:noProof/>
            </w:rPr>
            <w:t>36</w:t>
          </w:r>
          <w:r>
            <w:rPr>
              <w:noProof/>
            </w:rPr>
            <w:fldChar w:fldCharType="end"/>
          </w:r>
          <w:r>
            <w:t xml:space="preserve"> -</w:t>
          </w:r>
        </w:p>
      </w:tc>
      <w:tc>
        <w:tcPr>
          <w:tcW w:w="3931" w:type="dxa"/>
        </w:tcPr>
        <w:p w:rsidR="00685D51" w:rsidRDefault="00685D51">
          <w:pPr>
            <w:pStyle w:val="DrConRight"/>
          </w:pPr>
          <w:r>
            <w:fldChar w:fldCharType="begin"/>
          </w:r>
          <w:r>
            <w:instrText xml:space="preserve"> REF zDraft1 \* MERGEFORMAT </w:instrText>
          </w:r>
          <w:r>
            <w:fldChar w:fldCharType="separate"/>
          </w:r>
          <w:r w:rsidR="0032112C">
            <w:rPr>
              <w:b w:val="0"/>
              <w:bCs/>
            </w:rPr>
            <w:t>Error! Reference source not found.</w:t>
          </w:r>
          <w:r>
            <w:fldChar w:fldCharType="end"/>
          </w:r>
        </w:p>
        <w:p w:rsidR="00685D51" w:rsidRDefault="00685D51">
          <w:pPr>
            <w:pStyle w:val="DrConRight"/>
          </w:pPr>
          <w:r>
            <w:fldChar w:fldCharType="begin"/>
          </w:r>
          <w:r>
            <w:instrText xml:space="preserve"> REF zDraft2 \* MERGEFORMAT </w:instrText>
          </w:r>
          <w:r>
            <w:fldChar w:fldCharType="separate"/>
          </w:r>
          <w:r w:rsidR="0032112C">
            <w:rPr>
              <w:b w:val="0"/>
              <w:bCs/>
            </w:rPr>
            <w:t>Error! Reference source not found.</w:t>
          </w:r>
          <w:r>
            <w:fldChar w:fldCharType="end"/>
          </w:r>
        </w:p>
      </w:tc>
    </w:tr>
  </w:tbl>
  <w:p w:rsidR="00685D51" w:rsidRDefault="00685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85" w:rsidRDefault="00A33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85" w:rsidRDefault="00A33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0E0D248"/>
    <w:lvl w:ilvl="0">
      <w:start w:val="1"/>
      <w:numFmt w:val="upperRoman"/>
      <w:lvlText w:val="%1."/>
      <w:lvlJc w:val="left"/>
      <w:pPr>
        <w:tabs>
          <w:tab w:val="num" w:pos="0"/>
        </w:tabs>
        <w:ind w:left="0" w:firstLine="0"/>
      </w:pPr>
      <w:rPr>
        <w:rFonts w:hint="default"/>
        <w:sz w:val="24"/>
        <w:szCs w:val="24"/>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B06C5F"/>
    <w:multiLevelType w:val="multilevel"/>
    <w:tmpl w:val="0409001D"/>
    <w:name w:val="Appendices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1C353BA"/>
    <w:multiLevelType w:val="hybridMultilevel"/>
    <w:tmpl w:val="BCCA3686"/>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36161E88"/>
    <w:multiLevelType w:val="multilevel"/>
    <w:tmpl w:val="CB2A8944"/>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4">
    <w:nsid w:val="393C633D"/>
    <w:multiLevelType w:val="singleLevel"/>
    <w:tmpl w:val="D4D20DD8"/>
    <w:lvl w:ilvl="0">
      <w:start w:val="1"/>
      <w:numFmt w:val="decimal"/>
      <w:lvlText w:val="%1."/>
      <w:legacy w:legacy="1" w:legacySpace="0" w:legacyIndent="360"/>
      <w:lvlJc w:val="left"/>
      <w:pPr>
        <w:ind w:left="720" w:hanging="360"/>
      </w:pPr>
    </w:lvl>
  </w:abstractNum>
  <w:abstractNum w:abstractNumId="5">
    <w:nsid w:val="48AB180A"/>
    <w:multiLevelType w:val="singleLevel"/>
    <w:tmpl w:val="F4FE560E"/>
    <w:lvl w:ilvl="0">
      <w:start w:val="1"/>
      <w:numFmt w:val="bullet"/>
      <w:pStyle w:val="ListBullet"/>
      <w:lvlText w:val=""/>
      <w:lvlJc w:val="left"/>
      <w:pPr>
        <w:tabs>
          <w:tab w:val="num" w:pos="720"/>
        </w:tabs>
        <w:ind w:left="720" w:hanging="360"/>
      </w:pPr>
      <w:rPr>
        <w:rFonts w:ascii="Symbol" w:hAnsi="Symbol" w:hint="default"/>
      </w:rPr>
    </w:lvl>
  </w:abstractNum>
  <w:abstractNum w:abstractNumId="6">
    <w:nsid w:val="584637D5"/>
    <w:multiLevelType w:val="multilevel"/>
    <w:tmpl w:val="1CF8CBA0"/>
    <w:lvl w:ilvl="0">
      <w:start w:val="1"/>
      <w:numFmt w:val="decimal"/>
      <w:lvlText w:val="%1."/>
      <w:legacy w:legacy="1" w:legacySpace="0" w:legacyIndent="36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9B41DF"/>
    <w:multiLevelType w:val="multilevel"/>
    <w:tmpl w:val="A13AA486"/>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AC"/>
    <w:rsid w:val="00000890"/>
    <w:rsid w:val="0002220B"/>
    <w:rsid w:val="00023426"/>
    <w:rsid w:val="00040551"/>
    <w:rsid w:val="0006618F"/>
    <w:rsid w:val="000F3A5D"/>
    <w:rsid w:val="001161B3"/>
    <w:rsid w:val="00134C29"/>
    <w:rsid w:val="00137EFC"/>
    <w:rsid w:val="00161E93"/>
    <w:rsid w:val="001652C7"/>
    <w:rsid w:val="00170E57"/>
    <w:rsid w:val="001740E9"/>
    <w:rsid w:val="0018045C"/>
    <w:rsid w:val="00185133"/>
    <w:rsid w:val="001903AB"/>
    <w:rsid w:val="001D06DD"/>
    <w:rsid w:val="001D59A5"/>
    <w:rsid w:val="001E0FB2"/>
    <w:rsid w:val="00212CEF"/>
    <w:rsid w:val="002333B9"/>
    <w:rsid w:val="002433EF"/>
    <w:rsid w:val="002A7AB3"/>
    <w:rsid w:val="002D5EA9"/>
    <w:rsid w:val="002E12BD"/>
    <w:rsid w:val="002F434B"/>
    <w:rsid w:val="00301A3B"/>
    <w:rsid w:val="0032112C"/>
    <w:rsid w:val="0032227A"/>
    <w:rsid w:val="003241B7"/>
    <w:rsid w:val="00342856"/>
    <w:rsid w:val="00344178"/>
    <w:rsid w:val="003447F8"/>
    <w:rsid w:val="00362AFA"/>
    <w:rsid w:val="00384017"/>
    <w:rsid w:val="0039223E"/>
    <w:rsid w:val="003A1052"/>
    <w:rsid w:val="003A300A"/>
    <w:rsid w:val="003A6BB2"/>
    <w:rsid w:val="00401DEB"/>
    <w:rsid w:val="00413F04"/>
    <w:rsid w:val="004159FB"/>
    <w:rsid w:val="004410E7"/>
    <w:rsid w:val="00461578"/>
    <w:rsid w:val="00464B2A"/>
    <w:rsid w:val="004815CB"/>
    <w:rsid w:val="00482134"/>
    <w:rsid w:val="004A0AC3"/>
    <w:rsid w:val="004A283E"/>
    <w:rsid w:val="004C0628"/>
    <w:rsid w:val="004D29D8"/>
    <w:rsid w:val="00500F03"/>
    <w:rsid w:val="0052368D"/>
    <w:rsid w:val="005503F9"/>
    <w:rsid w:val="00556902"/>
    <w:rsid w:val="00565A21"/>
    <w:rsid w:val="005666AC"/>
    <w:rsid w:val="005900CE"/>
    <w:rsid w:val="00592126"/>
    <w:rsid w:val="005C0C48"/>
    <w:rsid w:val="005F7908"/>
    <w:rsid w:val="00601484"/>
    <w:rsid w:val="00605BF2"/>
    <w:rsid w:val="0066440B"/>
    <w:rsid w:val="00670896"/>
    <w:rsid w:val="006778EC"/>
    <w:rsid w:val="0068160B"/>
    <w:rsid w:val="00685D51"/>
    <w:rsid w:val="00693DF9"/>
    <w:rsid w:val="006971CD"/>
    <w:rsid w:val="006D7C1B"/>
    <w:rsid w:val="00707626"/>
    <w:rsid w:val="007346DC"/>
    <w:rsid w:val="007359B9"/>
    <w:rsid w:val="00761B0B"/>
    <w:rsid w:val="00763F63"/>
    <w:rsid w:val="007845D2"/>
    <w:rsid w:val="00791CD5"/>
    <w:rsid w:val="0079684B"/>
    <w:rsid w:val="007E258E"/>
    <w:rsid w:val="007F5EDF"/>
    <w:rsid w:val="00814457"/>
    <w:rsid w:val="008169E8"/>
    <w:rsid w:val="00840732"/>
    <w:rsid w:val="0084336F"/>
    <w:rsid w:val="00847480"/>
    <w:rsid w:val="00864BEC"/>
    <w:rsid w:val="00866390"/>
    <w:rsid w:val="00874378"/>
    <w:rsid w:val="00880501"/>
    <w:rsid w:val="008977CD"/>
    <w:rsid w:val="008A47E2"/>
    <w:rsid w:val="008B78FF"/>
    <w:rsid w:val="008C2350"/>
    <w:rsid w:val="008E22C3"/>
    <w:rsid w:val="008F06E4"/>
    <w:rsid w:val="008F694B"/>
    <w:rsid w:val="00907D50"/>
    <w:rsid w:val="00910F6F"/>
    <w:rsid w:val="009608E6"/>
    <w:rsid w:val="00964B91"/>
    <w:rsid w:val="00975575"/>
    <w:rsid w:val="009826C3"/>
    <w:rsid w:val="009D3399"/>
    <w:rsid w:val="009E43E5"/>
    <w:rsid w:val="00A116F5"/>
    <w:rsid w:val="00A158FC"/>
    <w:rsid w:val="00A33B85"/>
    <w:rsid w:val="00A35C4F"/>
    <w:rsid w:val="00A53520"/>
    <w:rsid w:val="00A72249"/>
    <w:rsid w:val="00A809CA"/>
    <w:rsid w:val="00A824CD"/>
    <w:rsid w:val="00A91F50"/>
    <w:rsid w:val="00A957E8"/>
    <w:rsid w:val="00AD33B0"/>
    <w:rsid w:val="00B205E9"/>
    <w:rsid w:val="00B44D18"/>
    <w:rsid w:val="00B51140"/>
    <w:rsid w:val="00B54324"/>
    <w:rsid w:val="00B745D4"/>
    <w:rsid w:val="00BD59E0"/>
    <w:rsid w:val="00BE462D"/>
    <w:rsid w:val="00BF5D05"/>
    <w:rsid w:val="00C000A8"/>
    <w:rsid w:val="00C137D2"/>
    <w:rsid w:val="00C23E53"/>
    <w:rsid w:val="00C256DE"/>
    <w:rsid w:val="00C30D8A"/>
    <w:rsid w:val="00C4714F"/>
    <w:rsid w:val="00C47311"/>
    <w:rsid w:val="00C5005B"/>
    <w:rsid w:val="00C56003"/>
    <w:rsid w:val="00C80151"/>
    <w:rsid w:val="00C949DF"/>
    <w:rsid w:val="00CC4491"/>
    <w:rsid w:val="00CE65A0"/>
    <w:rsid w:val="00CF68D8"/>
    <w:rsid w:val="00D5317B"/>
    <w:rsid w:val="00D738BC"/>
    <w:rsid w:val="00D92334"/>
    <w:rsid w:val="00DA35E8"/>
    <w:rsid w:val="00DA761F"/>
    <w:rsid w:val="00DD0A63"/>
    <w:rsid w:val="00DE4800"/>
    <w:rsid w:val="00DF2FAB"/>
    <w:rsid w:val="00E0587F"/>
    <w:rsid w:val="00E2405B"/>
    <w:rsid w:val="00E76595"/>
    <w:rsid w:val="00E83625"/>
    <w:rsid w:val="00E941A5"/>
    <w:rsid w:val="00EA3B54"/>
    <w:rsid w:val="00EB35AC"/>
    <w:rsid w:val="00EE035C"/>
    <w:rsid w:val="00EF4380"/>
    <w:rsid w:val="00F04387"/>
    <w:rsid w:val="00F1060B"/>
    <w:rsid w:val="00F10C0F"/>
    <w:rsid w:val="00F3005B"/>
    <w:rsid w:val="00F41C9F"/>
    <w:rsid w:val="00F44990"/>
    <w:rsid w:val="00F63253"/>
    <w:rsid w:val="00FE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Heading"/>
    <w:next w:val="BodyText"/>
    <w:qFormat/>
    <w:pPr>
      <w:suppressAutoHyphens/>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
    <w:basedOn w:val="Normal"/>
    <w:link w:val="FootnoteTextChar"/>
    <w:semiHidden/>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semiHidden/>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
    <w:link w:val="FootnoteText"/>
    <w:uiPriority w:val="99"/>
    <w:semiHidden/>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after="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Heading"/>
    <w:next w:val="BodyText"/>
    <w:qFormat/>
    <w:pPr>
      <w:suppressAutoHyphens/>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
    <w:basedOn w:val="Normal"/>
    <w:link w:val="FootnoteTextChar"/>
    <w:semiHidden/>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semiHidden/>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
    <w:link w:val="FootnoteText"/>
    <w:uiPriority w:val="99"/>
    <w:semiHidden/>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after="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4640">
      <w:bodyDiv w:val="1"/>
      <w:marLeft w:val="0"/>
      <w:marRight w:val="0"/>
      <w:marTop w:val="0"/>
      <w:marBottom w:val="0"/>
      <w:divBdr>
        <w:top w:val="none" w:sz="0" w:space="0" w:color="auto"/>
        <w:left w:val="none" w:sz="0" w:space="0" w:color="auto"/>
        <w:bottom w:val="none" w:sz="0" w:space="0" w:color="auto"/>
        <w:right w:val="none" w:sz="0" w:space="0" w:color="auto"/>
      </w:divBdr>
    </w:div>
    <w:div w:id="322468791">
      <w:bodyDiv w:val="1"/>
      <w:marLeft w:val="0"/>
      <w:marRight w:val="0"/>
      <w:marTop w:val="0"/>
      <w:marBottom w:val="0"/>
      <w:divBdr>
        <w:top w:val="none" w:sz="0" w:space="0" w:color="auto"/>
        <w:left w:val="none" w:sz="0" w:space="0" w:color="auto"/>
        <w:bottom w:val="none" w:sz="0" w:space="0" w:color="auto"/>
        <w:right w:val="none" w:sz="0" w:space="0" w:color="auto"/>
      </w:divBdr>
    </w:div>
    <w:div w:id="634068849">
      <w:bodyDiv w:val="1"/>
      <w:marLeft w:val="0"/>
      <w:marRight w:val="0"/>
      <w:marTop w:val="0"/>
      <w:marBottom w:val="0"/>
      <w:divBdr>
        <w:top w:val="none" w:sz="0" w:space="0" w:color="auto"/>
        <w:left w:val="none" w:sz="0" w:space="0" w:color="auto"/>
        <w:bottom w:val="none" w:sz="0" w:space="0" w:color="auto"/>
        <w:right w:val="none" w:sz="0" w:space="0" w:color="auto"/>
      </w:divBdr>
    </w:div>
    <w:div w:id="727611507">
      <w:bodyDiv w:val="1"/>
      <w:marLeft w:val="0"/>
      <w:marRight w:val="0"/>
      <w:marTop w:val="0"/>
      <w:marBottom w:val="0"/>
      <w:divBdr>
        <w:top w:val="none" w:sz="0" w:space="0" w:color="auto"/>
        <w:left w:val="none" w:sz="0" w:space="0" w:color="auto"/>
        <w:bottom w:val="none" w:sz="0" w:space="0" w:color="auto"/>
        <w:right w:val="none" w:sz="0" w:space="0" w:color="auto"/>
      </w:divBdr>
    </w:div>
    <w:div w:id="1346983866">
      <w:bodyDiv w:val="1"/>
      <w:marLeft w:val="0"/>
      <w:marRight w:val="0"/>
      <w:marTop w:val="0"/>
      <w:marBottom w:val="0"/>
      <w:divBdr>
        <w:top w:val="none" w:sz="0" w:space="0" w:color="auto"/>
        <w:left w:val="none" w:sz="0" w:space="0" w:color="auto"/>
        <w:bottom w:val="none" w:sz="0" w:space="0" w:color="auto"/>
        <w:right w:val="none" w:sz="0" w:space="0" w:color="auto"/>
      </w:divBdr>
    </w:div>
    <w:div w:id="1670520749">
      <w:bodyDiv w:val="1"/>
      <w:marLeft w:val="0"/>
      <w:marRight w:val="0"/>
      <w:marTop w:val="0"/>
      <w:marBottom w:val="0"/>
      <w:divBdr>
        <w:top w:val="none" w:sz="0" w:space="0" w:color="auto"/>
        <w:left w:val="none" w:sz="0" w:space="0" w:color="auto"/>
        <w:bottom w:val="none" w:sz="0" w:space="0" w:color="auto"/>
        <w:right w:val="none" w:sz="0" w:space="0" w:color="auto"/>
      </w:divBdr>
    </w:div>
    <w:div w:id="2121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AC7089-204E-4BB2-96E9-07C552F6378F}"/>
</file>

<file path=customXml/itemProps2.xml><?xml version="1.0" encoding="utf-8"?>
<ds:datastoreItem xmlns:ds="http://schemas.openxmlformats.org/officeDocument/2006/customXml" ds:itemID="{3B5654AB-73C8-4B50-9C2D-E8BBA8C85157}"/>
</file>

<file path=customXml/itemProps3.xml><?xml version="1.0" encoding="utf-8"?>
<ds:datastoreItem xmlns:ds="http://schemas.openxmlformats.org/officeDocument/2006/customXml" ds:itemID="{C74D0290-DA8F-467F-A0B4-AFC560BF7439}"/>
</file>

<file path=customXml/itemProps4.xml><?xml version="1.0" encoding="utf-8"?>
<ds:datastoreItem xmlns:ds="http://schemas.openxmlformats.org/officeDocument/2006/customXml" ds:itemID="{D61C2C5A-9277-4F14-A268-CF0E0A6E0383}"/>
</file>

<file path=docProps/app.xml><?xml version="1.0" encoding="utf-8"?>
<Properties xmlns="http://schemas.openxmlformats.org/officeDocument/2006/extended-properties" xmlns:vt="http://schemas.openxmlformats.org/officeDocument/2006/docPropsVTypes">
  <Template>Normal</Template>
  <TotalTime>0</TotalTime>
  <Pages>29</Pages>
  <Words>6879</Words>
  <Characters>37755</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44545</CharactersWithSpaces>
  <SharedDoc>false</SharedDoc>
  <HLinks>
    <vt:vector size="84" baseType="variant">
      <vt:variant>
        <vt:i4>1376314</vt:i4>
      </vt:variant>
      <vt:variant>
        <vt:i4>80</vt:i4>
      </vt:variant>
      <vt:variant>
        <vt:i4>0</vt:i4>
      </vt:variant>
      <vt:variant>
        <vt:i4>5</vt:i4>
      </vt:variant>
      <vt:variant>
        <vt:lpwstr/>
      </vt:variant>
      <vt:variant>
        <vt:lpwstr>_Toc355788484</vt:lpwstr>
      </vt:variant>
      <vt:variant>
        <vt:i4>1376314</vt:i4>
      </vt:variant>
      <vt:variant>
        <vt:i4>74</vt:i4>
      </vt:variant>
      <vt:variant>
        <vt:i4>0</vt:i4>
      </vt:variant>
      <vt:variant>
        <vt:i4>5</vt:i4>
      </vt:variant>
      <vt:variant>
        <vt:lpwstr/>
      </vt:variant>
      <vt:variant>
        <vt:lpwstr>_Toc355788483</vt:lpwstr>
      </vt:variant>
      <vt:variant>
        <vt:i4>1376314</vt:i4>
      </vt:variant>
      <vt:variant>
        <vt:i4>68</vt:i4>
      </vt:variant>
      <vt:variant>
        <vt:i4>0</vt:i4>
      </vt:variant>
      <vt:variant>
        <vt:i4>5</vt:i4>
      </vt:variant>
      <vt:variant>
        <vt:lpwstr/>
      </vt:variant>
      <vt:variant>
        <vt:lpwstr>_Toc355788482</vt:lpwstr>
      </vt:variant>
      <vt:variant>
        <vt:i4>1376314</vt:i4>
      </vt:variant>
      <vt:variant>
        <vt:i4>62</vt:i4>
      </vt:variant>
      <vt:variant>
        <vt:i4>0</vt:i4>
      </vt:variant>
      <vt:variant>
        <vt:i4>5</vt:i4>
      </vt:variant>
      <vt:variant>
        <vt:lpwstr/>
      </vt:variant>
      <vt:variant>
        <vt:lpwstr>_Toc355788481</vt:lpwstr>
      </vt:variant>
      <vt:variant>
        <vt:i4>1376314</vt:i4>
      </vt:variant>
      <vt:variant>
        <vt:i4>56</vt:i4>
      </vt:variant>
      <vt:variant>
        <vt:i4>0</vt:i4>
      </vt:variant>
      <vt:variant>
        <vt:i4>5</vt:i4>
      </vt:variant>
      <vt:variant>
        <vt:lpwstr/>
      </vt:variant>
      <vt:variant>
        <vt:lpwstr>_Toc355788480</vt:lpwstr>
      </vt:variant>
      <vt:variant>
        <vt:i4>1703994</vt:i4>
      </vt:variant>
      <vt:variant>
        <vt:i4>50</vt:i4>
      </vt:variant>
      <vt:variant>
        <vt:i4>0</vt:i4>
      </vt:variant>
      <vt:variant>
        <vt:i4>5</vt:i4>
      </vt:variant>
      <vt:variant>
        <vt:lpwstr/>
      </vt:variant>
      <vt:variant>
        <vt:lpwstr>_Toc355788479</vt:lpwstr>
      </vt:variant>
      <vt:variant>
        <vt:i4>1703994</vt:i4>
      </vt:variant>
      <vt:variant>
        <vt:i4>44</vt:i4>
      </vt:variant>
      <vt:variant>
        <vt:i4>0</vt:i4>
      </vt:variant>
      <vt:variant>
        <vt:i4>5</vt:i4>
      </vt:variant>
      <vt:variant>
        <vt:lpwstr/>
      </vt:variant>
      <vt:variant>
        <vt:lpwstr>_Toc355788478</vt:lpwstr>
      </vt:variant>
      <vt:variant>
        <vt:i4>1703994</vt:i4>
      </vt:variant>
      <vt:variant>
        <vt:i4>38</vt:i4>
      </vt:variant>
      <vt:variant>
        <vt:i4>0</vt:i4>
      </vt:variant>
      <vt:variant>
        <vt:i4>5</vt:i4>
      </vt:variant>
      <vt:variant>
        <vt:lpwstr/>
      </vt:variant>
      <vt:variant>
        <vt:lpwstr>_Toc355788477</vt:lpwstr>
      </vt:variant>
      <vt:variant>
        <vt:i4>1703994</vt:i4>
      </vt:variant>
      <vt:variant>
        <vt:i4>32</vt:i4>
      </vt:variant>
      <vt:variant>
        <vt:i4>0</vt:i4>
      </vt:variant>
      <vt:variant>
        <vt:i4>5</vt:i4>
      </vt:variant>
      <vt:variant>
        <vt:lpwstr/>
      </vt:variant>
      <vt:variant>
        <vt:lpwstr>_Toc355788476</vt:lpwstr>
      </vt:variant>
      <vt:variant>
        <vt:i4>1703994</vt:i4>
      </vt:variant>
      <vt:variant>
        <vt:i4>26</vt:i4>
      </vt:variant>
      <vt:variant>
        <vt:i4>0</vt:i4>
      </vt:variant>
      <vt:variant>
        <vt:i4>5</vt:i4>
      </vt:variant>
      <vt:variant>
        <vt:lpwstr/>
      </vt:variant>
      <vt:variant>
        <vt:lpwstr>_Toc355788475</vt:lpwstr>
      </vt:variant>
      <vt:variant>
        <vt:i4>1703994</vt:i4>
      </vt:variant>
      <vt:variant>
        <vt:i4>20</vt:i4>
      </vt:variant>
      <vt:variant>
        <vt:i4>0</vt:i4>
      </vt:variant>
      <vt:variant>
        <vt:i4>5</vt:i4>
      </vt:variant>
      <vt:variant>
        <vt:lpwstr/>
      </vt:variant>
      <vt:variant>
        <vt:lpwstr>_Toc355788474</vt:lpwstr>
      </vt:variant>
      <vt:variant>
        <vt:i4>1703994</vt:i4>
      </vt:variant>
      <vt:variant>
        <vt:i4>14</vt:i4>
      </vt:variant>
      <vt:variant>
        <vt:i4>0</vt:i4>
      </vt:variant>
      <vt:variant>
        <vt:i4>5</vt:i4>
      </vt:variant>
      <vt:variant>
        <vt:lpwstr/>
      </vt:variant>
      <vt:variant>
        <vt:lpwstr>_Toc355788473</vt:lpwstr>
      </vt:variant>
      <vt:variant>
        <vt:i4>1703994</vt:i4>
      </vt:variant>
      <vt:variant>
        <vt:i4>8</vt:i4>
      </vt:variant>
      <vt:variant>
        <vt:i4>0</vt:i4>
      </vt:variant>
      <vt:variant>
        <vt:i4>5</vt:i4>
      </vt:variant>
      <vt:variant>
        <vt:lpwstr/>
      </vt:variant>
      <vt:variant>
        <vt:lpwstr>_Toc355788472</vt:lpwstr>
      </vt:variant>
      <vt:variant>
        <vt:i4>1703994</vt:i4>
      </vt:variant>
      <vt:variant>
        <vt:i4>2</vt:i4>
      </vt:variant>
      <vt:variant>
        <vt:i4>0</vt:i4>
      </vt:variant>
      <vt:variant>
        <vt:i4>5</vt:i4>
      </vt:variant>
      <vt:variant>
        <vt:lpwstr/>
      </vt:variant>
      <vt:variant>
        <vt:lpwstr>_Toc355788471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2014-05-01T13:56:00Z</dcterms:created>
  <dcterms:modified xsi:type="dcterms:W3CDTF">2014-05-01T13:56:00Z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