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C7E" w:rsidRPr="002F71E7" w:rsidRDefault="008A6446" w:rsidP="00D11C7E">
      <w:pPr>
        <w:jc w:val="center"/>
        <w:rPr>
          <w:b/>
        </w:rPr>
      </w:pPr>
      <w:bookmarkStart w:id="0" w:name="OLE_LINK2"/>
      <w:r>
        <w:rPr>
          <w:b/>
        </w:rPr>
        <w:t>PACIFICORP GENERAL RATE CASE DOCKET</w:t>
      </w:r>
      <w:r w:rsidR="00D11C7E" w:rsidRPr="002F71E7">
        <w:rPr>
          <w:b/>
        </w:rPr>
        <w:t xml:space="preserve"> UE-</w:t>
      </w:r>
      <w:r>
        <w:rPr>
          <w:b/>
        </w:rPr>
        <w:t>111190</w:t>
      </w:r>
    </w:p>
    <w:p w:rsidR="00D11C7E" w:rsidRPr="002F71E7" w:rsidRDefault="00D11C7E" w:rsidP="00D11C7E">
      <w:pPr>
        <w:jc w:val="center"/>
        <w:rPr>
          <w:b/>
        </w:rPr>
      </w:pPr>
      <w:r w:rsidRPr="002F71E7">
        <w:rPr>
          <w:b/>
        </w:rPr>
        <w:t>ISSUES MATRIX</w:t>
      </w:r>
    </w:p>
    <w:p w:rsidR="00D11C7E" w:rsidRPr="002F71E7" w:rsidRDefault="00D11C7E" w:rsidP="00D11C7E">
      <w:pPr>
        <w:jc w:val="center"/>
        <w:rPr>
          <w:b/>
        </w:rPr>
      </w:pPr>
    </w:p>
    <w:p w:rsidR="00D11C7E" w:rsidRPr="002F71E7" w:rsidRDefault="00D11C7E" w:rsidP="00D11C7E"/>
    <w:tbl>
      <w:tblPr>
        <w:tblStyle w:val="TableGrid"/>
        <w:tblW w:w="14605" w:type="dxa"/>
        <w:tblLayout w:type="fixed"/>
        <w:tblCellMar>
          <w:left w:w="115" w:type="dxa"/>
          <w:right w:w="115" w:type="dxa"/>
        </w:tblCellMar>
        <w:tblLook w:val="01E0"/>
      </w:tblPr>
      <w:tblGrid>
        <w:gridCol w:w="2086"/>
        <w:gridCol w:w="2086"/>
        <w:gridCol w:w="2087"/>
        <w:gridCol w:w="2086"/>
        <w:gridCol w:w="2087"/>
        <w:gridCol w:w="2086"/>
        <w:gridCol w:w="2087"/>
      </w:tblGrid>
      <w:tr w:rsidR="008A6446" w:rsidRPr="002F71E7" w:rsidTr="009822AC">
        <w:trPr>
          <w:tblHeader/>
        </w:trPr>
        <w:tc>
          <w:tcPr>
            <w:tcW w:w="2086" w:type="dxa"/>
            <w:shd w:val="clear" w:color="auto" w:fill="BFBFBF" w:themeFill="background1" w:themeFillShade="BF"/>
            <w:vAlign w:val="center"/>
          </w:tcPr>
          <w:bookmarkEnd w:id="0"/>
          <w:p w:rsidR="008A6446" w:rsidRPr="002F71E7" w:rsidRDefault="008A6446" w:rsidP="00D11C7E">
            <w:pPr>
              <w:spacing w:before="60" w:after="60"/>
              <w:ind w:left="-72" w:right="-57"/>
              <w:jc w:val="center"/>
              <w:rPr>
                <w:b/>
              </w:rPr>
            </w:pPr>
            <w:r w:rsidRPr="002F71E7">
              <w:rPr>
                <w:b/>
              </w:rPr>
              <w:t>ISSUES</w:t>
            </w:r>
          </w:p>
        </w:tc>
        <w:tc>
          <w:tcPr>
            <w:tcW w:w="2086" w:type="dxa"/>
            <w:shd w:val="clear" w:color="auto" w:fill="BFBFBF" w:themeFill="background1" w:themeFillShade="BF"/>
            <w:vAlign w:val="center"/>
          </w:tcPr>
          <w:p w:rsidR="008A6446" w:rsidRPr="002F71E7" w:rsidRDefault="008A6446" w:rsidP="00D11C7E">
            <w:pPr>
              <w:spacing w:before="60" w:after="60"/>
              <w:ind w:left="-74" w:right="-55"/>
              <w:jc w:val="center"/>
              <w:rPr>
                <w:b/>
              </w:rPr>
            </w:pPr>
            <w:r>
              <w:rPr>
                <w:b/>
              </w:rPr>
              <w:t>PACIFICORP</w:t>
            </w:r>
          </w:p>
        </w:tc>
        <w:tc>
          <w:tcPr>
            <w:tcW w:w="2087" w:type="dxa"/>
            <w:shd w:val="clear" w:color="auto" w:fill="BFBFBF" w:themeFill="background1" w:themeFillShade="BF"/>
            <w:vAlign w:val="center"/>
          </w:tcPr>
          <w:p w:rsidR="008A6446" w:rsidRPr="002F71E7" w:rsidRDefault="008A6446" w:rsidP="00D11C7E">
            <w:pPr>
              <w:spacing w:before="60" w:after="60"/>
              <w:ind w:left="-74" w:right="-55"/>
              <w:jc w:val="center"/>
              <w:rPr>
                <w:b/>
              </w:rPr>
            </w:pPr>
            <w:r>
              <w:rPr>
                <w:b/>
              </w:rPr>
              <w:t>COMMISSION</w:t>
            </w:r>
            <w:r>
              <w:rPr>
                <w:b/>
              </w:rPr>
              <w:br/>
            </w:r>
            <w:r w:rsidRPr="002F71E7">
              <w:rPr>
                <w:b/>
              </w:rPr>
              <w:t>STAFF</w:t>
            </w:r>
          </w:p>
        </w:tc>
        <w:tc>
          <w:tcPr>
            <w:tcW w:w="2086" w:type="dxa"/>
            <w:shd w:val="clear" w:color="auto" w:fill="BFBFBF" w:themeFill="background1" w:themeFillShade="BF"/>
            <w:vAlign w:val="center"/>
          </w:tcPr>
          <w:p w:rsidR="008A6446" w:rsidRPr="002F71E7" w:rsidRDefault="008A6446" w:rsidP="00D11C7E">
            <w:pPr>
              <w:spacing w:before="60" w:after="60"/>
              <w:ind w:left="-74" w:right="-55"/>
              <w:jc w:val="center"/>
              <w:rPr>
                <w:b/>
              </w:rPr>
            </w:pPr>
            <w:r w:rsidRPr="002F71E7">
              <w:rPr>
                <w:b/>
              </w:rPr>
              <w:t>PUBLIC</w:t>
            </w:r>
            <w:r>
              <w:rPr>
                <w:b/>
              </w:rPr>
              <w:br/>
            </w:r>
            <w:r w:rsidRPr="002F71E7">
              <w:rPr>
                <w:b/>
              </w:rPr>
              <w:t>COUNSEL</w:t>
            </w:r>
          </w:p>
        </w:tc>
        <w:tc>
          <w:tcPr>
            <w:tcW w:w="2087" w:type="dxa"/>
            <w:shd w:val="clear" w:color="auto" w:fill="BFBFBF" w:themeFill="background1" w:themeFillShade="BF"/>
            <w:vAlign w:val="center"/>
          </w:tcPr>
          <w:p w:rsidR="008A6446" w:rsidRPr="002F71E7" w:rsidRDefault="008A6446" w:rsidP="00F43186">
            <w:pPr>
              <w:spacing w:before="60" w:after="60"/>
              <w:ind w:left="-74" w:right="-55"/>
              <w:jc w:val="center"/>
              <w:rPr>
                <w:b/>
              </w:rPr>
            </w:pPr>
            <w:r w:rsidRPr="002F71E7">
              <w:rPr>
                <w:b/>
              </w:rPr>
              <w:t>ICNU</w:t>
            </w:r>
          </w:p>
        </w:tc>
        <w:tc>
          <w:tcPr>
            <w:tcW w:w="2086" w:type="dxa"/>
            <w:shd w:val="clear" w:color="auto" w:fill="BFBFBF" w:themeFill="background1" w:themeFillShade="BF"/>
            <w:vAlign w:val="center"/>
          </w:tcPr>
          <w:p w:rsidR="008A6446" w:rsidRPr="002F71E7" w:rsidRDefault="008A6446" w:rsidP="004E0D09">
            <w:pPr>
              <w:spacing w:before="60" w:after="60"/>
              <w:ind w:left="-74" w:right="-55"/>
              <w:jc w:val="center"/>
              <w:rPr>
                <w:b/>
              </w:rPr>
            </w:pPr>
            <w:r w:rsidRPr="002F71E7">
              <w:rPr>
                <w:b/>
              </w:rPr>
              <w:t>THE ENERGY PROJECT</w:t>
            </w:r>
          </w:p>
        </w:tc>
        <w:tc>
          <w:tcPr>
            <w:tcW w:w="2087" w:type="dxa"/>
            <w:shd w:val="clear" w:color="auto" w:fill="BFBFBF" w:themeFill="background1" w:themeFillShade="BF"/>
            <w:vAlign w:val="center"/>
          </w:tcPr>
          <w:p w:rsidR="008A6446" w:rsidRPr="002F71E7" w:rsidRDefault="006D6283" w:rsidP="004E0D09">
            <w:pPr>
              <w:spacing w:before="60" w:after="60"/>
              <w:ind w:left="-74" w:right="-55"/>
              <w:jc w:val="center"/>
              <w:rPr>
                <w:b/>
              </w:rPr>
            </w:pPr>
            <w:r>
              <w:rPr>
                <w:b/>
              </w:rPr>
              <w:t>IBEW LOCAL 125</w:t>
            </w:r>
          </w:p>
        </w:tc>
      </w:tr>
      <w:tr w:rsidR="008A6446" w:rsidRPr="002F71E7" w:rsidTr="000D6455">
        <w:trPr>
          <w:trHeight w:val="548"/>
        </w:trPr>
        <w:tc>
          <w:tcPr>
            <w:tcW w:w="2086" w:type="dxa"/>
            <w:tcBorders>
              <w:bottom w:val="single" w:sz="4" w:space="0" w:color="auto"/>
            </w:tcBorders>
          </w:tcPr>
          <w:p w:rsidR="006D6283" w:rsidRDefault="008A6446" w:rsidP="006D6283">
            <w:pPr>
              <w:spacing w:before="60" w:after="60"/>
              <w:ind w:left="-72" w:right="-57"/>
              <w:rPr>
                <w:b/>
                <w:i/>
              </w:rPr>
            </w:pPr>
            <w:r w:rsidRPr="002F71E7">
              <w:rPr>
                <w:b/>
                <w:i/>
              </w:rPr>
              <w:t xml:space="preserve">Overall </w:t>
            </w:r>
            <w:r w:rsidR="006D6283">
              <w:rPr>
                <w:b/>
                <w:i/>
              </w:rPr>
              <w:t xml:space="preserve">Revenue / </w:t>
            </w:r>
          </w:p>
          <w:p w:rsidR="008A6446" w:rsidRPr="002F71E7" w:rsidRDefault="008A6446" w:rsidP="006D6283">
            <w:pPr>
              <w:spacing w:before="60" w:after="60"/>
              <w:ind w:left="-72" w:right="-57"/>
            </w:pPr>
            <w:r w:rsidRPr="002F71E7">
              <w:rPr>
                <w:b/>
                <w:i/>
              </w:rPr>
              <w:t>Rate</w:t>
            </w:r>
            <w:r w:rsidR="006D6283">
              <w:rPr>
                <w:b/>
                <w:i/>
              </w:rPr>
              <w:t xml:space="preserve"> Increase</w:t>
            </w:r>
          </w:p>
        </w:tc>
        <w:tc>
          <w:tcPr>
            <w:tcW w:w="2086" w:type="dxa"/>
            <w:tcBorders>
              <w:bottom w:val="single" w:sz="4" w:space="0" w:color="auto"/>
            </w:tcBorders>
          </w:tcPr>
          <w:p w:rsidR="006D6283" w:rsidRDefault="006D6283" w:rsidP="006D6283">
            <w:pPr>
              <w:tabs>
                <w:tab w:val="left" w:pos="439"/>
                <w:tab w:val="right" w:pos="1491"/>
              </w:tabs>
              <w:spacing w:before="60" w:after="60"/>
              <w:ind w:left="-74" w:right="-55"/>
            </w:pPr>
            <w:r>
              <w:tab/>
            </w:r>
            <w:r w:rsidR="008A6446" w:rsidRPr="002F71E7">
              <w:t>$</w:t>
            </w:r>
            <w:r>
              <w:t>12,947,</w:t>
            </w:r>
            <w:r w:rsidR="00E403FC">
              <w:t>210</w:t>
            </w:r>
          </w:p>
          <w:p w:rsidR="008A6446" w:rsidRPr="002F71E7" w:rsidRDefault="006D6283" w:rsidP="006D6283">
            <w:pPr>
              <w:tabs>
                <w:tab w:val="left" w:pos="439"/>
                <w:tab w:val="right" w:pos="1491"/>
              </w:tabs>
              <w:spacing w:before="60" w:after="60"/>
              <w:ind w:left="-74" w:right="-55"/>
            </w:pPr>
            <w:r>
              <w:tab/>
              <w:t>(4.3</w:t>
            </w:r>
            <w:r w:rsidR="008A6446" w:rsidRPr="002F71E7">
              <w:t>%)</w:t>
            </w:r>
          </w:p>
        </w:tc>
        <w:tc>
          <w:tcPr>
            <w:tcW w:w="2087" w:type="dxa"/>
            <w:tcBorders>
              <w:bottom w:val="single" w:sz="4" w:space="0" w:color="auto"/>
            </w:tcBorders>
          </w:tcPr>
          <w:p w:rsidR="006D6283" w:rsidRDefault="008A6446" w:rsidP="006D6283">
            <w:pPr>
              <w:tabs>
                <w:tab w:val="left" w:pos="439"/>
                <w:tab w:val="right" w:pos="1491"/>
              </w:tabs>
              <w:spacing w:before="60" w:after="60"/>
              <w:ind w:left="-74" w:right="-55"/>
            </w:pPr>
            <w:r w:rsidRPr="002F71E7">
              <w:tab/>
              <w:t>$</w:t>
            </w:r>
            <w:r w:rsidRPr="002F71E7">
              <w:tab/>
              <w:t>xx</w:t>
            </w:r>
          </w:p>
          <w:p w:rsidR="008A6446" w:rsidRPr="002F71E7" w:rsidRDefault="008A6446" w:rsidP="006D6283">
            <w:pPr>
              <w:tabs>
                <w:tab w:val="left" w:pos="439"/>
                <w:tab w:val="right" w:pos="1491"/>
              </w:tabs>
              <w:spacing w:before="60" w:after="60"/>
              <w:ind w:left="-74" w:right="-55"/>
            </w:pPr>
            <w:r w:rsidRPr="002F71E7">
              <w:tab/>
            </w:r>
            <w:r w:rsidRPr="002F71E7">
              <w:tab/>
              <w:t>(</w:t>
            </w:r>
            <w:proofErr w:type="gramStart"/>
            <w:r w:rsidRPr="002F71E7">
              <w:t>xx%</w:t>
            </w:r>
            <w:proofErr w:type="gramEnd"/>
            <w:r w:rsidRPr="002F71E7">
              <w:t>)</w:t>
            </w:r>
          </w:p>
        </w:tc>
        <w:tc>
          <w:tcPr>
            <w:tcW w:w="2086" w:type="dxa"/>
            <w:tcBorders>
              <w:bottom w:val="single" w:sz="4" w:space="0" w:color="auto"/>
            </w:tcBorders>
          </w:tcPr>
          <w:p w:rsidR="006D6283" w:rsidRDefault="008A6446" w:rsidP="006D6283">
            <w:pPr>
              <w:tabs>
                <w:tab w:val="left" w:pos="439"/>
                <w:tab w:val="right" w:pos="1491"/>
              </w:tabs>
              <w:spacing w:before="60" w:after="60"/>
              <w:ind w:left="-74" w:right="-55"/>
            </w:pPr>
            <w:r w:rsidRPr="002F71E7">
              <w:tab/>
              <w:t>$</w:t>
            </w:r>
            <w:r w:rsidRPr="002F71E7">
              <w:tab/>
              <w:t>xx</w:t>
            </w:r>
          </w:p>
          <w:p w:rsidR="008A6446" w:rsidRPr="002F71E7" w:rsidRDefault="008A6446" w:rsidP="006D6283">
            <w:pPr>
              <w:tabs>
                <w:tab w:val="left" w:pos="439"/>
                <w:tab w:val="right" w:pos="1491"/>
              </w:tabs>
              <w:spacing w:before="60" w:after="60"/>
              <w:ind w:left="-74" w:right="-55"/>
            </w:pPr>
            <w:r w:rsidRPr="002F71E7">
              <w:tab/>
            </w:r>
            <w:r w:rsidRPr="002F71E7">
              <w:tab/>
              <w:t>(</w:t>
            </w:r>
            <w:proofErr w:type="gramStart"/>
            <w:r w:rsidRPr="002F71E7">
              <w:t>xx%</w:t>
            </w:r>
            <w:proofErr w:type="gramEnd"/>
            <w:r w:rsidRPr="002F71E7">
              <w:t>)</w:t>
            </w:r>
          </w:p>
        </w:tc>
        <w:tc>
          <w:tcPr>
            <w:tcW w:w="2087" w:type="dxa"/>
            <w:tcBorders>
              <w:bottom w:val="single" w:sz="4" w:space="0" w:color="auto"/>
            </w:tcBorders>
          </w:tcPr>
          <w:p w:rsidR="006D6283" w:rsidRDefault="008A6446" w:rsidP="006D6283">
            <w:pPr>
              <w:tabs>
                <w:tab w:val="left" w:pos="439"/>
                <w:tab w:val="right" w:pos="1491"/>
              </w:tabs>
              <w:spacing w:before="60" w:after="60"/>
              <w:ind w:left="-74" w:right="-55"/>
            </w:pPr>
            <w:r w:rsidRPr="002F71E7">
              <w:tab/>
              <w:t>$</w:t>
            </w:r>
            <w:r w:rsidRPr="002F71E7">
              <w:tab/>
              <w:t>xx</w:t>
            </w:r>
          </w:p>
          <w:p w:rsidR="008A6446" w:rsidRPr="002F71E7" w:rsidRDefault="008A6446" w:rsidP="006D6283">
            <w:pPr>
              <w:tabs>
                <w:tab w:val="left" w:pos="439"/>
                <w:tab w:val="right" w:pos="1491"/>
              </w:tabs>
              <w:spacing w:before="60" w:after="60"/>
              <w:ind w:left="-74" w:right="-55"/>
            </w:pPr>
            <w:r w:rsidRPr="002F71E7">
              <w:tab/>
            </w:r>
            <w:r w:rsidRPr="002F71E7">
              <w:tab/>
              <w:t>(</w:t>
            </w:r>
            <w:proofErr w:type="gramStart"/>
            <w:r w:rsidRPr="002F71E7">
              <w:t>xx%</w:t>
            </w:r>
            <w:proofErr w:type="gramEnd"/>
            <w:r w:rsidRPr="002F71E7">
              <w:t>)</w:t>
            </w:r>
          </w:p>
        </w:tc>
        <w:tc>
          <w:tcPr>
            <w:tcW w:w="2086" w:type="dxa"/>
            <w:tcBorders>
              <w:bottom w:val="single" w:sz="4" w:space="0" w:color="auto"/>
            </w:tcBorders>
          </w:tcPr>
          <w:p w:rsidR="006D6283" w:rsidRDefault="008A6446" w:rsidP="006D6283">
            <w:pPr>
              <w:tabs>
                <w:tab w:val="left" w:pos="439"/>
                <w:tab w:val="right" w:pos="1491"/>
              </w:tabs>
              <w:spacing w:before="60" w:after="60"/>
              <w:ind w:left="-74" w:right="-55"/>
            </w:pPr>
            <w:r w:rsidRPr="002F71E7">
              <w:tab/>
              <w:t>$</w:t>
            </w:r>
            <w:r w:rsidRPr="002F71E7">
              <w:tab/>
              <w:t>xx</w:t>
            </w:r>
          </w:p>
          <w:p w:rsidR="008A6446" w:rsidRPr="002F71E7" w:rsidRDefault="008A6446" w:rsidP="006D6283">
            <w:pPr>
              <w:tabs>
                <w:tab w:val="left" w:pos="439"/>
                <w:tab w:val="right" w:pos="1491"/>
              </w:tabs>
              <w:spacing w:before="60" w:after="60"/>
              <w:ind w:left="-74" w:right="-55"/>
            </w:pPr>
            <w:r w:rsidRPr="002F71E7">
              <w:tab/>
            </w:r>
            <w:r w:rsidRPr="002F71E7">
              <w:tab/>
              <w:t>(</w:t>
            </w:r>
            <w:proofErr w:type="gramStart"/>
            <w:r w:rsidRPr="002F71E7">
              <w:t>xx%</w:t>
            </w:r>
            <w:proofErr w:type="gramEnd"/>
            <w:r w:rsidRPr="002F71E7">
              <w:t>)</w:t>
            </w:r>
          </w:p>
        </w:tc>
        <w:tc>
          <w:tcPr>
            <w:tcW w:w="2087" w:type="dxa"/>
            <w:tcBorders>
              <w:bottom w:val="single" w:sz="4" w:space="0" w:color="auto"/>
            </w:tcBorders>
          </w:tcPr>
          <w:p w:rsidR="006D6283" w:rsidRDefault="008A6446" w:rsidP="006D6283">
            <w:pPr>
              <w:tabs>
                <w:tab w:val="left" w:pos="439"/>
                <w:tab w:val="right" w:pos="1491"/>
              </w:tabs>
              <w:spacing w:before="60" w:after="60"/>
              <w:ind w:left="-74" w:right="-55"/>
            </w:pPr>
            <w:r w:rsidRPr="002F71E7">
              <w:tab/>
              <w:t>$</w:t>
            </w:r>
            <w:r w:rsidRPr="002F71E7">
              <w:tab/>
              <w:t>xx</w:t>
            </w:r>
          </w:p>
          <w:p w:rsidR="008A6446" w:rsidRPr="002F71E7" w:rsidRDefault="008A6446" w:rsidP="006D6283">
            <w:pPr>
              <w:tabs>
                <w:tab w:val="left" w:pos="439"/>
                <w:tab w:val="right" w:pos="1491"/>
              </w:tabs>
              <w:spacing w:before="60" w:after="60"/>
              <w:ind w:left="-74" w:right="-55"/>
            </w:pPr>
            <w:r w:rsidRPr="002F71E7">
              <w:tab/>
            </w:r>
            <w:r w:rsidRPr="002F71E7">
              <w:tab/>
              <w:t>(</w:t>
            </w:r>
            <w:proofErr w:type="gramStart"/>
            <w:r w:rsidRPr="002F71E7">
              <w:t>xx%</w:t>
            </w:r>
            <w:proofErr w:type="gramEnd"/>
            <w:r w:rsidRPr="002F71E7">
              <w:t>)</w:t>
            </w:r>
          </w:p>
        </w:tc>
      </w:tr>
      <w:tr w:rsidR="008A6446" w:rsidRPr="002F71E7" w:rsidTr="000D6455">
        <w:tc>
          <w:tcPr>
            <w:tcW w:w="2086" w:type="dxa"/>
            <w:tcBorders>
              <w:top w:val="single" w:sz="4" w:space="0" w:color="auto"/>
              <w:left w:val="single" w:sz="4" w:space="0" w:color="auto"/>
              <w:bottom w:val="single" w:sz="4" w:space="0" w:color="auto"/>
              <w:right w:val="nil"/>
            </w:tcBorders>
            <w:shd w:val="clear" w:color="auto" w:fill="BFBFBF" w:themeFill="background1" w:themeFillShade="BF"/>
          </w:tcPr>
          <w:p w:rsidR="008A6446" w:rsidRPr="002F71E7" w:rsidRDefault="008A6446" w:rsidP="00D11C7E">
            <w:pPr>
              <w:spacing w:before="60" w:after="60"/>
              <w:ind w:left="-72" w:right="-57"/>
              <w:rPr>
                <w:b/>
                <w:i/>
              </w:rPr>
            </w:pPr>
          </w:p>
        </w:tc>
        <w:tc>
          <w:tcPr>
            <w:tcW w:w="2086" w:type="dxa"/>
            <w:tcBorders>
              <w:top w:val="single" w:sz="4" w:space="0" w:color="auto"/>
              <w:left w:val="nil"/>
              <w:bottom w:val="single" w:sz="4" w:space="0" w:color="auto"/>
              <w:right w:val="nil"/>
            </w:tcBorders>
            <w:shd w:val="clear" w:color="auto" w:fill="BFBFBF" w:themeFill="background1" w:themeFillShade="BF"/>
          </w:tcPr>
          <w:p w:rsidR="008A6446" w:rsidRPr="002F71E7" w:rsidRDefault="008A6446" w:rsidP="00D11C7E">
            <w:pPr>
              <w:spacing w:before="60" w:after="60"/>
              <w:ind w:left="-74" w:right="-55"/>
            </w:pPr>
          </w:p>
        </w:tc>
        <w:tc>
          <w:tcPr>
            <w:tcW w:w="2087" w:type="dxa"/>
            <w:tcBorders>
              <w:top w:val="single" w:sz="4" w:space="0" w:color="auto"/>
              <w:left w:val="nil"/>
              <w:bottom w:val="single" w:sz="4" w:space="0" w:color="auto"/>
              <w:right w:val="nil"/>
            </w:tcBorders>
            <w:shd w:val="clear" w:color="auto" w:fill="BFBFBF" w:themeFill="background1" w:themeFillShade="BF"/>
          </w:tcPr>
          <w:p w:rsidR="008A6446" w:rsidRPr="002F71E7" w:rsidRDefault="008A6446" w:rsidP="00D11C7E">
            <w:pPr>
              <w:spacing w:before="60" w:after="60"/>
              <w:ind w:left="-74" w:right="-55"/>
            </w:pPr>
          </w:p>
        </w:tc>
        <w:tc>
          <w:tcPr>
            <w:tcW w:w="2086" w:type="dxa"/>
            <w:tcBorders>
              <w:top w:val="single" w:sz="4" w:space="0" w:color="auto"/>
              <w:left w:val="nil"/>
              <w:bottom w:val="single" w:sz="4" w:space="0" w:color="auto"/>
              <w:right w:val="nil"/>
            </w:tcBorders>
            <w:shd w:val="clear" w:color="auto" w:fill="BFBFBF" w:themeFill="background1" w:themeFillShade="BF"/>
          </w:tcPr>
          <w:p w:rsidR="008A6446" w:rsidRPr="002F71E7" w:rsidRDefault="008A6446" w:rsidP="00D11C7E">
            <w:pPr>
              <w:spacing w:before="60" w:after="60"/>
              <w:ind w:left="-74" w:right="-55"/>
            </w:pPr>
          </w:p>
        </w:tc>
        <w:tc>
          <w:tcPr>
            <w:tcW w:w="2087" w:type="dxa"/>
            <w:tcBorders>
              <w:top w:val="single" w:sz="4" w:space="0" w:color="auto"/>
              <w:left w:val="nil"/>
              <w:bottom w:val="single" w:sz="4" w:space="0" w:color="auto"/>
              <w:right w:val="nil"/>
            </w:tcBorders>
            <w:shd w:val="clear" w:color="auto" w:fill="BFBFBF" w:themeFill="background1" w:themeFillShade="BF"/>
          </w:tcPr>
          <w:p w:rsidR="008A6446" w:rsidRPr="002F71E7" w:rsidRDefault="008A6446" w:rsidP="00D11C7E">
            <w:pPr>
              <w:spacing w:before="60" w:after="60"/>
              <w:ind w:left="-74" w:right="-55"/>
            </w:pPr>
          </w:p>
        </w:tc>
        <w:tc>
          <w:tcPr>
            <w:tcW w:w="2086" w:type="dxa"/>
            <w:tcBorders>
              <w:top w:val="single" w:sz="4" w:space="0" w:color="auto"/>
              <w:left w:val="nil"/>
              <w:bottom w:val="single" w:sz="4" w:space="0" w:color="auto"/>
              <w:right w:val="nil"/>
            </w:tcBorders>
            <w:shd w:val="clear" w:color="auto" w:fill="BFBFBF" w:themeFill="background1" w:themeFillShade="BF"/>
          </w:tcPr>
          <w:p w:rsidR="008A6446" w:rsidRPr="002F71E7" w:rsidRDefault="008A6446" w:rsidP="004E0D09">
            <w:pPr>
              <w:spacing w:before="60" w:after="60"/>
              <w:ind w:left="-74" w:right="-55"/>
            </w:pPr>
          </w:p>
        </w:tc>
        <w:tc>
          <w:tcPr>
            <w:tcW w:w="2087" w:type="dxa"/>
            <w:tcBorders>
              <w:top w:val="single" w:sz="4" w:space="0" w:color="auto"/>
              <w:left w:val="nil"/>
              <w:bottom w:val="single" w:sz="4" w:space="0" w:color="auto"/>
              <w:right w:val="single" w:sz="4" w:space="0" w:color="auto"/>
            </w:tcBorders>
            <w:shd w:val="clear" w:color="auto" w:fill="BFBFBF" w:themeFill="background1" w:themeFillShade="BF"/>
          </w:tcPr>
          <w:p w:rsidR="008A6446" w:rsidRPr="002F71E7" w:rsidRDefault="008A6446" w:rsidP="004E0D09">
            <w:pPr>
              <w:spacing w:before="60" w:after="60"/>
              <w:ind w:left="-74" w:right="-55"/>
            </w:pPr>
          </w:p>
        </w:tc>
      </w:tr>
      <w:tr w:rsidR="00B54959" w:rsidRPr="002F71E7" w:rsidTr="00FD2DED">
        <w:tc>
          <w:tcPr>
            <w:tcW w:w="14605" w:type="dxa"/>
            <w:gridSpan w:val="7"/>
          </w:tcPr>
          <w:p w:rsidR="00B54959" w:rsidRDefault="00B54959" w:rsidP="00FD2DED">
            <w:pPr>
              <w:spacing w:before="60" w:after="60"/>
              <w:ind w:left="-72" w:right="-57"/>
              <w:rPr>
                <w:b/>
                <w:i/>
              </w:rPr>
            </w:pPr>
            <w:r>
              <w:rPr>
                <w:b/>
                <w:i/>
              </w:rPr>
              <w:t>Revenue Requirement Adjustments to Operating Revenues</w:t>
            </w:r>
          </w:p>
          <w:p w:rsidR="00B54959" w:rsidRPr="002F71E7" w:rsidRDefault="00B54959" w:rsidP="00FD2DED">
            <w:pPr>
              <w:spacing w:before="60" w:after="60"/>
              <w:ind w:left="-74" w:right="-55"/>
            </w:pPr>
            <w:r>
              <w:rPr>
                <w:b/>
                <w:i/>
              </w:rPr>
              <w:t>(Tab 3 of Exhibit No.___(RBD-3)</w:t>
            </w:r>
          </w:p>
        </w:tc>
      </w:tr>
      <w:tr w:rsidR="008A6446" w:rsidRPr="002F71E7" w:rsidTr="008A6446">
        <w:tc>
          <w:tcPr>
            <w:tcW w:w="2086" w:type="dxa"/>
          </w:tcPr>
          <w:p w:rsidR="0076729B" w:rsidRDefault="0076729B" w:rsidP="00AE3A3B">
            <w:pPr>
              <w:spacing w:before="60" w:after="60"/>
              <w:ind w:left="-72" w:right="-57"/>
              <w:rPr>
                <w:b/>
                <w:i/>
              </w:rPr>
            </w:pPr>
            <w:r>
              <w:rPr>
                <w:b/>
                <w:i/>
              </w:rPr>
              <w:t xml:space="preserve"> </w:t>
            </w:r>
            <w:r w:rsidR="00AE3A3B">
              <w:rPr>
                <w:b/>
                <w:i/>
              </w:rPr>
              <w:t xml:space="preserve">3.1 </w:t>
            </w:r>
          </w:p>
          <w:p w:rsidR="008A6446" w:rsidRPr="002F71E7" w:rsidRDefault="00AE3A3B" w:rsidP="00AE3A3B">
            <w:pPr>
              <w:spacing w:before="60" w:after="60"/>
              <w:ind w:left="-72" w:right="-57"/>
              <w:rPr>
                <w:b/>
                <w:i/>
              </w:rPr>
            </w:pPr>
            <w:r>
              <w:rPr>
                <w:b/>
                <w:i/>
              </w:rPr>
              <w:t>Temperature Normalization</w:t>
            </w:r>
          </w:p>
        </w:tc>
        <w:tc>
          <w:tcPr>
            <w:tcW w:w="2086" w:type="dxa"/>
          </w:tcPr>
          <w:p w:rsidR="008A6446" w:rsidRPr="002F71E7" w:rsidRDefault="008A6446" w:rsidP="00D11C7E">
            <w:pPr>
              <w:spacing w:before="60" w:after="60"/>
              <w:ind w:left="-74" w:right="-55"/>
            </w:pPr>
            <w:r w:rsidRPr="002F71E7">
              <w:t xml:space="preserve">This adjustment </w:t>
            </w:r>
            <w:r w:rsidR="00AE3A3B">
              <w:t xml:space="preserve">normalizes residential revenues in the test period by comparing actual sales </w:t>
            </w:r>
            <w:r w:rsidR="00AA32E5">
              <w:t>to temperature normalized sales, consistent with Order 06 in Docket UE-100749.</w:t>
            </w:r>
          </w:p>
          <w:p w:rsidR="009F1E2D" w:rsidRDefault="008A6446" w:rsidP="00AE3A3B">
            <w:pPr>
              <w:spacing w:before="60" w:after="60"/>
              <w:ind w:left="-74" w:right="-55"/>
            </w:pPr>
            <w:r w:rsidRPr="002F71E7">
              <w:t>Increases net operating income (“NOI”) by $</w:t>
            </w:r>
            <w:r w:rsidR="00AE3A3B">
              <w:t>2,065,366</w:t>
            </w:r>
            <w:r w:rsidRPr="002F71E7">
              <w:t xml:space="preserve">.  </w:t>
            </w:r>
          </w:p>
          <w:p w:rsidR="008A6446" w:rsidRPr="002F71E7" w:rsidRDefault="008A6446" w:rsidP="00AE3A3B">
            <w:pPr>
              <w:spacing w:before="60" w:after="60"/>
              <w:ind w:left="-74" w:right="-55"/>
            </w:pPr>
            <w:r w:rsidRPr="002F71E7">
              <w:t>Exhibit No. __</w:t>
            </w:r>
            <w:proofErr w:type="gramStart"/>
            <w:r w:rsidRPr="002F71E7">
              <w:t>_(</w:t>
            </w:r>
            <w:proofErr w:type="gramEnd"/>
            <w:r w:rsidR="00AE3A3B">
              <w:t>RBD</w:t>
            </w:r>
            <w:r w:rsidRPr="002F71E7">
              <w:t>-</w:t>
            </w:r>
            <w:r w:rsidR="00AE3A3B">
              <w:t>3), page 3.0 Total, line 30</w:t>
            </w:r>
            <w:r w:rsidR="00AA32E5">
              <w:t>.</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76729B" w:rsidRDefault="0076729B" w:rsidP="00AA32E5">
            <w:pPr>
              <w:spacing w:before="60" w:after="60"/>
              <w:ind w:left="-72" w:right="-57"/>
              <w:rPr>
                <w:b/>
                <w:i/>
              </w:rPr>
            </w:pPr>
            <w:r>
              <w:rPr>
                <w:b/>
                <w:i/>
              </w:rPr>
              <w:t xml:space="preserve"> </w:t>
            </w:r>
            <w:r w:rsidR="00AA32E5">
              <w:rPr>
                <w:b/>
                <w:i/>
              </w:rPr>
              <w:t xml:space="preserve">3.2 </w:t>
            </w:r>
          </w:p>
          <w:p w:rsidR="008A6446" w:rsidRPr="002F71E7" w:rsidRDefault="00AA32E5" w:rsidP="00AA32E5">
            <w:pPr>
              <w:spacing w:before="60" w:after="60"/>
              <w:ind w:left="-72" w:right="-57"/>
              <w:rPr>
                <w:b/>
                <w:i/>
              </w:rPr>
            </w:pPr>
            <w:r>
              <w:rPr>
                <w:b/>
                <w:i/>
              </w:rPr>
              <w:t>Revenue Normalization</w:t>
            </w:r>
          </w:p>
        </w:tc>
        <w:tc>
          <w:tcPr>
            <w:tcW w:w="2086" w:type="dxa"/>
          </w:tcPr>
          <w:p w:rsidR="008A6446" w:rsidRPr="002F71E7" w:rsidRDefault="008A6446" w:rsidP="00D11C7E">
            <w:pPr>
              <w:spacing w:before="60" w:after="60"/>
              <w:ind w:left="-74" w:right="-55"/>
            </w:pPr>
            <w:r w:rsidRPr="002F71E7">
              <w:t xml:space="preserve">This adjustment </w:t>
            </w:r>
            <w:r w:rsidR="00AA32E5">
              <w:t>removes revenue items that should not be included in regulat</w:t>
            </w:r>
            <w:r w:rsidR="00081292">
              <w:t>ed</w:t>
            </w:r>
            <w:r w:rsidR="00AA32E5">
              <w:t xml:space="preserve"> results.</w:t>
            </w:r>
          </w:p>
          <w:p w:rsidR="009F1E2D" w:rsidRDefault="00AA32E5" w:rsidP="00AA32E5">
            <w:pPr>
              <w:spacing w:before="60" w:after="60"/>
              <w:ind w:left="-74" w:right="-55"/>
            </w:pPr>
            <w:r>
              <w:t>Increases</w:t>
            </w:r>
            <w:r w:rsidR="008A6446" w:rsidRPr="002F71E7">
              <w:t xml:space="preserve"> NOI by $</w:t>
            </w:r>
            <w:r>
              <w:t>7,302,805</w:t>
            </w:r>
            <w:r w:rsidR="008A6446" w:rsidRPr="002F71E7">
              <w:t>.</w:t>
            </w:r>
          </w:p>
          <w:p w:rsidR="00AA32E5" w:rsidRPr="002F71E7" w:rsidRDefault="00AA32E5" w:rsidP="009F1E2D">
            <w:pPr>
              <w:spacing w:before="60" w:after="60"/>
              <w:ind w:left="-74" w:right="-55"/>
            </w:pPr>
            <w:r w:rsidRPr="002F71E7">
              <w:t>Exhibit No. __</w:t>
            </w:r>
            <w:proofErr w:type="gramStart"/>
            <w:r w:rsidRPr="002F71E7">
              <w:t>_(</w:t>
            </w:r>
            <w:proofErr w:type="gramEnd"/>
            <w:r>
              <w:t>RBD</w:t>
            </w:r>
            <w:r w:rsidRPr="002F71E7">
              <w:t>-</w:t>
            </w:r>
            <w:r>
              <w:t>3), page 3.0 Total, line 30.</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000000" w:rsidRDefault="00AA32E5">
            <w:pPr>
              <w:spacing w:before="60" w:after="60"/>
              <w:ind w:left="-72" w:right="-57"/>
              <w:rPr>
                <w:b/>
                <w:i/>
              </w:rPr>
            </w:pPr>
            <w:r>
              <w:rPr>
                <w:b/>
                <w:i/>
              </w:rPr>
              <w:t xml:space="preserve">3.3 </w:t>
            </w:r>
          </w:p>
          <w:p w:rsidR="008A6446" w:rsidRPr="002F71E7" w:rsidRDefault="00AA32E5" w:rsidP="00AA32E5">
            <w:pPr>
              <w:spacing w:before="60" w:after="60"/>
              <w:ind w:left="-72" w:right="-57"/>
              <w:rPr>
                <w:b/>
                <w:i/>
              </w:rPr>
            </w:pPr>
            <w:r>
              <w:rPr>
                <w:b/>
                <w:i/>
              </w:rPr>
              <w:t>Effective Price Change</w:t>
            </w:r>
          </w:p>
        </w:tc>
        <w:tc>
          <w:tcPr>
            <w:tcW w:w="2086" w:type="dxa"/>
          </w:tcPr>
          <w:p w:rsidR="008A6446" w:rsidRPr="002F71E7" w:rsidRDefault="00AA32E5" w:rsidP="00D11C7E">
            <w:pPr>
              <w:spacing w:before="60" w:after="60"/>
              <w:ind w:left="-74" w:right="-55"/>
            </w:pPr>
            <w:r>
              <w:t>This adjustment normalizes retail revenues for known and measurable changes after December 2010.</w:t>
            </w:r>
          </w:p>
          <w:p w:rsidR="009F1E2D" w:rsidRDefault="00AA32E5" w:rsidP="00AA32E5">
            <w:pPr>
              <w:spacing w:before="60" w:after="60"/>
              <w:ind w:left="-74" w:right="-55"/>
            </w:pPr>
            <w:r>
              <w:t>Increases</w:t>
            </w:r>
            <w:r w:rsidR="008A6446" w:rsidRPr="002F71E7">
              <w:t xml:space="preserve"> NOI by $</w:t>
            </w:r>
            <w:r>
              <w:t>21,569,261</w:t>
            </w:r>
            <w:r w:rsidR="008A6446" w:rsidRPr="002F71E7">
              <w:t xml:space="preserve">.  </w:t>
            </w:r>
          </w:p>
          <w:p w:rsidR="008A6446" w:rsidRPr="002F71E7" w:rsidRDefault="00AA32E5" w:rsidP="00AA32E5">
            <w:pPr>
              <w:spacing w:before="60" w:after="60"/>
              <w:ind w:left="-74" w:right="-55"/>
            </w:pPr>
            <w:r w:rsidRPr="002F71E7">
              <w:t>Exhibit No. __</w:t>
            </w:r>
            <w:proofErr w:type="gramStart"/>
            <w:r w:rsidRPr="002F71E7">
              <w:t>_(</w:t>
            </w:r>
            <w:proofErr w:type="gramEnd"/>
            <w:r>
              <w:t>RBD</w:t>
            </w:r>
            <w:r w:rsidRPr="002F71E7">
              <w:t>-</w:t>
            </w:r>
            <w:r>
              <w:t>3), page 3.0 Total, line 30.</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76729B" w:rsidRDefault="008A6446" w:rsidP="00AA32E5">
            <w:pPr>
              <w:spacing w:before="60" w:after="60"/>
              <w:ind w:left="-72" w:right="-57"/>
              <w:rPr>
                <w:b/>
                <w:i/>
              </w:rPr>
            </w:pPr>
            <w:r w:rsidRPr="002F71E7">
              <w:rPr>
                <w:b/>
                <w:i/>
              </w:rPr>
              <w:t xml:space="preserve"> </w:t>
            </w:r>
            <w:r w:rsidR="00AA32E5">
              <w:rPr>
                <w:b/>
                <w:i/>
              </w:rPr>
              <w:t xml:space="preserve">3.4 </w:t>
            </w:r>
          </w:p>
          <w:p w:rsidR="008A6446" w:rsidRPr="002F71E7" w:rsidRDefault="00AA32E5" w:rsidP="00AA32E5">
            <w:pPr>
              <w:spacing w:before="60" w:after="60"/>
              <w:ind w:left="-72" w:right="-57"/>
              <w:rPr>
                <w:b/>
                <w:i/>
              </w:rPr>
            </w:pPr>
            <w:r>
              <w:rPr>
                <w:b/>
                <w:i/>
              </w:rPr>
              <w:t>SO2 Emission Allowance Sales</w:t>
            </w:r>
          </w:p>
        </w:tc>
        <w:tc>
          <w:tcPr>
            <w:tcW w:w="2086" w:type="dxa"/>
          </w:tcPr>
          <w:p w:rsidR="008A6446" w:rsidRPr="002F71E7" w:rsidRDefault="00AA32E5" w:rsidP="00D11C7E">
            <w:pPr>
              <w:spacing w:before="60" w:after="60"/>
              <w:ind w:left="-74" w:right="-55"/>
            </w:pPr>
            <w:r>
              <w:t>This adjustment removes sales revenue booked during the 12-months ended December 2010 and includes amortization of sales over a 5-year period, consistent with Order 06 in Docket UE-100749.</w:t>
            </w:r>
          </w:p>
          <w:p w:rsidR="009F1E2D" w:rsidRDefault="00AA32E5" w:rsidP="00AA32E5">
            <w:pPr>
              <w:spacing w:before="60" w:after="60"/>
              <w:ind w:left="-74" w:right="-55"/>
            </w:pPr>
            <w:r>
              <w:t>Increases</w:t>
            </w:r>
            <w:r w:rsidR="008A6446" w:rsidRPr="002F71E7">
              <w:t xml:space="preserve"> NOI by $</w:t>
            </w:r>
            <w:r>
              <w:t>425,744</w:t>
            </w:r>
            <w:r w:rsidR="008A6446" w:rsidRPr="002F71E7">
              <w:t>.</w:t>
            </w:r>
          </w:p>
          <w:p w:rsidR="009F1E2D" w:rsidRDefault="009F1E2D" w:rsidP="00AA32E5">
            <w:pPr>
              <w:spacing w:before="60" w:after="60"/>
              <w:ind w:left="-74" w:right="-55"/>
            </w:pPr>
            <w:r>
              <w:t>Decreases rate base by $1,995,224.</w:t>
            </w:r>
          </w:p>
          <w:p w:rsidR="008A6446" w:rsidRPr="002F71E7" w:rsidRDefault="00AA32E5" w:rsidP="009F1E2D">
            <w:pPr>
              <w:spacing w:before="60" w:after="60"/>
              <w:ind w:left="-74" w:right="-55"/>
            </w:pPr>
            <w:r w:rsidRPr="002F71E7">
              <w:t>Exhibit No. __</w:t>
            </w:r>
            <w:proofErr w:type="gramStart"/>
            <w:r w:rsidRPr="002F71E7">
              <w:t>_(</w:t>
            </w:r>
            <w:proofErr w:type="gramEnd"/>
            <w:r>
              <w:t>RBD</w:t>
            </w:r>
            <w:r w:rsidRPr="002F71E7">
              <w:t>-</w:t>
            </w:r>
            <w:r>
              <w:t xml:space="preserve">3), page </w:t>
            </w:r>
            <w:r>
              <w:lastRenderedPageBreak/>
              <w:t>3.0 Total, line</w:t>
            </w:r>
            <w:r w:rsidR="009F1E2D">
              <w:t>s</w:t>
            </w:r>
            <w:r>
              <w:t xml:space="preserve"> 30</w:t>
            </w:r>
            <w:r w:rsidR="009F1E2D">
              <w:t xml:space="preserve"> and 57</w:t>
            </w:r>
            <w:r>
              <w:t>.</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76729B" w:rsidRDefault="0076729B" w:rsidP="00972458">
            <w:pPr>
              <w:spacing w:before="60" w:after="60"/>
              <w:ind w:left="-72" w:right="-57"/>
              <w:rPr>
                <w:b/>
                <w:i/>
              </w:rPr>
            </w:pPr>
            <w:r>
              <w:rPr>
                <w:b/>
                <w:i/>
              </w:rPr>
              <w:lastRenderedPageBreak/>
              <w:t xml:space="preserve"> </w:t>
            </w:r>
            <w:r w:rsidR="00972458">
              <w:rPr>
                <w:b/>
                <w:i/>
              </w:rPr>
              <w:t xml:space="preserve">3.5 </w:t>
            </w:r>
          </w:p>
          <w:p w:rsidR="008A6446" w:rsidRPr="002F71E7" w:rsidRDefault="00972458" w:rsidP="00972458">
            <w:pPr>
              <w:spacing w:before="60" w:after="60"/>
              <w:ind w:left="-72" w:right="-57"/>
              <w:rPr>
                <w:b/>
                <w:i/>
              </w:rPr>
            </w:pPr>
            <w:r>
              <w:rPr>
                <w:b/>
                <w:i/>
              </w:rPr>
              <w:t>REC Revenues</w:t>
            </w:r>
          </w:p>
        </w:tc>
        <w:tc>
          <w:tcPr>
            <w:tcW w:w="2086" w:type="dxa"/>
          </w:tcPr>
          <w:p w:rsidR="008A6446" w:rsidRPr="002F71E7" w:rsidRDefault="00972458" w:rsidP="00D11C7E">
            <w:pPr>
              <w:spacing w:before="60" w:after="60"/>
              <w:ind w:left="-74" w:right="-55"/>
            </w:pPr>
            <w:r>
              <w:t>This adjustment removes REC revenues recorded during the 12-months ended December 2010.  Consistent with Order 06 in Docket UE-100749, REC revenues are passed back to customers through a separate tracker mechanism effective April 2011.</w:t>
            </w:r>
          </w:p>
          <w:p w:rsidR="009F1E2D" w:rsidRDefault="00972458" w:rsidP="00972458">
            <w:pPr>
              <w:spacing w:before="60" w:after="60"/>
              <w:ind w:left="-74" w:right="-55"/>
            </w:pPr>
            <w:r>
              <w:t>Decreases</w:t>
            </w:r>
            <w:r w:rsidR="008A6446" w:rsidRPr="002F71E7">
              <w:t xml:space="preserve"> NOI by $</w:t>
            </w:r>
            <w:r>
              <w:t>5,352,010</w:t>
            </w:r>
            <w:r w:rsidR="008A6446" w:rsidRPr="002F71E7">
              <w:t>.</w:t>
            </w:r>
          </w:p>
          <w:p w:rsidR="008A6446" w:rsidRPr="002F71E7" w:rsidRDefault="00972458" w:rsidP="009F1E2D">
            <w:pPr>
              <w:spacing w:before="60" w:after="60"/>
              <w:ind w:left="-74" w:right="-55"/>
            </w:pPr>
            <w:r w:rsidRPr="002F71E7">
              <w:t>Exhibit No. __</w:t>
            </w:r>
            <w:proofErr w:type="gramStart"/>
            <w:r w:rsidRPr="002F71E7">
              <w:t>_(</w:t>
            </w:r>
            <w:proofErr w:type="gramEnd"/>
            <w:r>
              <w:t>RBD</w:t>
            </w:r>
            <w:r w:rsidRPr="002F71E7">
              <w:t>-</w:t>
            </w:r>
            <w:r>
              <w:t>3), page 3.0 Total, line 30.</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76729B" w:rsidRDefault="0076729B" w:rsidP="00972458">
            <w:pPr>
              <w:spacing w:before="60" w:after="60"/>
              <w:ind w:left="-72" w:right="-57"/>
              <w:rPr>
                <w:b/>
                <w:i/>
              </w:rPr>
            </w:pPr>
            <w:r>
              <w:rPr>
                <w:b/>
                <w:i/>
              </w:rPr>
              <w:t xml:space="preserve"> </w:t>
            </w:r>
            <w:r w:rsidR="00972458">
              <w:rPr>
                <w:b/>
                <w:i/>
              </w:rPr>
              <w:t xml:space="preserve">3.6 </w:t>
            </w:r>
          </w:p>
          <w:p w:rsidR="008A6446" w:rsidRPr="002F71E7" w:rsidRDefault="00972458" w:rsidP="00972458">
            <w:pPr>
              <w:spacing w:before="60" w:after="60"/>
              <w:ind w:left="-72" w:right="-57"/>
              <w:rPr>
                <w:b/>
                <w:i/>
              </w:rPr>
            </w:pPr>
            <w:r>
              <w:rPr>
                <w:b/>
                <w:i/>
              </w:rPr>
              <w:t>Wheeling Revenue Adjustment</w:t>
            </w:r>
          </w:p>
        </w:tc>
        <w:tc>
          <w:tcPr>
            <w:tcW w:w="2086" w:type="dxa"/>
          </w:tcPr>
          <w:p w:rsidR="008A6446" w:rsidRPr="002F71E7" w:rsidRDefault="00972458" w:rsidP="00D11C7E">
            <w:pPr>
              <w:spacing w:before="60" w:after="60"/>
              <w:ind w:left="-74" w:right="-55"/>
            </w:pPr>
            <w:r>
              <w:t>This adjustment reflects known and measurable changes to actual wheeling revenues for the 12-months ended December 2010.</w:t>
            </w:r>
          </w:p>
          <w:p w:rsidR="009F1E2D" w:rsidRDefault="008A6446" w:rsidP="00972458">
            <w:pPr>
              <w:spacing w:before="60" w:after="60"/>
              <w:ind w:left="-74" w:right="-55"/>
            </w:pPr>
            <w:r w:rsidRPr="002F71E7">
              <w:t>Increases NOI by $</w:t>
            </w:r>
            <w:r w:rsidR="00972458">
              <w:t>112,252</w:t>
            </w:r>
            <w:r w:rsidRPr="002F71E7">
              <w:t xml:space="preserve">. </w:t>
            </w:r>
          </w:p>
          <w:p w:rsidR="008A6446" w:rsidRPr="002F71E7" w:rsidRDefault="00972458" w:rsidP="00972458">
            <w:pPr>
              <w:spacing w:before="60" w:after="60"/>
              <w:ind w:left="-74" w:right="-55"/>
            </w:pPr>
            <w:r w:rsidRPr="002F71E7">
              <w:t>Exhibit No. __</w:t>
            </w:r>
            <w:proofErr w:type="gramStart"/>
            <w:r w:rsidRPr="002F71E7">
              <w:t>_(</w:t>
            </w:r>
            <w:proofErr w:type="gramEnd"/>
            <w:r>
              <w:t>RBD</w:t>
            </w:r>
            <w:r w:rsidRPr="002F71E7">
              <w:t>-</w:t>
            </w:r>
            <w:r>
              <w:t>3), page 3.0 Total, line 30.</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76729B" w:rsidRDefault="00972458" w:rsidP="00D11C7E">
            <w:pPr>
              <w:spacing w:before="60" w:after="60"/>
              <w:ind w:left="-72" w:right="-57"/>
              <w:rPr>
                <w:b/>
                <w:i/>
              </w:rPr>
            </w:pPr>
            <w:r>
              <w:rPr>
                <w:b/>
                <w:i/>
              </w:rPr>
              <w:t xml:space="preserve">3.7 </w:t>
            </w:r>
          </w:p>
          <w:p w:rsidR="008A6446" w:rsidRPr="002F71E7" w:rsidRDefault="00972458" w:rsidP="00D11C7E">
            <w:pPr>
              <w:spacing w:before="60" w:after="60"/>
              <w:ind w:left="-72" w:right="-57"/>
              <w:rPr>
                <w:b/>
                <w:i/>
              </w:rPr>
            </w:pPr>
            <w:r>
              <w:rPr>
                <w:b/>
                <w:i/>
              </w:rPr>
              <w:t>Ancillary Revenue</w:t>
            </w:r>
          </w:p>
        </w:tc>
        <w:tc>
          <w:tcPr>
            <w:tcW w:w="2086" w:type="dxa"/>
          </w:tcPr>
          <w:p w:rsidR="008A6446" w:rsidRPr="002F71E7" w:rsidRDefault="00972458" w:rsidP="00D11C7E">
            <w:pPr>
              <w:spacing w:before="60" w:after="60"/>
              <w:ind w:left="-74" w:right="-55"/>
            </w:pPr>
            <w:r>
              <w:t>This adjustment removes ancillary service revenue booked during the 12-months ended December 2010 for a contract that expires</w:t>
            </w:r>
            <w:r w:rsidR="003536A6">
              <w:t xml:space="preserve"> on December 31, 2011, which is</w:t>
            </w:r>
            <w:r>
              <w:t xml:space="preserve"> prior to the rate effective period.</w:t>
            </w:r>
          </w:p>
          <w:p w:rsidR="009F1E2D" w:rsidRDefault="00972458" w:rsidP="00972458">
            <w:pPr>
              <w:spacing w:before="60" w:after="60"/>
              <w:ind w:left="-74" w:right="-55"/>
            </w:pPr>
            <w:r>
              <w:t>Decreases</w:t>
            </w:r>
            <w:r w:rsidRPr="002F71E7">
              <w:t xml:space="preserve"> NOI by $</w:t>
            </w:r>
            <w:r>
              <w:t>721,055</w:t>
            </w:r>
            <w:r w:rsidRPr="002F71E7">
              <w:t>.</w:t>
            </w:r>
          </w:p>
          <w:p w:rsidR="008A6446" w:rsidRPr="002F71E7" w:rsidRDefault="00972458" w:rsidP="009F1E2D">
            <w:pPr>
              <w:spacing w:before="60" w:after="60"/>
              <w:ind w:left="-74" w:right="-55"/>
            </w:pPr>
            <w:r w:rsidRPr="002F71E7">
              <w:t>Exhibit No. __</w:t>
            </w:r>
            <w:proofErr w:type="gramStart"/>
            <w:r w:rsidRPr="002F71E7">
              <w:t>_(</w:t>
            </w:r>
            <w:proofErr w:type="gramEnd"/>
            <w:r>
              <w:t>RBD</w:t>
            </w:r>
            <w:r w:rsidRPr="002F71E7">
              <w:t>-</w:t>
            </w:r>
            <w:r>
              <w:t>3), page 3.0.1 Total, line 30.</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B54959" w:rsidRPr="002F71E7" w:rsidTr="00FD2DED">
        <w:tc>
          <w:tcPr>
            <w:tcW w:w="14605" w:type="dxa"/>
            <w:gridSpan w:val="7"/>
            <w:shd w:val="clear" w:color="auto" w:fill="BFBFBF" w:themeFill="background1" w:themeFillShade="BF"/>
          </w:tcPr>
          <w:p w:rsidR="00B54959" w:rsidRPr="00B54959" w:rsidRDefault="00B54959" w:rsidP="00FD2DED">
            <w:pPr>
              <w:spacing w:before="60" w:after="60"/>
              <w:ind w:left="-74" w:right="-55"/>
              <w:rPr>
                <w:b/>
                <w:i/>
              </w:rPr>
            </w:pPr>
          </w:p>
        </w:tc>
      </w:tr>
      <w:tr w:rsidR="00B54959" w:rsidRPr="002F71E7" w:rsidTr="00FD2DED">
        <w:tc>
          <w:tcPr>
            <w:tcW w:w="14605" w:type="dxa"/>
            <w:gridSpan w:val="7"/>
          </w:tcPr>
          <w:p w:rsidR="00B54959" w:rsidRDefault="00B54959" w:rsidP="00FD2DED">
            <w:pPr>
              <w:spacing w:before="60" w:after="60"/>
              <w:ind w:left="-72" w:right="-57"/>
              <w:rPr>
                <w:b/>
                <w:i/>
              </w:rPr>
            </w:pPr>
            <w:r>
              <w:rPr>
                <w:b/>
                <w:i/>
              </w:rPr>
              <w:t>Operation and Maintenance (O&amp;M) Expense Revenue Requirement Adjustments</w:t>
            </w:r>
          </w:p>
          <w:p w:rsidR="00B54959" w:rsidRPr="002F71E7" w:rsidRDefault="00B54959" w:rsidP="00B54959">
            <w:pPr>
              <w:spacing w:before="60" w:after="60"/>
              <w:ind w:left="-74" w:right="-55"/>
            </w:pPr>
            <w:r>
              <w:rPr>
                <w:b/>
                <w:i/>
              </w:rPr>
              <w:t>(Tab 4 of Exhibit No.___(RBD-3)</w:t>
            </w:r>
          </w:p>
        </w:tc>
      </w:tr>
      <w:tr w:rsidR="008A6446" w:rsidRPr="002F71E7" w:rsidTr="008A6446">
        <w:tc>
          <w:tcPr>
            <w:tcW w:w="2086" w:type="dxa"/>
          </w:tcPr>
          <w:p w:rsidR="0076729B" w:rsidRDefault="003536A6" w:rsidP="00D11C7E">
            <w:pPr>
              <w:spacing w:before="60" w:after="60"/>
              <w:ind w:left="-72" w:right="-57"/>
              <w:rPr>
                <w:b/>
                <w:i/>
              </w:rPr>
            </w:pPr>
            <w:r>
              <w:rPr>
                <w:b/>
                <w:i/>
              </w:rPr>
              <w:t xml:space="preserve">4.1 </w:t>
            </w:r>
          </w:p>
          <w:p w:rsidR="008A6446" w:rsidRPr="002F71E7" w:rsidRDefault="003536A6" w:rsidP="00D11C7E">
            <w:pPr>
              <w:spacing w:before="60" w:after="60"/>
              <w:ind w:left="-72" w:right="-57"/>
              <w:rPr>
                <w:b/>
                <w:i/>
              </w:rPr>
            </w:pPr>
            <w:r>
              <w:rPr>
                <w:b/>
                <w:i/>
              </w:rPr>
              <w:t>Miscellaneous General Expense Adjustment</w:t>
            </w:r>
          </w:p>
        </w:tc>
        <w:tc>
          <w:tcPr>
            <w:tcW w:w="2086" w:type="dxa"/>
          </w:tcPr>
          <w:p w:rsidR="008A6446" w:rsidRPr="002F71E7" w:rsidRDefault="003536A6" w:rsidP="00D11C7E">
            <w:pPr>
              <w:spacing w:before="60" w:after="60"/>
              <w:ind w:left="-74" w:right="-55"/>
            </w:pPr>
            <w:r>
              <w:t>This adjustment removes certain miscellaneous expenses that should have been charged below the line.</w:t>
            </w:r>
          </w:p>
          <w:p w:rsidR="009F1E2D" w:rsidRDefault="008A6446" w:rsidP="003536A6">
            <w:pPr>
              <w:spacing w:before="60" w:after="60"/>
              <w:ind w:left="-74" w:right="-55"/>
            </w:pPr>
            <w:r w:rsidRPr="002F71E7">
              <w:t>Increases NOI by $</w:t>
            </w:r>
            <w:r w:rsidR="003536A6">
              <w:t>2,598</w:t>
            </w:r>
            <w:r w:rsidRPr="002F71E7">
              <w:t>.</w:t>
            </w:r>
          </w:p>
          <w:p w:rsidR="008A6446" w:rsidRPr="002F71E7" w:rsidRDefault="003536A6" w:rsidP="009F1E2D">
            <w:pPr>
              <w:spacing w:before="60" w:after="60"/>
              <w:ind w:left="-74" w:right="-55"/>
            </w:pPr>
            <w:r w:rsidRPr="002F71E7">
              <w:t>Exhibit No. __</w:t>
            </w:r>
            <w:proofErr w:type="gramStart"/>
            <w:r w:rsidRPr="002F71E7">
              <w:t>_(</w:t>
            </w:r>
            <w:proofErr w:type="gramEnd"/>
            <w:r>
              <w:t>RBD</w:t>
            </w:r>
            <w:r w:rsidRPr="002F71E7">
              <w:t>-</w:t>
            </w:r>
            <w:r>
              <w:t>3), page 4.0 Total, line 30.</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76729B" w:rsidRDefault="003536A6" w:rsidP="00D11C7E">
            <w:pPr>
              <w:spacing w:before="60" w:after="60"/>
              <w:ind w:left="-72" w:right="-57"/>
              <w:rPr>
                <w:b/>
                <w:i/>
              </w:rPr>
            </w:pPr>
            <w:r>
              <w:rPr>
                <w:b/>
                <w:i/>
              </w:rPr>
              <w:t xml:space="preserve">4.2 </w:t>
            </w:r>
          </w:p>
          <w:p w:rsidR="008A6446" w:rsidRPr="002F71E7" w:rsidRDefault="003536A6" w:rsidP="00D11C7E">
            <w:pPr>
              <w:spacing w:before="60" w:after="60"/>
              <w:ind w:left="-72" w:right="-57"/>
              <w:rPr>
                <w:b/>
                <w:i/>
              </w:rPr>
            </w:pPr>
            <w:r>
              <w:rPr>
                <w:b/>
                <w:i/>
              </w:rPr>
              <w:t>General Wage Increase –Restating Adjustment</w:t>
            </w:r>
          </w:p>
        </w:tc>
        <w:tc>
          <w:tcPr>
            <w:tcW w:w="2086" w:type="dxa"/>
          </w:tcPr>
          <w:p w:rsidR="008A6446" w:rsidRPr="002F71E7" w:rsidRDefault="000A66B4" w:rsidP="00D11C7E">
            <w:pPr>
              <w:spacing w:before="60" w:after="60"/>
              <w:ind w:left="-74" w:right="-55"/>
            </w:pPr>
            <w:r>
              <w:t xml:space="preserve">This adjustment annualizes wage increases that occurred during the 12-months ended December 2010. This adjustment also removes </w:t>
            </w:r>
            <w:r>
              <w:lastRenderedPageBreak/>
              <w:t>SERP expenses from the test period.</w:t>
            </w:r>
          </w:p>
          <w:p w:rsidR="009F1E2D" w:rsidRDefault="003536A6" w:rsidP="003536A6">
            <w:pPr>
              <w:spacing w:before="60" w:after="60"/>
              <w:ind w:left="-74" w:right="-55"/>
            </w:pPr>
            <w:r>
              <w:t>Increases</w:t>
            </w:r>
            <w:r w:rsidR="008A6446" w:rsidRPr="002F71E7">
              <w:t xml:space="preserve"> NOI by $</w:t>
            </w:r>
            <w:r>
              <w:t>70,898</w:t>
            </w:r>
            <w:r w:rsidR="008A6446" w:rsidRPr="002F71E7">
              <w:t>.</w:t>
            </w:r>
          </w:p>
          <w:p w:rsidR="008A6446" w:rsidRPr="002F71E7" w:rsidRDefault="003536A6" w:rsidP="009F1E2D">
            <w:pPr>
              <w:spacing w:before="60" w:after="60"/>
              <w:ind w:left="-74" w:right="-55"/>
            </w:pPr>
            <w:r w:rsidRPr="002F71E7">
              <w:t>Exhibit No. __</w:t>
            </w:r>
            <w:proofErr w:type="gramStart"/>
            <w:r w:rsidRPr="002F71E7">
              <w:t>_(</w:t>
            </w:r>
            <w:proofErr w:type="gramEnd"/>
            <w:r>
              <w:t>RBD</w:t>
            </w:r>
            <w:r w:rsidRPr="002F71E7">
              <w:t>-</w:t>
            </w:r>
            <w:r>
              <w:t>3), page 4.0 Total, line 30.</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76729B" w:rsidRDefault="000A66B4" w:rsidP="00D11C7E">
            <w:pPr>
              <w:spacing w:before="60" w:after="60"/>
              <w:ind w:left="-72" w:right="-57"/>
              <w:rPr>
                <w:b/>
                <w:i/>
              </w:rPr>
            </w:pPr>
            <w:r>
              <w:rPr>
                <w:b/>
                <w:i/>
              </w:rPr>
              <w:lastRenderedPageBreak/>
              <w:t xml:space="preserve">4.3 </w:t>
            </w:r>
          </w:p>
          <w:p w:rsidR="008A6446" w:rsidRPr="002F71E7" w:rsidRDefault="000A66B4" w:rsidP="00D11C7E">
            <w:pPr>
              <w:spacing w:before="60" w:after="60"/>
              <w:ind w:left="-72" w:right="-57"/>
              <w:rPr>
                <w:b/>
                <w:i/>
              </w:rPr>
            </w:pPr>
            <w:r>
              <w:rPr>
                <w:b/>
                <w:i/>
              </w:rPr>
              <w:t>General Wage Increase – Pro Forma Adjustment</w:t>
            </w:r>
          </w:p>
        </w:tc>
        <w:tc>
          <w:tcPr>
            <w:tcW w:w="2086" w:type="dxa"/>
          </w:tcPr>
          <w:p w:rsidR="000A66B4" w:rsidRDefault="008A6446" w:rsidP="000A66B4">
            <w:pPr>
              <w:spacing w:before="60" w:after="60"/>
              <w:ind w:left="-74" w:right="-55"/>
            </w:pPr>
            <w:r w:rsidRPr="002F71E7">
              <w:t>This adjustment</w:t>
            </w:r>
            <w:r w:rsidR="000A66B4">
              <w:t xml:space="preserve"> recognizes </w:t>
            </w:r>
            <w:r w:rsidR="00C11B10">
              <w:t xml:space="preserve">wage </w:t>
            </w:r>
            <w:r w:rsidR="000A66B4">
              <w:t>increases that have occurred, or will occur through December 31, 2011.</w:t>
            </w:r>
          </w:p>
          <w:p w:rsidR="009F1E2D" w:rsidRDefault="000A66B4" w:rsidP="000A66B4">
            <w:pPr>
              <w:spacing w:before="60" w:after="60"/>
              <w:ind w:left="-74" w:right="-55"/>
            </w:pPr>
            <w:r>
              <w:t>Decreases</w:t>
            </w:r>
            <w:r w:rsidR="008A6446" w:rsidRPr="002F71E7">
              <w:t xml:space="preserve"> NOI by $</w:t>
            </w:r>
            <w:r>
              <w:t>199,305</w:t>
            </w:r>
            <w:r w:rsidR="008A6446" w:rsidRPr="002F71E7">
              <w:t>.</w:t>
            </w:r>
          </w:p>
          <w:p w:rsidR="008A6446" w:rsidRPr="002F71E7" w:rsidRDefault="000A66B4" w:rsidP="009F1E2D">
            <w:pPr>
              <w:spacing w:before="60" w:after="60"/>
              <w:ind w:left="-74" w:right="-55"/>
            </w:pPr>
            <w:r w:rsidRPr="002F71E7">
              <w:t>Exhibit No. __</w:t>
            </w:r>
            <w:proofErr w:type="gramStart"/>
            <w:r w:rsidRPr="002F71E7">
              <w:t>_(</w:t>
            </w:r>
            <w:proofErr w:type="gramEnd"/>
            <w:r>
              <w:t>RBD</w:t>
            </w:r>
            <w:r w:rsidRPr="002F71E7">
              <w:t>-</w:t>
            </w:r>
            <w:r>
              <w:t>3), page 4.0 Total, line 30.</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76729B" w:rsidRDefault="00982B99" w:rsidP="00982B99">
            <w:pPr>
              <w:spacing w:before="60" w:after="60"/>
              <w:ind w:left="-72" w:right="-57"/>
              <w:rPr>
                <w:b/>
                <w:i/>
              </w:rPr>
            </w:pPr>
            <w:r>
              <w:rPr>
                <w:b/>
                <w:i/>
              </w:rPr>
              <w:t xml:space="preserve">4.4 </w:t>
            </w:r>
          </w:p>
          <w:p w:rsidR="008A6446" w:rsidRPr="002F71E7" w:rsidRDefault="00982B99" w:rsidP="00982B99">
            <w:pPr>
              <w:spacing w:before="60" w:after="60"/>
              <w:ind w:left="-72" w:right="-57"/>
              <w:rPr>
                <w:b/>
                <w:i/>
              </w:rPr>
            </w:pPr>
            <w:r>
              <w:rPr>
                <w:b/>
                <w:i/>
              </w:rPr>
              <w:t>Automated  Meter Reader (AMR) Savings</w:t>
            </w:r>
          </w:p>
        </w:tc>
        <w:tc>
          <w:tcPr>
            <w:tcW w:w="2086" w:type="dxa"/>
          </w:tcPr>
          <w:p w:rsidR="008A6446" w:rsidRPr="002F71E7" w:rsidRDefault="00AE5873" w:rsidP="00D11C7E">
            <w:pPr>
              <w:spacing w:before="60" w:after="60"/>
              <w:ind w:left="-74" w:right="-55"/>
            </w:pPr>
            <w:r>
              <w:t>This adjustment reflects a reduction in meter reading expense as a result of the installation of new radio equipped meters in the Company’s Washington service territory. This adjustment also includes the impact of meter additions and retirements to electric plant in service.</w:t>
            </w:r>
          </w:p>
          <w:p w:rsidR="00FD2DED" w:rsidRDefault="008A6446" w:rsidP="00982B99">
            <w:pPr>
              <w:spacing w:before="60" w:after="60"/>
              <w:ind w:left="-74" w:right="-55"/>
            </w:pPr>
            <w:r w:rsidRPr="002F71E7">
              <w:t>Increases NOI by $</w:t>
            </w:r>
            <w:r w:rsidR="00982B99">
              <w:t>722,908</w:t>
            </w:r>
            <w:r w:rsidRPr="002F71E7">
              <w:t xml:space="preserve">. </w:t>
            </w:r>
          </w:p>
          <w:p w:rsidR="00FD2DED" w:rsidRDefault="00FD2DED" w:rsidP="00982B99">
            <w:pPr>
              <w:spacing w:before="60" w:after="60"/>
              <w:ind w:left="-74" w:right="-55"/>
            </w:pPr>
            <w:r>
              <w:t>Increases rate base by $7,282,596.</w:t>
            </w:r>
          </w:p>
          <w:p w:rsidR="008A6446" w:rsidRPr="002F71E7" w:rsidRDefault="00982B99" w:rsidP="00982B99">
            <w:pPr>
              <w:spacing w:before="60" w:after="60"/>
              <w:ind w:left="-74" w:right="-55"/>
            </w:pPr>
            <w:r w:rsidRPr="002F71E7">
              <w:t>Exhibit No. __</w:t>
            </w:r>
            <w:proofErr w:type="gramStart"/>
            <w:r w:rsidRPr="002F71E7">
              <w:t>_(</w:t>
            </w:r>
            <w:proofErr w:type="gramEnd"/>
            <w:r>
              <w:t>RBD</w:t>
            </w:r>
            <w:r w:rsidRPr="002F71E7">
              <w:t>-</w:t>
            </w:r>
            <w:r>
              <w:t>3), page 4.0 Total, line</w:t>
            </w:r>
            <w:r w:rsidR="00E07E08">
              <w:t>s</w:t>
            </w:r>
            <w:r>
              <w:t xml:space="preserve"> 30</w:t>
            </w:r>
            <w:r w:rsidR="00204883">
              <w:t xml:space="preserve"> and 57</w:t>
            </w:r>
            <w:r>
              <w:t>.</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76729B" w:rsidRDefault="00AE5873" w:rsidP="00D11C7E">
            <w:pPr>
              <w:spacing w:before="60" w:after="60"/>
              <w:ind w:left="-72" w:right="-57"/>
              <w:rPr>
                <w:b/>
                <w:i/>
              </w:rPr>
            </w:pPr>
            <w:r>
              <w:rPr>
                <w:b/>
                <w:i/>
              </w:rPr>
              <w:t>4</w:t>
            </w:r>
            <w:r w:rsidR="0076729B">
              <w:rPr>
                <w:b/>
                <w:i/>
              </w:rPr>
              <w:t>.5</w:t>
            </w:r>
          </w:p>
          <w:p w:rsidR="008A6446" w:rsidRPr="002F71E7" w:rsidRDefault="00AE5873" w:rsidP="00D11C7E">
            <w:pPr>
              <w:spacing w:before="60" w:after="60"/>
              <w:ind w:left="-72" w:right="-57"/>
              <w:rPr>
                <w:b/>
                <w:i/>
              </w:rPr>
            </w:pPr>
            <w:r>
              <w:rPr>
                <w:b/>
                <w:i/>
              </w:rPr>
              <w:t>Remove Non-Recurring Entries</w:t>
            </w:r>
          </w:p>
        </w:tc>
        <w:tc>
          <w:tcPr>
            <w:tcW w:w="2086" w:type="dxa"/>
          </w:tcPr>
          <w:p w:rsidR="008A6446" w:rsidRPr="002F71E7" w:rsidRDefault="008A6446" w:rsidP="00D11C7E">
            <w:pPr>
              <w:spacing w:before="60" w:after="60"/>
              <w:ind w:left="-74" w:right="-55"/>
            </w:pPr>
            <w:r w:rsidRPr="002F71E7">
              <w:t xml:space="preserve">This adjustment </w:t>
            </w:r>
            <w:r w:rsidR="00AE5873">
              <w:t>removes a variety of accounting entries that were booked during the 12-months ended December 2010 that are non-recurring in nature or that relate to prior periods.</w:t>
            </w:r>
          </w:p>
          <w:p w:rsidR="00AE5873" w:rsidRDefault="00AE5873" w:rsidP="00AE5873">
            <w:pPr>
              <w:spacing w:before="60" w:after="60"/>
              <w:ind w:left="-74" w:right="-55"/>
            </w:pPr>
            <w:r>
              <w:t xml:space="preserve">Decreases NOI </w:t>
            </w:r>
            <w:r w:rsidR="008A6446" w:rsidRPr="002F71E7">
              <w:t>by $</w:t>
            </w:r>
            <w:r>
              <w:t>61,217</w:t>
            </w:r>
            <w:r w:rsidR="008A6446" w:rsidRPr="002F71E7">
              <w:t>.</w:t>
            </w:r>
          </w:p>
          <w:p w:rsidR="00AE5873" w:rsidRDefault="00AE5873" w:rsidP="00AE5873">
            <w:pPr>
              <w:spacing w:before="60" w:after="60"/>
              <w:ind w:left="-74" w:right="-55"/>
            </w:pPr>
            <w:r>
              <w:t>Increases rate base by $56,245.</w:t>
            </w:r>
            <w:r w:rsidR="008A6446" w:rsidRPr="002F71E7">
              <w:t xml:space="preserve"> </w:t>
            </w:r>
          </w:p>
          <w:p w:rsidR="008A6446" w:rsidRPr="002F71E7" w:rsidRDefault="00AE5873" w:rsidP="00AE5873">
            <w:pPr>
              <w:spacing w:before="60" w:after="60"/>
              <w:ind w:left="-74" w:right="-55"/>
            </w:pPr>
            <w:r w:rsidRPr="002F71E7">
              <w:t>Exhibit No. __</w:t>
            </w:r>
            <w:proofErr w:type="gramStart"/>
            <w:r w:rsidRPr="002F71E7">
              <w:t>_(</w:t>
            </w:r>
            <w:proofErr w:type="gramEnd"/>
            <w:r>
              <w:t>RBD</w:t>
            </w:r>
            <w:r w:rsidRPr="002F71E7">
              <w:t>-</w:t>
            </w:r>
            <w:r>
              <w:t>3), page 4.0 Total, line</w:t>
            </w:r>
            <w:r w:rsidR="00E07E08">
              <w:t>s</w:t>
            </w:r>
            <w:r>
              <w:t xml:space="preserve"> 30</w:t>
            </w:r>
            <w:r w:rsidR="00204883">
              <w:t xml:space="preserve"> and 57</w:t>
            </w:r>
            <w:r>
              <w:t>.</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76729B" w:rsidRDefault="00AE5873" w:rsidP="00D11C7E">
            <w:pPr>
              <w:spacing w:before="60" w:after="60"/>
              <w:ind w:left="-72" w:right="-57"/>
              <w:rPr>
                <w:b/>
                <w:i/>
              </w:rPr>
            </w:pPr>
            <w:r>
              <w:rPr>
                <w:b/>
                <w:i/>
              </w:rPr>
              <w:t xml:space="preserve">4.6 </w:t>
            </w:r>
          </w:p>
          <w:p w:rsidR="008A6446" w:rsidRPr="002F71E7" w:rsidRDefault="00AE5873" w:rsidP="00D11C7E">
            <w:pPr>
              <w:spacing w:before="60" w:after="60"/>
              <w:ind w:left="-72" w:right="-57"/>
              <w:rPr>
                <w:b/>
                <w:i/>
              </w:rPr>
            </w:pPr>
            <w:r>
              <w:rPr>
                <w:b/>
                <w:i/>
              </w:rPr>
              <w:t>Pension and Postretirement Curtailment and Date Change</w:t>
            </w:r>
          </w:p>
        </w:tc>
        <w:tc>
          <w:tcPr>
            <w:tcW w:w="2086" w:type="dxa"/>
          </w:tcPr>
          <w:p w:rsidR="00716540" w:rsidRDefault="00AE5873" w:rsidP="00716540">
            <w:pPr>
              <w:spacing w:before="60" w:after="60"/>
              <w:ind w:left="-74" w:right="-55"/>
            </w:pPr>
            <w:r>
              <w:t xml:space="preserve">Order 09 in </w:t>
            </w:r>
            <w:r w:rsidR="008D6014">
              <w:t xml:space="preserve">Docket </w:t>
            </w:r>
            <w:r>
              <w:t>UE-090205 permits deferral and amortization of the pension curtailment gain resulting from employee participation in the 401(k) retirement plan option.  This adjustment removes the actual amortization during the 12-</w:t>
            </w:r>
            <w:r>
              <w:lastRenderedPageBreak/>
              <w:t xml:space="preserve">months </w:t>
            </w:r>
            <w:r w:rsidR="00FD2DED">
              <w:t xml:space="preserve">ended </w:t>
            </w:r>
            <w:r>
              <w:t xml:space="preserve">December 2010 and replaces it with the </w:t>
            </w:r>
            <w:r w:rsidR="008D6014">
              <w:t>pro forma</w:t>
            </w:r>
            <w:r w:rsidR="00716540">
              <w:t xml:space="preserve"> </w:t>
            </w:r>
            <w:r>
              <w:t>amortization for the 12-months ending December 2011.</w:t>
            </w:r>
            <w:r w:rsidR="00716540">
              <w:t xml:space="preserve"> </w:t>
            </w:r>
          </w:p>
          <w:p w:rsidR="00716540" w:rsidRDefault="00716540" w:rsidP="00716540">
            <w:pPr>
              <w:spacing w:before="60" w:after="60"/>
              <w:ind w:left="-74" w:right="-55"/>
            </w:pPr>
            <w:r>
              <w:t>Increases</w:t>
            </w:r>
            <w:r w:rsidR="008A6446" w:rsidRPr="002F71E7">
              <w:t xml:space="preserve"> NOI by $</w:t>
            </w:r>
            <w:r>
              <w:t>32,799</w:t>
            </w:r>
            <w:r w:rsidR="008A6446" w:rsidRPr="002F71E7">
              <w:t>.</w:t>
            </w:r>
          </w:p>
          <w:p w:rsidR="00716540" w:rsidRDefault="00716540" w:rsidP="00716540">
            <w:pPr>
              <w:spacing w:before="60" w:after="60"/>
              <w:ind w:left="-74" w:right="-55"/>
            </w:pPr>
            <w:r>
              <w:t>Decreases rate base by $1,087,280.</w:t>
            </w:r>
          </w:p>
          <w:p w:rsidR="008A6446" w:rsidRPr="002F71E7" w:rsidRDefault="00716540" w:rsidP="00716540">
            <w:pPr>
              <w:spacing w:before="60" w:after="60"/>
              <w:ind w:left="-74" w:right="-55"/>
            </w:pPr>
            <w:r w:rsidRPr="002F71E7">
              <w:t>Exhibit No. __</w:t>
            </w:r>
            <w:proofErr w:type="gramStart"/>
            <w:r w:rsidRPr="002F71E7">
              <w:t>_(</w:t>
            </w:r>
            <w:proofErr w:type="gramEnd"/>
            <w:r>
              <w:t>RBD</w:t>
            </w:r>
            <w:r w:rsidRPr="002F71E7">
              <w:t>-</w:t>
            </w:r>
            <w:r>
              <w:t>3), page 4.0 Total, line 30</w:t>
            </w:r>
            <w:r w:rsidR="00372D93">
              <w:t xml:space="preserve"> and 57</w:t>
            </w:r>
            <w:r>
              <w:t>.</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Borders>
              <w:bottom w:val="single" w:sz="4" w:space="0" w:color="auto"/>
            </w:tcBorders>
          </w:tcPr>
          <w:p w:rsidR="0076729B" w:rsidRDefault="00716540" w:rsidP="00D11C7E">
            <w:pPr>
              <w:spacing w:before="60" w:after="60"/>
              <w:ind w:left="-72" w:right="-57"/>
              <w:rPr>
                <w:b/>
                <w:i/>
              </w:rPr>
            </w:pPr>
            <w:r>
              <w:rPr>
                <w:b/>
                <w:i/>
              </w:rPr>
              <w:lastRenderedPageBreak/>
              <w:t xml:space="preserve">4.7 </w:t>
            </w:r>
          </w:p>
          <w:p w:rsidR="008A6446" w:rsidRPr="002F71E7" w:rsidRDefault="00716540" w:rsidP="00D11C7E">
            <w:pPr>
              <w:spacing w:before="60" w:after="60"/>
              <w:ind w:left="-72" w:right="-57"/>
              <w:rPr>
                <w:b/>
                <w:i/>
              </w:rPr>
            </w:pPr>
            <w:r>
              <w:rPr>
                <w:b/>
                <w:i/>
              </w:rPr>
              <w:t>DSM Revenue and Expense Removal</w:t>
            </w:r>
          </w:p>
        </w:tc>
        <w:tc>
          <w:tcPr>
            <w:tcW w:w="2086" w:type="dxa"/>
            <w:tcBorders>
              <w:bottom w:val="single" w:sz="4" w:space="0" w:color="auto"/>
            </w:tcBorders>
          </w:tcPr>
          <w:p w:rsidR="008A6446" w:rsidRPr="002F71E7" w:rsidRDefault="008A6446" w:rsidP="00D11C7E">
            <w:pPr>
              <w:spacing w:before="60" w:after="60"/>
              <w:ind w:left="-74" w:right="-55"/>
            </w:pPr>
            <w:r w:rsidRPr="002F71E7">
              <w:t xml:space="preserve">This adjustment </w:t>
            </w:r>
            <w:r w:rsidR="00716540">
              <w:t>removes demand side management (DSM) revenues and expenses from regulated results since they are recovered through a separate tariff rider (Schedule 191).</w:t>
            </w:r>
          </w:p>
          <w:p w:rsidR="00716540" w:rsidRDefault="008A6446" w:rsidP="00716540">
            <w:pPr>
              <w:spacing w:before="60" w:after="60"/>
              <w:ind w:left="-74" w:right="-55"/>
            </w:pPr>
            <w:r w:rsidRPr="002F71E7">
              <w:t>Increases NOI by $</w:t>
            </w:r>
            <w:r w:rsidR="00716540">
              <w:t>714,065</w:t>
            </w:r>
            <w:r w:rsidRPr="002F71E7">
              <w:t>.</w:t>
            </w:r>
          </w:p>
          <w:p w:rsidR="008A6446" w:rsidRPr="002F71E7" w:rsidRDefault="00716540" w:rsidP="00716540">
            <w:pPr>
              <w:spacing w:before="60" w:after="60"/>
              <w:ind w:left="-74" w:right="-55"/>
            </w:pPr>
            <w:r w:rsidRPr="002F71E7">
              <w:t>Exhibit No. __</w:t>
            </w:r>
            <w:proofErr w:type="gramStart"/>
            <w:r w:rsidRPr="002F71E7">
              <w:t>_(</w:t>
            </w:r>
            <w:proofErr w:type="gramEnd"/>
            <w:r>
              <w:t>RBD</w:t>
            </w:r>
            <w:r w:rsidRPr="002F71E7">
              <w:t>-</w:t>
            </w:r>
            <w:r>
              <w:t>3), page 4.0.1 Total, line 30.</w:t>
            </w:r>
          </w:p>
        </w:tc>
        <w:tc>
          <w:tcPr>
            <w:tcW w:w="2087" w:type="dxa"/>
            <w:tcBorders>
              <w:bottom w:val="single" w:sz="4" w:space="0" w:color="auto"/>
            </w:tcBorders>
          </w:tcPr>
          <w:p w:rsidR="008A6446" w:rsidRPr="002F71E7" w:rsidRDefault="008A6446" w:rsidP="00D11C7E">
            <w:pPr>
              <w:spacing w:before="60" w:after="60"/>
              <w:ind w:left="-74" w:right="-55"/>
            </w:pPr>
          </w:p>
        </w:tc>
        <w:tc>
          <w:tcPr>
            <w:tcW w:w="2086" w:type="dxa"/>
            <w:tcBorders>
              <w:bottom w:val="single" w:sz="4" w:space="0" w:color="auto"/>
            </w:tcBorders>
          </w:tcPr>
          <w:p w:rsidR="008A6446" w:rsidRPr="002F71E7" w:rsidRDefault="008A6446" w:rsidP="00D11C7E">
            <w:pPr>
              <w:spacing w:before="60" w:after="60"/>
              <w:ind w:left="-74" w:right="-55"/>
            </w:pPr>
          </w:p>
        </w:tc>
        <w:tc>
          <w:tcPr>
            <w:tcW w:w="2087" w:type="dxa"/>
            <w:tcBorders>
              <w:bottom w:val="single" w:sz="4" w:space="0" w:color="auto"/>
            </w:tcBorders>
          </w:tcPr>
          <w:p w:rsidR="008A6446" w:rsidRPr="002F71E7" w:rsidRDefault="008A6446" w:rsidP="00D11C7E">
            <w:pPr>
              <w:spacing w:before="60" w:after="60"/>
              <w:ind w:left="-74" w:right="-55"/>
            </w:pPr>
          </w:p>
        </w:tc>
        <w:tc>
          <w:tcPr>
            <w:tcW w:w="2086" w:type="dxa"/>
            <w:tcBorders>
              <w:bottom w:val="single" w:sz="4" w:space="0" w:color="auto"/>
            </w:tcBorders>
          </w:tcPr>
          <w:p w:rsidR="008A6446" w:rsidRPr="002F71E7" w:rsidRDefault="008A6446" w:rsidP="004E0D09">
            <w:pPr>
              <w:spacing w:before="60" w:after="60"/>
              <w:ind w:left="-74" w:right="-55"/>
            </w:pPr>
          </w:p>
        </w:tc>
        <w:tc>
          <w:tcPr>
            <w:tcW w:w="2087" w:type="dxa"/>
            <w:tcBorders>
              <w:bottom w:val="single" w:sz="4" w:space="0" w:color="auto"/>
            </w:tcBorders>
          </w:tcPr>
          <w:p w:rsidR="008A6446" w:rsidRPr="002F71E7" w:rsidRDefault="008A6446" w:rsidP="004E0D09">
            <w:pPr>
              <w:spacing w:before="60" w:after="60"/>
              <w:ind w:left="-74" w:right="-55"/>
            </w:pPr>
          </w:p>
        </w:tc>
      </w:tr>
      <w:tr w:rsidR="008A6446" w:rsidRPr="002F71E7" w:rsidTr="008A6446">
        <w:tc>
          <w:tcPr>
            <w:tcW w:w="2086" w:type="dxa"/>
          </w:tcPr>
          <w:p w:rsidR="0076729B" w:rsidRDefault="00716540" w:rsidP="00D11C7E">
            <w:pPr>
              <w:spacing w:before="60" w:after="60"/>
              <w:ind w:left="-72" w:right="-57"/>
              <w:rPr>
                <w:b/>
                <w:i/>
              </w:rPr>
            </w:pPr>
            <w:r>
              <w:rPr>
                <w:b/>
                <w:i/>
              </w:rPr>
              <w:t xml:space="preserve">4.8 </w:t>
            </w:r>
          </w:p>
          <w:p w:rsidR="008A6446" w:rsidRPr="002F71E7" w:rsidRDefault="00716540" w:rsidP="00D11C7E">
            <w:pPr>
              <w:spacing w:before="60" w:after="60"/>
              <w:ind w:left="-72" w:right="-57"/>
              <w:rPr>
                <w:b/>
                <w:i/>
              </w:rPr>
            </w:pPr>
            <w:r>
              <w:rPr>
                <w:b/>
                <w:i/>
              </w:rPr>
              <w:t>Inverted Rates Advertising</w:t>
            </w:r>
          </w:p>
        </w:tc>
        <w:tc>
          <w:tcPr>
            <w:tcW w:w="2086" w:type="dxa"/>
          </w:tcPr>
          <w:p w:rsidR="008A6446" w:rsidRPr="002F71E7" w:rsidRDefault="008A6446" w:rsidP="00D11C7E">
            <w:pPr>
              <w:spacing w:before="60" w:after="60"/>
              <w:ind w:left="-74" w:right="-55"/>
            </w:pPr>
            <w:r w:rsidRPr="002F71E7">
              <w:t xml:space="preserve">This adjustment removes the </w:t>
            </w:r>
            <w:r w:rsidR="00716540">
              <w:t>credit booked to set up a regulatory asset to defer advertising costs that were ordered by the Wyoming Commission and are being recovered by Wyoming customers.</w:t>
            </w:r>
          </w:p>
          <w:p w:rsidR="00716540" w:rsidRDefault="00716540" w:rsidP="00D11C7E">
            <w:pPr>
              <w:spacing w:before="60" w:after="60"/>
              <w:ind w:left="-74" w:right="-55"/>
            </w:pPr>
            <w:r>
              <w:t>Decreases</w:t>
            </w:r>
            <w:r w:rsidR="008A6446" w:rsidRPr="002F71E7">
              <w:t xml:space="preserve"> NOI by $</w:t>
            </w:r>
            <w:r>
              <w:t>2,385</w:t>
            </w:r>
            <w:r w:rsidR="008A6446" w:rsidRPr="002F71E7">
              <w:t>.</w:t>
            </w:r>
          </w:p>
          <w:p w:rsidR="008A6446" w:rsidRPr="002F71E7" w:rsidRDefault="00716540" w:rsidP="00716540">
            <w:pPr>
              <w:spacing w:before="60" w:after="60"/>
              <w:ind w:left="-74" w:right="-55"/>
            </w:pPr>
            <w:r w:rsidRPr="002F71E7">
              <w:t>Exhibit No. __</w:t>
            </w:r>
            <w:proofErr w:type="gramStart"/>
            <w:r w:rsidRPr="002F71E7">
              <w:t>_(</w:t>
            </w:r>
            <w:proofErr w:type="gramEnd"/>
            <w:r>
              <w:t>RBD</w:t>
            </w:r>
            <w:r w:rsidRPr="002F71E7">
              <w:t>-</w:t>
            </w:r>
            <w:r>
              <w:t>3), page 4.0.1 Total, line 30.</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76729B" w:rsidRDefault="00716540" w:rsidP="00716540">
            <w:pPr>
              <w:spacing w:before="60" w:after="60"/>
              <w:ind w:left="-72" w:right="-57"/>
              <w:rPr>
                <w:b/>
                <w:i/>
              </w:rPr>
            </w:pPr>
            <w:r>
              <w:rPr>
                <w:b/>
                <w:i/>
              </w:rPr>
              <w:t>4</w:t>
            </w:r>
            <w:r w:rsidR="0076729B">
              <w:rPr>
                <w:b/>
                <w:i/>
              </w:rPr>
              <w:t>.9</w:t>
            </w:r>
          </w:p>
          <w:p w:rsidR="00716540" w:rsidRPr="002F71E7" w:rsidRDefault="00716540" w:rsidP="00716540">
            <w:pPr>
              <w:spacing w:before="60" w:after="60"/>
              <w:ind w:left="-72" w:right="-57"/>
              <w:rPr>
                <w:b/>
                <w:i/>
              </w:rPr>
            </w:pPr>
            <w:r>
              <w:rPr>
                <w:b/>
                <w:i/>
              </w:rPr>
              <w:t>MEHC Transition Cost Amortization</w:t>
            </w:r>
          </w:p>
          <w:p w:rsidR="008A6446" w:rsidRPr="002F71E7" w:rsidRDefault="008A6446" w:rsidP="00D11C7E">
            <w:pPr>
              <w:spacing w:before="60" w:after="60"/>
              <w:ind w:left="-72" w:right="-57"/>
              <w:rPr>
                <w:b/>
                <w:i/>
              </w:rPr>
            </w:pPr>
          </w:p>
        </w:tc>
        <w:tc>
          <w:tcPr>
            <w:tcW w:w="2086" w:type="dxa"/>
          </w:tcPr>
          <w:p w:rsidR="00372D93" w:rsidRDefault="00372D93" w:rsidP="00D11C7E">
            <w:pPr>
              <w:spacing w:before="60" w:after="60"/>
              <w:ind w:left="-74" w:right="-55"/>
            </w:pPr>
            <w:r>
              <w:t>This adjustment removes the amortization of the MidAmerican Energy Holdings Company (MEHC) transaction change</w:t>
            </w:r>
            <w:r w:rsidR="00670F55">
              <w:t>-</w:t>
            </w:r>
            <w:r>
              <w:t>in</w:t>
            </w:r>
            <w:r w:rsidR="00670F55">
              <w:t>-</w:t>
            </w:r>
            <w:r>
              <w:t>control severance regulatory asset from the test period because it was fully amortized by June 30, 2010.  This adjustment also removes from per books data the expense credits booked when the Oregon and California regulatory assets were established.</w:t>
            </w:r>
          </w:p>
          <w:p w:rsidR="00372D93" w:rsidRDefault="00372D93" w:rsidP="00372D93">
            <w:pPr>
              <w:spacing w:before="60" w:after="60"/>
              <w:ind w:left="-74" w:right="-55"/>
            </w:pPr>
            <w:r>
              <w:t xml:space="preserve">Increases NOI </w:t>
            </w:r>
            <w:r w:rsidR="008A6446" w:rsidRPr="002F71E7">
              <w:t>by $</w:t>
            </w:r>
            <w:r>
              <w:t>92,445</w:t>
            </w:r>
            <w:r w:rsidR="008A6446" w:rsidRPr="002F71E7">
              <w:t>.</w:t>
            </w:r>
          </w:p>
          <w:p w:rsidR="00372D93" w:rsidRDefault="00372D93" w:rsidP="00372D93">
            <w:pPr>
              <w:spacing w:before="60" w:after="60"/>
              <w:ind w:left="-74" w:right="-55"/>
            </w:pPr>
            <w:r>
              <w:t>Decreases rate base by $79,631.</w:t>
            </w:r>
          </w:p>
          <w:p w:rsidR="008A6446" w:rsidRPr="002F71E7" w:rsidRDefault="00372D93" w:rsidP="00372D93">
            <w:pPr>
              <w:spacing w:before="60" w:after="60"/>
              <w:ind w:left="-74" w:right="-55"/>
            </w:pPr>
            <w:r w:rsidRPr="002F71E7">
              <w:t>Exhibit No. __</w:t>
            </w:r>
            <w:proofErr w:type="gramStart"/>
            <w:r w:rsidRPr="002F71E7">
              <w:t>_(</w:t>
            </w:r>
            <w:proofErr w:type="gramEnd"/>
            <w:r>
              <w:t>RBD</w:t>
            </w:r>
            <w:r w:rsidRPr="002F71E7">
              <w:t>-</w:t>
            </w:r>
            <w:r>
              <w:t xml:space="preserve">3), page </w:t>
            </w:r>
            <w:r>
              <w:lastRenderedPageBreak/>
              <w:t>4.0.1 Total, lines 30 and 57.</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76729B" w:rsidRDefault="0076729B" w:rsidP="00D11C7E">
            <w:pPr>
              <w:spacing w:before="60" w:after="60"/>
              <w:ind w:left="-72" w:right="-57"/>
              <w:rPr>
                <w:b/>
                <w:i/>
              </w:rPr>
            </w:pPr>
            <w:r>
              <w:rPr>
                <w:b/>
                <w:i/>
              </w:rPr>
              <w:lastRenderedPageBreak/>
              <w:t xml:space="preserve">4.10 </w:t>
            </w:r>
          </w:p>
          <w:p w:rsidR="008A6446" w:rsidRPr="002F71E7" w:rsidRDefault="0076729B" w:rsidP="00D11C7E">
            <w:pPr>
              <w:spacing w:before="60" w:after="60"/>
              <w:ind w:left="-72" w:right="-57"/>
              <w:rPr>
                <w:b/>
                <w:i/>
              </w:rPr>
            </w:pPr>
            <w:r>
              <w:rPr>
                <w:b/>
                <w:i/>
              </w:rPr>
              <w:t>Affiliate Management Fee Adjustment (MEHC Cross Charge)</w:t>
            </w:r>
          </w:p>
        </w:tc>
        <w:tc>
          <w:tcPr>
            <w:tcW w:w="2086" w:type="dxa"/>
          </w:tcPr>
          <w:p w:rsidR="0076729B" w:rsidRDefault="0076729B" w:rsidP="00D11C7E">
            <w:pPr>
              <w:spacing w:before="60" w:after="60"/>
              <w:ind w:left="-74" w:right="-55"/>
            </w:pPr>
            <w:r>
              <w:t>This adjustment</w:t>
            </w:r>
            <w:r w:rsidR="00CB4DCE">
              <w:t xml:space="preserve"> removes the SERP component of the MEHC cross charge reflected in per books data. </w:t>
            </w:r>
          </w:p>
          <w:p w:rsidR="0076729B" w:rsidRDefault="0076729B" w:rsidP="00D11C7E">
            <w:pPr>
              <w:spacing w:before="60" w:after="60"/>
              <w:ind w:left="-74" w:right="-55"/>
            </w:pPr>
            <w:r>
              <w:t>Increases</w:t>
            </w:r>
            <w:r w:rsidR="008A6446" w:rsidRPr="002F71E7">
              <w:t xml:space="preserve"> </w:t>
            </w:r>
            <w:r>
              <w:t xml:space="preserve">NOI </w:t>
            </w:r>
            <w:r w:rsidR="008A6446" w:rsidRPr="002F71E7">
              <w:t>by $</w:t>
            </w:r>
            <w:r>
              <w:t>9,369</w:t>
            </w:r>
            <w:r w:rsidR="008A6446" w:rsidRPr="002F71E7">
              <w:t xml:space="preserve">. </w:t>
            </w:r>
          </w:p>
          <w:p w:rsidR="008A6446" w:rsidRPr="002F71E7" w:rsidRDefault="0076729B" w:rsidP="0076729B">
            <w:pPr>
              <w:spacing w:before="60" w:after="60"/>
              <w:ind w:left="-74" w:right="-55"/>
            </w:pPr>
            <w:r w:rsidRPr="002F71E7">
              <w:t>Exhibit No. __</w:t>
            </w:r>
            <w:proofErr w:type="gramStart"/>
            <w:r w:rsidRPr="002F71E7">
              <w:t>_(</w:t>
            </w:r>
            <w:proofErr w:type="gramEnd"/>
            <w:r>
              <w:t>RBD</w:t>
            </w:r>
            <w:r w:rsidRPr="002F71E7">
              <w:t>-</w:t>
            </w:r>
            <w:r>
              <w:t>3), page 4.0.1 Total, line 30.</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8A6446" w:rsidRDefault="006D7B03" w:rsidP="00D11C7E">
            <w:pPr>
              <w:spacing w:before="60" w:after="60"/>
              <w:ind w:left="-72" w:right="-57"/>
              <w:rPr>
                <w:b/>
                <w:i/>
              </w:rPr>
            </w:pPr>
            <w:r>
              <w:rPr>
                <w:b/>
                <w:i/>
              </w:rPr>
              <w:t>4.11</w:t>
            </w:r>
          </w:p>
          <w:p w:rsidR="006D7B03" w:rsidRPr="002F71E7" w:rsidRDefault="006D7B03" w:rsidP="00D11C7E">
            <w:pPr>
              <w:spacing w:before="60" w:after="60"/>
              <w:ind w:left="-72" w:right="-57"/>
              <w:rPr>
                <w:b/>
                <w:i/>
              </w:rPr>
            </w:pPr>
            <w:r>
              <w:rPr>
                <w:b/>
                <w:i/>
              </w:rPr>
              <w:t>Insurance Expense</w:t>
            </w:r>
          </w:p>
        </w:tc>
        <w:tc>
          <w:tcPr>
            <w:tcW w:w="2086" w:type="dxa"/>
          </w:tcPr>
          <w:p w:rsidR="006A510C" w:rsidRDefault="008A6446" w:rsidP="006D7B03">
            <w:pPr>
              <w:spacing w:before="60" w:after="60"/>
              <w:ind w:left="-74" w:right="-55"/>
            </w:pPr>
            <w:r w:rsidRPr="002F71E7">
              <w:t>This adjustment</w:t>
            </w:r>
            <w:r w:rsidR="006A510C">
              <w:t xml:space="preserve"> reflects the end of coverage by the captive insurance company on March 21, 2011.  Thereafter, the Company will replace the captive insurance with self-insurance accruals for liability and property insurance.</w:t>
            </w:r>
          </w:p>
          <w:p w:rsidR="00670F55" w:rsidRDefault="006A510C" w:rsidP="006D7B03">
            <w:pPr>
              <w:spacing w:before="60" w:after="60"/>
              <w:ind w:left="-74" w:right="-55"/>
            </w:pPr>
            <w:r>
              <w:t>Liability expense will be recognized when a claim becomes probabl</w:t>
            </w:r>
            <w:r w:rsidR="003225DD">
              <w:t>e</w:t>
            </w:r>
            <w:r>
              <w:t xml:space="preserve"> and estimatable.  The liability insurance expense after March 21, 2011 is based on the annual average of claims paid by the captive insurance company from 2008 to 2010. The property insurance expense after March 21, 2011 reflected in this filing is base</w:t>
            </w:r>
            <w:r w:rsidR="003225DD">
              <w:t>d</w:t>
            </w:r>
            <w:r>
              <w:t xml:space="preserve"> on the annual average of property damages in excess of the per-event deductible from April 2007 through December 2010.  </w:t>
            </w:r>
          </w:p>
          <w:p w:rsidR="006A510C" w:rsidRDefault="006A510C" w:rsidP="006D7B03">
            <w:pPr>
              <w:spacing w:before="60" w:after="60"/>
              <w:ind w:left="-74" w:right="-55"/>
            </w:pPr>
            <w:r>
              <w:t>Property damage insurance under the captive was based on a deductible of $25,000 per event.  The Company is proposing to increase the deductible to $250,000 per event for Washington distribution property and $1,000,000 per event for west control area transmission and non-transmission and distribution (T&amp;D) property.  The increased deductible results in lower charges to insurance expense and high</w:t>
            </w:r>
            <w:r w:rsidR="003225DD">
              <w:t>er</w:t>
            </w:r>
            <w:r>
              <w:t xml:space="preserve"> charges to appropriate O&amp;M accounts.</w:t>
            </w:r>
          </w:p>
          <w:p w:rsidR="003225DD" w:rsidRDefault="008A6446" w:rsidP="00D11C7E">
            <w:pPr>
              <w:spacing w:before="60" w:after="60"/>
              <w:ind w:left="-74" w:right="-55"/>
            </w:pPr>
            <w:r w:rsidRPr="002F71E7">
              <w:t>Decreases NOI by $</w:t>
            </w:r>
            <w:r w:rsidR="003225DD">
              <w:t>317,266</w:t>
            </w:r>
            <w:r w:rsidRPr="002F71E7">
              <w:t>.</w:t>
            </w:r>
          </w:p>
          <w:p w:rsidR="008A6446" w:rsidRPr="002F71E7" w:rsidRDefault="003225DD" w:rsidP="00D11C7E">
            <w:pPr>
              <w:spacing w:before="60" w:after="60"/>
              <w:ind w:left="-74" w:right="-55"/>
            </w:pPr>
            <w:r w:rsidRPr="002F71E7">
              <w:t>Exhibit No. __</w:t>
            </w:r>
            <w:proofErr w:type="gramStart"/>
            <w:r w:rsidRPr="002F71E7">
              <w:t>_(</w:t>
            </w:r>
            <w:proofErr w:type="gramEnd"/>
            <w:r>
              <w:t>RBD</w:t>
            </w:r>
            <w:r w:rsidRPr="002F71E7">
              <w:t>-</w:t>
            </w:r>
            <w:r>
              <w:t xml:space="preserve">3), page </w:t>
            </w:r>
            <w:r>
              <w:lastRenderedPageBreak/>
              <w:t>4.0.1 Total, line 30.</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041B05" w:rsidRDefault="008A6446" w:rsidP="00041B05">
            <w:pPr>
              <w:spacing w:before="60" w:after="60"/>
              <w:ind w:left="-72" w:right="-57"/>
              <w:rPr>
                <w:b/>
                <w:i/>
              </w:rPr>
            </w:pPr>
            <w:r w:rsidRPr="002F71E7">
              <w:rPr>
                <w:b/>
                <w:i/>
              </w:rPr>
              <w:lastRenderedPageBreak/>
              <w:t xml:space="preserve"> </w:t>
            </w:r>
            <w:r w:rsidR="00041B05">
              <w:rPr>
                <w:b/>
                <w:i/>
              </w:rPr>
              <w:t>4.12</w:t>
            </w:r>
          </w:p>
          <w:p w:rsidR="00041B05" w:rsidRDefault="00041B05" w:rsidP="00041B05">
            <w:pPr>
              <w:spacing w:before="60" w:after="60"/>
              <w:ind w:left="-72" w:right="-57"/>
              <w:rPr>
                <w:b/>
                <w:i/>
              </w:rPr>
            </w:pPr>
            <w:r>
              <w:rPr>
                <w:b/>
                <w:i/>
              </w:rPr>
              <w:t>Advertising Expense</w:t>
            </w:r>
          </w:p>
          <w:p w:rsidR="008A6446" w:rsidRPr="002F71E7" w:rsidRDefault="008A6446" w:rsidP="00041B05">
            <w:pPr>
              <w:spacing w:before="60" w:after="60"/>
              <w:ind w:left="-72" w:right="-57"/>
              <w:rPr>
                <w:b/>
                <w:i/>
              </w:rPr>
            </w:pPr>
            <w:r w:rsidRPr="002F71E7">
              <w:rPr>
                <w:b/>
                <w:i/>
              </w:rPr>
              <w:t xml:space="preserve">  </w:t>
            </w:r>
          </w:p>
        </w:tc>
        <w:tc>
          <w:tcPr>
            <w:tcW w:w="2086" w:type="dxa"/>
          </w:tcPr>
          <w:p w:rsidR="00041B05" w:rsidRDefault="00041B05" w:rsidP="00041B05">
            <w:pPr>
              <w:spacing w:before="60" w:after="60"/>
              <w:ind w:left="-74" w:right="-55"/>
            </w:pPr>
            <w:r>
              <w:t xml:space="preserve">Per Order 06 in Docket UE-100749, the Commission encouraged the Company  to engage in a dialogue with Commission Staff, Public Counsel and the Industrial Customers of Northwest Utilities (collectively referred to as the "Joint Parties") to explore effective means to refine the allocation of certain system allocated costs. Compliant with this directive, on May 19, 2011, the Company held a conference call with Staff and the Joint Parties to discuss potential refinements to the allocation of certain costs. As a result of this meeting, all parties agreed that to the extent possible, advertising expenses should be situs assigned to specific states instead of system allocated. </w:t>
            </w:r>
          </w:p>
          <w:p w:rsidR="00041B05" w:rsidRDefault="00041B05" w:rsidP="00041B05">
            <w:pPr>
              <w:spacing w:before="60" w:after="60"/>
              <w:ind w:left="-74" w:right="-55"/>
            </w:pPr>
            <w:r>
              <w:t>This adjustment re-allocates the per books system-allocated advertising expenses for the 12</w:t>
            </w:r>
            <w:r w:rsidR="00670F55">
              <w:t>-</w:t>
            </w:r>
            <w:r>
              <w:t>months ended December 2010 by:</w:t>
            </w:r>
          </w:p>
          <w:p w:rsidR="00041B05" w:rsidRDefault="00041B05" w:rsidP="00041B05">
            <w:pPr>
              <w:spacing w:before="60" w:after="60"/>
              <w:ind w:left="-74" w:right="-55"/>
            </w:pPr>
            <w:r>
              <w:t xml:space="preserve">1)  Re-allocating state specific media costs for airtime on a situs basis.   </w:t>
            </w:r>
          </w:p>
          <w:p w:rsidR="00041B05" w:rsidRDefault="00041B05" w:rsidP="00041B05">
            <w:pPr>
              <w:spacing w:before="60" w:after="60"/>
              <w:ind w:left="-74" w:right="-55"/>
            </w:pPr>
            <w:r>
              <w:t>2)  Based on the SAP accounting order designation, situs-assigning system-allocated costs where a specific state was identifiable.</w:t>
            </w:r>
          </w:p>
          <w:p w:rsidR="00041B05" w:rsidRDefault="00041B05" w:rsidP="00041B05">
            <w:pPr>
              <w:spacing w:before="60" w:after="60"/>
              <w:ind w:left="-74" w:right="-55"/>
            </w:pPr>
            <w:r>
              <w:t>Decreases</w:t>
            </w:r>
            <w:r w:rsidR="008A6446" w:rsidRPr="002F71E7">
              <w:t xml:space="preserve"> NOI by $</w:t>
            </w:r>
            <w:r>
              <w:t>28,305</w:t>
            </w:r>
            <w:r w:rsidR="008A6446" w:rsidRPr="002F71E7">
              <w:t>.</w:t>
            </w:r>
          </w:p>
          <w:p w:rsidR="008A6446" w:rsidRPr="002F71E7" w:rsidRDefault="00041B05" w:rsidP="00D11C7E">
            <w:pPr>
              <w:spacing w:before="60" w:after="60"/>
              <w:ind w:left="-74" w:right="-55"/>
            </w:pPr>
            <w:r w:rsidRPr="002F71E7">
              <w:t>Exhibit No. __</w:t>
            </w:r>
            <w:proofErr w:type="gramStart"/>
            <w:r w:rsidRPr="002F71E7">
              <w:t>_(</w:t>
            </w:r>
            <w:proofErr w:type="gramEnd"/>
            <w:r>
              <w:t>RBD</w:t>
            </w:r>
            <w:r w:rsidRPr="002F71E7">
              <w:t>-</w:t>
            </w:r>
            <w:r>
              <w:t>3), page 4.0.1 Total, line 30.</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041B05" w:rsidRDefault="00041B05" w:rsidP="00041B05">
            <w:pPr>
              <w:spacing w:before="60" w:after="60"/>
              <w:ind w:left="-72" w:right="-57"/>
              <w:rPr>
                <w:b/>
                <w:i/>
              </w:rPr>
            </w:pPr>
            <w:r>
              <w:rPr>
                <w:b/>
                <w:i/>
              </w:rPr>
              <w:t xml:space="preserve"> 4.13</w:t>
            </w:r>
          </w:p>
          <w:p w:rsidR="00041B05" w:rsidRPr="002F71E7" w:rsidRDefault="00041B05" w:rsidP="00041B05">
            <w:pPr>
              <w:spacing w:before="60" w:after="60"/>
              <w:ind w:left="-72" w:right="-57"/>
              <w:rPr>
                <w:b/>
                <w:i/>
              </w:rPr>
            </w:pPr>
            <w:r>
              <w:rPr>
                <w:b/>
                <w:i/>
              </w:rPr>
              <w:t>Memberships and Subscriptions Adjustment</w:t>
            </w:r>
          </w:p>
          <w:p w:rsidR="008A6446" w:rsidRPr="002F71E7" w:rsidRDefault="008A6446" w:rsidP="00D11C7E">
            <w:pPr>
              <w:spacing w:before="60" w:after="60"/>
              <w:ind w:left="-72" w:right="-57"/>
              <w:rPr>
                <w:b/>
                <w:i/>
              </w:rPr>
            </w:pPr>
          </w:p>
        </w:tc>
        <w:tc>
          <w:tcPr>
            <w:tcW w:w="2086" w:type="dxa"/>
          </w:tcPr>
          <w:p w:rsidR="009E74A6" w:rsidRDefault="00041B05" w:rsidP="00041B05">
            <w:pPr>
              <w:spacing w:before="60" w:after="60"/>
              <w:ind w:left="-74" w:right="-55"/>
            </w:pPr>
            <w:r>
              <w:t xml:space="preserve">This adjustment reallocates system assigned memberships and subscription fees to situs locations where possible.  This treatment is consistent with </w:t>
            </w:r>
            <w:r w:rsidR="009E74A6">
              <w:t xml:space="preserve">the </w:t>
            </w:r>
            <w:r>
              <w:t xml:space="preserve">agreement between </w:t>
            </w:r>
            <w:r w:rsidR="009E74A6">
              <w:t xml:space="preserve">the Company, </w:t>
            </w:r>
            <w:r>
              <w:t xml:space="preserve">ICNU and Public Counsel as a result of the May 19, 2011 conference call described </w:t>
            </w:r>
            <w:r w:rsidR="009E74A6">
              <w:t xml:space="preserve">under the 4.12 </w:t>
            </w:r>
            <w:r w:rsidR="009E74A6">
              <w:lastRenderedPageBreak/>
              <w:t xml:space="preserve">Advertising </w:t>
            </w:r>
            <w:proofErr w:type="gramStart"/>
            <w:r w:rsidR="00670F55">
              <w:t>a</w:t>
            </w:r>
            <w:r w:rsidR="009E74A6">
              <w:t>djustment</w:t>
            </w:r>
            <w:proofErr w:type="gramEnd"/>
            <w:r w:rsidR="009E74A6">
              <w:t xml:space="preserve"> above.</w:t>
            </w:r>
          </w:p>
          <w:p w:rsidR="008A6446" w:rsidRDefault="008A6446" w:rsidP="009E74A6">
            <w:pPr>
              <w:spacing w:before="60" w:after="60"/>
              <w:ind w:left="-74" w:right="-55"/>
            </w:pPr>
            <w:r w:rsidRPr="002F71E7">
              <w:t>Decreases NOI by $</w:t>
            </w:r>
            <w:r w:rsidR="009E74A6">
              <w:t>886.</w:t>
            </w:r>
          </w:p>
          <w:p w:rsidR="009E74A6" w:rsidRPr="002F71E7" w:rsidRDefault="009E74A6" w:rsidP="009E74A6">
            <w:pPr>
              <w:spacing w:before="60" w:after="60"/>
              <w:ind w:left="-74" w:right="-55"/>
            </w:pPr>
            <w:r w:rsidRPr="002F71E7">
              <w:t>Exhibit No. __</w:t>
            </w:r>
            <w:proofErr w:type="gramStart"/>
            <w:r w:rsidRPr="002F71E7">
              <w:t>_(</w:t>
            </w:r>
            <w:proofErr w:type="gramEnd"/>
            <w:r>
              <w:t>RBD</w:t>
            </w:r>
            <w:r w:rsidRPr="002F71E7">
              <w:t>-</w:t>
            </w:r>
            <w:r>
              <w:t>3), page 4.0.1 Total, line 30.</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B54959" w:rsidRPr="002F71E7" w:rsidTr="00FD2DED">
        <w:tc>
          <w:tcPr>
            <w:tcW w:w="14605" w:type="dxa"/>
            <w:gridSpan w:val="7"/>
            <w:shd w:val="clear" w:color="auto" w:fill="BFBFBF" w:themeFill="background1" w:themeFillShade="BF"/>
          </w:tcPr>
          <w:p w:rsidR="00B54959" w:rsidRPr="00B54959" w:rsidRDefault="00B54959" w:rsidP="00FD2DED">
            <w:pPr>
              <w:spacing w:before="60" w:after="60"/>
              <w:ind w:left="-74" w:right="-55"/>
              <w:rPr>
                <w:b/>
                <w:i/>
              </w:rPr>
            </w:pPr>
          </w:p>
        </w:tc>
      </w:tr>
      <w:tr w:rsidR="00B54959" w:rsidRPr="002F71E7" w:rsidTr="00FD2DED">
        <w:tc>
          <w:tcPr>
            <w:tcW w:w="14605" w:type="dxa"/>
            <w:gridSpan w:val="7"/>
          </w:tcPr>
          <w:p w:rsidR="00B54959" w:rsidRDefault="00B54959" w:rsidP="00FD2DED">
            <w:pPr>
              <w:spacing w:before="60" w:after="60"/>
              <w:ind w:left="-72" w:right="-57"/>
              <w:rPr>
                <w:b/>
                <w:i/>
              </w:rPr>
            </w:pPr>
            <w:r>
              <w:rPr>
                <w:b/>
                <w:i/>
              </w:rPr>
              <w:t>Net Power Costs Revenue Requirement Adjustments</w:t>
            </w:r>
          </w:p>
          <w:p w:rsidR="00B54959" w:rsidRPr="002F71E7" w:rsidRDefault="00B54959" w:rsidP="00FD2DED">
            <w:pPr>
              <w:spacing w:before="60" w:after="60"/>
              <w:ind w:left="-74" w:right="-55"/>
            </w:pPr>
            <w:r>
              <w:rPr>
                <w:b/>
                <w:i/>
              </w:rPr>
              <w:t>(Tab 5 of Exhibit No.___(RBD-3)</w:t>
            </w:r>
          </w:p>
        </w:tc>
      </w:tr>
      <w:tr w:rsidR="008A6446" w:rsidRPr="002F71E7" w:rsidTr="008A6446">
        <w:tc>
          <w:tcPr>
            <w:tcW w:w="2086" w:type="dxa"/>
          </w:tcPr>
          <w:p w:rsidR="008A6446" w:rsidRDefault="009E74A6" w:rsidP="00D11C7E">
            <w:pPr>
              <w:spacing w:before="60" w:after="60"/>
              <w:ind w:left="-72" w:right="-57"/>
              <w:rPr>
                <w:b/>
                <w:i/>
              </w:rPr>
            </w:pPr>
            <w:r>
              <w:rPr>
                <w:b/>
                <w:i/>
              </w:rPr>
              <w:t>5.1</w:t>
            </w:r>
          </w:p>
          <w:p w:rsidR="009E74A6" w:rsidRPr="002F71E7" w:rsidRDefault="009E74A6" w:rsidP="00D11C7E">
            <w:pPr>
              <w:spacing w:before="60" w:after="60"/>
              <w:ind w:left="-72" w:right="-57"/>
              <w:rPr>
                <w:b/>
                <w:i/>
              </w:rPr>
            </w:pPr>
            <w:r>
              <w:rPr>
                <w:b/>
                <w:i/>
              </w:rPr>
              <w:t>Net Power Costs - Restating</w:t>
            </w:r>
          </w:p>
        </w:tc>
        <w:tc>
          <w:tcPr>
            <w:tcW w:w="2086" w:type="dxa"/>
          </w:tcPr>
          <w:p w:rsidR="009E74A6" w:rsidRDefault="009E74A6" w:rsidP="00D11C7E">
            <w:pPr>
              <w:spacing w:before="60" w:after="60"/>
              <w:ind w:left="-74" w:right="-55"/>
            </w:pPr>
            <w:r>
              <w:t>This</w:t>
            </w:r>
            <w:r w:rsidRPr="009E74A6">
              <w:t xml:space="preserve"> adjustment normalizes power costs by adjusting sales for resale, purchase power, wheeling and fuel in a manner consistent with the contractual terms of sales and purchase agreements, and normal hyd</w:t>
            </w:r>
            <w:r>
              <w:t>ro and weather conditions on a w</w:t>
            </w:r>
            <w:r w:rsidRPr="009E74A6">
              <w:t xml:space="preserve">est </w:t>
            </w:r>
            <w:r>
              <w:t>c</w:t>
            </w:r>
            <w:r w:rsidRPr="009E74A6">
              <w:t xml:space="preserve">ontrol </w:t>
            </w:r>
            <w:r>
              <w:t>a</w:t>
            </w:r>
            <w:r w:rsidRPr="009E74A6">
              <w:t xml:space="preserve">rea basis. </w:t>
            </w:r>
          </w:p>
          <w:p w:rsidR="009E74A6" w:rsidRDefault="009E74A6" w:rsidP="00D11C7E">
            <w:pPr>
              <w:spacing w:before="60" w:after="60"/>
              <w:ind w:left="-74" w:right="-55"/>
            </w:pPr>
            <w:r w:rsidRPr="009E74A6">
              <w:t>This restating adjustment reflects no</w:t>
            </w:r>
            <w:r>
              <w:t>rmalized power costs for the 12-</w:t>
            </w:r>
            <w:r w:rsidRPr="009E74A6">
              <w:t>months ended December 2010.</w:t>
            </w:r>
          </w:p>
          <w:p w:rsidR="009E74A6" w:rsidRDefault="008A6446" w:rsidP="00D11C7E">
            <w:pPr>
              <w:spacing w:before="60" w:after="60"/>
              <w:ind w:left="-74" w:right="-55"/>
            </w:pPr>
            <w:r w:rsidRPr="002F71E7">
              <w:t>Increases NOI by $</w:t>
            </w:r>
            <w:r w:rsidR="009E74A6">
              <w:t>1,059,368</w:t>
            </w:r>
            <w:r w:rsidRPr="002F71E7">
              <w:t xml:space="preserve">.  </w:t>
            </w:r>
          </w:p>
          <w:p w:rsidR="008A6446" w:rsidRPr="002F71E7" w:rsidRDefault="009E74A6" w:rsidP="009E74A6">
            <w:pPr>
              <w:spacing w:before="60" w:after="60"/>
              <w:ind w:left="-74" w:right="-55"/>
            </w:pPr>
            <w:r w:rsidRPr="002F71E7">
              <w:t>Exhibit No. __</w:t>
            </w:r>
            <w:proofErr w:type="gramStart"/>
            <w:r w:rsidRPr="002F71E7">
              <w:t>_(</w:t>
            </w:r>
            <w:proofErr w:type="gramEnd"/>
            <w:r>
              <w:t>RBD</w:t>
            </w:r>
            <w:r w:rsidRPr="002F71E7">
              <w:t>-</w:t>
            </w:r>
            <w:r>
              <w:t>3), page 5.0 Total, line 30.</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9E74A6" w:rsidRDefault="009E74A6" w:rsidP="009E74A6">
            <w:pPr>
              <w:spacing w:before="60" w:after="60"/>
              <w:ind w:left="-72" w:right="-57"/>
              <w:rPr>
                <w:b/>
                <w:i/>
              </w:rPr>
            </w:pPr>
            <w:r>
              <w:rPr>
                <w:b/>
                <w:i/>
              </w:rPr>
              <w:t>5.1.1</w:t>
            </w:r>
          </w:p>
          <w:p w:rsidR="008A6446" w:rsidRPr="002F71E7" w:rsidRDefault="009E74A6" w:rsidP="009E74A6">
            <w:pPr>
              <w:spacing w:before="60" w:after="60"/>
              <w:ind w:left="-72" w:right="-57"/>
              <w:rPr>
                <w:b/>
                <w:i/>
              </w:rPr>
            </w:pPr>
            <w:r>
              <w:rPr>
                <w:b/>
                <w:i/>
              </w:rPr>
              <w:t>Net Power Costs – Pro Forma</w:t>
            </w:r>
          </w:p>
        </w:tc>
        <w:tc>
          <w:tcPr>
            <w:tcW w:w="2086" w:type="dxa"/>
          </w:tcPr>
          <w:p w:rsidR="009E74A6" w:rsidRDefault="009E74A6" w:rsidP="009E74A6">
            <w:pPr>
              <w:spacing w:before="60" w:after="60"/>
              <w:ind w:left="-74" w:right="-55"/>
            </w:pPr>
            <w:r>
              <w:t>This</w:t>
            </w:r>
            <w:r w:rsidRPr="009E74A6">
              <w:t xml:space="preserve"> adjustment normalizes power costs by adjusting sales for resale, purchase power, wheeling and fuel in a manner consistent with the contractual terms of sales and purchase agreements, and normal hyd</w:t>
            </w:r>
            <w:r>
              <w:t>ro and weather conditions on a w</w:t>
            </w:r>
            <w:r w:rsidRPr="009E74A6">
              <w:t xml:space="preserve">est </w:t>
            </w:r>
            <w:r>
              <w:t>c</w:t>
            </w:r>
            <w:r w:rsidRPr="009E74A6">
              <w:t xml:space="preserve">ontrol </w:t>
            </w:r>
            <w:r>
              <w:t>a</w:t>
            </w:r>
            <w:r w:rsidRPr="009E74A6">
              <w:t xml:space="preserve">rea basis. </w:t>
            </w:r>
          </w:p>
          <w:p w:rsidR="009E74A6" w:rsidRDefault="009E74A6" w:rsidP="009E74A6">
            <w:pPr>
              <w:spacing w:before="60" w:after="60"/>
              <w:ind w:left="-74" w:right="-55"/>
            </w:pPr>
            <w:r w:rsidRPr="009E74A6">
              <w:t xml:space="preserve">This adjustment reflects normalized power costs for the </w:t>
            </w:r>
            <w:r>
              <w:t>rate effective period, 12-months ending</w:t>
            </w:r>
            <w:r w:rsidRPr="009E74A6">
              <w:t xml:space="preserve"> </w:t>
            </w:r>
            <w:r>
              <w:t>May 2013</w:t>
            </w:r>
            <w:r w:rsidRPr="009E74A6">
              <w:t>.</w:t>
            </w:r>
          </w:p>
          <w:p w:rsidR="009E74A6" w:rsidRDefault="008A6446" w:rsidP="00D11C7E">
            <w:pPr>
              <w:spacing w:before="60" w:after="60"/>
              <w:ind w:left="-74" w:right="-55"/>
            </w:pPr>
            <w:r w:rsidRPr="002F71E7">
              <w:t>Decreases NOI by $</w:t>
            </w:r>
            <w:r w:rsidR="009E74A6">
              <w:t>13,316,436.</w:t>
            </w:r>
          </w:p>
          <w:p w:rsidR="008A6446" w:rsidRPr="002F71E7" w:rsidRDefault="009E74A6" w:rsidP="009E74A6">
            <w:pPr>
              <w:spacing w:before="60" w:after="60"/>
              <w:ind w:left="-74" w:right="-55"/>
            </w:pPr>
            <w:r w:rsidRPr="002F71E7">
              <w:t>Exhibit No. __</w:t>
            </w:r>
            <w:proofErr w:type="gramStart"/>
            <w:r w:rsidRPr="002F71E7">
              <w:t>_(</w:t>
            </w:r>
            <w:proofErr w:type="gramEnd"/>
            <w:r>
              <w:t>RBD</w:t>
            </w:r>
            <w:r w:rsidRPr="002F71E7">
              <w:t>-</w:t>
            </w:r>
            <w:r>
              <w:t>3), page 5.0 Total, line 30.</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8A6446" w:rsidRDefault="009E74A6" w:rsidP="00D11C7E">
            <w:pPr>
              <w:spacing w:before="60" w:after="60"/>
              <w:ind w:left="-72" w:right="-57"/>
              <w:rPr>
                <w:b/>
                <w:i/>
              </w:rPr>
            </w:pPr>
            <w:r>
              <w:rPr>
                <w:b/>
                <w:i/>
              </w:rPr>
              <w:t>5.2</w:t>
            </w:r>
          </w:p>
          <w:p w:rsidR="009E74A6" w:rsidRPr="002F71E7" w:rsidRDefault="009E74A6" w:rsidP="00D11C7E">
            <w:pPr>
              <w:spacing w:before="60" w:after="60"/>
              <w:ind w:left="-72" w:right="-57"/>
              <w:rPr>
                <w:b/>
                <w:i/>
              </w:rPr>
            </w:pPr>
            <w:r>
              <w:rPr>
                <w:b/>
                <w:i/>
              </w:rPr>
              <w:t>James River Royalty Offset</w:t>
            </w:r>
          </w:p>
        </w:tc>
        <w:tc>
          <w:tcPr>
            <w:tcW w:w="2086" w:type="dxa"/>
          </w:tcPr>
          <w:p w:rsidR="009E74A6" w:rsidRDefault="009E74A6" w:rsidP="00D11C7E">
            <w:pPr>
              <w:spacing w:before="60" w:after="60"/>
              <w:ind w:left="-74" w:right="-55"/>
            </w:pPr>
            <w:r w:rsidRPr="009E74A6">
              <w:t>This adjustment adds the royalty offset to FERC account 456</w:t>
            </w:r>
            <w:r>
              <w:t xml:space="preserve"> associated with the James River/Georgia Pacific contract</w:t>
            </w:r>
            <w:r w:rsidR="00C73D82">
              <w:t xml:space="preserve"> for the 12</w:t>
            </w:r>
            <w:r w:rsidRPr="009E74A6">
              <w:t>-month period ending May 2013, the same period used i</w:t>
            </w:r>
            <w:r w:rsidR="001A00EE">
              <w:t xml:space="preserve">n determining </w:t>
            </w:r>
            <w:r w:rsidR="008D6014">
              <w:t>pro forma</w:t>
            </w:r>
            <w:r w:rsidRPr="009E74A6">
              <w:t xml:space="preserve"> net </w:t>
            </w:r>
            <w:r w:rsidRPr="009E74A6">
              <w:lastRenderedPageBreak/>
              <w:t xml:space="preserve">power costs in this filing.  </w:t>
            </w:r>
          </w:p>
          <w:p w:rsidR="00C73D82" w:rsidRDefault="008A6446" w:rsidP="00D11C7E">
            <w:pPr>
              <w:spacing w:before="60" w:after="60"/>
              <w:ind w:left="-74" w:right="-55"/>
            </w:pPr>
            <w:r w:rsidRPr="002F71E7">
              <w:t>Increases NOI by $</w:t>
            </w:r>
            <w:r w:rsidR="00C73D82">
              <w:t>715,349</w:t>
            </w:r>
            <w:r w:rsidRPr="002F71E7">
              <w:t xml:space="preserve">. </w:t>
            </w:r>
          </w:p>
          <w:p w:rsidR="008A6446" w:rsidRPr="002F71E7" w:rsidRDefault="00C73D82" w:rsidP="00C73D82">
            <w:pPr>
              <w:spacing w:before="60" w:after="60"/>
              <w:ind w:left="-74" w:right="-55"/>
            </w:pPr>
            <w:r w:rsidRPr="002F71E7">
              <w:t>Exhibit No. __</w:t>
            </w:r>
            <w:proofErr w:type="gramStart"/>
            <w:r w:rsidRPr="002F71E7">
              <w:t>_(</w:t>
            </w:r>
            <w:proofErr w:type="gramEnd"/>
            <w:r>
              <w:t>RBD</w:t>
            </w:r>
            <w:r w:rsidRPr="002F71E7">
              <w:t>-</w:t>
            </w:r>
            <w:r>
              <w:t>3), page 5.0 Total, line 30.</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8A6446" w:rsidRDefault="001A00EE" w:rsidP="00D11C7E">
            <w:pPr>
              <w:spacing w:before="60" w:after="60"/>
              <w:ind w:left="-72" w:right="-57"/>
              <w:rPr>
                <w:b/>
                <w:i/>
              </w:rPr>
            </w:pPr>
            <w:r>
              <w:rPr>
                <w:b/>
                <w:i/>
              </w:rPr>
              <w:lastRenderedPageBreak/>
              <w:t>5.3</w:t>
            </w:r>
          </w:p>
          <w:p w:rsidR="001A00EE" w:rsidRPr="002F71E7" w:rsidRDefault="001A00EE" w:rsidP="00D11C7E">
            <w:pPr>
              <w:spacing w:before="60" w:after="60"/>
              <w:ind w:left="-72" w:right="-57"/>
              <w:rPr>
                <w:b/>
                <w:i/>
              </w:rPr>
            </w:pPr>
            <w:r>
              <w:rPr>
                <w:b/>
                <w:i/>
              </w:rPr>
              <w:t>BPA Residential Exchange</w:t>
            </w:r>
          </w:p>
        </w:tc>
        <w:tc>
          <w:tcPr>
            <w:tcW w:w="2086" w:type="dxa"/>
          </w:tcPr>
          <w:p w:rsidR="001A00EE" w:rsidRDefault="001A00EE" w:rsidP="00D11C7E">
            <w:pPr>
              <w:spacing w:before="60" w:after="60"/>
              <w:ind w:left="-74" w:right="-55"/>
            </w:pPr>
            <w:r w:rsidRPr="001A00EE">
              <w:t xml:space="preserve">The Company receives a monthly purchase power credit from Bonneville Power Administration (BPA). This credit is treated as a 100% pass-through to eligible customers. Both a revenue credit and a purchase power expense credit are posted to unadjusted results which need to be removed for normalized results. This adjustment reverses the BPA purchase power expense credit recorded. </w:t>
            </w:r>
          </w:p>
          <w:p w:rsidR="008A6446" w:rsidRPr="002F71E7" w:rsidRDefault="007E5F8C" w:rsidP="00D11C7E">
            <w:pPr>
              <w:spacing w:before="60" w:after="60"/>
              <w:ind w:left="-74" w:right="-55"/>
            </w:pPr>
            <w:r>
              <w:t xml:space="preserve">Adjustment 3.2, </w:t>
            </w:r>
            <w:r w:rsidR="001A00EE" w:rsidRPr="001A00EE">
              <w:t xml:space="preserve">Revenue </w:t>
            </w:r>
            <w:r w:rsidRPr="001A00EE">
              <w:t>Normaliz</w:t>
            </w:r>
            <w:r>
              <w:t>ation,</w:t>
            </w:r>
            <w:r w:rsidRPr="001A00EE">
              <w:t xml:space="preserve"> </w:t>
            </w:r>
            <w:r w:rsidR="001A00EE" w:rsidRPr="001A00EE">
              <w:t xml:space="preserve">removes the revenue credit passed on to customers. </w:t>
            </w:r>
          </w:p>
          <w:p w:rsidR="001A00EE" w:rsidRDefault="001A00EE" w:rsidP="00D11C7E">
            <w:pPr>
              <w:spacing w:before="60" w:after="60"/>
              <w:ind w:left="-74" w:right="-55"/>
            </w:pPr>
            <w:r>
              <w:t>Decreases</w:t>
            </w:r>
            <w:r w:rsidR="008A6446" w:rsidRPr="002F71E7">
              <w:t xml:space="preserve"> NOI by $</w:t>
            </w:r>
            <w:r>
              <w:t>5,703,247</w:t>
            </w:r>
            <w:r w:rsidR="008A6446" w:rsidRPr="002F71E7">
              <w:t>.</w:t>
            </w:r>
          </w:p>
          <w:p w:rsidR="008A6446" w:rsidRPr="002F71E7" w:rsidRDefault="001A00EE" w:rsidP="001A00EE">
            <w:pPr>
              <w:spacing w:before="60" w:after="60"/>
              <w:ind w:left="-74" w:right="-55"/>
            </w:pPr>
            <w:r w:rsidRPr="002F71E7">
              <w:t>Exhibit No. __</w:t>
            </w:r>
            <w:proofErr w:type="gramStart"/>
            <w:r w:rsidRPr="002F71E7">
              <w:t>_(</w:t>
            </w:r>
            <w:proofErr w:type="gramEnd"/>
            <w:r>
              <w:t>RBD</w:t>
            </w:r>
            <w:r w:rsidRPr="002F71E7">
              <w:t>-</w:t>
            </w:r>
            <w:r>
              <w:t>3), page 5.0 Total, line 30.</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8A6446" w:rsidRDefault="001A00EE" w:rsidP="00D11C7E">
            <w:pPr>
              <w:spacing w:before="60" w:after="60"/>
              <w:ind w:left="-72" w:right="-57"/>
              <w:rPr>
                <w:b/>
                <w:i/>
              </w:rPr>
            </w:pPr>
            <w:r>
              <w:rPr>
                <w:b/>
                <w:i/>
              </w:rPr>
              <w:t>5.4</w:t>
            </w:r>
          </w:p>
          <w:p w:rsidR="001A00EE" w:rsidRPr="002F71E7" w:rsidRDefault="001A00EE" w:rsidP="00D11C7E">
            <w:pPr>
              <w:spacing w:before="60" w:after="60"/>
              <w:ind w:left="-72" w:right="-57"/>
              <w:rPr>
                <w:b/>
                <w:i/>
              </w:rPr>
            </w:pPr>
            <w:r>
              <w:rPr>
                <w:b/>
                <w:i/>
              </w:rPr>
              <w:t>Colstrip Unit #3 Removal</w:t>
            </w:r>
          </w:p>
        </w:tc>
        <w:tc>
          <w:tcPr>
            <w:tcW w:w="2086" w:type="dxa"/>
          </w:tcPr>
          <w:p w:rsidR="001A00EE" w:rsidRDefault="001A00EE" w:rsidP="001A00EE">
            <w:pPr>
              <w:spacing w:before="60" w:after="60"/>
              <w:ind w:left="-74" w:right="-55"/>
            </w:pPr>
            <w:r w:rsidRPr="001A00EE">
              <w:t xml:space="preserve">This adjustment removes the Colstrip </w:t>
            </w:r>
            <w:r>
              <w:t xml:space="preserve">unit </w:t>
            </w:r>
            <w:r w:rsidRPr="001A00EE">
              <w:t xml:space="preserve">#3 plant investments and associated costs from the test period. This Commission ordered treatment was authorized in Cause No. U-83-57.  </w:t>
            </w:r>
          </w:p>
          <w:p w:rsidR="001A00EE" w:rsidRDefault="001A00EE" w:rsidP="001A00EE">
            <w:pPr>
              <w:spacing w:before="60" w:after="60"/>
              <w:ind w:left="-74" w:right="-55"/>
            </w:pPr>
            <w:r>
              <w:t>Increases</w:t>
            </w:r>
            <w:r w:rsidR="008A6446" w:rsidRPr="002F71E7">
              <w:t xml:space="preserve"> NOI by $</w:t>
            </w:r>
            <w:r>
              <w:t>305,299</w:t>
            </w:r>
            <w:r w:rsidR="008A6446" w:rsidRPr="002F71E7">
              <w:t>.</w:t>
            </w:r>
          </w:p>
          <w:p w:rsidR="001A00EE" w:rsidRDefault="001A00EE" w:rsidP="001A00EE">
            <w:pPr>
              <w:spacing w:before="60" w:after="60"/>
              <w:ind w:left="-74" w:right="-55"/>
            </w:pPr>
            <w:r>
              <w:t>Decreases rate base by $8,629,459.</w:t>
            </w:r>
          </w:p>
          <w:p w:rsidR="008A6446" w:rsidRPr="002F71E7" w:rsidRDefault="001A00EE" w:rsidP="001A00EE">
            <w:pPr>
              <w:spacing w:before="60" w:after="60"/>
              <w:ind w:left="-74" w:right="-55"/>
            </w:pPr>
            <w:r w:rsidRPr="002F71E7">
              <w:t>Exhibit No. __</w:t>
            </w:r>
            <w:proofErr w:type="gramStart"/>
            <w:r w:rsidRPr="002F71E7">
              <w:t>_(</w:t>
            </w:r>
            <w:proofErr w:type="gramEnd"/>
            <w:r>
              <w:t>RBD</w:t>
            </w:r>
            <w:r w:rsidRPr="002F71E7">
              <w:t>-</w:t>
            </w:r>
            <w:r>
              <w:t>3), page 5.0 Total, lines 30 and 57.</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B54959" w:rsidRPr="002F71E7" w:rsidTr="00FD2DED">
        <w:tc>
          <w:tcPr>
            <w:tcW w:w="14605" w:type="dxa"/>
            <w:gridSpan w:val="7"/>
            <w:shd w:val="clear" w:color="auto" w:fill="BFBFBF" w:themeFill="background1" w:themeFillShade="BF"/>
          </w:tcPr>
          <w:p w:rsidR="00B54959" w:rsidRPr="00B54959" w:rsidRDefault="00B54959" w:rsidP="00FD2DED">
            <w:pPr>
              <w:spacing w:before="60" w:after="60"/>
              <w:ind w:left="-74" w:right="-55"/>
              <w:rPr>
                <w:b/>
                <w:i/>
              </w:rPr>
            </w:pPr>
          </w:p>
        </w:tc>
      </w:tr>
      <w:tr w:rsidR="00B54959" w:rsidRPr="002F71E7" w:rsidTr="00FD2DED">
        <w:tc>
          <w:tcPr>
            <w:tcW w:w="14605" w:type="dxa"/>
            <w:gridSpan w:val="7"/>
          </w:tcPr>
          <w:p w:rsidR="00B54959" w:rsidRDefault="00B54959" w:rsidP="00FD2DED">
            <w:pPr>
              <w:spacing w:before="60" w:after="60"/>
              <w:ind w:left="-72" w:right="-57"/>
              <w:rPr>
                <w:b/>
                <w:i/>
              </w:rPr>
            </w:pPr>
            <w:r>
              <w:rPr>
                <w:b/>
                <w:i/>
              </w:rPr>
              <w:t>Depreciation Revenue Requirement Adjustments</w:t>
            </w:r>
          </w:p>
          <w:p w:rsidR="00B54959" w:rsidRPr="002F71E7" w:rsidRDefault="00B54959" w:rsidP="00B54959">
            <w:pPr>
              <w:spacing w:before="60" w:after="60"/>
              <w:ind w:left="-74" w:right="-55"/>
            </w:pPr>
            <w:r>
              <w:rPr>
                <w:b/>
                <w:i/>
              </w:rPr>
              <w:t>(Tab 6 of Exhibit No.___(RBD-3)</w:t>
            </w:r>
          </w:p>
        </w:tc>
      </w:tr>
      <w:tr w:rsidR="008A6446" w:rsidRPr="002F71E7" w:rsidTr="008A6446">
        <w:tc>
          <w:tcPr>
            <w:tcW w:w="2086" w:type="dxa"/>
          </w:tcPr>
          <w:p w:rsidR="001A00EE" w:rsidRDefault="001A00EE" w:rsidP="001A00EE">
            <w:pPr>
              <w:spacing w:before="60" w:after="60"/>
              <w:ind w:left="-72" w:right="-57"/>
              <w:rPr>
                <w:b/>
                <w:i/>
              </w:rPr>
            </w:pPr>
            <w:r>
              <w:rPr>
                <w:b/>
                <w:i/>
              </w:rPr>
              <w:t>6.1</w:t>
            </w:r>
          </w:p>
          <w:p w:rsidR="001A00EE" w:rsidRPr="002F71E7" w:rsidRDefault="001A00EE" w:rsidP="001A00EE">
            <w:pPr>
              <w:spacing w:before="60" w:after="60"/>
              <w:ind w:left="-72" w:right="-57"/>
              <w:rPr>
                <w:b/>
                <w:i/>
              </w:rPr>
            </w:pPr>
            <w:r>
              <w:rPr>
                <w:b/>
                <w:i/>
              </w:rPr>
              <w:t>Hydro Decommissioning</w:t>
            </w:r>
          </w:p>
          <w:p w:rsidR="008A6446" w:rsidRPr="002F71E7" w:rsidRDefault="008A6446" w:rsidP="00D11C7E">
            <w:pPr>
              <w:spacing w:before="60" w:after="60"/>
              <w:ind w:left="-72" w:right="-57"/>
              <w:rPr>
                <w:b/>
                <w:i/>
              </w:rPr>
            </w:pPr>
          </w:p>
        </w:tc>
        <w:tc>
          <w:tcPr>
            <w:tcW w:w="2086" w:type="dxa"/>
          </w:tcPr>
          <w:p w:rsidR="006618C4" w:rsidRDefault="006618C4" w:rsidP="001A00EE">
            <w:pPr>
              <w:spacing w:before="60" w:after="60"/>
              <w:ind w:left="-74" w:right="-55"/>
            </w:pPr>
            <w:r w:rsidRPr="006618C4">
              <w:t xml:space="preserve">Based on the Company's latest depreciation study approved in Docket UE-071795, an additional $19.4 million is required for the decommissioning of various hydro facilities. This adjustment has both restating </w:t>
            </w:r>
            <w:r w:rsidRPr="006618C4">
              <w:lastRenderedPageBreak/>
              <w:t xml:space="preserve">and pro forma components.  The restating component of this adjustment makes a small correction to the booked accumulated reserve so that the proper balances are reflected for the east and west control areas.  The pro forma aspect of the adjustment walks forward the decommissioning expenditures through December 2011. </w:t>
            </w:r>
          </w:p>
          <w:p w:rsidR="001A00EE" w:rsidRDefault="008A6446" w:rsidP="001A00EE">
            <w:pPr>
              <w:spacing w:before="60" w:after="60"/>
              <w:ind w:left="-74" w:right="-55"/>
            </w:pPr>
            <w:r w:rsidRPr="002F71E7">
              <w:t>Decreases NOI by $</w:t>
            </w:r>
            <w:r w:rsidR="001A00EE">
              <w:t>78,583</w:t>
            </w:r>
            <w:r w:rsidRPr="002F71E7">
              <w:t>.</w:t>
            </w:r>
          </w:p>
          <w:p w:rsidR="001A00EE" w:rsidRDefault="001A00EE" w:rsidP="001A00EE">
            <w:pPr>
              <w:spacing w:before="60" w:after="60"/>
              <w:ind w:left="-74" w:right="-55"/>
            </w:pPr>
            <w:r>
              <w:t>Increases rate base by $273,210.</w:t>
            </w:r>
          </w:p>
          <w:p w:rsidR="008A6446" w:rsidRPr="002F71E7" w:rsidRDefault="001A00EE" w:rsidP="001A00EE">
            <w:pPr>
              <w:spacing w:before="60" w:after="60"/>
              <w:ind w:left="-74" w:right="-55"/>
            </w:pPr>
            <w:r w:rsidRPr="002F71E7">
              <w:t>Exhibit No. __</w:t>
            </w:r>
            <w:proofErr w:type="gramStart"/>
            <w:r w:rsidRPr="002F71E7">
              <w:t>_(</w:t>
            </w:r>
            <w:proofErr w:type="gramEnd"/>
            <w:r>
              <w:t>RBD</w:t>
            </w:r>
            <w:r w:rsidRPr="002F71E7">
              <w:t>-</w:t>
            </w:r>
            <w:r>
              <w:t>3), page 6.0 Total, lines 30 and 57.</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B54959" w:rsidRPr="002F71E7" w:rsidTr="00FD2DED">
        <w:tc>
          <w:tcPr>
            <w:tcW w:w="14605" w:type="dxa"/>
            <w:gridSpan w:val="7"/>
            <w:shd w:val="clear" w:color="auto" w:fill="BFBFBF" w:themeFill="background1" w:themeFillShade="BF"/>
          </w:tcPr>
          <w:p w:rsidR="00B54959" w:rsidRPr="00B54959" w:rsidRDefault="00B54959" w:rsidP="00FD2DED">
            <w:pPr>
              <w:spacing w:before="60" w:after="60"/>
              <w:ind w:left="-74" w:right="-55"/>
              <w:rPr>
                <w:b/>
                <w:i/>
              </w:rPr>
            </w:pPr>
          </w:p>
        </w:tc>
      </w:tr>
      <w:tr w:rsidR="00B54959" w:rsidRPr="002F71E7" w:rsidTr="00FD2DED">
        <w:tc>
          <w:tcPr>
            <w:tcW w:w="14605" w:type="dxa"/>
            <w:gridSpan w:val="7"/>
          </w:tcPr>
          <w:p w:rsidR="00B54959" w:rsidRDefault="00B54959" w:rsidP="00FD2DED">
            <w:pPr>
              <w:spacing w:before="60" w:after="60"/>
              <w:ind w:left="-72" w:right="-57"/>
              <w:rPr>
                <w:b/>
                <w:i/>
              </w:rPr>
            </w:pPr>
            <w:r>
              <w:rPr>
                <w:b/>
                <w:i/>
              </w:rPr>
              <w:t>Tax Revenue Requirement Adjustments</w:t>
            </w:r>
          </w:p>
          <w:p w:rsidR="00B54959" w:rsidRPr="002F71E7" w:rsidRDefault="00B54959" w:rsidP="00FD2DED">
            <w:pPr>
              <w:spacing w:before="60" w:after="60"/>
              <w:ind w:left="-74" w:right="-55"/>
            </w:pPr>
            <w:r>
              <w:rPr>
                <w:b/>
                <w:i/>
              </w:rPr>
              <w:t>(Tab 7 of Exhibit No.___(RBD-3)</w:t>
            </w:r>
          </w:p>
        </w:tc>
      </w:tr>
      <w:tr w:rsidR="008A6446" w:rsidRPr="002F71E7" w:rsidTr="008A6446">
        <w:tc>
          <w:tcPr>
            <w:tcW w:w="2086" w:type="dxa"/>
          </w:tcPr>
          <w:p w:rsidR="00997D07" w:rsidRDefault="00997D07" w:rsidP="00D11C7E">
            <w:pPr>
              <w:spacing w:before="60" w:after="60"/>
              <w:ind w:left="-72" w:right="-57"/>
              <w:rPr>
                <w:b/>
                <w:i/>
              </w:rPr>
            </w:pPr>
            <w:r>
              <w:rPr>
                <w:b/>
                <w:i/>
              </w:rPr>
              <w:t>7.1</w:t>
            </w:r>
          </w:p>
          <w:p w:rsidR="008A6446" w:rsidRPr="002F71E7" w:rsidRDefault="00997D07" w:rsidP="00D11C7E">
            <w:pPr>
              <w:spacing w:before="60" w:after="60"/>
              <w:ind w:left="-72" w:right="-57"/>
              <w:rPr>
                <w:b/>
                <w:i/>
              </w:rPr>
            </w:pPr>
            <w:r>
              <w:rPr>
                <w:b/>
                <w:i/>
              </w:rPr>
              <w:t>Interest True Up</w:t>
            </w:r>
          </w:p>
        </w:tc>
        <w:tc>
          <w:tcPr>
            <w:tcW w:w="2086" w:type="dxa"/>
          </w:tcPr>
          <w:p w:rsidR="00997D07" w:rsidRDefault="00997D07" w:rsidP="00D11C7E">
            <w:pPr>
              <w:spacing w:before="60" w:after="60"/>
              <w:ind w:left="-74" w:right="-55"/>
            </w:pPr>
            <w:r w:rsidRPr="00997D07">
              <w:t xml:space="preserve">This restating and pro forma adjustment details the adjustment to interest expense required to synchronize the test period expense with rate base. This is done by multiplying normalized Washington net rate base by the Company’s weighted cost of debt </w:t>
            </w:r>
            <w:r w:rsidR="006E034E">
              <w:t>for</w:t>
            </w:r>
            <w:r w:rsidR="006E034E" w:rsidRPr="00997D07">
              <w:t xml:space="preserve"> </w:t>
            </w:r>
            <w:r w:rsidRPr="00997D07">
              <w:t xml:space="preserve">this case.  </w:t>
            </w:r>
          </w:p>
          <w:p w:rsidR="00997D07" w:rsidRDefault="00997D07" w:rsidP="00D11C7E">
            <w:pPr>
              <w:spacing w:before="60" w:after="60"/>
              <w:ind w:left="-74" w:right="-55"/>
            </w:pPr>
            <w:r>
              <w:t>Decreases</w:t>
            </w:r>
            <w:r w:rsidR="008A6446" w:rsidRPr="002F71E7">
              <w:t xml:space="preserve"> NOI by $</w:t>
            </w:r>
            <w:r>
              <w:t>380,692</w:t>
            </w:r>
            <w:r w:rsidR="008A6446" w:rsidRPr="002F71E7">
              <w:t>.</w:t>
            </w:r>
          </w:p>
          <w:p w:rsidR="008A6446" w:rsidRPr="002F71E7" w:rsidRDefault="00997D07" w:rsidP="00997D07">
            <w:pPr>
              <w:spacing w:before="60" w:after="60"/>
              <w:ind w:left="-74" w:right="-55"/>
            </w:pPr>
            <w:r w:rsidRPr="002F71E7">
              <w:t>Exhibit No. __</w:t>
            </w:r>
            <w:proofErr w:type="gramStart"/>
            <w:r w:rsidRPr="002F71E7">
              <w:t>_(</w:t>
            </w:r>
            <w:proofErr w:type="gramEnd"/>
            <w:r>
              <w:t>RBD</w:t>
            </w:r>
            <w:r w:rsidRPr="002F71E7">
              <w:t>-</w:t>
            </w:r>
            <w:r>
              <w:t>3), page 7.0 Total, line 30.</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8A6446" w:rsidRDefault="00997D07" w:rsidP="00D11C7E">
            <w:pPr>
              <w:spacing w:before="60" w:after="60"/>
              <w:ind w:left="-72" w:right="-57"/>
              <w:rPr>
                <w:b/>
                <w:i/>
              </w:rPr>
            </w:pPr>
            <w:r>
              <w:rPr>
                <w:b/>
                <w:i/>
              </w:rPr>
              <w:t>7.2</w:t>
            </w:r>
          </w:p>
          <w:p w:rsidR="00997D07" w:rsidRPr="002F71E7" w:rsidRDefault="00997D07" w:rsidP="00D11C7E">
            <w:pPr>
              <w:spacing w:before="60" w:after="60"/>
              <w:ind w:left="-72" w:right="-57"/>
              <w:rPr>
                <w:b/>
                <w:i/>
              </w:rPr>
            </w:pPr>
            <w:r>
              <w:rPr>
                <w:b/>
                <w:i/>
              </w:rPr>
              <w:t>Renewable Energy Tax Credit Adjustment</w:t>
            </w:r>
          </w:p>
        </w:tc>
        <w:tc>
          <w:tcPr>
            <w:tcW w:w="2086" w:type="dxa"/>
          </w:tcPr>
          <w:p w:rsidR="00997D07" w:rsidRDefault="00997D07" w:rsidP="00997D07">
            <w:pPr>
              <w:spacing w:before="60" w:after="60"/>
              <w:ind w:left="-74" w:right="-55"/>
            </w:pPr>
            <w:r>
              <w:t xml:space="preserve">The Company is entitled to recognize a federal income tax credit as a result of placing renewable generating plants in service. The tax credit is based on the kilowatt-hours generated by a qualified facility during the facility’s first ten years of service. This pro forma adjustment reflects this credit based on the qualifying production as modeled in GRID for the pro forma net power cost study.  </w:t>
            </w:r>
          </w:p>
          <w:p w:rsidR="00997D07" w:rsidRDefault="00997D07" w:rsidP="00997D07">
            <w:pPr>
              <w:spacing w:before="60" w:after="60"/>
              <w:ind w:left="-74" w:right="-55"/>
            </w:pPr>
            <w:r>
              <w:t>Increases</w:t>
            </w:r>
            <w:r w:rsidR="008A6446" w:rsidRPr="002F71E7">
              <w:t xml:space="preserve"> NOI by $</w:t>
            </w:r>
            <w:r>
              <w:t xml:space="preserve">786,766. </w:t>
            </w:r>
          </w:p>
          <w:p w:rsidR="008A6446" w:rsidRPr="002F71E7" w:rsidRDefault="00997D07" w:rsidP="00997D07">
            <w:pPr>
              <w:spacing w:before="60" w:after="60"/>
              <w:ind w:left="-74" w:right="-55"/>
            </w:pPr>
            <w:r w:rsidRPr="002F71E7">
              <w:t>Exhibit No. __</w:t>
            </w:r>
            <w:proofErr w:type="gramStart"/>
            <w:r w:rsidRPr="002F71E7">
              <w:t>_(</w:t>
            </w:r>
            <w:proofErr w:type="gramEnd"/>
            <w:r>
              <w:t>RBD</w:t>
            </w:r>
            <w:r w:rsidRPr="002F71E7">
              <w:t>-</w:t>
            </w:r>
            <w:r>
              <w:t xml:space="preserve">3), page </w:t>
            </w:r>
            <w:r>
              <w:lastRenderedPageBreak/>
              <w:t>7.0 Total, line 30.</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8A6446" w:rsidRDefault="008A6446" w:rsidP="00997D07">
            <w:pPr>
              <w:spacing w:before="60" w:after="60"/>
              <w:ind w:left="-72" w:right="-57"/>
              <w:rPr>
                <w:b/>
                <w:i/>
              </w:rPr>
            </w:pPr>
            <w:r w:rsidRPr="002F71E7">
              <w:rPr>
                <w:b/>
                <w:i/>
              </w:rPr>
              <w:lastRenderedPageBreak/>
              <w:t xml:space="preserve"> </w:t>
            </w:r>
            <w:r w:rsidR="00997D07">
              <w:rPr>
                <w:b/>
                <w:i/>
              </w:rPr>
              <w:t>7.3</w:t>
            </w:r>
          </w:p>
          <w:p w:rsidR="00997D07" w:rsidRPr="002F71E7" w:rsidRDefault="00997D07" w:rsidP="00997D07">
            <w:pPr>
              <w:spacing w:before="60" w:after="60"/>
              <w:ind w:left="-72" w:right="-57"/>
              <w:rPr>
                <w:b/>
                <w:i/>
              </w:rPr>
            </w:pPr>
            <w:r>
              <w:rPr>
                <w:b/>
                <w:i/>
              </w:rPr>
              <w:t>Malin Midpoint Adjustment</w:t>
            </w:r>
          </w:p>
        </w:tc>
        <w:tc>
          <w:tcPr>
            <w:tcW w:w="2086" w:type="dxa"/>
          </w:tcPr>
          <w:p w:rsidR="00997D07" w:rsidRDefault="00997D07" w:rsidP="00D11C7E">
            <w:pPr>
              <w:spacing w:before="60" w:after="60"/>
              <w:ind w:left="-74" w:right="-55"/>
            </w:pPr>
            <w:r w:rsidRPr="00997D07">
              <w:t>In 1981, the Company built and placed in service the Malin-Midpoint transmission line. The Company was eligible for investment tax credits and accelerated tax depreciation associated with this investment. The Company entered into a safe harbor lease transaction to transfer these tax benefits to an unrelated third party. As ordered in Docket UE-050684, the Company has treated this transaction as a sale of part of the benefits associated with the property and is amortizing the cash receipts over the life of the assets. The gain is being amortized over 30 years (composite book life of the plant) with a rate base deduction for the unamortized balance.  In 1988, the substation was sold to Amoco and therefore the only amortization remaining is on the transmission line</w:t>
            </w:r>
            <w:r w:rsidR="00E752BF">
              <w:t xml:space="preserve">, </w:t>
            </w:r>
            <w:r w:rsidRPr="00997D07">
              <w:t>which is reflected in this restating adjustment.</w:t>
            </w:r>
          </w:p>
          <w:p w:rsidR="00997D07" w:rsidRDefault="008A6446" w:rsidP="00D11C7E">
            <w:pPr>
              <w:spacing w:before="60" w:after="60"/>
              <w:ind w:left="-74" w:right="-55"/>
            </w:pPr>
            <w:r w:rsidRPr="002F71E7">
              <w:t>Increases NOI by $</w:t>
            </w:r>
            <w:r w:rsidR="00997D07">
              <w:t>296,779</w:t>
            </w:r>
            <w:r w:rsidRPr="002F71E7">
              <w:t>.</w:t>
            </w:r>
          </w:p>
          <w:p w:rsidR="001B38EB" w:rsidRDefault="001B38EB" w:rsidP="00D11C7E">
            <w:pPr>
              <w:spacing w:before="60" w:after="60"/>
              <w:ind w:left="-74" w:right="-55"/>
            </w:pPr>
            <w:r>
              <w:t>Decreases rate base by $222,584.</w:t>
            </w:r>
          </w:p>
          <w:p w:rsidR="008A6446" w:rsidRPr="002F71E7" w:rsidRDefault="00997D07" w:rsidP="00997D07">
            <w:pPr>
              <w:spacing w:before="60" w:after="60"/>
              <w:ind w:left="-74" w:right="-55"/>
            </w:pPr>
            <w:r w:rsidRPr="002F71E7">
              <w:t>Exhibit No. __</w:t>
            </w:r>
            <w:proofErr w:type="gramStart"/>
            <w:r w:rsidRPr="002F71E7">
              <w:t>_(</w:t>
            </w:r>
            <w:proofErr w:type="gramEnd"/>
            <w:r>
              <w:t>RBD</w:t>
            </w:r>
            <w:r w:rsidRPr="002F71E7">
              <w:t>-</w:t>
            </w:r>
            <w:r>
              <w:t>3), page 7.0 Total, line</w:t>
            </w:r>
            <w:r w:rsidR="001B38EB">
              <w:t>s</w:t>
            </w:r>
            <w:r>
              <w:t xml:space="preserve"> 30</w:t>
            </w:r>
            <w:r w:rsidR="001B38EB">
              <w:t xml:space="preserve"> and 57</w:t>
            </w:r>
            <w:r>
              <w:t>.</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8A6446" w:rsidRDefault="00997D07" w:rsidP="00D11C7E">
            <w:pPr>
              <w:spacing w:before="60" w:after="60"/>
              <w:ind w:left="-72" w:right="-57"/>
              <w:rPr>
                <w:b/>
                <w:i/>
              </w:rPr>
            </w:pPr>
            <w:r>
              <w:rPr>
                <w:b/>
                <w:i/>
              </w:rPr>
              <w:t>7.4</w:t>
            </w:r>
          </w:p>
          <w:p w:rsidR="00997D07" w:rsidRPr="002F71E7" w:rsidRDefault="00997D07" w:rsidP="00D11C7E">
            <w:pPr>
              <w:spacing w:before="60" w:after="60"/>
              <w:ind w:left="-72" w:right="-57"/>
              <w:rPr>
                <w:b/>
                <w:i/>
              </w:rPr>
            </w:pPr>
            <w:r>
              <w:rPr>
                <w:b/>
                <w:i/>
              </w:rPr>
              <w:t>Washington Public Utility Tax Adjustment</w:t>
            </w:r>
          </w:p>
        </w:tc>
        <w:tc>
          <w:tcPr>
            <w:tcW w:w="2086" w:type="dxa"/>
          </w:tcPr>
          <w:p w:rsidR="00997D07" w:rsidRDefault="00997D07" w:rsidP="00D11C7E">
            <w:pPr>
              <w:spacing w:before="60" w:after="60"/>
              <w:ind w:left="-74" w:right="-55"/>
            </w:pPr>
            <w:r w:rsidRPr="00997D07">
              <w:t>This adjustme</w:t>
            </w:r>
            <w:r>
              <w:t>nt recalculates the Washington p</w:t>
            </w:r>
            <w:r w:rsidRPr="00997D07">
              <w:t xml:space="preserve">ublic </w:t>
            </w:r>
            <w:r>
              <w:t>utility t</w:t>
            </w:r>
            <w:r w:rsidRPr="00997D07">
              <w:t>ax expense based on the normalized revenues included in this filing, as outlined in adjustments 3.1, 3.2, and 3.3.  Included as a credit against the pro forma tax expense is the known and measurable change for the Low Income Home Energy Assistance Program (LIHEAP) for the 2011 authorized credit amount.</w:t>
            </w:r>
          </w:p>
          <w:p w:rsidR="00997D07" w:rsidRDefault="008A6446" w:rsidP="00D11C7E">
            <w:pPr>
              <w:spacing w:before="60" w:after="60"/>
              <w:ind w:left="-74" w:right="-55"/>
            </w:pPr>
            <w:r w:rsidRPr="002F71E7">
              <w:t>Decreases NOI by $1,</w:t>
            </w:r>
            <w:r w:rsidR="00997D07">
              <w:t>132,118</w:t>
            </w:r>
            <w:r w:rsidRPr="002F71E7">
              <w:t>.</w:t>
            </w:r>
          </w:p>
          <w:p w:rsidR="008A6446" w:rsidRPr="002F71E7" w:rsidRDefault="00997D07" w:rsidP="00D11C7E">
            <w:pPr>
              <w:spacing w:before="60" w:after="60"/>
              <w:ind w:left="-74" w:right="-55"/>
            </w:pPr>
            <w:r w:rsidRPr="002F71E7">
              <w:t>Exhibit No. __</w:t>
            </w:r>
            <w:proofErr w:type="gramStart"/>
            <w:r w:rsidRPr="002F71E7">
              <w:t>_(</w:t>
            </w:r>
            <w:proofErr w:type="gramEnd"/>
            <w:r>
              <w:t>RBD</w:t>
            </w:r>
            <w:r w:rsidRPr="002F71E7">
              <w:t>-</w:t>
            </w:r>
            <w:r>
              <w:t>3), page 7.0 Total, line 30.</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8A6446" w:rsidRDefault="00997D07" w:rsidP="00D11C7E">
            <w:pPr>
              <w:spacing w:before="60" w:after="60"/>
              <w:ind w:left="-72" w:right="-57"/>
              <w:rPr>
                <w:b/>
                <w:i/>
              </w:rPr>
            </w:pPr>
            <w:r>
              <w:rPr>
                <w:b/>
                <w:i/>
              </w:rPr>
              <w:lastRenderedPageBreak/>
              <w:t>7.5</w:t>
            </w:r>
          </w:p>
          <w:p w:rsidR="001B38EB" w:rsidRDefault="001B38EB" w:rsidP="00D11C7E">
            <w:pPr>
              <w:spacing w:before="60" w:after="60"/>
              <w:ind w:left="-72" w:right="-57"/>
              <w:rPr>
                <w:b/>
                <w:i/>
              </w:rPr>
            </w:pPr>
            <w:r>
              <w:rPr>
                <w:b/>
                <w:i/>
              </w:rPr>
              <w:t>AFUDC Equity</w:t>
            </w:r>
          </w:p>
          <w:p w:rsidR="00997D07" w:rsidRPr="002F71E7" w:rsidRDefault="00997D07" w:rsidP="00D11C7E">
            <w:pPr>
              <w:spacing w:before="60" w:after="60"/>
              <w:ind w:left="-72" w:right="-57"/>
              <w:rPr>
                <w:b/>
                <w:i/>
              </w:rPr>
            </w:pPr>
          </w:p>
        </w:tc>
        <w:tc>
          <w:tcPr>
            <w:tcW w:w="2086" w:type="dxa"/>
          </w:tcPr>
          <w:p w:rsidR="00997D07" w:rsidRDefault="00997D07" w:rsidP="00D11C7E">
            <w:pPr>
              <w:spacing w:before="60" w:after="60"/>
              <w:ind w:left="-74" w:right="-55"/>
            </w:pPr>
            <w:r w:rsidRPr="00997D07">
              <w:t>This adjustment reflects the appropriate level of allowances for funds used during construction (AFUDC) - Equity into regulated results to align the tax Schedule M with regulatory income.</w:t>
            </w:r>
          </w:p>
          <w:p w:rsidR="001B38EB" w:rsidRDefault="001B38EB" w:rsidP="00D11C7E">
            <w:pPr>
              <w:spacing w:before="60" w:after="60"/>
              <w:ind w:left="-74" w:right="-55"/>
            </w:pPr>
            <w:r>
              <w:t>Increases</w:t>
            </w:r>
            <w:r w:rsidR="008A6446" w:rsidRPr="002F71E7">
              <w:t xml:space="preserve"> NOI by $</w:t>
            </w:r>
            <w:r>
              <w:t>83,729</w:t>
            </w:r>
            <w:r w:rsidR="008A6446" w:rsidRPr="002F71E7">
              <w:t>.</w:t>
            </w:r>
          </w:p>
          <w:p w:rsidR="008A6446" w:rsidRPr="002F71E7" w:rsidRDefault="001B38EB" w:rsidP="00D11C7E">
            <w:pPr>
              <w:spacing w:before="60" w:after="60"/>
              <w:ind w:left="-74" w:right="-55"/>
            </w:pPr>
            <w:r w:rsidRPr="002F71E7">
              <w:t>Exhibit No. __</w:t>
            </w:r>
            <w:proofErr w:type="gramStart"/>
            <w:r w:rsidRPr="002F71E7">
              <w:t>_(</w:t>
            </w:r>
            <w:proofErr w:type="gramEnd"/>
            <w:r>
              <w:t>RBD</w:t>
            </w:r>
            <w:r w:rsidRPr="002F71E7">
              <w:t>-</w:t>
            </w:r>
            <w:r>
              <w:t>3), page 7.0 Total, line 30.</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8A6446" w:rsidRDefault="001B38EB" w:rsidP="00D11C7E">
            <w:pPr>
              <w:spacing w:before="60" w:after="60"/>
              <w:ind w:left="-72" w:right="-57"/>
              <w:rPr>
                <w:b/>
                <w:i/>
              </w:rPr>
            </w:pPr>
            <w:r>
              <w:rPr>
                <w:b/>
                <w:i/>
              </w:rPr>
              <w:t>7.6 and 7.6.1</w:t>
            </w:r>
          </w:p>
          <w:p w:rsidR="001B38EB" w:rsidRPr="002F71E7" w:rsidRDefault="001B38EB" w:rsidP="00D11C7E">
            <w:pPr>
              <w:spacing w:before="60" w:after="60"/>
              <w:ind w:left="-72" w:right="-57"/>
              <w:rPr>
                <w:b/>
                <w:i/>
              </w:rPr>
            </w:pPr>
            <w:r>
              <w:rPr>
                <w:b/>
                <w:i/>
              </w:rPr>
              <w:t>Washington Flow-Through Adjustment</w:t>
            </w:r>
          </w:p>
        </w:tc>
        <w:tc>
          <w:tcPr>
            <w:tcW w:w="2086" w:type="dxa"/>
          </w:tcPr>
          <w:p w:rsidR="001B38EB" w:rsidRDefault="001B38EB" w:rsidP="001B38EB">
            <w:pPr>
              <w:spacing w:before="60" w:after="60"/>
              <w:ind w:left="-74" w:right="-55"/>
            </w:pPr>
            <w:r>
              <w:t xml:space="preserve">This adjustment converts the per books data for income taxes from a normalized basis to a partial flow-through basis, consistent with Order 06 and Order 07 in Docket UE-100749.  This is accomplished by removing the deferred income tax benefits/expense and accumulated deferred income tax assets/liabilities for temporary book-tax differences that are not 1) required to be normalized by law, or 2) required to be normalized by Commission order. </w:t>
            </w:r>
          </w:p>
          <w:p w:rsidR="001B38EB" w:rsidRDefault="001B38EB" w:rsidP="001B38EB">
            <w:pPr>
              <w:spacing w:before="60" w:after="60"/>
              <w:ind w:left="-74" w:right="-55"/>
            </w:pPr>
            <w:r>
              <w:t xml:space="preserve">Decreases NOI </w:t>
            </w:r>
            <w:r w:rsidR="008A6446" w:rsidRPr="002F71E7">
              <w:t>by $</w:t>
            </w:r>
            <w:r>
              <w:t>396,344</w:t>
            </w:r>
            <w:r w:rsidR="008A6446" w:rsidRPr="002F71E7">
              <w:t>.</w:t>
            </w:r>
          </w:p>
          <w:p w:rsidR="001B38EB" w:rsidRDefault="001B38EB" w:rsidP="001B38EB">
            <w:pPr>
              <w:spacing w:before="60" w:after="60"/>
              <w:ind w:left="-74" w:right="-55"/>
            </w:pPr>
            <w:r>
              <w:t>Decreases rate base by $2,089,738.</w:t>
            </w:r>
          </w:p>
          <w:p w:rsidR="008A6446" w:rsidRPr="002F71E7" w:rsidRDefault="001B38EB" w:rsidP="00D11C7E">
            <w:pPr>
              <w:spacing w:before="60" w:after="60"/>
              <w:ind w:left="-74" w:right="-55"/>
            </w:pPr>
            <w:r w:rsidRPr="002F71E7">
              <w:t>Exhibit No. __</w:t>
            </w:r>
            <w:proofErr w:type="gramStart"/>
            <w:r w:rsidRPr="002F71E7">
              <w:t>_(</w:t>
            </w:r>
            <w:proofErr w:type="gramEnd"/>
            <w:r>
              <w:t>RBD</w:t>
            </w:r>
            <w:r w:rsidRPr="002F71E7">
              <w:t>-</w:t>
            </w:r>
            <w:r>
              <w:t>3), pages 7.0 Total and 7.0.1 Total, lines 30 and 57.</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1B38EB" w:rsidRPr="00A50C8D" w:rsidRDefault="008A6446" w:rsidP="001B38EB">
            <w:pPr>
              <w:spacing w:before="60" w:after="60"/>
              <w:ind w:left="-72" w:right="-57"/>
              <w:rPr>
                <w:b/>
                <w:i/>
              </w:rPr>
            </w:pPr>
            <w:r w:rsidRPr="00A50C8D">
              <w:rPr>
                <w:b/>
                <w:i/>
              </w:rPr>
              <w:t xml:space="preserve"> </w:t>
            </w:r>
            <w:r w:rsidR="00A50C8D" w:rsidRPr="00A50C8D">
              <w:rPr>
                <w:b/>
                <w:i/>
              </w:rPr>
              <w:t>7.7</w:t>
            </w:r>
          </w:p>
          <w:p w:rsidR="00A50C8D" w:rsidRPr="002F71E7" w:rsidRDefault="00A50C8D" w:rsidP="001B38EB">
            <w:pPr>
              <w:spacing w:before="60" w:after="60"/>
              <w:ind w:left="-72" w:right="-57"/>
              <w:rPr>
                <w:b/>
                <w:i/>
              </w:rPr>
            </w:pPr>
            <w:r>
              <w:rPr>
                <w:b/>
                <w:i/>
              </w:rPr>
              <w:t>Remove Deferred State Tax Expense and Balance</w:t>
            </w:r>
          </w:p>
          <w:p w:rsidR="008A6446" w:rsidRPr="002F71E7" w:rsidRDefault="008A6446" w:rsidP="00D11C7E">
            <w:pPr>
              <w:spacing w:before="60" w:after="60"/>
              <w:ind w:left="-72" w:right="-57"/>
              <w:rPr>
                <w:b/>
                <w:i/>
              </w:rPr>
            </w:pPr>
          </w:p>
        </w:tc>
        <w:tc>
          <w:tcPr>
            <w:tcW w:w="2086" w:type="dxa"/>
          </w:tcPr>
          <w:p w:rsidR="00A50C8D" w:rsidRDefault="00A50C8D" w:rsidP="00D11C7E">
            <w:pPr>
              <w:spacing w:before="60" w:after="60"/>
              <w:ind w:left="-74" w:right="-55"/>
            </w:pPr>
            <w:r w:rsidRPr="00A50C8D">
              <w:t>The Company’s per books provision for deferred income tax and the balance for accumulated deferred income tax are computed using the Company’s blended federal and state statutory tax rate.  State income taxes are a system cost for the Company that is not recoverable in Washington.  Accordingly, after all adjustments are ma</w:t>
            </w:r>
            <w:r>
              <w:t xml:space="preserve">de to income taxes, this final </w:t>
            </w:r>
            <w:r w:rsidRPr="00A50C8D">
              <w:t>adjustment is made to remove state income tax from the adjusted test year.</w:t>
            </w:r>
          </w:p>
          <w:p w:rsidR="00A50C8D" w:rsidRDefault="00A50C8D" w:rsidP="00D11C7E">
            <w:pPr>
              <w:spacing w:before="60" w:after="60"/>
              <w:ind w:left="-74" w:right="-55"/>
            </w:pPr>
            <w:r>
              <w:t>Increases</w:t>
            </w:r>
            <w:r w:rsidR="008A6446" w:rsidRPr="002F71E7">
              <w:t xml:space="preserve"> NOI by $</w:t>
            </w:r>
            <w:r>
              <w:t>1,877,339</w:t>
            </w:r>
            <w:r w:rsidR="008A6446" w:rsidRPr="002F71E7">
              <w:t>.</w:t>
            </w:r>
          </w:p>
          <w:p w:rsidR="00A50C8D" w:rsidRDefault="00A50C8D" w:rsidP="00A50C8D">
            <w:pPr>
              <w:spacing w:before="60" w:after="60"/>
              <w:ind w:left="-74" w:right="-55"/>
            </w:pPr>
            <w:r>
              <w:t xml:space="preserve">Increases rate base by </w:t>
            </w:r>
            <w:r>
              <w:lastRenderedPageBreak/>
              <w:t>$953,690.</w:t>
            </w:r>
          </w:p>
          <w:p w:rsidR="008A6446" w:rsidRPr="002F71E7" w:rsidRDefault="00A50C8D" w:rsidP="00A50C8D">
            <w:pPr>
              <w:spacing w:before="60" w:after="60"/>
              <w:ind w:left="-74" w:right="-55"/>
            </w:pPr>
            <w:r w:rsidRPr="002F71E7">
              <w:t>Exhibit No. __</w:t>
            </w:r>
            <w:proofErr w:type="gramStart"/>
            <w:r w:rsidRPr="002F71E7">
              <w:t>_(</w:t>
            </w:r>
            <w:proofErr w:type="gramEnd"/>
            <w:r>
              <w:t>RBD</w:t>
            </w:r>
            <w:r w:rsidRPr="002F71E7">
              <w:t>-</w:t>
            </w:r>
            <w:r>
              <w:t>3), page 7.0 .1</w:t>
            </w:r>
            <w:r w:rsidR="007F78E4">
              <w:t xml:space="preserve"> </w:t>
            </w:r>
            <w:r>
              <w:t>Total, lines 30 and 57.</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9822AC">
        <w:tc>
          <w:tcPr>
            <w:tcW w:w="2086" w:type="dxa"/>
            <w:tcBorders>
              <w:bottom w:val="single" w:sz="4" w:space="0" w:color="auto"/>
            </w:tcBorders>
          </w:tcPr>
          <w:p w:rsidR="008A6446" w:rsidRDefault="00A50C8D" w:rsidP="00D11C7E">
            <w:pPr>
              <w:spacing w:before="60" w:after="60"/>
              <w:ind w:left="-72" w:right="-57"/>
              <w:rPr>
                <w:b/>
                <w:i/>
              </w:rPr>
            </w:pPr>
            <w:r>
              <w:rPr>
                <w:b/>
                <w:i/>
              </w:rPr>
              <w:lastRenderedPageBreak/>
              <w:t>7.8</w:t>
            </w:r>
          </w:p>
          <w:p w:rsidR="00A50C8D" w:rsidRPr="002F71E7" w:rsidRDefault="00A50C8D" w:rsidP="00D11C7E">
            <w:pPr>
              <w:spacing w:before="60" w:after="60"/>
              <w:ind w:left="-72" w:right="-57"/>
              <w:rPr>
                <w:b/>
                <w:i/>
              </w:rPr>
            </w:pPr>
            <w:r>
              <w:rPr>
                <w:b/>
                <w:i/>
              </w:rPr>
              <w:t>Accumulated Deferred Income Tax (ADIT) Balance Adjustment</w:t>
            </w:r>
          </w:p>
        </w:tc>
        <w:tc>
          <w:tcPr>
            <w:tcW w:w="2086" w:type="dxa"/>
            <w:tcBorders>
              <w:bottom w:val="single" w:sz="4" w:space="0" w:color="auto"/>
            </w:tcBorders>
          </w:tcPr>
          <w:p w:rsidR="00D777CC" w:rsidRDefault="00D777CC" w:rsidP="00D777CC">
            <w:pPr>
              <w:spacing w:before="60" w:after="60"/>
              <w:ind w:left="-74" w:right="-55"/>
            </w:pPr>
            <w:r>
              <w:t>This adjustment reports the Company's property-related ADIT balances on a jurisdictional basis using jurisdictionally allocated results from the Company's tax fixed asset system.</w:t>
            </w:r>
          </w:p>
          <w:p w:rsidR="004A7C9D" w:rsidRDefault="00D777CC" w:rsidP="00D777CC">
            <w:pPr>
              <w:spacing w:before="60" w:after="60"/>
              <w:ind w:left="-74" w:right="-55"/>
            </w:pPr>
            <w:r>
              <w:t>This adjustment also reflects the known and measurable change to the ADIT balances for guidance received from the Internal Revenue Service which affected the Company's estimate of bonus depreciation for assets placed in service during 2010.  This resulted in an adjustment to deferred income tax expense for depreciation flow-through.</w:t>
            </w:r>
          </w:p>
          <w:p w:rsidR="00A50C8D" w:rsidRDefault="008A6446" w:rsidP="00D777CC">
            <w:pPr>
              <w:spacing w:before="60" w:after="60"/>
              <w:ind w:left="-74" w:right="-55"/>
            </w:pPr>
            <w:r w:rsidRPr="002F71E7">
              <w:t>Decreases NOI by $</w:t>
            </w:r>
            <w:r w:rsidR="00A50C8D">
              <w:t>20,913</w:t>
            </w:r>
            <w:r w:rsidRPr="002F71E7">
              <w:t>.</w:t>
            </w:r>
          </w:p>
          <w:p w:rsidR="00A50C8D" w:rsidRDefault="00A50C8D" w:rsidP="00D11C7E">
            <w:pPr>
              <w:spacing w:before="60" w:after="60"/>
              <w:ind w:left="-74" w:right="-55"/>
            </w:pPr>
            <w:r>
              <w:t>Decreases rate base by $773,349.</w:t>
            </w:r>
          </w:p>
          <w:p w:rsidR="008A6446" w:rsidRPr="002F71E7" w:rsidRDefault="00A50C8D" w:rsidP="00D11C7E">
            <w:pPr>
              <w:spacing w:before="60" w:after="60"/>
              <w:ind w:left="-74" w:right="-55"/>
            </w:pPr>
            <w:r w:rsidRPr="002F71E7">
              <w:t>Exhibit No. __</w:t>
            </w:r>
            <w:proofErr w:type="gramStart"/>
            <w:r w:rsidRPr="002F71E7">
              <w:t>_(</w:t>
            </w:r>
            <w:proofErr w:type="gramEnd"/>
            <w:r>
              <w:t>RBD</w:t>
            </w:r>
            <w:r w:rsidRPr="002F71E7">
              <w:t>-</w:t>
            </w:r>
            <w:r>
              <w:t>3), page 7.0 .1</w:t>
            </w:r>
            <w:r w:rsidR="007F78E4">
              <w:t xml:space="preserve"> </w:t>
            </w:r>
            <w:r>
              <w:t>Total, lines 30 and 57.</w:t>
            </w:r>
          </w:p>
        </w:tc>
        <w:tc>
          <w:tcPr>
            <w:tcW w:w="2087" w:type="dxa"/>
            <w:tcBorders>
              <w:bottom w:val="single" w:sz="4" w:space="0" w:color="auto"/>
            </w:tcBorders>
          </w:tcPr>
          <w:p w:rsidR="008A6446" w:rsidRPr="002F71E7" w:rsidRDefault="008A6446" w:rsidP="00D11C7E">
            <w:pPr>
              <w:spacing w:before="60" w:after="60"/>
              <w:ind w:left="-74" w:right="-55"/>
            </w:pPr>
          </w:p>
        </w:tc>
        <w:tc>
          <w:tcPr>
            <w:tcW w:w="2086" w:type="dxa"/>
            <w:tcBorders>
              <w:bottom w:val="single" w:sz="4" w:space="0" w:color="auto"/>
            </w:tcBorders>
          </w:tcPr>
          <w:p w:rsidR="008A6446" w:rsidRPr="002F71E7" w:rsidRDefault="008A6446" w:rsidP="00D11C7E">
            <w:pPr>
              <w:spacing w:before="60" w:after="60"/>
              <w:ind w:left="-74" w:right="-55"/>
            </w:pPr>
          </w:p>
        </w:tc>
        <w:tc>
          <w:tcPr>
            <w:tcW w:w="2087" w:type="dxa"/>
            <w:tcBorders>
              <w:bottom w:val="single" w:sz="4" w:space="0" w:color="auto"/>
            </w:tcBorders>
          </w:tcPr>
          <w:p w:rsidR="008A6446" w:rsidRPr="002F71E7" w:rsidRDefault="008A6446" w:rsidP="00D11C7E">
            <w:pPr>
              <w:spacing w:before="60" w:after="60"/>
              <w:ind w:left="-74" w:right="-55"/>
            </w:pPr>
          </w:p>
        </w:tc>
        <w:tc>
          <w:tcPr>
            <w:tcW w:w="2086" w:type="dxa"/>
            <w:tcBorders>
              <w:bottom w:val="single" w:sz="4" w:space="0" w:color="auto"/>
            </w:tcBorders>
          </w:tcPr>
          <w:p w:rsidR="008A6446" w:rsidRPr="002F71E7" w:rsidRDefault="008A6446" w:rsidP="004E0D09">
            <w:pPr>
              <w:spacing w:before="60" w:after="60"/>
              <w:ind w:left="-74" w:right="-55"/>
            </w:pPr>
          </w:p>
        </w:tc>
        <w:tc>
          <w:tcPr>
            <w:tcW w:w="2087" w:type="dxa"/>
            <w:tcBorders>
              <w:bottom w:val="single" w:sz="4" w:space="0" w:color="auto"/>
            </w:tcBorders>
          </w:tcPr>
          <w:p w:rsidR="008A6446" w:rsidRPr="002F71E7" w:rsidRDefault="008A6446" w:rsidP="004E0D09">
            <w:pPr>
              <w:spacing w:before="60" w:after="60"/>
              <w:ind w:left="-74" w:right="-55"/>
            </w:pPr>
          </w:p>
        </w:tc>
      </w:tr>
      <w:tr w:rsidR="00B54959" w:rsidRPr="002F71E7" w:rsidTr="00FD2DED">
        <w:tc>
          <w:tcPr>
            <w:tcW w:w="14605" w:type="dxa"/>
            <w:gridSpan w:val="7"/>
            <w:shd w:val="clear" w:color="auto" w:fill="BFBFBF" w:themeFill="background1" w:themeFillShade="BF"/>
          </w:tcPr>
          <w:p w:rsidR="00B54959" w:rsidRPr="00B54959" w:rsidRDefault="00B54959" w:rsidP="004E0D09">
            <w:pPr>
              <w:spacing w:before="60" w:after="60"/>
              <w:ind w:left="-74" w:right="-55"/>
              <w:rPr>
                <w:b/>
                <w:i/>
              </w:rPr>
            </w:pPr>
          </w:p>
        </w:tc>
      </w:tr>
      <w:tr w:rsidR="00B54959" w:rsidRPr="002F71E7" w:rsidTr="00FD2DED">
        <w:tc>
          <w:tcPr>
            <w:tcW w:w="14605" w:type="dxa"/>
            <w:gridSpan w:val="7"/>
          </w:tcPr>
          <w:p w:rsidR="00B54959" w:rsidRDefault="00B54959" w:rsidP="007F78E4">
            <w:pPr>
              <w:spacing w:before="60" w:after="60"/>
              <w:ind w:left="-72" w:right="-57"/>
              <w:rPr>
                <w:b/>
                <w:i/>
              </w:rPr>
            </w:pPr>
            <w:r>
              <w:rPr>
                <w:b/>
                <w:i/>
              </w:rPr>
              <w:t>Rate Base Revenue Requirement Adjustments</w:t>
            </w:r>
          </w:p>
          <w:p w:rsidR="00B54959" w:rsidRPr="002F71E7" w:rsidRDefault="00B54959" w:rsidP="004E0D09">
            <w:pPr>
              <w:spacing w:before="60" w:after="60"/>
              <w:ind w:left="-74" w:right="-55"/>
            </w:pPr>
            <w:r>
              <w:rPr>
                <w:b/>
                <w:i/>
              </w:rPr>
              <w:t>(Tab 8 of Exhibit No.___(RBD-3)</w:t>
            </w:r>
          </w:p>
        </w:tc>
      </w:tr>
      <w:tr w:rsidR="008A6446" w:rsidRPr="002F71E7" w:rsidTr="008A6446">
        <w:tc>
          <w:tcPr>
            <w:tcW w:w="2086" w:type="dxa"/>
          </w:tcPr>
          <w:p w:rsidR="008A6446" w:rsidRPr="002F71E7" w:rsidRDefault="007F78E4" w:rsidP="007F78E4">
            <w:pPr>
              <w:spacing w:before="60" w:after="60"/>
              <w:ind w:left="-72" w:right="-57"/>
              <w:rPr>
                <w:b/>
                <w:i/>
              </w:rPr>
            </w:pPr>
            <w:r>
              <w:rPr>
                <w:b/>
                <w:i/>
              </w:rPr>
              <w:t>8.1</w:t>
            </w:r>
            <w:r w:rsidR="008A6446" w:rsidRPr="002F71E7">
              <w:rPr>
                <w:b/>
                <w:i/>
              </w:rPr>
              <w:br/>
            </w:r>
            <w:r>
              <w:rPr>
                <w:b/>
                <w:i/>
              </w:rPr>
              <w:t>Customer Service Deposits</w:t>
            </w:r>
          </w:p>
        </w:tc>
        <w:tc>
          <w:tcPr>
            <w:tcW w:w="2086" w:type="dxa"/>
          </w:tcPr>
          <w:p w:rsidR="00531ECE" w:rsidRDefault="00531ECE" w:rsidP="00D11C7E">
            <w:pPr>
              <w:spacing w:before="60" w:after="60"/>
              <w:ind w:left="-74" w:right="-55"/>
            </w:pPr>
            <w:r w:rsidRPr="00531ECE">
              <w:t xml:space="preserve">This adjustment includes customer service deposits as a reduction to rate base.  It also reflects the interest paid on the customer service deposits.  </w:t>
            </w:r>
          </w:p>
          <w:p w:rsidR="00531ECE" w:rsidRDefault="008A6446" w:rsidP="00D11C7E">
            <w:pPr>
              <w:spacing w:before="60" w:after="60"/>
              <w:ind w:left="-74" w:right="-55"/>
            </w:pPr>
            <w:r w:rsidRPr="002F71E7">
              <w:t>Decreases NOI by $</w:t>
            </w:r>
            <w:r w:rsidR="00531ECE">
              <w:t>6,548</w:t>
            </w:r>
            <w:r w:rsidRPr="002F71E7">
              <w:t xml:space="preserve">. </w:t>
            </w:r>
          </w:p>
          <w:p w:rsidR="00531ECE" w:rsidRDefault="00531ECE" w:rsidP="00D11C7E">
            <w:pPr>
              <w:spacing w:before="60" w:after="60"/>
              <w:ind w:left="-74" w:right="-55"/>
            </w:pPr>
            <w:r>
              <w:t>Decreases rate base by $3,291,206.</w:t>
            </w:r>
          </w:p>
          <w:p w:rsidR="008A6446" w:rsidRPr="002F71E7" w:rsidRDefault="00531ECE" w:rsidP="00531ECE">
            <w:pPr>
              <w:spacing w:before="60" w:after="60"/>
              <w:ind w:left="-74" w:right="-55"/>
            </w:pPr>
            <w:r w:rsidRPr="002F71E7">
              <w:t>Exhibit No. __</w:t>
            </w:r>
            <w:proofErr w:type="gramStart"/>
            <w:r w:rsidRPr="002F71E7">
              <w:t>_(</w:t>
            </w:r>
            <w:proofErr w:type="gramEnd"/>
            <w:r>
              <w:t>RBD</w:t>
            </w:r>
            <w:r w:rsidRPr="002F71E7">
              <w:t>-</w:t>
            </w:r>
            <w:r>
              <w:t>3), page 8.0 Total, lines 30 and 57.</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blPrEx>
          <w:tblCellMar>
            <w:left w:w="108" w:type="dxa"/>
            <w:right w:w="108" w:type="dxa"/>
          </w:tblCellMar>
        </w:tblPrEx>
        <w:tc>
          <w:tcPr>
            <w:tcW w:w="2086" w:type="dxa"/>
          </w:tcPr>
          <w:p w:rsidR="008A6446" w:rsidRDefault="008A6446" w:rsidP="00531ECE">
            <w:pPr>
              <w:spacing w:before="60" w:after="60"/>
              <w:ind w:left="-72" w:right="-57"/>
              <w:rPr>
                <w:b/>
                <w:i/>
              </w:rPr>
            </w:pPr>
            <w:r w:rsidRPr="002F71E7">
              <w:rPr>
                <w:b/>
                <w:i/>
              </w:rPr>
              <w:t xml:space="preserve"> </w:t>
            </w:r>
            <w:r w:rsidR="00531ECE">
              <w:rPr>
                <w:b/>
                <w:i/>
              </w:rPr>
              <w:t>8.2</w:t>
            </w:r>
          </w:p>
          <w:p w:rsidR="00531ECE" w:rsidRPr="002F71E7" w:rsidRDefault="00531ECE" w:rsidP="00531ECE">
            <w:pPr>
              <w:spacing w:before="60" w:after="60"/>
              <w:ind w:left="-72" w:right="-57"/>
              <w:rPr>
                <w:b/>
                <w:i/>
              </w:rPr>
            </w:pPr>
            <w:r>
              <w:rPr>
                <w:b/>
                <w:i/>
              </w:rPr>
              <w:t>Jim Bridger Mine Rate Base Adjustment</w:t>
            </w:r>
          </w:p>
        </w:tc>
        <w:tc>
          <w:tcPr>
            <w:tcW w:w="2086" w:type="dxa"/>
          </w:tcPr>
          <w:p w:rsidR="00531ECE" w:rsidRDefault="00531ECE" w:rsidP="00531ECE">
            <w:pPr>
              <w:spacing w:before="60" w:after="60"/>
              <w:ind w:left="-74" w:right="-55"/>
            </w:pPr>
            <w:r w:rsidRPr="00531ECE">
              <w:t xml:space="preserve">PacifiCorp owns a two-thirds interest in the Bridger Coal Company (BCC), which supplies coal to the Jim Bridger generating plant. The Company's investment in BCC is recorded on the books of Pacific Minerals, INC (PMI), a wholly-owned subsidiary. </w:t>
            </w:r>
            <w:r w:rsidRPr="00531ECE">
              <w:lastRenderedPageBreak/>
              <w:t xml:space="preserve">Because of this ownership arrangement, the coal mine investment is not included in Account 101 -Electric Plant in Service. This restating adjustment is necessary to properly reflect the BCC plant investment based on actual AMA balances for the 12-month period ended December 2010. </w:t>
            </w:r>
          </w:p>
          <w:p w:rsidR="008A6446" w:rsidRDefault="00531ECE" w:rsidP="00531ECE">
            <w:pPr>
              <w:spacing w:before="60" w:after="60"/>
              <w:ind w:left="-74" w:right="-55"/>
            </w:pPr>
            <w:r>
              <w:t>Increases rate base by $32,582,683.</w:t>
            </w:r>
          </w:p>
          <w:p w:rsidR="00531ECE" w:rsidRPr="002F71E7" w:rsidRDefault="00531ECE" w:rsidP="00D5479B">
            <w:pPr>
              <w:spacing w:before="60" w:after="60"/>
              <w:ind w:left="-74" w:right="-55"/>
            </w:pPr>
            <w:r w:rsidRPr="002F71E7">
              <w:t>Exhibit No. __</w:t>
            </w:r>
            <w:proofErr w:type="gramStart"/>
            <w:r w:rsidRPr="002F71E7">
              <w:t>_(</w:t>
            </w:r>
            <w:proofErr w:type="gramEnd"/>
            <w:r>
              <w:t>RBD</w:t>
            </w:r>
            <w:r w:rsidRPr="002F71E7">
              <w:t>-</w:t>
            </w:r>
            <w:r>
              <w:t>3), page 8.0 Total, line</w:t>
            </w:r>
            <w:r w:rsidR="00D5479B">
              <w:t xml:space="preserve"> </w:t>
            </w:r>
            <w:r>
              <w:t>57.</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blPrEx>
          <w:tblCellMar>
            <w:left w:w="108" w:type="dxa"/>
            <w:right w:w="108" w:type="dxa"/>
          </w:tblCellMar>
        </w:tblPrEx>
        <w:tc>
          <w:tcPr>
            <w:tcW w:w="2086" w:type="dxa"/>
          </w:tcPr>
          <w:p w:rsidR="008A6446" w:rsidRDefault="00531ECE" w:rsidP="00D11C7E">
            <w:pPr>
              <w:spacing w:before="60" w:after="60"/>
              <w:ind w:left="-72" w:right="-57"/>
              <w:rPr>
                <w:b/>
                <w:i/>
              </w:rPr>
            </w:pPr>
            <w:r>
              <w:rPr>
                <w:b/>
                <w:i/>
              </w:rPr>
              <w:lastRenderedPageBreak/>
              <w:t>8.3</w:t>
            </w:r>
          </w:p>
          <w:p w:rsidR="00531ECE" w:rsidRPr="002F71E7" w:rsidRDefault="00531ECE" w:rsidP="00D11C7E">
            <w:pPr>
              <w:spacing w:before="60" w:after="60"/>
              <w:ind w:left="-72" w:right="-57"/>
              <w:rPr>
                <w:b/>
                <w:i/>
              </w:rPr>
            </w:pPr>
            <w:r>
              <w:rPr>
                <w:b/>
                <w:i/>
              </w:rPr>
              <w:t>Environmental Remediation Adjustment</w:t>
            </w:r>
          </w:p>
        </w:tc>
        <w:tc>
          <w:tcPr>
            <w:tcW w:w="2086" w:type="dxa"/>
          </w:tcPr>
          <w:p w:rsidR="00531ECE" w:rsidRDefault="00531ECE" w:rsidP="00D11C7E">
            <w:pPr>
              <w:spacing w:before="60" w:after="60"/>
              <w:ind w:left="-74" w:right="-55"/>
            </w:pPr>
            <w:r w:rsidRPr="00531ECE">
              <w:t xml:space="preserve">On April 27, 2005, the Commission granted a request by the Company for an accounting order relating to the Company's treatment of environmental remediation costs in Docket UE-031658.  The Commission authorized the </w:t>
            </w:r>
            <w:r w:rsidR="00E752BF">
              <w:t>C</w:t>
            </w:r>
            <w:r w:rsidRPr="00531ECE">
              <w:t xml:space="preserve">ompany to record and </w:t>
            </w:r>
            <w:proofErr w:type="gramStart"/>
            <w:r w:rsidRPr="00531ECE">
              <w:t>defer</w:t>
            </w:r>
            <w:proofErr w:type="gramEnd"/>
            <w:r w:rsidRPr="00531ECE">
              <w:t xml:space="preserve"> costs prudently incurred in connection with its environmental remediation program.  Additional costs of existing projects expected to exceed $3 million system-wide and incurred from October 13, 2003, the date the petition was submitted, through </w:t>
            </w:r>
            <w:r w:rsidR="000322F8">
              <w:t>f</w:t>
            </w:r>
            <w:r w:rsidR="000322F8" w:rsidRPr="00531ECE">
              <w:t xml:space="preserve">iscal </w:t>
            </w:r>
            <w:r w:rsidR="000322F8">
              <w:t>y</w:t>
            </w:r>
            <w:r w:rsidR="000322F8" w:rsidRPr="00531ECE">
              <w:t xml:space="preserve">ear </w:t>
            </w:r>
            <w:r w:rsidRPr="00531ECE">
              <w:t>2005 are to be deferred and amortized over a ten-year period.  Currently, only one project, the Third West Substation Cleanup, can be deferred.  This restating adjustment removes the balance and amortization from FERC accounts 182.391 and 925, except for the Third West Substation Cleanup, and then adds back the cost for small remediation projects that cannot be deferred, per the Commission's 2005 order.</w:t>
            </w:r>
          </w:p>
          <w:p w:rsidR="008A6446" w:rsidRDefault="00531ECE" w:rsidP="00D11C7E">
            <w:pPr>
              <w:spacing w:before="60" w:after="60"/>
              <w:ind w:left="-74" w:right="-55"/>
            </w:pPr>
            <w:r>
              <w:t>Decreases NOI by $220,086.</w:t>
            </w:r>
          </w:p>
          <w:p w:rsidR="00531ECE" w:rsidRDefault="00531ECE" w:rsidP="00D11C7E">
            <w:pPr>
              <w:spacing w:before="60" w:after="60"/>
              <w:ind w:left="-74" w:right="-55"/>
            </w:pPr>
            <w:r>
              <w:t>Decreases rate base by $97,121.</w:t>
            </w:r>
          </w:p>
          <w:p w:rsidR="00531ECE" w:rsidRPr="002F71E7" w:rsidRDefault="00531ECE" w:rsidP="00D11C7E">
            <w:pPr>
              <w:spacing w:before="60" w:after="60"/>
              <w:ind w:left="-74" w:right="-55"/>
            </w:pPr>
            <w:r w:rsidRPr="002F71E7">
              <w:t>Exhibit No. __</w:t>
            </w:r>
            <w:proofErr w:type="gramStart"/>
            <w:r w:rsidRPr="002F71E7">
              <w:t>_(</w:t>
            </w:r>
            <w:proofErr w:type="gramEnd"/>
            <w:r>
              <w:t>RBD</w:t>
            </w:r>
            <w:r w:rsidRPr="002F71E7">
              <w:t>-</w:t>
            </w:r>
            <w:r>
              <w:t>3), page 8.0 Total, lines 30 and 57.</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blPrEx>
          <w:tblCellMar>
            <w:left w:w="108" w:type="dxa"/>
            <w:right w:w="108" w:type="dxa"/>
          </w:tblCellMar>
        </w:tblPrEx>
        <w:tc>
          <w:tcPr>
            <w:tcW w:w="2086" w:type="dxa"/>
          </w:tcPr>
          <w:p w:rsidR="008A6446" w:rsidRDefault="00531ECE" w:rsidP="00D11C7E">
            <w:pPr>
              <w:spacing w:before="60" w:after="60"/>
              <w:ind w:left="-72" w:right="-57"/>
              <w:rPr>
                <w:b/>
                <w:i/>
              </w:rPr>
            </w:pPr>
            <w:r>
              <w:rPr>
                <w:b/>
                <w:i/>
              </w:rPr>
              <w:lastRenderedPageBreak/>
              <w:t xml:space="preserve">8.4 </w:t>
            </w:r>
          </w:p>
          <w:p w:rsidR="00531ECE" w:rsidRPr="002F71E7" w:rsidRDefault="00531ECE" w:rsidP="00D11C7E">
            <w:pPr>
              <w:spacing w:before="60" w:after="60"/>
              <w:ind w:left="-72" w:right="-57"/>
              <w:rPr>
                <w:b/>
                <w:i/>
              </w:rPr>
            </w:pPr>
            <w:r>
              <w:rPr>
                <w:b/>
                <w:i/>
              </w:rPr>
              <w:t>Customer Advances for Construction</w:t>
            </w:r>
          </w:p>
        </w:tc>
        <w:tc>
          <w:tcPr>
            <w:tcW w:w="2086" w:type="dxa"/>
          </w:tcPr>
          <w:p w:rsidR="00531ECE" w:rsidRDefault="00531ECE" w:rsidP="00531ECE">
            <w:pPr>
              <w:spacing w:before="60" w:after="60"/>
              <w:ind w:left="-74" w:right="-55"/>
            </w:pPr>
            <w:r w:rsidRPr="00531ECE">
              <w:t>Customer advances for construction are booked into FERC account 252.  When they are booked, the entries do not reflect the proper allocation.  This restating adjustment corrects the allocation of customer advances for construction in the account.</w:t>
            </w:r>
          </w:p>
          <w:p w:rsidR="00531ECE" w:rsidRDefault="008A6446" w:rsidP="00531ECE">
            <w:pPr>
              <w:spacing w:before="60" w:after="60"/>
              <w:ind w:left="-74" w:right="-55"/>
            </w:pPr>
            <w:r w:rsidRPr="002F71E7">
              <w:t xml:space="preserve">Decreases </w:t>
            </w:r>
            <w:r w:rsidR="00531ECE">
              <w:t>r</w:t>
            </w:r>
            <w:r w:rsidRPr="002F71E7">
              <w:t>ate base by $</w:t>
            </w:r>
            <w:r w:rsidR="00531ECE">
              <w:t>293,988</w:t>
            </w:r>
            <w:r w:rsidRPr="002F71E7">
              <w:t>.</w:t>
            </w:r>
          </w:p>
          <w:p w:rsidR="008A6446" w:rsidRPr="002F71E7" w:rsidRDefault="00531ECE" w:rsidP="00D5479B">
            <w:pPr>
              <w:spacing w:before="60" w:after="60"/>
              <w:ind w:left="-74" w:right="-55"/>
            </w:pPr>
            <w:r w:rsidRPr="002F71E7">
              <w:t>Exhibit No. __</w:t>
            </w:r>
            <w:proofErr w:type="gramStart"/>
            <w:r w:rsidRPr="002F71E7">
              <w:t>_(</w:t>
            </w:r>
            <w:proofErr w:type="gramEnd"/>
            <w:r>
              <w:t>RBD</w:t>
            </w:r>
            <w:r w:rsidRPr="002F71E7">
              <w:t>-</w:t>
            </w:r>
            <w:r>
              <w:t>3), page 8.0 Total, line</w:t>
            </w:r>
            <w:r w:rsidR="00D5479B">
              <w:t xml:space="preserve"> </w:t>
            </w:r>
            <w:r>
              <w:t>57.</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blPrEx>
          <w:tblCellMar>
            <w:left w:w="108" w:type="dxa"/>
            <w:right w:w="108" w:type="dxa"/>
          </w:tblCellMar>
        </w:tblPrEx>
        <w:tc>
          <w:tcPr>
            <w:tcW w:w="2086" w:type="dxa"/>
          </w:tcPr>
          <w:p w:rsidR="008A6446" w:rsidRDefault="00531ECE" w:rsidP="00531ECE">
            <w:pPr>
              <w:spacing w:before="60" w:after="60"/>
              <w:ind w:left="-72" w:right="-57"/>
              <w:rPr>
                <w:b/>
                <w:i/>
              </w:rPr>
            </w:pPr>
            <w:r>
              <w:rPr>
                <w:b/>
                <w:i/>
              </w:rPr>
              <w:t xml:space="preserve"> 8.5</w:t>
            </w:r>
          </w:p>
          <w:p w:rsidR="00531ECE" w:rsidRPr="002F71E7" w:rsidRDefault="00531ECE" w:rsidP="00531ECE">
            <w:pPr>
              <w:spacing w:before="60" w:after="60"/>
              <w:ind w:left="-72" w:right="-57"/>
              <w:rPr>
                <w:b/>
                <w:i/>
              </w:rPr>
            </w:pPr>
            <w:r>
              <w:rPr>
                <w:b/>
                <w:i/>
              </w:rPr>
              <w:t>Removal of Colstrip #4 AFUDC</w:t>
            </w:r>
          </w:p>
        </w:tc>
        <w:tc>
          <w:tcPr>
            <w:tcW w:w="2086" w:type="dxa"/>
          </w:tcPr>
          <w:p w:rsidR="00D5479B" w:rsidRDefault="00531ECE" w:rsidP="00D5479B">
            <w:pPr>
              <w:spacing w:before="60" w:after="60"/>
              <w:ind w:left="-74" w:right="-55"/>
            </w:pPr>
            <w:r w:rsidRPr="00531ECE">
              <w:t>This adjustment removes AFUDC from electric plant in service for the period that Colstrip construction work in progress (CWIP) was allowed in rate base. This treatment was authorized in Cause U-81-17 and has been included in all the Company’s rate case filings since its inception in July 1984.</w:t>
            </w:r>
          </w:p>
          <w:p w:rsidR="00D5479B" w:rsidRDefault="00D5479B" w:rsidP="00D5479B">
            <w:pPr>
              <w:spacing w:before="60" w:after="60"/>
              <w:ind w:left="-74" w:right="-55"/>
            </w:pPr>
            <w:r>
              <w:t>Increases NOI by $17,991.</w:t>
            </w:r>
          </w:p>
          <w:p w:rsidR="00D5479B" w:rsidRDefault="008A6446" w:rsidP="00D5479B">
            <w:pPr>
              <w:spacing w:before="60" w:after="60"/>
              <w:ind w:left="-74" w:right="-55"/>
            </w:pPr>
            <w:r w:rsidRPr="002F71E7">
              <w:t>Decreases rate base by $</w:t>
            </w:r>
            <w:r w:rsidR="00D5479B">
              <w:t>423,016</w:t>
            </w:r>
            <w:r w:rsidRPr="002F71E7">
              <w:t xml:space="preserve">. </w:t>
            </w:r>
          </w:p>
          <w:p w:rsidR="008A6446" w:rsidRPr="002F71E7" w:rsidRDefault="00D5479B" w:rsidP="00D5479B">
            <w:pPr>
              <w:spacing w:before="60" w:after="60"/>
              <w:ind w:left="-74" w:right="-55"/>
            </w:pPr>
            <w:r w:rsidRPr="002F71E7">
              <w:t>Exhibit No. __</w:t>
            </w:r>
            <w:proofErr w:type="gramStart"/>
            <w:r w:rsidRPr="002F71E7">
              <w:t>_(</w:t>
            </w:r>
            <w:proofErr w:type="gramEnd"/>
            <w:r>
              <w:t>RBD</w:t>
            </w:r>
            <w:r w:rsidRPr="002F71E7">
              <w:t>-</w:t>
            </w:r>
            <w:r>
              <w:t>3), page 8.0 Total, lines 30 and 57.</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blPrEx>
          <w:tblCellMar>
            <w:left w:w="108" w:type="dxa"/>
            <w:right w:w="108" w:type="dxa"/>
          </w:tblCellMar>
        </w:tblPrEx>
        <w:tc>
          <w:tcPr>
            <w:tcW w:w="2086" w:type="dxa"/>
          </w:tcPr>
          <w:p w:rsidR="008A6446" w:rsidRDefault="00D5479B" w:rsidP="00D11C7E">
            <w:pPr>
              <w:spacing w:before="60" w:after="60"/>
              <w:ind w:left="-72" w:right="-57"/>
              <w:rPr>
                <w:b/>
                <w:i/>
              </w:rPr>
            </w:pPr>
            <w:r>
              <w:rPr>
                <w:b/>
                <w:i/>
              </w:rPr>
              <w:t>8.6</w:t>
            </w:r>
            <w:r w:rsidR="00DB3FD6">
              <w:rPr>
                <w:b/>
                <w:i/>
              </w:rPr>
              <w:t xml:space="preserve"> </w:t>
            </w:r>
            <w:r>
              <w:rPr>
                <w:b/>
                <w:i/>
              </w:rPr>
              <w:t>-</w:t>
            </w:r>
            <w:r w:rsidR="00DB3FD6">
              <w:rPr>
                <w:b/>
                <w:i/>
              </w:rPr>
              <w:t xml:space="preserve"> </w:t>
            </w:r>
            <w:r>
              <w:rPr>
                <w:b/>
                <w:i/>
              </w:rPr>
              <w:t>8.6.2</w:t>
            </w:r>
          </w:p>
          <w:p w:rsidR="00D5479B" w:rsidRPr="002F71E7" w:rsidRDefault="00D5479B" w:rsidP="00D11C7E">
            <w:pPr>
              <w:spacing w:before="60" w:after="60"/>
              <w:ind w:left="-72" w:right="-57"/>
              <w:rPr>
                <w:b/>
                <w:i/>
              </w:rPr>
            </w:pPr>
            <w:r>
              <w:rPr>
                <w:b/>
                <w:i/>
              </w:rPr>
              <w:t>Miscellaneous Rate Base</w:t>
            </w:r>
          </w:p>
        </w:tc>
        <w:tc>
          <w:tcPr>
            <w:tcW w:w="2086" w:type="dxa"/>
          </w:tcPr>
          <w:p w:rsidR="00D5479B" w:rsidRDefault="00D5479B" w:rsidP="00D5479B">
            <w:pPr>
              <w:spacing w:before="60" w:after="60"/>
              <w:ind w:left="-74" w:right="-55"/>
            </w:pPr>
            <w:r w:rsidRPr="00D5479B">
              <w:t xml:space="preserve">This restating adjustment removes prepayments and other miscellaneous rate base balances from results as directed by the Commission in </w:t>
            </w:r>
            <w:r>
              <w:t xml:space="preserve">Order 06 of Docket </w:t>
            </w:r>
            <w:r w:rsidRPr="00D5479B">
              <w:t xml:space="preserve">UE-100749.  </w:t>
            </w:r>
          </w:p>
          <w:p w:rsidR="00DB3FD6" w:rsidRDefault="00DB3FD6" w:rsidP="00D5479B">
            <w:pPr>
              <w:spacing w:before="60" w:after="60"/>
              <w:ind w:left="-74" w:right="-55"/>
            </w:pPr>
            <w:r>
              <w:t>Decreases NOI by $71,785.</w:t>
            </w:r>
          </w:p>
          <w:p w:rsidR="00DB3FD6" w:rsidRDefault="00DB3FD6" w:rsidP="00D5479B">
            <w:pPr>
              <w:spacing w:before="60" w:after="60"/>
              <w:ind w:left="-74" w:right="-55"/>
            </w:pPr>
            <w:r>
              <w:t>Decreases rate base by $</w:t>
            </w:r>
            <w:r w:rsidR="000322F8">
              <w:t>20,525,786</w:t>
            </w:r>
            <w:r>
              <w:t>.</w:t>
            </w:r>
          </w:p>
          <w:p w:rsidR="008A6446" w:rsidRPr="002F71E7" w:rsidRDefault="00DB3FD6" w:rsidP="00D5479B">
            <w:pPr>
              <w:spacing w:before="60" w:after="60"/>
              <w:ind w:left="-74" w:right="-55"/>
            </w:pPr>
            <w:r w:rsidRPr="002F71E7">
              <w:t>Exhibit No. __</w:t>
            </w:r>
            <w:proofErr w:type="gramStart"/>
            <w:r w:rsidRPr="002F71E7">
              <w:t>_(</w:t>
            </w:r>
            <w:proofErr w:type="gramEnd"/>
            <w:r>
              <w:t>RBD</w:t>
            </w:r>
            <w:r w:rsidRPr="002F71E7">
              <w:t>-</w:t>
            </w:r>
            <w:r>
              <w:t>3), pages 8.0 Total and 8.0.1 Total, lines 30 and 57.</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blPrEx>
          <w:tblCellMar>
            <w:left w:w="108" w:type="dxa"/>
            <w:right w:w="108" w:type="dxa"/>
          </w:tblCellMar>
        </w:tblPrEx>
        <w:tc>
          <w:tcPr>
            <w:tcW w:w="2086" w:type="dxa"/>
          </w:tcPr>
          <w:p w:rsidR="008A6446" w:rsidRDefault="00947962" w:rsidP="00947962">
            <w:pPr>
              <w:spacing w:before="60" w:after="60"/>
              <w:ind w:left="-72" w:right="-57"/>
              <w:rPr>
                <w:b/>
                <w:i/>
              </w:rPr>
            </w:pPr>
            <w:r>
              <w:rPr>
                <w:b/>
                <w:i/>
              </w:rPr>
              <w:t>8.7</w:t>
            </w:r>
          </w:p>
          <w:p w:rsidR="00947962" w:rsidRPr="002F71E7" w:rsidRDefault="00947962" w:rsidP="00947962">
            <w:pPr>
              <w:spacing w:before="60" w:after="60"/>
              <w:ind w:left="-72" w:right="-57"/>
              <w:rPr>
                <w:b/>
                <w:i/>
              </w:rPr>
            </w:pPr>
            <w:r>
              <w:rPr>
                <w:b/>
                <w:i/>
              </w:rPr>
              <w:t>Powerdale Hydro Removal</w:t>
            </w:r>
          </w:p>
        </w:tc>
        <w:tc>
          <w:tcPr>
            <w:tcW w:w="2086" w:type="dxa"/>
          </w:tcPr>
          <w:p w:rsidR="00947962" w:rsidRDefault="00947962" w:rsidP="00D11C7E">
            <w:pPr>
              <w:spacing w:before="60" w:after="60"/>
              <w:ind w:left="-74" w:right="-55"/>
            </w:pPr>
            <w:r w:rsidRPr="00947962">
              <w:t xml:space="preserve">As authorized in 2007 in Docket UE-070624, the unrecovered plant balance associated with the Powerdale hydro plant was transferred to a regulatory asset and amortized over three years. </w:t>
            </w:r>
            <w:r w:rsidRPr="00947962">
              <w:lastRenderedPageBreak/>
              <w:t xml:space="preserve">The Powerdale unrecovered plant regulatory asset was fully amortized in December 2010.  This </w:t>
            </w:r>
            <w:r w:rsidR="008D6014">
              <w:t>pro forma</w:t>
            </w:r>
            <w:r w:rsidRPr="00947962">
              <w:t xml:space="preserve"> adjustment removes the unrecovered plant amortization expense and regulatory asset balance from results.  In addition, the decommissioning of the Powerdale plant was substantially completed during 2010.  The Company began amortizing the decommissioning regulatory asset in April 2011 as authorized in Docket UE-100749. This adjustment removes the 2010 amortization expense and asset balance associated with the decommissioning of Powerdale and replaces it with the 2011 amortization expense and asset balances.  </w:t>
            </w:r>
          </w:p>
          <w:p w:rsidR="00947962" w:rsidRDefault="00947962" w:rsidP="00D11C7E">
            <w:pPr>
              <w:spacing w:before="60" w:after="60"/>
              <w:ind w:left="-74" w:right="-55"/>
            </w:pPr>
            <w:r>
              <w:t>Increases NOI by $299,506.</w:t>
            </w:r>
          </w:p>
          <w:p w:rsidR="00947962" w:rsidRDefault="00947962" w:rsidP="00D11C7E">
            <w:pPr>
              <w:spacing w:before="60" w:after="60"/>
              <w:ind w:left="-74" w:right="-55"/>
            </w:pPr>
            <w:r>
              <w:t>Decreases rate base by $315,734.</w:t>
            </w:r>
          </w:p>
          <w:p w:rsidR="008A6446" w:rsidRPr="002F71E7" w:rsidRDefault="00947962" w:rsidP="00CE6068">
            <w:pPr>
              <w:spacing w:before="60" w:after="60"/>
              <w:ind w:left="-74" w:right="-55"/>
            </w:pPr>
            <w:r w:rsidRPr="002F71E7">
              <w:t>Exhibit No. __</w:t>
            </w:r>
            <w:proofErr w:type="gramStart"/>
            <w:r w:rsidRPr="002F71E7">
              <w:t>_(</w:t>
            </w:r>
            <w:proofErr w:type="gramEnd"/>
            <w:r>
              <w:t>RBD</w:t>
            </w:r>
            <w:r w:rsidRPr="002F71E7">
              <w:t>-</w:t>
            </w:r>
            <w:r>
              <w:t>3), page 8.0.1 Total, lines 30 and 57.</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blPrEx>
          <w:tblCellMar>
            <w:left w:w="108" w:type="dxa"/>
            <w:right w:w="108" w:type="dxa"/>
          </w:tblCellMar>
        </w:tblPrEx>
        <w:tc>
          <w:tcPr>
            <w:tcW w:w="2086" w:type="dxa"/>
          </w:tcPr>
          <w:p w:rsidR="008A6446" w:rsidRDefault="00CE6068" w:rsidP="00D11C7E">
            <w:pPr>
              <w:spacing w:before="60" w:after="60"/>
              <w:ind w:left="-72" w:right="-57"/>
              <w:rPr>
                <w:b/>
                <w:i/>
              </w:rPr>
            </w:pPr>
            <w:r>
              <w:rPr>
                <w:b/>
                <w:i/>
              </w:rPr>
              <w:lastRenderedPageBreak/>
              <w:t>8.8</w:t>
            </w:r>
          </w:p>
          <w:p w:rsidR="00CE6068" w:rsidRDefault="00CE6068" w:rsidP="00D11C7E">
            <w:pPr>
              <w:spacing w:before="60" w:after="60"/>
              <w:ind w:left="-72" w:right="-57"/>
              <w:rPr>
                <w:b/>
                <w:i/>
              </w:rPr>
            </w:pPr>
            <w:r>
              <w:rPr>
                <w:b/>
                <w:i/>
              </w:rPr>
              <w:t>Regulatory Asset Amortization Adjustment</w:t>
            </w:r>
          </w:p>
          <w:p w:rsidR="00CE6068" w:rsidRPr="002F71E7" w:rsidRDefault="00CE6068" w:rsidP="00CE6068">
            <w:pPr>
              <w:spacing w:before="60" w:after="60"/>
              <w:ind w:right="-57"/>
              <w:rPr>
                <w:b/>
                <w:i/>
              </w:rPr>
            </w:pPr>
          </w:p>
        </w:tc>
        <w:tc>
          <w:tcPr>
            <w:tcW w:w="2086" w:type="dxa"/>
          </w:tcPr>
          <w:p w:rsidR="00CE6068" w:rsidRDefault="00CE6068" w:rsidP="00CE6068">
            <w:pPr>
              <w:spacing w:before="60" w:after="60"/>
              <w:ind w:left="-74" w:right="-55"/>
            </w:pPr>
            <w:r>
              <w:t xml:space="preserve">The Washington Chehalis Regulatory Asset was set up in December 2009 in accordance with </w:t>
            </w:r>
            <w:r w:rsidR="00F217BE">
              <w:t xml:space="preserve">Docket </w:t>
            </w:r>
            <w:r>
              <w:t xml:space="preserve">UE-090205.  The general business revenues charged as the regulatory asset was amortized in 2010 </w:t>
            </w:r>
            <w:r w:rsidR="0030297D">
              <w:t xml:space="preserve">have been </w:t>
            </w:r>
            <w:r>
              <w:t xml:space="preserve">removed from unadjusted results in </w:t>
            </w:r>
            <w:r w:rsidR="0030297D">
              <w:t>adjustment 3.2</w:t>
            </w:r>
            <w:proofErr w:type="gramStart"/>
            <w:r w:rsidR="00E752BF">
              <w:t>,</w:t>
            </w:r>
            <w:r w:rsidR="0030297D">
              <w:t xml:space="preserve"> </w:t>
            </w:r>
            <w:r>
              <w:t xml:space="preserve"> </w:t>
            </w:r>
            <w:r w:rsidR="0030297D">
              <w:t>R</w:t>
            </w:r>
            <w:r>
              <w:t>evenue</w:t>
            </w:r>
            <w:proofErr w:type="gramEnd"/>
            <w:r>
              <w:t xml:space="preserve"> </w:t>
            </w:r>
            <w:r w:rsidR="0030297D">
              <w:t>N</w:t>
            </w:r>
            <w:r>
              <w:t>ormalization</w:t>
            </w:r>
            <w:r w:rsidR="0030297D">
              <w:t>.</w:t>
            </w:r>
            <w:r>
              <w:t xml:space="preserve">.  This </w:t>
            </w:r>
            <w:r w:rsidR="008D6014">
              <w:t>pro forma</w:t>
            </w:r>
            <w:r>
              <w:t xml:space="preserve"> adjustment reflects the amortization of the regulatory asset in the pro forma period, 12</w:t>
            </w:r>
            <w:r w:rsidR="00A017DF">
              <w:t>-</w:t>
            </w:r>
            <w:r>
              <w:t>months ending December 2011. This adjustment also replaces the Chehalis regulatory asset balance in unadjusted results with t</w:t>
            </w:r>
            <w:r w:rsidR="00F217BE">
              <w:t xml:space="preserve">he </w:t>
            </w:r>
            <w:r w:rsidR="008D6014">
              <w:t>pro forma</w:t>
            </w:r>
            <w:r w:rsidR="00F217BE">
              <w:t xml:space="preserve"> balance for the 12-months ending </w:t>
            </w:r>
            <w:r>
              <w:t xml:space="preserve">December 2011.  </w:t>
            </w:r>
          </w:p>
          <w:p w:rsidR="00F217BE" w:rsidRDefault="00CE6068" w:rsidP="00CE6068">
            <w:pPr>
              <w:spacing w:before="60" w:after="60"/>
              <w:ind w:left="-74" w:right="-55"/>
            </w:pPr>
            <w:r>
              <w:t xml:space="preserve">In Docket UE-060703, Order 01, the Company was </w:t>
            </w:r>
            <w:r>
              <w:lastRenderedPageBreak/>
              <w:t>authorized to estab</w:t>
            </w:r>
            <w:r w:rsidR="00F217BE">
              <w:t>lish a regulatory asset for the</w:t>
            </w:r>
            <w:r>
              <w:t xml:space="preserve"> Washington portion of the expenses incurred in c</w:t>
            </w:r>
            <w:r w:rsidR="00F217BE">
              <w:t xml:space="preserve">onnection with Grid West. This </w:t>
            </w:r>
            <w:r w:rsidR="008D6014">
              <w:t>pro forma</w:t>
            </w:r>
            <w:r>
              <w:t xml:space="preserve"> adjustment replaces the amortization and balance of the Grid West regulatory asset in unadjusted results with the </w:t>
            </w:r>
            <w:r w:rsidR="008D6014">
              <w:t>pro forma</w:t>
            </w:r>
            <w:r>
              <w:t xml:space="preserve"> bala</w:t>
            </w:r>
            <w:r w:rsidR="00F217BE">
              <w:t>nce and amortization for the 12-</w:t>
            </w:r>
            <w:r>
              <w:t>months ending December 2011.</w:t>
            </w:r>
          </w:p>
          <w:p w:rsidR="008A6446" w:rsidRDefault="00CE6068" w:rsidP="00CE6068">
            <w:pPr>
              <w:spacing w:before="60" w:after="60"/>
              <w:ind w:left="-74" w:right="-55"/>
            </w:pPr>
            <w:r>
              <w:t>Decreases NOI by $1,935,443</w:t>
            </w:r>
          </w:p>
          <w:p w:rsidR="00CE6068" w:rsidRDefault="00CE6068" w:rsidP="00D11C7E">
            <w:pPr>
              <w:spacing w:before="60" w:after="60"/>
              <w:ind w:left="-74" w:right="-55"/>
            </w:pPr>
            <w:r>
              <w:t>Decreases rate base by $1,356,953.</w:t>
            </w:r>
          </w:p>
          <w:p w:rsidR="00CE6068" w:rsidRPr="002F71E7" w:rsidRDefault="00CE6068" w:rsidP="00CE6068">
            <w:pPr>
              <w:spacing w:before="60" w:after="60"/>
              <w:ind w:left="-74" w:right="-55"/>
            </w:pPr>
            <w:r w:rsidRPr="002F71E7">
              <w:t>Exhibit No. __</w:t>
            </w:r>
            <w:proofErr w:type="gramStart"/>
            <w:r w:rsidRPr="002F71E7">
              <w:t>_(</w:t>
            </w:r>
            <w:proofErr w:type="gramEnd"/>
            <w:r>
              <w:t>RBD</w:t>
            </w:r>
            <w:r w:rsidRPr="002F71E7">
              <w:t>-</w:t>
            </w:r>
            <w:r>
              <w:t>3), page 8.0.1 Total, lines 30 and 57.</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blPrEx>
          <w:tblCellMar>
            <w:left w:w="108" w:type="dxa"/>
            <w:right w:w="108" w:type="dxa"/>
          </w:tblCellMar>
        </w:tblPrEx>
        <w:tc>
          <w:tcPr>
            <w:tcW w:w="2086" w:type="dxa"/>
          </w:tcPr>
          <w:p w:rsidR="008A6446" w:rsidRDefault="00F217BE" w:rsidP="00D11C7E">
            <w:pPr>
              <w:spacing w:before="60" w:after="60"/>
              <w:ind w:left="-72" w:right="-57"/>
              <w:rPr>
                <w:b/>
                <w:i/>
              </w:rPr>
            </w:pPr>
            <w:r>
              <w:rPr>
                <w:b/>
                <w:i/>
              </w:rPr>
              <w:lastRenderedPageBreak/>
              <w:t>8.9</w:t>
            </w:r>
          </w:p>
          <w:p w:rsidR="00F217BE" w:rsidRPr="002F71E7" w:rsidRDefault="00F217BE" w:rsidP="00D11C7E">
            <w:pPr>
              <w:spacing w:before="60" w:after="60"/>
              <w:ind w:left="-72" w:right="-57"/>
              <w:rPr>
                <w:b/>
                <w:i/>
              </w:rPr>
            </w:pPr>
            <w:r>
              <w:rPr>
                <w:b/>
                <w:i/>
              </w:rPr>
              <w:t>Trojan Removal Adjustment</w:t>
            </w:r>
          </w:p>
        </w:tc>
        <w:tc>
          <w:tcPr>
            <w:tcW w:w="2086" w:type="dxa"/>
          </w:tcPr>
          <w:p w:rsidR="00F217BE" w:rsidRDefault="00F217BE" w:rsidP="00D11C7E">
            <w:pPr>
              <w:spacing w:before="60" w:after="60"/>
              <w:ind w:left="-74" w:right="-55"/>
            </w:pPr>
            <w:r w:rsidRPr="00F217BE">
              <w:t>This restating adjustment removes the Trojan amortization expense, balances, and tax impacts from the test period as ordered by the Commission in the Third Supplemental Order, Docket UE-991832.</w:t>
            </w:r>
          </w:p>
          <w:p w:rsidR="00F217BE" w:rsidRDefault="00F217BE" w:rsidP="00D11C7E">
            <w:pPr>
              <w:spacing w:before="60" w:after="60"/>
              <w:ind w:left="-74" w:right="-55"/>
            </w:pPr>
            <w:r>
              <w:t>Increases NOI by $166,474</w:t>
            </w:r>
            <w:r w:rsidR="008A6446" w:rsidRPr="002F71E7">
              <w:t>.</w:t>
            </w:r>
          </w:p>
          <w:p w:rsidR="00F217BE" w:rsidRDefault="00F217BE" w:rsidP="00D11C7E">
            <w:pPr>
              <w:spacing w:before="60" w:after="60"/>
              <w:ind w:left="-74" w:right="-55"/>
            </w:pPr>
            <w:r>
              <w:t>Increases rate base by $1,078,475.</w:t>
            </w:r>
          </w:p>
          <w:p w:rsidR="008A6446" w:rsidRPr="002F71E7" w:rsidRDefault="00F217BE" w:rsidP="00D11C7E">
            <w:pPr>
              <w:spacing w:before="60" w:after="60"/>
              <w:ind w:left="-74" w:right="-55"/>
            </w:pPr>
            <w:r w:rsidRPr="002F71E7">
              <w:t>Exhibit No. __</w:t>
            </w:r>
            <w:proofErr w:type="gramStart"/>
            <w:r w:rsidRPr="002F71E7">
              <w:t>_(</w:t>
            </w:r>
            <w:proofErr w:type="gramEnd"/>
            <w:r>
              <w:t>RBD</w:t>
            </w:r>
            <w:r w:rsidRPr="002F71E7">
              <w:t>-</w:t>
            </w:r>
            <w:r>
              <w:t>3), page 8.0.1 Total, lines 30 and 57.</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blPrEx>
          <w:tblCellMar>
            <w:left w:w="108" w:type="dxa"/>
            <w:right w:w="108" w:type="dxa"/>
          </w:tblCellMar>
        </w:tblPrEx>
        <w:tc>
          <w:tcPr>
            <w:tcW w:w="2086" w:type="dxa"/>
          </w:tcPr>
          <w:p w:rsidR="008A6446" w:rsidRDefault="00F217BE" w:rsidP="00D11C7E">
            <w:pPr>
              <w:spacing w:before="60" w:after="60"/>
              <w:ind w:left="-72" w:right="-57"/>
              <w:rPr>
                <w:b/>
                <w:i/>
              </w:rPr>
            </w:pPr>
            <w:r>
              <w:rPr>
                <w:b/>
                <w:i/>
              </w:rPr>
              <w:t>8.10</w:t>
            </w:r>
          </w:p>
          <w:p w:rsidR="00F217BE" w:rsidRPr="002F71E7" w:rsidRDefault="00F217BE" w:rsidP="00D11C7E">
            <w:pPr>
              <w:spacing w:before="60" w:after="60"/>
              <w:ind w:left="-72" w:right="-57"/>
              <w:rPr>
                <w:b/>
                <w:i/>
              </w:rPr>
            </w:pPr>
            <w:r>
              <w:rPr>
                <w:b/>
                <w:i/>
              </w:rPr>
              <w:t>Condit Hydro Removal Adjustment</w:t>
            </w:r>
          </w:p>
        </w:tc>
        <w:tc>
          <w:tcPr>
            <w:tcW w:w="2086" w:type="dxa"/>
          </w:tcPr>
          <w:p w:rsidR="00F217BE" w:rsidRDefault="00F217BE" w:rsidP="00F217BE">
            <w:pPr>
              <w:spacing w:before="60" w:after="60"/>
              <w:ind w:left="-74" w:right="-55"/>
            </w:pPr>
            <w:r>
              <w:t>The Condit Hydroelectric Project is located on the White Salmon River in south-central Washington.  The project has a generating capacity of 14.7 megawatts.  The Company is moving forward with the decommissioning of the facility after receipt of an essential sediment management permit from the U.S. Army Corps of Engineers, the final major regulatory step.</w:t>
            </w:r>
          </w:p>
          <w:p w:rsidR="00F217BE" w:rsidRDefault="00F217BE" w:rsidP="00F217BE">
            <w:pPr>
              <w:spacing w:before="60" w:after="60"/>
              <w:ind w:left="-74" w:right="-55"/>
            </w:pPr>
            <w:r>
              <w:t>This pro forma adjustment removes the electric plant in service balances, accumulated depreciation balances and O&amp;M expenses from the per</w:t>
            </w:r>
            <w:r w:rsidR="002B75BF">
              <w:t xml:space="preserve"> </w:t>
            </w:r>
            <w:r>
              <w:t xml:space="preserve">books data for the 12-months </w:t>
            </w:r>
            <w:r>
              <w:lastRenderedPageBreak/>
              <w:t>ended December 2010.  No depreciation expense was booked during 2010.</w:t>
            </w:r>
          </w:p>
          <w:p w:rsidR="00F217BE" w:rsidRDefault="00F217BE" w:rsidP="00F217BE">
            <w:pPr>
              <w:spacing w:before="60" w:after="60"/>
              <w:ind w:left="-74" w:right="-55"/>
            </w:pPr>
            <w:r>
              <w:t>Consistent with the treatment reflected in this adjustment, the pro forma net power costs shown in adjustment 5.1.1 do not include generation output from the Condit facility.</w:t>
            </w:r>
          </w:p>
          <w:p w:rsidR="008A6446" w:rsidRDefault="00F217BE" w:rsidP="00F217BE">
            <w:pPr>
              <w:spacing w:before="60" w:after="60"/>
              <w:ind w:left="-74" w:right="-55"/>
            </w:pPr>
            <w:r>
              <w:t>Increases NOI by $59,960.</w:t>
            </w:r>
          </w:p>
          <w:p w:rsidR="00F217BE" w:rsidRDefault="00F217BE" w:rsidP="00F217BE">
            <w:pPr>
              <w:spacing w:before="60" w:after="60"/>
              <w:ind w:left="-74" w:right="-55"/>
            </w:pPr>
            <w:r>
              <w:t>Decreases rate base by $36,215.</w:t>
            </w:r>
          </w:p>
          <w:p w:rsidR="00F217BE" w:rsidRPr="002F71E7" w:rsidRDefault="00F217BE" w:rsidP="00F217BE">
            <w:pPr>
              <w:spacing w:before="60" w:after="60"/>
              <w:ind w:left="-74" w:right="-55"/>
            </w:pPr>
            <w:r w:rsidRPr="002F71E7">
              <w:t>Exhibit No. __</w:t>
            </w:r>
            <w:proofErr w:type="gramStart"/>
            <w:r w:rsidRPr="002F71E7">
              <w:t>_(</w:t>
            </w:r>
            <w:proofErr w:type="gramEnd"/>
            <w:r>
              <w:t>RBD</w:t>
            </w:r>
            <w:r w:rsidRPr="002F71E7">
              <w:t>-</w:t>
            </w:r>
            <w:r>
              <w:t>3), page 8.0.1 Total, lines 30 and 57.</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B54959" w:rsidRPr="002F71E7" w:rsidTr="00FD2DED">
        <w:tc>
          <w:tcPr>
            <w:tcW w:w="14605" w:type="dxa"/>
            <w:gridSpan w:val="7"/>
            <w:shd w:val="clear" w:color="auto" w:fill="BFBFBF" w:themeFill="background1" w:themeFillShade="BF"/>
          </w:tcPr>
          <w:p w:rsidR="00B54959" w:rsidRPr="00B54959" w:rsidRDefault="00B54959" w:rsidP="00FD2DED">
            <w:pPr>
              <w:spacing w:before="60" w:after="60"/>
              <w:ind w:left="-74" w:right="-55"/>
              <w:rPr>
                <w:b/>
                <w:i/>
              </w:rPr>
            </w:pPr>
          </w:p>
        </w:tc>
      </w:tr>
      <w:tr w:rsidR="00DF1919" w:rsidRPr="002F71E7" w:rsidTr="0094767A">
        <w:tc>
          <w:tcPr>
            <w:tcW w:w="14605" w:type="dxa"/>
            <w:gridSpan w:val="7"/>
          </w:tcPr>
          <w:p w:rsidR="001B4363" w:rsidRDefault="001B4363" w:rsidP="001B4363">
            <w:pPr>
              <w:spacing w:before="60" w:after="60"/>
              <w:ind w:left="-72" w:right="-57"/>
              <w:rPr>
                <w:b/>
                <w:i/>
              </w:rPr>
            </w:pPr>
            <w:r>
              <w:rPr>
                <w:b/>
                <w:i/>
              </w:rPr>
              <w:t>Production Factor Revenue Requirement Adjustments</w:t>
            </w:r>
          </w:p>
          <w:p w:rsidR="00DF1919" w:rsidRPr="002F71E7" w:rsidRDefault="001B4363" w:rsidP="001B4363">
            <w:pPr>
              <w:spacing w:before="60" w:after="60"/>
              <w:ind w:left="-74" w:right="-55"/>
            </w:pPr>
            <w:r>
              <w:rPr>
                <w:b/>
                <w:i/>
              </w:rPr>
              <w:t>(Tab 9 of Exhibit No.___(RBD-3)</w:t>
            </w:r>
          </w:p>
        </w:tc>
      </w:tr>
      <w:tr w:rsidR="00AF47BF" w:rsidRPr="002F71E7" w:rsidTr="00AF47BF">
        <w:tc>
          <w:tcPr>
            <w:tcW w:w="2086" w:type="dxa"/>
            <w:tcBorders>
              <w:bottom w:val="single" w:sz="4" w:space="0" w:color="auto"/>
            </w:tcBorders>
          </w:tcPr>
          <w:p w:rsidR="00AF47BF" w:rsidRDefault="001B4363" w:rsidP="00D11C7E">
            <w:pPr>
              <w:spacing w:before="60" w:after="60"/>
              <w:ind w:left="-72" w:right="-57"/>
              <w:rPr>
                <w:b/>
                <w:i/>
              </w:rPr>
            </w:pPr>
            <w:r>
              <w:rPr>
                <w:b/>
                <w:i/>
              </w:rPr>
              <w:t>9.1 – 9.1.1</w:t>
            </w:r>
          </w:p>
          <w:p w:rsidR="00BB605B" w:rsidRPr="002F71E7" w:rsidRDefault="00BB605B" w:rsidP="00D11C7E">
            <w:pPr>
              <w:spacing w:before="60" w:after="60"/>
              <w:ind w:left="-72" w:right="-57"/>
              <w:rPr>
                <w:b/>
                <w:i/>
              </w:rPr>
            </w:pPr>
            <w:r>
              <w:rPr>
                <w:b/>
                <w:i/>
              </w:rPr>
              <w:t>Production Factor</w:t>
            </w:r>
          </w:p>
        </w:tc>
        <w:tc>
          <w:tcPr>
            <w:tcW w:w="2086" w:type="dxa"/>
            <w:tcBorders>
              <w:bottom w:val="single" w:sz="4" w:space="0" w:color="auto"/>
            </w:tcBorders>
          </w:tcPr>
          <w:p w:rsidR="00AF47BF" w:rsidRDefault="00BB605B" w:rsidP="00BB605B">
            <w:pPr>
              <w:spacing w:before="60" w:after="60"/>
              <w:ind w:left="-74" w:right="-55"/>
            </w:pPr>
            <w:r w:rsidRPr="00BB605B">
              <w:t>The production factor is a means of adjusting the production component of the revenue requirement to test ye</w:t>
            </w:r>
            <w:r>
              <w:t xml:space="preserve">ar expense and balance levels. </w:t>
            </w:r>
            <w:r w:rsidRPr="00BB605B">
              <w:t xml:space="preserve">The production factor has been calculated by dividing Washington’s normalized historical retail load by the Washington pro forma load </w:t>
            </w:r>
            <w:r>
              <w:t xml:space="preserve">for the rate effective period. </w:t>
            </w:r>
            <w:r w:rsidRPr="00BB605B">
              <w:t>This factor is then applied to the generation related components of the revenue requirement.</w:t>
            </w:r>
          </w:p>
          <w:p w:rsidR="00BB605B" w:rsidRDefault="00BB605B" w:rsidP="00BB605B">
            <w:pPr>
              <w:spacing w:before="60" w:after="60"/>
              <w:ind w:left="-74" w:right="-55"/>
            </w:pPr>
            <w:r>
              <w:t>Increases NOI by $1,857,015</w:t>
            </w:r>
          </w:p>
          <w:p w:rsidR="00BB605B" w:rsidRDefault="00BB605B" w:rsidP="00BB605B">
            <w:pPr>
              <w:spacing w:before="60" w:after="60"/>
              <w:ind w:left="-74" w:right="-55"/>
            </w:pPr>
            <w:r>
              <w:t>Decreases rate base by $8,024,551.</w:t>
            </w:r>
          </w:p>
          <w:p w:rsidR="00BB605B" w:rsidRPr="002F71E7" w:rsidRDefault="00BB605B" w:rsidP="00BB605B">
            <w:pPr>
              <w:spacing w:before="60" w:after="60"/>
              <w:ind w:left="-74" w:right="-55"/>
            </w:pPr>
            <w:r w:rsidRPr="002F71E7">
              <w:t>Exhibit No. __</w:t>
            </w:r>
            <w:proofErr w:type="gramStart"/>
            <w:r w:rsidRPr="002F71E7">
              <w:t>_(</w:t>
            </w:r>
            <w:proofErr w:type="gramEnd"/>
            <w:r>
              <w:t>RBD</w:t>
            </w:r>
            <w:r w:rsidRPr="002F71E7">
              <w:t>-</w:t>
            </w:r>
            <w:r>
              <w:t>3), page 9</w:t>
            </w:r>
            <w:r w:rsidR="00CB6FED">
              <w:t>.0</w:t>
            </w:r>
            <w:r>
              <w:t xml:space="preserve"> Total, lines 30 and 57.</w:t>
            </w:r>
          </w:p>
        </w:tc>
        <w:tc>
          <w:tcPr>
            <w:tcW w:w="2087" w:type="dxa"/>
            <w:tcBorders>
              <w:bottom w:val="single" w:sz="4" w:space="0" w:color="auto"/>
            </w:tcBorders>
          </w:tcPr>
          <w:p w:rsidR="00AF47BF" w:rsidRPr="002F71E7" w:rsidRDefault="00AF47BF" w:rsidP="00D11C7E">
            <w:pPr>
              <w:spacing w:before="60" w:after="60"/>
              <w:ind w:left="-74" w:right="-55"/>
            </w:pPr>
          </w:p>
        </w:tc>
        <w:tc>
          <w:tcPr>
            <w:tcW w:w="2086" w:type="dxa"/>
            <w:tcBorders>
              <w:bottom w:val="single" w:sz="4" w:space="0" w:color="auto"/>
            </w:tcBorders>
          </w:tcPr>
          <w:p w:rsidR="00AF47BF" w:rsidRPr="002F71E7" w:rsidRDefault="00AF47BF" w:rsidP="00D11C7E">
            <w:pPr>
              <w:spacing w:before="60" w:after="60"/>
              <w:ind w:left="-74" w:right="-55"/>
            </w:pPr>
          </w:p>
        </w:tc>
        <w:tc>
          <w:tcPr>
            <w:tcW w:w="2087" w:type="dxa"/>
            <w:tcBorders>
              <w:bottom w:val="single" w:sz="4" w:space="0" w:color="auto"/>
            </w:tcBorders>
          </w:tcPr>
          <w:p w:rsidR="00AF47BF" w:rsidRPr="002F71E7" w:rsidRDefault="00AF47BF" w:rsidP="00D11C7E">
            <w:pPr>
              <w:spacing w:before="60" w:after="60"/>
              <w:ind w:left="-74" w:right="-55"/>
            </w:pPr>
          </w:p>
        </w:tc>
        <w:tc>
          <w:tcPr>
            <w:tcW w:w="2086" w:type="dxa"/>
            <w:tcBorders>
              <w:bottom w:val="single" w:sz="4" w:space="0" w:color="auto"/>
            </w:tcBorders>
          </w:tcPr>
          <w:p w:rsidR="00AF47BF" w:rsidRPr="002F71E7" w:rsidRDefault="00AF47BF" w:rsidP="004E0D09">
            <w:pPr>
              <w:spacing w:before="60" w:after="60"/>
              <w:ind w:left="-74" w:right="-55"/>
            </w:pPr>
          </w:p>
        </w:tc>
        <w:tc>
          <w:tcPr>
            <w:tcW w:w="2087" w:type="dxa"/>
            <w:tcBorders>
              <w:bottom w:val="single" w:sz="4" w:space="0" w:color="auto"/>
            </w:tcBorders>
          </w:tcPr>
          <w:p w:rsidR="00AF47BF" w:rsidRPr="002F71E7" w:rsidRDefault="00AF47BF" w:rsidP="004E0D09">
            <w:pPr>
              <w:spacing w:before="60" w:after="60"/>
              <w:ind w:left="-74" w:right="-55"/>
            </w:pPr>
          </w:p>
        </w:tc>
      </w:tr>
      <w:tr w:rsidR="00AF47BF" w:rsidRPr="002F71E7" w:rsidTr="00AF47BF">
        <w:tc>
          <w:tcPr>
            <w:tcW w:w="14605" w:type="dxa"/>
            <w:gridSpan w:val="7"/>
            <w:shd w:val="clear" w:color="auto" w:fill="BFBFBF" w:themeFill="background1" w:themeFillShade="BF"/>
          </w:tcPr>
          <w:p w:rsidR="00AF47BF" w:rsidRPr="002F71E7" w:rsidRDefault="00AF47BF" w:rsidP="004E0D09">
            <w:pPr>
              <w:spacing w:before="60" w:after="60"/>
              <w:ind w:left="-74" w:right="-55"/>
            </w:pPr>
          </w:p>
        </w:tc>
      </w:tr>
      <w:tr w:rsidR="008A6446" w:rsidRPr="002F71E7" w:rsidTr="008A6446">
        <w:tc>
          <w:tcPr>
            <w:tcW w:w="2086" w:type="dxa"/>
          </w:tcPr>
          <w:p w:rsidR="008A6446" w:rsidRPr="002F71E7" w:rsidRDefault="008A6446" w:rsidP="00D11C7E">
            <w:pPr>
              <w:spacing w:before="60" w:after="60"/>
              <w:ind w:left="-72" w:right="-57"/>
              <w:rPr>
                <w:b/>
                <w:i/>
              </w:rPr>
            </w:pPr>
            <w:r w:rsidRPr="002F71E7">
              <w:rPr>
                <w:b/>
                <w:i/>
              </w:rPr>
              <w:t>Total Adjustments</w:t>
            </w:r>
          </w:p>
        </w:tc>
        <w:tc>
          <w:tcPr>
            <w:tcW w:w="2086" w:type="dxa"/>
          </w:tcPr>
          <w:p w:rsidR="00B54959" w:rsidRDefault="008A6446" w:rsidP="00D11C7E">
            <w:pPr>
              <w:spacing w:before="60" w:after="60"/>
              <w:ind w:left="-74" w:right="-55"/>
            </w:pPr>
            <w:r w:rsidRPr="002F71E7">
              <w:t>Increase in NOI of $</w:t>
            </w:r>
            <w:r w:rsidR="00B54959">
              <w:t>10,701,462</w:t>
            </w:r>
            <w:r w:rsidRPr="002F71E7">
              <w:t>.</w:t>
            </w:r>
          </w:p>
          <w:p w:rsidR="00B54959" w:rsidRDefault="00B54959" w:rsidP="00D11C7E">
            <w:pPr>
              <w:spacing w:before="60" w:after="60"/>
              <w:ind w:left="-74" w:right="-55"/>
            </w:pPr>
            <w:r>
              <w:t>Decrease in rate base of $7,014,936.</w:t>
            </w:r>
          </w:p>
          <w:p w:rsidR="008A6446" w:rsidRPr="002F71E7" w:rsidRDefault="00B54959" w:rsidP="00B54959">
            <w:pPr>
              <w:spacing w:before="60" w:after="60"/>
              <w:ind w:left="-74" w:right="-55"/>
            </w:pPr>
            <w:r>
              <w:t>Exhibit No.__</w:t>
            </w:r>
            <w:proofErr w:type="gramStart"/>
            <w:r>
              <w:t>_(</w:t>
            </w:r>
            <w:proofErr w:type="gramEnd"/>
            <w:r>
              <w:t>RBD-3), page 1.0, column 2, lines 30 and 57.</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8A6446" w:rsidRPr="002F71E7" w:rsidRDefault="00C176A7" w:rsidP="00D11C7E">
            <w:pPr>
              <w:spacing w:before="60" w:after="60"/>
              <w:ind w:left="-72" w:right="-57"/>
              <w:rPr>
                <w:b/>
                <w:i/>
              </w:rPr>
            </w:pPr>
            <w:r>
              <w:rPr>
                <w:b/>
                <w:i/>
              </w:rPr>
              <w:t>Normalized</w:t>
            </w:r>
            <w:r w:rsidR="008A6446" w:rsidRPr="002F71E7">
              <w:rPr>
                <w:b/>
                <w:i/>
              </w:rPr>
              <w:t xml:space="preserve"> Results of Operations</w:t>
            </w:r>
          </w:p>
        </w:tc>
        <w:tc>
          <w:tcPr>
            <w:tcW w:w="2086" w:type="dxa"/>
          </w:tcPr>
          <w:p w:rsidR="00C176A7" w:rsidRDefault="008A6446" w:rsidP="00D11C7E">
            <w:pPr>
              <w:spacing w:before="60" w:after="60"/>
              <w:ind w:left="-74" w:right="-55"/>
            </w:pPr>
            <w:bookmarkStart w:id="1" w:name="OLE_LINK1"/>
            <w:r w:rsidRPr="002F71E7">
              <w:t xml:space="preserve">NOI </w:t>
            </w:r>
            <w:r w:rsidR="00C176A7">
              <w:t xml:space="preserve">of </w:t>
            </w:r>
            <w:r w:rsidRPr="002F71E7">
              <w:t>$</w:t>
            </w:r>
            <w:r w:rsidR="00C176A7">
              <w:t>50,058,130</w:t>
            </w:r>
            <w:r w:rsidRPr="002F71E7">
              <w:t xml:space="preserve">.  </w:t>
            </w:r>
          </w:p>
          <w:p w:rsidR="00C176A7" w:rsidRDefault="00C176A7" w:rsidP="00D11C7E">
            <w:pPr>
              <w:spacing w:before="60" w:after="60"/>
              <w:ind w:left="-74" w:right="-55"/>
            </w:pPr>
            <w:r>
              <w:t>Rate base of $750,495,841.</w:t>
            </w:r>
          </w:p>
          <w:bookmarkEnd w:id="1"/>
          <w:p w:rsidR="008A6446" w:rsidRPr="002F71E7" w:rsidRDefault="00C176A7" w:rsidP="00C176A7">
            <w:pPr>
              <w:spacing w:before="60" w:after="60"/>
              <w:ind w:left="-74" w:right="-55"/>
            </w:pPr>
            <w:r>
              <w:t>Exhibit No.__</w:t>
            </w:r>
            <w:proofErr w:type="gramStart"/>
            <w:r>
              <w:t>_(</w:t>
            </w:r>
            <w:proofErr w:type="gramEnd"/>
            <w:r>
              <w:t xml:space="preserve">RBD-3), page </w:t>
            </w:r>
            <w:r>
              <w:lastRenderedPageBreak/>
              <w:t>1.0, column 3, lines 30 and 57.</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C176A7" w:rsidRPr="002F71E7" w:rsidTr="00FD2DED">
        <w:tc>
          <w:tcPr>
            <w:tcW w:w="14605" w:type="dxa"/>
            <w:gridSpan w:val="7"/>
            <w:shd w:val="clear" w:color="auto" w:fill="BFBFBF" w:themeFill="background1" w:themeFillShade="BF"/>
          </w:tcPr>
          <w:p w:rsidR="00C176A7" w:rsidRPr="00B54959" w:rsidRDefault="00C176A7" w:rsidP="00FD2DED">
            <w:pPr>
              <w:spacing w:before="60" w:after="60"/>
              <w:ind w:left="-74" w:right="-55"/>
              <w:rPr>
                <w:b/>
                <w:i/>
              </w:rPr>
            </w:pPr>
          </w:p>
        </w:tc>
      </w:tr>
      <w:tr w:rsidR="008A6446" w:rsidRPr="002F71E7" w:rsidTr="008A6446">
        <w:tblPrEx>
          <w:tblCellMar>
            <w:left w:w="108" w:type="dxa"/>
            <w:right w:w="108" w:type="dxa"/>
          </w:tblCellMar>
        </w:tblPrEx>
        <w:tc>
          <w:tcPr>
            <w:tcW w:w="2086" w:type="dxa"/>
          </w:tcPr>
          <w:p w:rsidR="008A6446" w:rsidRPr="002F71E7" w:rsidRDefault="00E403FC" w:rsidP="00D11C7E">
            <w:pPr>
              <w:spacing w:before="60" w:after="60"/>
              <w:ind w:left="-72" w:right="-57"/>
              <w:rPr>
                <w:b/>
                <w:i/>
              </w:rPr>
            </w:pPr>
            <w:r w:rsidRPr="002F71E7">
              <w:rPr>
                <w:b/>
                <w:i/>
              </w:rPr>
              <w:t>Rate Spread</w:t>
            </w:r>
          </w:p>
        </w:tc>
        <w:tc>
          <w:tcPr>
            <w:tcW w:w="2086" w:type="dxa"/>
          </w:tcPr>
          <w:p w:rsidR="008A6446" w:rsidRPr="002F71E7" w:rsidRDefault="00E403FC" w:rsidP="00D11C7E">
            <w:pPr>
              <w:spacing w:before="60" w:after="60"/>
              <w:ind w:left="-74" w:right="-55"/>
            </w:pPr>
            <w:r>
              <w:rPr>
                <w:szCs w:val="24"/>
              </w:rPr>
              <w:t>T</w:t>
            </w:r>
            <w:r w:rsidRPr="001B097A">
              <w:rPr>
                <w:szCs w:val="24"/>
              </w:rPr>
              <w:t xml:space="preserve">he </w:t>
            </w:r>
            <w:r w:rsidRPr="001B097A">
              <w:rPr>
                <w:bCs/>
                <w:szCs w:val="24"/>
              </w:rPr>
              <w:t xml:space="preserve">Company’s proposed rate spread allocates the revenue requirement change </w:t>
            </w:r>
            <w:r>
              <w:rPr>
                <w:bCs/>
                <w:szCs w:val="24"/>
              </w:rPr>
              <w:t xml:space="preserve">to all rate schedule classes, other than public street lighting customers, on </w:t>
            </w:r>
            <w:proofErr w:type="gramStart"/>
            <w:r>
              <w:rPr>
                <w:bCs/>
                <w:szCs w:val="24"/>
              </w:rPr>
              <w:t>an</w:t>
            </w:r>
            <w:proofErr w:type="gramEnd"/>
            <w:r>
              <w:rPr>
                <w:bCs/>
                <w:szCs w:val="24"/>
              </w:rPr>
              <w:t xml:space="preserve"> uniform percentage basis, equal to 4.3 percent.  Lighting receives a 1.0 percent increase.  These proposals are in line with the rate spread ordered by the Commission in </w:t>
            </w:r>
            <w:r w:rsidR="008D6014">
              <w:rPr>
                <w:bCs/>
                <w:szCs w:val="24"/>
              </w:rPr>
              <w:t xml:space="preserve">Docket </w:t>
            </w:r>
            <w:r>
              <w:rPr>
                <w:szCs w:val="24"/>
              </w:rPr>
              <w:t xml:space="preserve">UE-100749.  </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blPrEx>
          <w:tblCellMar>
            <w:left w:w="108" w:type="dxa"/>
            <w:right w:w="108" w:type="dxa"/>
          </w:tblCellMar>
        </w:tblPrEx>
        <w:tc>
          <w:tcPr>
            <w:tcW w:w="2086" w:type="dxa"/>
          </w:tcPr>
          <w:p w:rsidR="008A6446" w:rsidRPr="002F71E7" w:rsidRDefault="00E403FC" w:rsidP="00D11C7E">
            <w:pPr>
              <w:spacing w:before="60" w:after="60"/>
              <w:ind w:left="-72" w:right="-57"/>
              <w:rPr>
                <w:b/>
                <w:i/>
              </w:rPr>
            </w:pPr>
            <w:r w:rsidRPr="002F71E7">
              <w:rPr>
                <w:b/>
                <w:i/>
              </w:rPr>
              <w:t>Rate Design</w:t>
            </w:r>
          </w:p>
        </w:tc>
        <w:tc>
          <w:tcPr>
            <w:tcW w:w="2086" w:type="dxa"/>
          </w:tcPr>
          <w:p w:rsidR="008A6446" w:rsidRPr="002F71E7" w:rsidRDefault="00E403FC" w:rsidP="00D11C7E">
            <w:pPr>
              <w:spacing w:before="60" w:after="60"/>
              <w:ind w:left="-74" w:right="-55"/>
            </w:pPr>
            <w:r>
              <w:t xml:space="preserve">The Company </w:t>
            </w:r>
            <w:r w:rsidRPr="002F71E7">
              <w:t xml:space="preserve">is not proposing any changes in this case to the design of existing rates.  </w:t>
            </w:r>
            <w:r w:rsidRPr="000F6176">
              <w:rPr>
                <w:szCs w:val="24"/>
              </w:rPr>
              <w:t xml:space="preserve">The </w:t>
            </w:r>
            <w:r>
              <w:rPr>
                <w:szCs w:val="24"/>
              </w:rPr>
              <w:t>Company proposes largely uniform percentage increases to customer, energy and demand charges, where applicable, for all rate schedules.</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bl>
    <w:p w:rsidR="00D11C7E" w:rsidRPr="002F71E7" w:rsidRDefault="00D11C7E" w:rsidP="00D11C7E"/>
    <w:p w:rsidR="00D11C7E" w:rsidRPr="002F71E7" w:rsidRDefault="00D11C7E" w:rsidP="00D11C7E"/>
    <w:p w:rsidR="00662F9C" w:rsidRPr="00D11C7E" w:rsidRDefault="00662F9C" w:rsidP="00D11C7E"/>
    <w:sectPr w:rsidR="00662F9C" w:rsidRPr="00D11C7E" w:rsidSect="00B54959">
      <w:footerReference w:type="default" r:id="rId7"/>
      <w:pgSz w:w="15840" w:h="12240" w:orient="landscape" w:code="1"/>
      <w:pgMar w:top="720" w:right="720" w:bottom="720" w:left="720"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A9D" w:rsidRDefault="00B52A9D">
      <w:r>
        <w:separator/>
      </w:r>
    </w:p>
  </w:endnote>
  <w:endnote w:type="continuationSeparator" w:id="0">
    <w:p w:rsidR="00B52A9D" w:rsidRDefault="00B52A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596" w:rsidRPr="00F83CE4" w:rsidRDefault="000B0596" w:rsidP="008A6446">
    <w:pPr>
      <w:pStyle w:val="Footer"/>
      <w:jc w:val="center"/>
      <w:rPr>
        <w:rStyle w:val="PageNumber"/>
      </w:rPr>
    </w:pPr>
    <w:r w:rsidRPr="00F83CE4">
      <w:t xml:space="preserve">Page </w:t>
    </w:r>
    <w:r w:rsidR="002601CC" w:rsidRPr="00F83CE4">
      <w:rPr>
        <w:rStyle w:val="PageNumber"/>
      </w:rPr>
      <w:fldChar w:fldCharType="begin"/>
    </w:r>
    <w:r w:rsidRPr="00F83CE4">
      <w:rPr>
        <w:rStyle w:val="PageNumber"/>
      </w:rPr>
      <w:instrText xml:space="preserve"> PAGE </w:instrText>
    </w:r>
    <w:r w:rsidR="002601CC" w:rsidRPr="00F83CE4">
      <w:rPr>
        <w:rStyle w:val="PageNumber"/>
      </w:rPr>
      <w:fldChar w:fldCharType="separate"/>
    </w:r>
    <w:r w:rsidR="00F83CE4">
      <w:rPr>
        <w:rStyle w:val="PageNumber"/>
        <w:noProof/>
      </w:rPr>
      <w:t>1</w:t>
    </w:r>
    <w:r w:rsidR="002601CC" w:rsidRPr="00F83CE4">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A9D" w:rsidRDefault="00B52A9D">
      <w:r>
        <w:separator/>
      </w:r>
    </w:p>
  </w:footnote>
  <w:footnote w:type="continuationSeparator" w:id="0">
    <w:p w:rsidR="00B52A9D" w:rsidRDefault="00B52A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91447DE"/>
    <w:lvl w:ilvl="0">
      <w:start w:val="1"/>
      <w:numFmt w:val="decimal"/>
      <w:lvlText w:val="%1."/>
      <w:lvlJc w:val="left"/>
      <w:pPr>
        <w:tabs>
          <w:tab w:val="num" w:pos="1800"/>
        </w:tabs>
        <w:ind w:left="1800" w:hanging="360"/>
      </w:pPr>
    </w:lvl>
  </w:abstractNum>
  <w:abstractNum w:abstractNumId="1">
    <w:nsid w:val="FFFFFF7D"/>
    <w:multiLevelType w:val="singleLevel"/>
    <w:tmpl w:val="B91AB922"/>
    <w:lvl w:ilvl="0">
      <w:start w:val="1"/>
      <w:numFmt w:val="decimal"/>
      <w:lvlText w:val="%1."/>
      <w:lvlJc w:val="left"/>
      <w:pPr>
        <w:tabs>
          <w:tab w:val="num" w:pos="1440"/>
        </w:tabs>
        <w:ind w:left="1440" w:hanging="360"/>
      </w:pPr>
    </w:lvl>
  </w:abstractNum>
  <w:abstractNum w:abstractNumId="2">
    <w:nsid w:val="FFFFFF7E"/>
    <w:multiLevelType w:val="singleLevel"/>
    <w:tmpl w:val="C6E4C77E"/>
    <w:lvl w:ilvl="0">
      <w:start w:val="1"/>
      <w:numFmt w:val="decimal"/>
      <w:lvlText w:val="%1."/>
      <w:lvlJc w:val="left"/>
      <w:pPr>
        <w:tabs>
          <w:tab w:val="num" w:pos="1080"/>
        </w:tabs>
        <w:ind w:left="1080" w:hanging="360"/>
      </w:pPr>
    </w:lvl>
  </w:abstractNum>
  <w:abstractNum w:abstractNumId="3">
    <w:nsid w:val="FFFFFF7F"/>
    <w:multiLevelType w:val="singleLevel"/>
    <w:tmpl w:val="A09862CC"/>
    <w:lvl w:ilvl="0">
      <w:start w:val="1"/>
      <w:numFmt w:val="decimal"/>
      <w:lvlText w:val="%1."/>
      <w:lvlJc w:val="left"/>
      <w:pPr>
        <w:tabs>
          <w:tab w:val="num" w:pos="720"/>
        </w:tabs>
        <w:ind w:left="720" w:hanging="360"/>
      </w:pPr>
    </w:lvl>
  </w:abstractNum>
  <w:abstractNum w:abstractNumId="4">
    <w:nsid w:val="FFFFFF80"/>
    <w:multiLevelType w:val="singleLevel"/>
    <w:tmpl w:val="17BE12A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8A205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41E8D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864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59CE8E0"/>
    <w:lvl w:ilvl="0">
      <w:start w:val="1"/>
      <w:numFmt w:val="decimal"/>
      <w:lvlText w:val="%1."/>
      <w:lvlJc w:val="left"/>
      <w:pPr>
        <w:tabs>
          <w:tab w:val="num" w:pos="360"/>
        </w:tabs>
        <w:ind w:left="360" w:hanging="360"/>
      </w:pPr>
    </w:lvl>
  </w:abstractNum>
  <w:abstractNum w:abstractNumId="9">
    <w:nsid w:val="FFFFFF89"/>
    <w:multiLevelType w:val="singleLevel"/>
    <w:tmpl w:val="1BA626F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removeDateAndTime/>
  <w:embedTrueTypeFonts/>
  <w:saveSubsetFonts/>
  <w:proofState w:spelling="clean" w:grammar="clean"/>
  <w:stylePaneFormatFilter w:val="3F01"/>
  <w:trackRevisions/>
  <w:defaultTabStop w:val="720"/>
  <w:drawingGridHorizontalSpacing w:val="8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7F557C"/>
    <w:rsid w:val="000008D3"/>
    <w:rsid w:val="00011ED6"/>
    <w:rsid w:val="00012DAA"/>
    <w:rsid w:val="00024790"/>
    <w:rsid w:val="000322F8"/>
    <w:rsid w:val="0003420E"/>
    <w:rsid w:val="00041B05"/>
    <w:rsid w:val="0004424E"/>
    <w:rsid w:val="000467B0"/>
    <w:rsid w:val="0005281F"/>
    <w:rsid w:val="0005732A"/>
    <w:rsid w:val="0007513E"/>
    <w:rsid w:val="00081292"/>
    <w:rsid w:val="00087C26"/>
    <w:rsid w:val="000919FC"/>
    <w:rsid w:val="000A66B4"/>
    <w:rsid w:val="000B0596"/>
    <w:rsid w:val="000B3954"/>
    <w:rsid w:val="000C4906"/>
    <w:rsid w:val="000C5627"/>
    <w:rsid w:val="000C6D10"/>
    <w:rsid w:val="000D584C"/>
    <w:rsid w:val="000D6455"/>
    <w:rsid w:val="000F7BFB"/>
    <w:rsid w:val="001002FD"/>
    <w:rsid w:val="00100F45"/>
    <w:rsid w:val="00137656"/>
    <w:rsid w:val="00143D33"/>
    <w:rsid w:val="00156F4A"/>
    <w:rsid w:val="0017486B"/>
    <w:rsid w:val="00175872"/>
    <w:rsid w:val="001A00EE"/>
    <w:rsid w:val="001B38EB"/>
    <w:rsid w:val="001B4363"/>
    <w:rsid w:val="001C1D9F"/>
    <w:rsid w:val="001C3F0D"/>
    <w:rsid w:val="001C7471"/>
    <w:rsid w:val="002014B9"/>
    <w:rsid w:val="00204883"/>
    <w:rsid w:val="00223486"/>
    <w:rsid w:val="00223E09"/>
    <w:rsid w:val="00224846"/>
    <w:rsid w:val="002601CC"/>
    <w:rsid w:val="00267E29"/>
    <w:rsid w:val="00272AB3"/>
    <w:rsid w:val="0027480C"/>
    <w:rsid w:val="002817BD"/>
    <w:rsid w:val="002818D6"/>
    <w:rsid w:val="00281B44"/>
    <w:rsid w:val="002B1727"/>
    <w:rsid w:val="002B57E5"/>
    <w:rsid w:val="002B75BF"/>
    <w:rsid w:val="002F0981"/>
    <w:rsid w:val="002F71E7"/>
    <w:rsid w:val="003009B5"/>
    <w:rsid w:val="00301C6E"/>
    <w:rsid w:val="0030297D"/>
    <w:rsid w:val="00310146"/>
    <w:rsid w:val="00310BB2"/>
    <w:rsid w:val="003225DD"/>
    <w:rsid w:val="003536A6"/>
    <w:rsid w:val="00372D93"/>
    <w:rsid w:val="0037461B"/>
    <w:rsid w:val="00377C7D"/>
    <w:rsid w:val="003A36A5"/>
    <w:rsid w:val="003E7323"/>
    <w:rsid w:val="00402DBF"/>
    <w:rsid w:val="0040403A"/>
    <w:rsid w:val="00412FC7"/>
    <w:rsid w:val="00421F66"/>
    <w:rsid w:val="00450782"/>
    <w:rsid w:val="00450F90"/>
    <w:rsid w:val="004A569F"/>
    <w:rsid w:val="004A7C9D"/>
    <w:rsid w:val="004B371C"/>
    <w:rsid w:val="004B5BFD"/>
    <w:rsid w:val="004D2F4E"/>
    <w:rsid w:val="004E0D09"/>
    <w:rsid w:val="00507505"/>
    <w:rsid w:val="00512050"/>
    <w:rsid w:val="005256CB"/>
    <w:rsid w:val="00531ECE"/>
    <w:rsid w:val="005777C3"/>
    <w:rsid w:val="0058285E"/>
    <w:rsid w:val="00586B8F"/>
    <w:rsid w:val="005C3AFE"/>
    <w:rsid w:val="005F795B"/>
    <w:rsid w:val="0060536B"/>
    <w:rsid w:val="00622F80"/>
    <w:rsid w:val="00631147"/>
    <w:rsid w:val="006541B6"/>
    <w:rsid w:val="006618C4"/>
    <w:rsid w:val="00662F9C"/>
    <w:rsid w:val="00670F55"/>
    <w:rsid w:val="00671F55"/>
    <w:rsid w:val="006746FF"/>
    <w:rsid w:val="006A3319"/>
    <w:rsid w:val="006A510C"/>
    <w:rsid w:val="006C251B"/>
    <w:rsid w:val="006C2989"/>
    <w:rsid w:val="006D26A5"/>
    <w:rsid w:val="006D4286"/>
    <w:rsid w:val="006D6283"/>
    <w:rsid w:val="006D7B03"/>
    <w:rsid w:val="006E034E"/>
    <w:rsid w:val="006F40DD"/>
    <w:rsid w:val="00703C9D"/>
    <w:rsid w:val="00715B2E"/>
    <w:rsid w:val="00716540"/>
    <w:rsid w:val="007306C5"/>
    <w:rsid w:val="00752DC9"/>
    <w:rsid w:val="0076729B"/>
    <w:rsid w:val="00770B58"/>
    <w:rsid w:val="00792C55"/>
    <w:rsid w:val="00794377"/>
    <w:rsid w:val="007C34C6"/>
    <w:rsid w:val="007D4B6C"/>
    <w:rsid w:val="007E1978"/>
    <w:rsid w:val="007E5F8C"/>
    <w:rsid w:val="007E6276"/>
    <w:rsid w:val="007F557C"/>
    <w:rsid w:val="007F78E4"/>
    <w:rsid w:val="00800256"/>
    <w:rsid w:val="008039E9"/>
    <w:rsid w:val="00807673"/>
    <w:rsid w:val="00810126"/>
    <w:rsid w:val="00820BE3"/>
    <w:rsid w:val="00822D10"/>
    <w:rsid w:val="00824694"/>
    <w:rsid w:val="00830ADD"/>
    <w:rsid w:val="00834823"/>
    <w:rsid w:val="00835D82"/>
    <w:rsid w:val="00861E01"/>
    <w:rsid w:val="0086632C"/>
    <w:rsid w:val="00894B87"/>
    <w:rsid w:val="008A5031"/>
    <w:rsid w:val="008A6446"/>
    <w:rsid w:val="008B54CF"/>
    <w:rsid w:val="008C1092"/>
    <w:rsid w:val="008C1E23"/>
    <w:rsid w:val="008D6014"/>
    <w:rsid w:val="00903C86"/>
    <w:rsid w:val="00914E72"/>
    <w:rsid w:val="00947962"/>
    <w:rsid w:val="00972458"/>
    <w:rsid w:val="009822AC"/>
    <w:rsid w:val="00982B99"/>
    <w:rsid w:val="00983CA8"/>
    <w:rsid w:val="00997D07"/>
    <w:rsid w:val="009A4599"/>
    <w:rsid w:val="009B2978"/>
    <w:rsid w:val="009D3375"/>
    <w:rsid w:val="009D7DE9"/>
    <w:rsid w:val="009E74A6"/>
    <w:rsid w:val="009E7530"/>
    <w:rsid w:val="009F1E2D"/>
    <w:rsid w:val="009F6C81"/>
    <w:rsid w:val="00A017DF"/>
    <w:rsid w:val="00A504CA"/>
    <w:rsid w:val="00A50C8D"/>
    <w:rsid w:val="00A64BC3"/>
    <w:rsid w:val="00A86963"/>
    <w:rsid w:val="00A8711E"/>
    <w:rsid w:val="00A953E1"/>
    <w:rsid w:val="00A95EBA"/>
    <w:rsid w:val="00AA32E5"/>
    <w:rsid w:val="00AC6109"/>
    <w:rsid w:val="00AC789E"/>
    <w:rsid w:val="00AD0BE8"/>
    <w:rsid w:val="00AE3A3B"/>
    <w:rsid w:val="00AE5873"/>
    <w:rsid w:val="00AE64DD"/>
    <w:rsid w:val="00AF47BF"/>
    <w:rsid w:val="00B00973"/>
    <w:rsid w:val="00B301A3"/>
    <w:rsid w:val="00B35076"/>
    <w:rsid w:val="00B37634"/>
    <w:rsid w:val="00B4032D"/>
    <w:rsid w:val="00B4570E"/>
    <w:rsid w:val="00B52A9D"/>
    <w:rsid w:val="00B54959"/>
    <w:rsid w:val="00B57823"/>
    <w:rsid w:val="00B86293"/>
    <w:rsid w:val="00B94299"/>
    <w:rsid w:val="00BB605B"/>
    <w:rsid w:val="00BC43ED"/>
    <w:rsid w:val="00BC6362"/>
    <w:rsid w:val="00BD26BF"/>
    <w:rsid w:val="00BD594F"/>
    <w:rsid w:val="00BD77D5"/>
    <w:rsid w:val="00BE11CD"/>
    <w:rsid w:val="00C11B10"/>
    <w:rsid w:val="00C15506"/>
    <w:rsid w:val="00C176A7"/>
    <w:rsid w:val="00C20291"/>
    <w:rsid w:val="00C2186B"/>
    <w:rsid w:val="00C25F1C"/>
    <w:rsid w:val="00C35986"/>
    <w:rsid w:val="00C460B9"/>
    <w:rsid w:val="00C62E71"/>
    <w:rsid w:val="00C73D82"/>
    <w:rsid w:val="00C8122C"/>
    <w:rsid w:val="00C85A7D"/>
    <w:rsid w:val="00C87DF7"/>
    <w:rsid w:val="00C95148"/>
    <w:rsid w:val="00C97A02"/>
    <w:rsid w:val="00CA2B6E"/>
    <w:rsid w:val="00CA6D8B"/>
    <w:rsid w:val="00CB4DCE"/>
    <w:rsid w:val="00CB6FED"/>
    <w:rsid w:val="00CD5C64"/>
    <w:rsid w:val="00CE253A"/>
    <w:rsid w:val="00CE6068"/>
    <w:rsid w:val="00D101F6"/>
    <w:rsid w:val="00D11C7E"/>
    <w:rsid w:val="00D139F0"/>
    <w:rsid w:val="00D14528"/>
    <w:rsid w:val="00D15AD0"/>
    <w:rsid w:val="00D21B3E"/>
    <w:rsid w:val="00D43DBB"/>
    <w:rsid w:val="00D5479B"/>
    <w:rsid w:val="00D644C9"/>
    <w:rsid w:val="00D777CC"/>
    <w:rsid w:val="00DA4BFC"/>
    <w:rsid w:val="00DA7DFB"/>
    <w:rsid w:val="00DB04D8"/>
    <w:rsid w:val="00DB3FD6"/>
    <w:rsid w:val="00DD0092"/>
    <w:rsid w:val="00DD7344"/>
    <w:rsid w:val="00DE75BF"/>
    <w:rsid w:val="00DF1919"/>
    <w:rsid w:val="00E07E08"/>
    <w:rsid w:val="00E10976"/>
    <w:rsid w:val="00E20DF4"/>
    <w:rsid w:val="00E403FC"/>
    <w:rsid w:val="00E62177"/>
    <w:rsid w:val="00E64C7E"/>
    <w:rsid w:val="00E752BF"/>
    <w:rsid w:val="00EA6A72"/>
    <w:rsid w:val="00EB526A"/>
    <w:rsid w:val="00EB750D"/>
    <w:rsid w:val="00EE59DE"/>
    <w:rsid w:val="00EF76F1"/>
    <w:rsid w:val="00F0053D"/>
    <w:rsid w:val="00F02C09"/>
    <w:rsid w:val="00F217BE"/>
    <w:rsid w:val="00F25C0E"/>
    <w:rsid w:val="00F43186"/>
    <w:rsid w:val="00F6136D"/>
    <w:rsid w:val="00F827AF"/>
    <w:rsid w:val="00F83CE4"/>
    <w:rsid w:val="00F96996"/>
    <w:rsid w:val="00FB0A12"/>
    <w:rsid w:val="00FD2060"/>
    <w:rsid w:val="00FD2D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7323"/>
    <w:rPr>
      <w:sz w:val="16"/>
      <w:szCs w:val="16"/>
    </w:rPr>
  </w:style>
  <w:style w:type="paragraph" w:styleId="Heading1">
    <w:name w:val="heading 1"/>
    <w:basedOn w:val="Normal"/>
    <w:next w:val="BodyText"/>
    <w:qFormat/>
    <w:rsid w:val="000B3954"/>
    <w:pPr>
      <w:keepNext/>
      <w:keepLines/>
      <w:spacing w:after="240"/>
      <w:jc w:val="center"/>
      <w:outlineLvl w:val="0"/>
    </w:pPr>
    <w:rPr>
      <w:rFonts w:ascii="Times New Roman Bold" w:hAnsi="Times New Roman Bold" w:cs="Arial"/>
      <w:b/>
      <w:bCs/>
      <w:szCs w:val="32"/>
    </w:rPr>
  </w:style>
  <w:style w:type="paragraph" w:styleId="Heading2">
    <w:name w:val="heading 2"/>
    <w:basedOn w:val="Normal"/>
    <w:next w:val="BodyText"/>
    <w:qFormat/>
    <w:rsid w:val="000B3954"/>
    <w:pPr>
      <w:keepNext/>
      <w:keepLines/>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qFormat/>
    <w:rsid w:val="000B3954"/>
    <w:pPr>
      <w:keepNext/>
      <w:keepLines/>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3954"/>
    <w:pPr>
      <w:tabs>
        <w:tab w:val="center" w:pos="4320"/>
        <w:tab w:val="right" w:pos="8640"/>
      </w:tabs>
    </w:pPr>
  </w:style>
  <w:style w:type="paragraph" w:styleId="Footer">
    <w:name w:val="footer"/>
    <w:basedOn w:val="Normal"/>
    <w:rsid w:val="00024790"/>
    <w:pPr>
      <w:tabs>
        <w:tab w:val="center" w:pos="9360"/>
        <w:tab w:val="right" w:pos="18720"/>
      </w:tabs>
    </w:pPr>
  </w:style>
  <w:style w:type="paragraph" w:styleId="BodyText">
    <w:name w:val="Body Text"/>
    <w:basedOn w:val="Normal"/>
    <w:rsid w:val="000B3954"/>
    <w:pPr>
      <w:spacing w:after="240"/>
    </w:pPr>
  </w:style>
  <w:style w:type="paragraph" w:styleId="Quote">
    <w:name w:val="Quote"/>
    <w:basedOn w:val="Normal"/>
    <w:next w:val="BodyTextContinued"/>
    <w:qFormat/>
    <w:rsid w:val="000B3954"/>
    <w:pPr>
      <w:spacing w:after="240"/>
      <w:ind w:left="1440" w:right="1440"/>
    </w:pPr>
    <w:rPr>
      <w:szCs w:val="20"/>
    </w:rPr>
  </w:style>
  <w:style w:type="paragraph" w:customStyle="1" w:styleId="BodyTextContinued">
    <w:name w:val="Body Text Continued"/>
    <w:basedOn w:val="BodyText"/>
    <w:next w:val="BodyText"/>
    <w:rsid w:val="000B3954"/>
    <w:rPr>
      <w:szCs w:val="20"/>
    </w:rPr>
  </w:style>
  <w:style w:type="character" w:styleId="PageNumber">
    <w:name w:val="page number"/>
    <w:basedOn w:val="DefaultParagraphFont"/>
    <w:rsid w:val="000B3954"/>
  </w:style>
  <w:style w:type="paragraph" w:customStyle="1" w:styleId="DeliveryPhrase">
    <w:name w:val="Delivery Phrase"/>
    <w:basedOn w:val="Normal"/>
    <w:next w:val="Normal"/>
    <w:rsid w:val="000B3954"/>
    <w:pPr>
      <w:spacing w:after="240"/>
    </w:pPr>
    <w:rPr>
      <w:b/>
      <w:caps/>
      <w:szCs w:val="20"/>
    </w:rPr>
  </w:style>
  <w:style w:type="paragraph" w:customStyle="1" w:styleId="Letterhead">
    <w:name w:val="Letterhead"/>
    <w:rsid w:val="000B3954"/>
    <w:pPr>
      <w:tabs>
        <w:tab w:val="center" w:pos="1886"/>
      </w:tabs>
      <w:jc w:val="center"/>
    </w:pPr>
    <w:rPr>
      <w:rFonts w:ascii="Arial Narrow" w:hAnsi="Arial Narrow"/>
      <w:noProof/>
      <w:spacing w:val="2"/>
      <w:sz w:val="16"/>
    </w:rPr>
  </w:style>
  <w:style w:type="paragraph" w:styleId="NormalIndent">
    <w:name w:val="Normal Indent"/>
    <w:basedOn w:val="Normal"/>
    <w:rsid w:val="000B3954"/>
    <w:pPr>
      <w:ind w:left="720"/>
    </w:pPr>
  </w:style>
  <w:style w:type="paragraph" w:customStyle="1" w:styleId="ResH1">
    <w:name w:val="Res H1"/>
    <w:basedOn w:val="Heading2"/>
    <w:rsid w:val="000B3954"/>
    <w:pPr>
      <w:spacing w:after="0" w:line="240" w:lineRule="atLeast"/>
      <w:ind w:right="720"/>
    </w:pPr>
    <w:rPr>
      <w:rFonts w:cs="Times New Roman"/>
      <w:bCs w:val="0"/>
      <w:i/>
      <w:iCs w:val="0"/>
      <w:caps/>
      <w:sz w:val="26"/>
      <w:szCs w:val="20"/>
      <w:lang w:eastAsia="zh-CN"/>
    </w:rPr>
  </w:style>
  <w:style w:type="paragraph" w:customStyle="1" w:styleId="ResH2">
    <w:name w:val="Res H2"/>
    <w:basedOn w:val="Heading3"/>
    <w:rsid w:val="000B3954"/>
    <w:pPr>
      <w:spacing w:after="0" w:line="240" w:lineRule="atLeast"/>
      <w:ind w:right="720"/>
    </w:pPr>
    <w:rPr>
      <w:rFonts w:cs="Times New Roman"/>
      <w:bCs w:val="0"/>
      <w:szCs w:val="20"/>
      <w:u w:val="single"/>
      <w:lang w:eastAsia="zh-CN"/>
    </w:rPr>
  </w:style>
  <w:style w:type="paragraph" w:customStyle="1" w:styleId="Resolution">
    <w:name w:val="Resolution"/>
    <w:basedOn w:val="NormalIndent"/>
    <w:rsid w:val="000B3954"/>
    <w:pPr>
      <w:spacing w:before="240" w:line="240" w:lineRule="atLeast"/>
      <w:ind w:right="720"/>
    </w:pPr>
    <w:rPr>
      <w:sz w:val="26"/>
      <w:szCs w:val="20"/>
    </w:rPr>
  </w:style>
  <w:style w:type="paragraph" w:customStyle="1" w:styleId="table">
    <w:name w:val="table"/>
    <w:basedOn w:val="Normal"/>
    <w:rsid w:val="000B3954"/>
    <w:pPr>
      <w:spacing w:before="60" w:after="60" w:line="240" w:lineRule="exact"/>
    </w:pPr>
  </w:style>
  <w:style w:type="paragraph" w:styleId="Title">
    <w:name w:val="Title"/>
    <w:basedOn w:val="Normal"/>
    <w:next w:val="BodyText"/>
    <w:qFormat/>
    <w:rsid w:val="000B3954"/>
    <w:pPr>
      <w:spacing w:after="240" w:line="240" w:lineRule="exact"/>
      <w:jc w:val="center"/>
      <w:outlineLvl w:val="0"/>
    </w:pPr>
    <w:rPr>
      <w:rFonts w:ascii="Times New Roman Bold" w:hAnsi="Times New Roman Bold" w:cs="Arial"/>
      <w:b/>
      <w:bCs/>
      <w:szCs w:val="32"/>
    </w:rPr>
  </w:style>
  <w:style w:type="paragraph" w:customStyle="1" w:styleId="Style7">
    <w:name w:val="Style 7"/>
    <w:rsid w:val="00B37634"/>
    <w:pPr>
      <w:widowControl w:val="0"/>
      <w:autoSpaceDE w:val="0"/>
      <w:autoSpaceDN w:val="0"/>
      <w:adjustRightInd w:val="0"/>
    </w:pPr>
  </w:style>
  <w:style w:type="table" w:styleId="TableGrid">
    <w:name w:val="Table Grid"/>
    <w:basedOn w:val="TableNormal"/>
    <w:rsid w:val="009D3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zmpTrailerItem">
    <w:name w:val="zzmpTrailerItem"/>
    <w:basedOn w:val="DefaultParagraphFont"/>
    <w:rsid w:val="00F0053D"/>
    <w:rPr>
      <w:rFonts w:ascii="Times New Roman" w:hAnsi="Times New Roman" w:cs="Times New Roman"/>
      <w:dstrike w:val="0"/>
      <w:noProof/>
      <w:color w:val="auto"/>
      <w:spacing w:val="0"/>
      <w:position w:val="0"/>
      <w:sz w:val="16"/>
      <w:szCs w:val="16"/>
      <w:u w:val="none"/>
      <w:effect w:val="none"/>
      <w:vertAlign w:val="baseline"/>
    </w:rPr>
  </w:style>
  <w:style w:type="character" w:styleId="CommentReference">
    <w:name w:val="annotation reference"/>
    <w:basedOn w:val="DefaultParagraphFont"/>
    <w:rsid w:val="000322F8"/>
    <w:rPr>
      <w:sz w:val="16"/>
      <w:szCs w:val="16"/>
    </w:rPr>
  </w:style>
  <w:style w:type="paragraph" w:styleId="CommentText">
    <w:name w:val="annotation text"/>
    <w:basedOn w:val="Normal"/>
    <w:link w:val="CommentTextChar"/>
    <w:rsid w:val="000322F8"/>
    <w:rPr>
      <w:sz w:val="20"/>
      <w:szCs w:val="20"/>
    </w:rPr>
  </w:style>
  <w:style w:type="character" w:customStyle="1" w:styleId="CommentTextChar">
    <w:name w:val="Comment Text Char"/>
    <w:basedOn w:val="DefaultParagraphFont"/>
    <w:link w:val="CommentText"/>
    <w:rsid w:val="000322F8"/>
  </w:style>
  <w:style w:type="paragraph" w:styleId="CommentSubject">
    <w:name w:val="annotation subject"/>
    <w:basedOn w:val="CommentText"/>
    <w:next w:val="CommentText"/>
    <w:link w:val="CommentSubjectChar"/>
    <w:rsid w:val="000322F8"/>
    <w:rPr>
      <w:b/>
      <w:bCs/>
    </w:rPr>
  </w:style>
  <w:style w:type="character" w:customStyle="1" w:styleId="CommentSubjectChar">
    <w:name w:val="Comment Subject Char"/>
    <w:basedOn w:val="CommentTextChar"/>
    <w:link w:val="CommentSubject"/>
    <w:rsid w:val="000322F8"/>
    <w:rPr>
      <w:b/>
      <w:bCs/>
    </w:rPr>
  </w:style>
  <w:style w:type="paragraph" w:styleId="BalloonText">
    <w:name w:val="Balloon Text"/>
    <w:basedOn w:val="Normal"/>
    <w:link w:val="BalloonTextChar"/>
    <w:rsid w:val="000322F8"/>
    <w:rPr>
      <w:rFonts w:ascii="Tahoma" w:hAnsi="Tahoma" w:cs="Tahoma"/>
    </w:rPr>
  </w:style>
  <w:style w:type="character" w:customStyle="1" w:styleId="BalloonTextChar">
    <w:name w:val="Balloon Text Char"/>
    <w:basedOn w:val="DefaultParagraphFont"/>
    <w:link w:val="BalloonText"/>
    <w:rsid w:val="000322F8"/>
    <w:rPr>
      <w:rFonts w:ascii="Tahoma" w:hAnsi="Tahoma" w:cs="Tahoma"/>
      <w:sz w:val="16"/>
      <w:szCs w:val="16"/>
    </w:rPr>
  </w:style>
  <w:style w:type="paragraph" w:styleId="Revision">
    <w:name w:val="Revision"/>
    <w:hidden/>
    <w:uiPriority w:val="99"/>
    <w:semiHidden/>
    <w:rsid w:val="009F1E2D"/>
    <w:rPr>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7CE28074734D4792DBD415A4708DE0" ma:contentTypeVersion="143" ma:contentTypeDescription="" ma:contentTypeScope="" ma:versionID="a3dd2b48c08cc92b7c987e6cb8a261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2011-07-01T07:00:00+00:00</OpenedDate>
    <Date1 xmlns="dc463f71-b30c-4ab2-9473-d307f9d35888">2011-12-09T08:00:00+00:00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111190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A72DA90-B4EC-459E-B811-B8637B977158}"/>
</file>

<file path=customXml/itemProps2.xml><?xml version="1.0" encoding="utf-8"?>
<ds:datastoreItem xmlns:ds="http://schemas.openxmlformats.org/officeDocument/2006/customXml" ds:itemID="{9E260BBC-76A2-4173-93DC-C89F55A64A99}"/>
</file>

<file path=customXml/itemProps3.xml><?xml version="1.0" encoding="utf-8"?>
<ds:datastoreItem xmlns:ds="http://schemas.openxmlformats.org/officeDocument/2006/customXml" ds:itemID="{C4126919-E93A-4659-A99E-BFFAE7986664}"/>
</file>

<file path=customXml/itemProps4.xml><?xml version="1.0" encoding="utf-8"?>
<ds:datastoreItem xmlns:ds="http://schemas.openxmlformats.org/officeDocument/2006/customXml" ds:itemID="{D15D9642-7059-467C-A530-C41927296275}"/>
</file>

<file path=docProps/app.xml><?xml version="1.0" encoding="utf-8"?>
<Properties xmlns="http://schemas.openxmlformats.org/officeDocument/2006/extended-properties" xmlns:vt="http://schemas.openxmlformats.org/officeDocument/2006/docPropsVTypes">
  <Template>Normal.dotm</Template>
  <TotalTime>0</TotalTime>
  <Pages>18</Pages>
  <Words>3711</Words>
  <Characters>20861</Characters>
  <Application>Microsoft Office Word</Application>
  <DocSecurity>0</DocSecurity>
  <Lines>1303</Lines>
  <Paragraphs>361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2011-12-07T19:54:00Z</dcterms:created>
  <dcterms:modified xsi:type="dcterms:W3CDTF">2011-12-07T19:58:00Z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0x0101006E56B4D1795A2E4DB2F0B01679ED314A00D17CE28074734D4792DBD415A4708DE0</vt:lpwstr>
  </property>
  <property fmtid="{D5CDD505-2E9C-101B-9397-08002B2CF9AE}" pid="3" name="_docset_NoMedatataSyncRequired">
    <vt:lpwstr>False</vt:lpwstr>
  </property>
</Properties>
</file>