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Extended.xml" ContentType="application/vnd.openxmlformats-officedocument.wordprocessingml.commentsExtended+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76B" w:rsidRDefault="00C1476B">
      <w:pPr>
        <w:tabs>
          <w:tab w:val="center" w:pos="4680"/>
        </w:tabs>
        <w:jc w:val="center"/>
        <w:rPr>
          <w:b/>
          <w:bCs/>
        </w:rPr>
      </w:pPr>
    </w:p>
    <w:p w:rsidR="003D2170" w:rsidRDefault="003D2170">
      <w:pPr>
        <w:tabs>
          <w:tab w:val="center" w:pos="4680"/>
        </w:tabs>
        <w:jc w:val="center"/>
        <w:rPr>
          <w:b/>
          <w:bCs/>
        </w:rPr>
      </w:pPr>
      <w:r>
        <w:rPr>
          <w:b/>
          <w:bCs/>
        </w:rPr>
        <w:t>BEFORE THE</w:t>
      </w:r>
    </w:p>
    <w:p w:rsidR="003D2170" w:rsidRDefault="003D2170">
      <w:pPr>
        <w:tabs>
          <w:tab w:val="center" w:pos="4680"/>
        </w:tabs>
        <w:jc w:val="center"/>
        <w:rPr>
          <w:b/>
          <w:bCs/>
        </w:rPr>
      </w:pPr>
      <w:r>
        <w:rPr>
          <w:b/>
          <w:bCs/>
        </w:rPr>
        <w:t>WASHINGTON UTILITIES AND TRANSPORTATION COMMISSION</w:t>
      </w:r>
    </w:p>
    <w:tbl>
      <w:tblPr>
        <w:tblW w:w="9918" w:type="dxa"/>
        <w:tblLook w:val="04A0"/>
      </w:tblPr>
      <w:tblGrid>
        <w:gridCol w:w="5238"/>
        <w:gridCol w:w="360"/>
        <w:gridCol w:w="4320"/>
      </w:tblGrid>
      <w:tr w:rsidR="003D2170" w:rsidRPr="00F5458D" w:rsidTr="00744694">
        <w:trPr>
          <w:trHeight w:val="3312"/>
        </w:trPr>
        <w:tc>
          <w:tcPr>
            <w:tcW w:w="5238" w:type="dxa"/>
          </w:tcPr>
          <w:p w:rsidR="003D2170" w:rsidRDefault="003D2170" w:rsidP="00744694">
            <w:pPr>
              <w:ind w:right="-270"/>
              <w:rPr>
                <w:sz w:val="23"/>
                <w:szCs w:val="23"/>
              </w:rPr>
            </w:pPr>
          </w:p>
          <w:p w:rsidR="00FA2F78" w:rsidRDefault="00FA2F78" w:rsidP="00744694">
            <w:pPr>
              <w:ind w:right="-270"/>
              <w:rPr>
                <w:sz w:val="23"/>
                <w:szCs w:val="23"/>
              </w:rPr>
            </w:pPr>
          </w:p>
          <w:p w:rsidR="003D2170" w:rsidRDefault="006521EC" w:rsidP="00744694">
            <w:pPr>
              <w:ind w:right="-270"/>
              <w:rPr>
                <w:sz w:val="23"/>
                <w:szCs w:val="23"/>
              </w:rPr>
            </w:pPr>
            <w:r>
              <w:rPr>
                <w:sz w:val="23"/>
                <w:szCs w:val="23"/>
              </w:rPr>
              <w:t xml:space="preserve">WASHINGTON UTILITIES AND </w:t>
            </w:r>
          </w:p>
          <w:p w:rsidR="003D2170" w:rsidRDefault="006521EC" w:rsidP="00744694">
            <w:pPr>
              <w:ind w:right="-270"/>
              <w:rPr>
                <w:sz w:val="23"/>
                <w:szCs w:val="23"/>
              </w:rPr>
            </w:pPr>
            <w:r>
              <w:rPr>
                <w:sz w:val="23"/>
                <w:szCs w:val="23"/>
              </w:rPr>
              <w:t>TRANSPORTATION COMMISSION,</w:t>
            </w:r>
          </w:p>
          <w:p w:rsidR="003D2170" w:rsidRDefault="003D2170" w:rsidP="00744694">
            <w:pPr>
              <w:ind w:right="-270"/>
              <w:rPr>
                <w:sz w:val="23"/>
                <w:szCs w:val="23"/>
              </w:rPr>
            </w:pPr>
          </w:p>
          <w:p w:rsidR="006521EC" w:rsidRDefault="006521EC" w:rsidP="00744694">
            <w:pPr>
              <w:tabs>
                <w:tab w:val="left" w:pos="1428"/>
              </w:tabs>
              <w:ind w:left="1440" w:right="-270"/>
              <w:rPr>
                <w:sz w:val="23"/>
                <w:szCs w:val="23"/>
              </w:rPr>
            </w:pPr>
            <w:r>
              <w:rPr>
                <w:sz w:val="23"/>
                <w:szCs w:val="23"/>
              </w:rPr>
              <w:t>Complainant,</w:t>
            </w:r>
          </w:p>
          <w:p w:rsidR="006521EC" w:rsidRDefault="006521EC" w:rsidP="00744694">
            <w:pPr>
              <w:tabs>
                <w:tab w:val="left" w:pos="1428"/>
              </w:tabs>
              <w:ind w:left="1440" w:right="-270"/>
              <w:rPr>
                <w:sz w:val="23"/>
                <w:szCs w:val="23"/>
              </w:rPr>
            </w:pPr>
          </w:p>
          <w:p w:rsidR="006521EC" w:rsidRDefault="006521EC" w:rsidP="00744694">
            <w:pPr>
              <w:ind w:right="-270"/>
              <w:rPr>
                <w:sz w:val="23"/>
                <w:szCs w:val="23"/>
              </w:rPr>
            </w:pPr>
            <w:r>
              <w:rPr>
                <w:sz w:val="23"/>
                <w:szCs w:val="23"/>
              </w:rPr>
              <w:t>v.</w:t>
            </w:r>
          </w:p>
          <w:p w:rsidR="006521EC" w:rsidRDefault="006521EC" w:rsidP="00744694">
            <w:pPr>
              <w:ind w:right="-270"/>
              <w:rPr>
                <w:sz w:val="23"/>
                <w:szCs w:val="23"/>
              </w:rPr>
            </w:pPr>
          </w:p>
          <w:p w:rsidR="006521EC" w:rsidRDefault="006521EC" w:rsidP="00744694">
            <w:pPr>
              <w:ind w:right="-270"/>
              <w:rPr>
                <w:sz w:val="23"/>
                <w:szCs w:val="23"/>
              </w:rPr>
            </w:pPr>
            <w:r>
              <w:rPr>
                <w:sz w:val="23"/>
                <w:szCs w:val="23"/>
              </w:rPr>
              <w:t>AVISTA CORPORATION, dba</w:t>
            </w:r>
          </w:p>
          <w:p w:rsidR="006521EC" w:rsidRDefault="006521EC" w:rsidP="00744694">
            <w:pPr>
              <w:ind w:right="-270"/>
              <w:rPr>
                <w:sz w:val="23"/>
                <w:szCs w:val="23"/>
              </w:rPr>
            </w:pPr>
            <w:r>
              <w:rPr>
                <w:sz w:val="23"/>
                <w:szCs w:val="23"/>
              </w:rPr>
              <w:t>AVISTA UTILITIES,</w:t>
            </w:r>
          </w:p>
          <w:p w:rsidR="006521EC" w:rsidRDefault="006521EC" w:rsidP="00744694">
            <w:pPr>
              <w:ind w:right="-270"/>
              <w:rPr>
                <w:sz w:val="23"/>
                <w:szCs w:val="23"/>
              </w:rPr>
            </w:pPr>
          </w:p>
          <w:p w:rsidR="004850A5" w:rsidRPr="00FE2D3F" w:rsidRDefault="006521EC" w:rsidP="00744694">
            <w:pPr>
              <w:ind w:left="1440" w:right="-270"/>
              <w:rPr>
                <w:sz w:val="23"/>
                <w:szCs w:val="23"/>
              </w:rPr>
            </w:pPr>
            <w:r>
              <w:rPr>
                <w:sz w:val="23"/>
                <w:szCs w:val="23"/>
              </w:rPr>
              <w:t>Respondent.</w:t>
            </w:r>
            <w:r w:rsidR="00E27AD3">
              <w:t xml:space="preserve"> </w:t>
            </w:r>
          </w:p>
        </w:tc>
        <w:tc>
          <w:tcPr>
            <w:tcW w:w="360" w:type="dxa"/>
          </w:tcPr>
          <w:p w:rsidR="003D2170" w:rsidRPr="00F5458D" w:rsidRDefault="003D2170" w:rsidP="00744694">
            <w:pPr>
              <w:ind w:right="-270"/>
            </w:pPr>
          </w:p>
          <w:p w:rsidR="003D2170" w:rsidRPr="00F5458D" w:rsidRDefault="003D2170" w:rsidP="00744694">
            <w:pPr>
              <w:ind w:right="-270"/>
            </w:pPr>
          </w:p>
          <w:p w:rsidR="003D2170" w:rsidRPr="00F5458D" w:rsidRDefault="003D2170" w:rsidP="00744694">
            <w:pPr>
              <w:ind w:right="-270"/>
            </w:pPr>
            <w:r w:rsidRPr="00F5458D">
              <w:t>)</w:t>
            </w:r>
          </w:p>
          <w:p w:rsidR="009C1B5C" w:rsidRDefault="003D2170" w:rsidP="00744694">
            <w:pPr>
              <w:ind w:right="-270"/>
            </w:pPr>
            <w:r w:rsidRPr="00F5458D">
              <w:t>)</w:t>
            </w:r>
            <w:r w:rsidRPr="00F5458D">
              <w:br/>
              <w:t>)</w:t>
            </w:r>
            <w:r w:rsidRPr="00F5458D">
              <w:br/>
              <w:t>)</w:t>
            </w:r>
            <w:r w:rsidRPr="00F5458D">
              <w:br/>
              <w:t>)</w:t>
            </w:r>
            <w:r w:rsidRPr="00F5458D">
              <w:br/>
              <w:t>)</w:t>
            </w:r>
            <w:r w:rsidRPr="00F5458D">
              <w:br/>
              <w:t>)</w:t>
            </w:r>
          </w:p>
          <w:p w:rsidR="006521EC" w:rsidRDefault="000B3027" w:rsidP="00744694">
            <w:pPr>
              <w:ind w:right="-270"/>
            </w:pPr>
            <w:r w:rsidRPr="00F5458D">
              <w:t>)</w:t>
            </w:r>
          </w:p>
          <w:p w:rsidR="006521EC" w:rsidRDefault="006521EC" w:rsidP="00744694">
            <w:pPr>
              <w:ind w:right="-270"/>
            </w:pPr>
            <w:r>
              <w:t>)</w:t>
            </w:r>
          </w:p>
          <w:p w:rsidR="000B3027" w:rsidRPr="00F5458D" w:rsidRDefault="006521EC" w:rsidP="00744694">
            <w:pPr>
              <w:ind w:right="-270"/>
            </w:pPr>
            <w:r>
              <w:t>)</w:t>
            </w:r>
            <w:r w:rsidR="000B3027" w:rsidRPr="00F5458D">
              <w:t xml:space="preserve"> </w:t>
            </w:r>
          </w:p>
        </w:tc>
        <w:tc>
          <w:tcPr>
            <w:tcW w:w="4320" w:type="dxa"/>
          </w:tcPr>
          <w:p w:rsidR="003D2170" w:rsidRPr="00F5458D" w:rsidRDefault="003D2170" w:rsidP="00744694">
            <w:pPr>
              <w:ind w:right="-270"/>
            </w:pPr>
          </w:p>
          <w:p w:rsidR="003D2170" w:rsidRPr="00F5458D" w:rsidRDefault="003D2170" w:rsidP="00744694">
            <w:pPr>
              <w:ind w:right="-270"/>
            </w:pPr>
          </w:p>
          <w:p w:rsidR="003D2170" w:rsidRPr="00F5458D" w:rsidRDefault="003D2170" w:rsidP="00744694">
            <w:pPr>
              <w:ind w:right="-270"/>
            </w:pPr>
          </w:p>
          <w:p w:rsidR="003D2170" w:rsidRDefault="007000DA" w:rsidP="00744694">
            <w:pPr>
              <w:ind w:right="-270"/>
            </w:pPr>
            <w:r>
              <w:t>DOCKETS</w:t>
            </w:r>
            <w:r w:rsidR="003E09B6">
              <w:t xml:space="preserve"> U</w:t>
            </w:r>
            <w:r w:rsidR="005727A1">
              <w:t>E</w:t>
            </w:r>
            <w:r w:rsidR="003E09B6">
              <w:t>-1</w:t>
            </w:r>
            <w:r w:rsidR="006521EC">
              <w:t xml:space="preserve">50204 and </w:t>
            </w:r>
          </w:p>
          <w:p w:rsidR="003E09B6" w:rsidRDefault="006521EC" w:rsidP="00744694">
            <w:pPr>
              <w:ind w:right="-270"/>
            </w:pPr>
            <w:r>
              <w:t xml:space="preserve">UG-150205 </w:t>
            </w:r>
            <w:r w:rsidRPr="006521EC">
              <w:rPr>
                <w:i/>
              </w:rPr>
              <w:t>(Consolidated)</w:t>
            </w:r>
          </w:p>
          <w:p w:rsidR="00C461E0" w:rsidRDefault="003D2170" w:rsidP="00744694">
            <w:pPr>
              <w:ind w:right="-270"/>
            </w:pPr>
            <w:r>
              <w:t xml:space="preserve"> </w:t>
            </w:r>
          </w:p>
          <w:p w:rsidR="00BF7427" w:rsidRDefault="00BF7427" w:rsidP="00744694">
            <w:pPr>
              <w:ind w:right="-270"/>
            </w:pPr>
          </w:p>
          <w:p w:rsidR="006521EC" w:rsidRPr="00F5458D" w:rsidRDefault="00BF7427" w:rsidP="009C23AF">
            <w:pPr>
              <w:ind w:right="-270"/>
            </w:pPr>
            <w:r>
              <w:t xml:space="preserve">AVISTA’S </w:t>
            </w:r>
            <w:r w:rsidR="009C23AF">
              <w:t>RESPONSE TO STAFF’S MOTION TO REOPEN THE RECORD</w:t>
            </w:r>
          </w:p>
        </w:tc>
      </w:tr>
      <w:tr w:rsidR="006521EC" w:rsidRPr="00F5458D" w:rsidTr="00744694">
        <w:trPr>
          <w:trHeight w:val="80"/>
        </w:trPr>
        <w:tc>
          <w:tcPr>
            <w:tcW w:w="5238" w:type="dxa"/>
            <w:tcBorders>
              <w:bottom w:val="single" w:sz="4" w:space="0" w:color="auto"/>
            </w:tcBorders>
          </w:tcPr>
          <w:p w:rsidR="006521EC" w:rsidRDefault="006521EC" w:rsidP="00744694">
            <w:pPr>
              <w:ind w:right="-270"/>
              <w:rPr>
                <w:sz w:val="23"/>
                <w:szCs w:val="23"/>
              </w:rPr>
            </w:pPr>
          </w:p>
        </w:tc>
        <w:tc>
          <w:tcPr>
            <w:tcW w:w="360" w:type="dxa"/>
          </w:tcPr>
          <w:p w:rsidR="006521EC" w:rsidRPr="00F5458D" w:rsidRDefault="006521EC" w:rsidP="00744694">
            <w:pPr>
              <w:ind w:right="-270"/>
            </w:pPr>
            <w:r>
              <w:t>)</w:t>
            </w:r>
          </w:p>
        </w:tc>
        <w:tc>
          <w:tcPr>
            <w:tcW w:w="4320" w:type="dxa"/>
          </w:tcPr>
          <w:p w:rsidR="006521EC" w:rsidRPr="00F5458D" w:rsidRDefault="006521EC" w:rsidP="00744694">
            <w:pPr>
              <w:ind w:right="-270"/>
            </w:pPr>
          </w:p>
        </w:tc>
      </w:tr>
    </w:tbl>
    <w:p w:rsidR="003D2170" w:rsidRDefault="003D21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C1476B" w:rsidRDefault="00C147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FA2F78" w:rsidRDefault="00FA2F78" w:rsidP="00FA2F78"/>
    <w:p w:rsidR="00237239" w:rsidRDefault="00F86745" w:rsidP="00F86745">
      <w:pPr>
        <w:pStyle w:val="Header"/>
        <w:numPr>
          <w:ilvl w:val="0"/>
          <w:numId w:val="13"/>
        </w:numPr>
        <w:tabs>
          <w:tab w:val="clear" w:pos="240"/>
          <w:tab w:val="left" w:pos="720"/>
        </w:tabs>
        <w:autoSpaceDE w:val="0"/>
        <w:autoSpaceDN w:val="0"/>
        <w:adjustRightInd w:val="0"/>
        <w:spacing w:line="480" w:lineRule="auto"/>
        <w:jc w:val="both"/>
      </w:pPr>
      <w:r>
        <w:t xml:space="preserve">       Comes Now, Avista Corporation (hereafter “Avista” or “Company”) and respectfully </w:t>
      </w:r>
      <w:r w:rsidR="009C23AF">
        <w:t xml:space="preserve">responds to Staff’s </w:t>
      </w:r>
      <w:r w:rsidR="009C23AF" w:rsidRPr="00DE779C">
        <w:rPr>
          <w:szCs w:val="25"/>
        </w:rPr>
        <w:t>Motion to Reopen the Record for the Limited Purpose of Receiving into Evidence Instruction on Use and Application of Staff’s Attrition Model</w:t>
      </w:r>
      <w:r>
        <w:t>, as filed on February 4, 2016 (hereafter “Staff’s Motion</w:t>
      </w:r>
      <w:r w:rsidR="009014D8">
        <w:t xml:space="preserve"> to Reopen</w:t>
      </w:r>
      <w:r>
        <w:t>”</w:t>
      </w:r>
      <w:r w:rsidR="009C23AF">
        <w:t>)</w:t>
      </w:r>
      <w:r w:rsidR="00062EED">
        <w:t>.</w:t>
      </w:r>
      <w:r w:rsidR="000569AB">
        <w:t xml:space="preserve">       </w:t>
      </w:r>
    </w:p>
    <w:p w:rsidR="00DE779C" w:rsidRDefault="00DE779C" w:rsidP="00F86745">
      <w:pPr>
        <w:pStyle w:val="Header"/>
        <w:numPr>
          <w:ilvl w:val="0"/>
          <w:numId w:val="13"/>
        </w:numPr>
        <w:tabs>
          <w:tab w:val="clear" w:pos="240"/>
          <w:tab w:val="left" w:pos="720"/>
        </w:tabs>
        <w:autoSpaceDE w:val="0"/>
        <w:autoSpaceDN w:val="0"/>
        <w:adjustRightInd w:val="0"/>
        <w:spacing w:line="480" w:lineRule="auto"/>
        <w:jc w:val="both"/>
      </w:pPr>
      <w:r>
        <w:t xml:space="preserve">       </w:t>
      </w:r>
      <w:r w:rsidR="00F86745">
        <w:t xml:space="preserve">In </w:t>
      </w:r>
      <w:r>
        <w:t>its January 28, 2016 Motion/P</w:t>
      </w:r>
      <w:r w:rsidR="009014D8">
        <w:t>etition</w:t>
      </w:r>
      <w:r>
        <w:rPr>
          <w:rStyle w:val="FootnoteReference"/>
        </w:rPr>
        <w:footnoteReference w:id="2"/>
      </w:r>
      <w:r>
        <w:t xml:space="preserve">, </w:t>
      </w:r>
      <w:r w:rsidR="00F86745">
        <w:t>Avista explained why the end result reached by the Commission in its Order No. 05 in these dockets, providin</w:t>
      </w:r>
      <w:r w:rsidR="004D2228">
        <w:t>g for a base revenue</w:t>
      </w:r>
      <w:r w:rsidR="00F86745">
        <w:t xml:space="preserve"> decrea</w:t>
      </w:r>
      <w:r w:rsidR="004D2228">
        <w:t>se of $8.1 million, although a greater decrease</w:t>
      </w:r>
      <w:r w:rsidR="00F86745">
        <w:t xml:space="preserve"> than reques</w:t>
      </w:r>
      <w:r w:rsidR="004D2228">
        <w:t>ted by the Company,</w:t>
      </w:r>
      <w:r w:rsidR="00F86745">
        <w:t xml:space="preserve"> provided the Company with a reasonable opportunity to earn the agreed-upon 9.5% return on equity (ROE).  In the final analysis, without such a reasonable opportunity, the rates will not be just, reasonable or sufficient with</w:t>
      </w:r>
      <w:r w:rsidR="000C2129">
        <w:t>in</w:t>
      </w:r>
      <w:r w:rsidR="00F86745">
        <w:t xml:space="preserve"> the meaning of RCW 80.20.010.</w:t>
      </w:r>
    </w:p>
    <w:p w:rsidR="00F86745" w:rsidRDefault="00774A21" w:rsidP="00F86745">
      <w:pPr>
        <w:pStyle w:val="Header"/>
        <w:numPr>
          <w:ilvl w:val="0"/>
          <w:numId w:val="13"/>
        </w:numPr>
        <w:tabs>
          <w:tab w:val="clear" w:pos="240"/>
          <w:tab w:val="left" w:pos="720"/>
        </w:tabs>
        <w:autoSpaceDE w:val="0"/>
        <w:autoSpaceDN w:val="0"/>
        <w:adjustRightInd w:val="0"/>
        <w:spacing w:line="480" w:lineRule="auto"/>
        <w:jc w:val="both"/>
      </w:pPr>
      <w:r>
        <w:lastRenderedPageBreak/>
        <w:t xml:space="preserve">       </w:t>
      </w:r>
      <w:r w:rsidR="00F86745">
        <w:t>In Staff’s Motion</w:t>
      </w:r>
      <w:r w:rsidR="00DE779C">
        <w:t xml:space="preserve"> To Reopen</w:t>
      </w:r>
      <w:r w:rsidR="00F86745">
        <w:t xml:space="preserve">, it argues that its “updated revenue requirement for Avista’s electric operations is a </w:t>
      </w:r>
      <w:r w:rsidR="00F86745" w:rsidRPr="00DE779C">
        <w:rPr>
          <w:i/>
        </w:rPr>
        <w:t>negative</w:t>
      </w:r>
      <w:r w:rsidR="00F86745">
        <w:t xml:space="preserve"> $19.6 million, a reduction of approximately $11.5 million in the revenue requirement set forth in Order 05.”</w:t>
      </w:r>
      <w:r w:rsidR="00F86745">
        <w:rPr>
          <w:rStyle w:val="FootnoteReference"/>
        </w:rPr>
        <w:footnoteReference w:id="3"/>
      </w:r>
      <w:r w:rsidR="00F86745">
        <w:t xml:space="preserve">  Staff then contends that:</w:t>
      </w:r>
    </w:p>
    <w:p w:rsidR="00F86745" w:rsidRDefault="00F86745" w:rsidP="00F86745">
      <w:pPr>
        <w:pStyle w:val="Header"/>
        <w:tabs>
          <w:tab w:val="left" w:pos="720"/>
        </w:tabs>
        <w:autoSpaceDE w:val="0"/>
        <w:autoSpaceDN w:val="0"/>
        <w:adjustRightInd w:val="0"/>
        <w:ind w:left="720"/>
        <w:jc w:val="both"/>
      </w:pPr>
      <w:r>
        <w:t xml:space="preserve">Moreover, reopening the record </w:t>
      </w:r>
      <w:r w:rsidRPr="00774A21">
        <w:rPr>
          <w:u w:val="single"/>
        </w:rPr>
        <w:t>would not prejudice any party</w:t>
      </w:r>
      <w:r>
        <w:t>.  This is so even i</w:t>
      </w:r>
      <w:r w:rsidR="00774A21">
        <w:t>f</w:t>
      </w:r>
      <w:r>
        <w:t xml:space="preserve"> the </w:t>
      </w:r>
      <w:r w:rsidR="00774A21">
        <w:t>Commission’s</w:t>
      </w:r>
      <w:r>
        <w:t xml:space="preserve"> review results in a properly revised revenue requirement.  </w:t>
      </w:r>
      <w:r w:rsidRPr="00774A21">
        <w:rPr>
          <w:u w:val="single"/>
        </w:rPr>
        <w:t>No party can claim to be harmed</w:t>
      </w:r>
      <w:r>
        <w:t xml:space="preserve"> by the </w:t>
      </w:r>
      <w:r w:rsidR="00774A21">
        <w:t>Commission</w:t>
      </w:r>
      <w:r>
        <w:t xml:space="preserve"> action </w:t>
      </w:r>
      <w:r w:rsidRPr="00774A21">
        <w:rPr>
          <w:u w:val="single"/>
        </w:rPr>
        <w:t xml:space="preserve">correcting a </w:t>
      </w:r>
      <w:r w:rsidR="00774A21" w:rsidRPr="00774A21">
        <w:rPr>
          <w:u w:val="single"/>
        </w:rPr>
        <w:t>calculation</w:t>
      </w:r>
      <w:r>
        <w:t>. (emphasis added)</w:t>
      </w:r>
    </w:p>
    <w:p w:rsidR="00F86745" w:rsidRDefault="00F86745" w:rsidP="00F86745">
      <w:pPr>
        <w:pStyle w:val="Header"/>
        <w:tabs>
          <w:tab w:val="left" w:pos="720"/>
        </w:tabs>
        <w:autoSpaceDE w:val="0"/>
        <w:autoSpaceDN w:val="0"/>
        <w:adjustRightInd w:val="0"/>
        <w:ind w:left="-576"/>
        <w:jc w:val="both"/>
      </w:pPr>
    </w:p>
    <w:p w:rsidR="0032202E" w:rsidRDefault="0032202E" w:rsidP="00F86745">
      <w:pPr>
        <w:pStyle w:val="Header"/>
        <w:numPr>
          <w:ilvl w:val="0"/>
          <w:numId w:val="13"/>
        </w:numPr>
        <w:tabs>
          <w:tab w:val="clear" w:pos="240"/>
          <w:tab w:val="left" w:pos="720"/>
        </w:tabs>
        <w:autoSpaceDE w:val="0"/>
        <w:autoSpaceDN w:val="0"/>
        <w:adjustRightInd w:val="0"/>
        <w:spacing w:line="480" w:lineRule="auto"/>
        <w:jc w:val="both"/>
      </w:pPr>
      <w:r>
        <w:t xml:space="preserve">       Staff’s proposal in its Motion to Reopen is </w:t>
      </w:r>
      <w:r w:rsidR="00774A21">
        <w:t>much more than just “correcting a calculation</w:t>
      </w:r>
      <w:r>
        <w:t>.”  The impact of Staff’s proposal, if it were adopted,</w:t>
      </w:r>
      <w:r w:rsidR="00774A21">
        <w:t xml:space="preserve"> would produce an end result (a $19.6 million </w:t>
      </w:r>
      <w:r>
        <w:t xml:space="preserve">revenue </w:t>
      </w:r>
      <w:r w:rsidR="00774A21">
        <w:t xml:space="preserve">reduction) that is </w:t>
      </w:r>
      <w:r w:rsidR="00446859">
        <w:t xml:space="preserve">a </w:t>
      </w:r>
      <w:r>
        <w:t>significant departure from the $8.1 million “end result” revenue decrease that the Commission has foun</w:t>
      </w:r>
      <w:r w:rsidR="00446859">
        <w:t xml:space="preserve">d </w:t>
      </w:r>
      <w:r w:rsidR="00D3655F">
        <w:t xml:space="preserve">to be reasonable </w:t>
      </w:r>
      <w:r w:rsidR="00446859">
        <w:t>in Order 05.  This significant departure would most certainly “prejudice” Avista, and the Company would “be harmed by the Commission action.”</w:t>
      </w:r>
    </w:p>
    <w:p w:rsidR="00446859" w:rsidRDefault="00446859" w:rsidP="00F86745">
      <w:pPr>
        <w:pStyle w:val="Header"/>
        <w:numPr>
          <w:ilvl w:val="0"/>
          <w:numId w:val="13"/>
        </w:numPr>
        <w:tabs>
          <w:tab w:val="clear" w:pos="240"/>
          <w:tab w:val="left" w:pos="720"/>
        </w:tabs>
        <w:autoSpaceDE w:val="0"/>
        <w:autoSpaceDN w:val="0"/>
        <w:adjustRightInd w:val="0"/>
        <w:spacing w:line="480" w:lineRule="auto"/>
        <w:jc w:val="both"/>
      </w:pPr>
      <w:r>
        <w:t xml:space="preserve">       The Commission Staff’s Motion to Reopen presumes that the Commission did not take into consideration all of the evidence of record in arriving at its electric rev</w:t>
      </w:r>
      <w:r w:rsidR="001C071E">
        <w:t xml:space="preserve">enue decrease of $8.1 million.  At the Order Conference </w:t>
      </w:r>
      <w:r w:rsidR="00E73373">
        <w:t xml:space="preserve">on February 3, 2016, the Commission’s Accounting Advisor made a slide presentation which included, among other things, </w:t>
      </w:r>
      <w:r w:rsidR="009E615B">
        <w:t xml:space="preserve">the presentation of </w:t>
      </w:r>
      <w:r w:rsidR="00E73373">
        <w:t xml:space="preserve">various calculations within the attrition model </w:t>
      </w:r>
      <w:r w:rsidR="0072050D">
        <w:t>supporting</w:t>
      </w:r>
      <w:r w:rsidR="00E73373">
        <w:t xml:space="preserve"> the Commission</w:t>
      </w:r>
      <w:r w:rsidR="0072050D">
        <w:t>’s</w:t>
      </w:r>
      <w:r w:rsidR="00E73373">
        <w:t xml:space="preserve"> </w:t>
      </w:r>
      <w:r w:rsidR="0072050D">
        <w:t>derivation of</w:t>
      </w:r>
      <w:r w:rsidR="00E73373">
        <w:t xml:space="preserve"> the $8.1 million revenue decrease.  These slides reflected adjustments related to items such as the operations and maintenance (O&amp;M) escalator, full recovery of the costs associated with Project Compass, and the update</w:t>
      </w:r>
      <w:r w:rsidR="009014D8">
        <w:t>d</w:t>
      </w:r>
      <w:r w:rsidR="00E73373">
        <w:t xml:space="preserve"> power supply costs filed by Avista on October 29, 2015.  Importantly, these slides showed the effect of all of these adjustments</w:t>
      </w:r>
      <w:r w:rsidR="00546506">
        <w:t>,</w:t>
      </w:r>
      <w:r w:rsidR="00393728">
        <w:t xml:space="preserve"> including the updated </w:t>
      </w:r>
      <w:r w:rsidR="00546506">
        <w:lastRenderedPageBreak/>
        <w:t xml:space="preserve">power supply costs.  Therefore, the Commission </w:t>
      </w:r>
      <w:r w:rsidR="00DE779C">
        <w:t>took these adjustments into account</w:t>
      </w:r>
      <w:r w:rsidR="00795486">
        <w:t xml:space="preserve"> as it</w:t>
      </w:r>
      <w:r w:rsidR="00546506">
        <w:t xml:space="preserve"> m</w:t>
      </w:r>
      <w:r w:rsidR="00795486">
        <w:t xml:space="preserve">ade its </w:t>
      </w:r>
      <w:r w:rsidR="00546506">
        <w:t>determination of a just and reasonable end result in this case.</w:t>
      </w:r>
    </w:p>
    <w:p w:rsidR="00977684" w:rsidRDefault="00977684" w:rsidP="00F86745">
      <w:pPr>
        <w:pStyle w:val="Header"/>
        <w:numPr>
          <w:ilvl w:val="0"/>
          <w:numId w:val="13"/>
        </w:numPr>
        <w:tabs>
          <w:tab w:val="clear" w:pos="240"/>
          <w:tab w:val="left" w:pos="720"/>
        </w:tabs>
        <w:autoSpaceDE w:val="0"/>
        <w:autoSpaceDN w:val="0"/>
        <w:adjustRightInd w:val="0"/>
        <w:spacing w:line="480" w:lineRule="auto"/>
        <w:jc w:val="both"/>
      </w:pPr>
      <w:r>
        <w:t xml:space="preserve">       In its Order 05 on page 1</w:t>
      </w:r>
      <w:r w:rsidR="005811AF">
        <w:t>,</w:t>
      </w:r>
      <w:r>
        <w:t xml:space="preserve"> the Commission was clear that it made its decision “after full consideration of the record, . . .”</w:t>
      </w:r>
      <w:r w:rsidR="00913D38">
        <w:t xml:space="preserve"> </w:t>
      </w:r>
      <w:r w:rsidR="00001C83">
        <w:t xml:space="preserve"> Further, on page 2</w:t>
      </w:r>
      <w:r w:rsidR="00913D38">
        <w:t xml:space="preserve"> the Commission stated, “After these changes to the methodology </w:t>
      </w:r>
      <w:r w:rsidR="00913D38" w:rsidRPr="00001C83">
        <w:rPr>
          <w:u w:val="single"/>
        </w:rPr>
        <w:t>based on the facts and circumstances of this case</w:t>
      </w:r>
      <w:r w:rsidR="00913D38">
        <w:t>, we find the revenue requirement for Avista’s electric service should be reduced by $8.1 million.”</w:t>
      </w:r>
      <w:r w:rsidR="00001C83">
        <w:t xml:space="preserve">  (emphasis added)</w:t>
      </w:r>
      <w:r w:rsidR="00913D38">
        <w:t xml:space="preserve"> </w:t>
      </w:r>
      <w:r w:rsidR="00001C83">
        <w:t xml:space="preserve"> </w:t>
      </w:r>
      <w:r w:rsidR="00913D38">
        <w:t xml:space="preserve">With regard to the O&amp;M escalators adopted by the Commission for the attrition study, the Commission stated, “The use of escalation factors from attrition studies to set rates is also a matter of </w:t>
      </w:r>
      <w:r w:rsidR="00913D38" w:rsidRPr="00001C83">
        <w:rPr>
          <w:u w:val="single"/>
        </w:rPr>
        <w:t xml:space="preserve">informed </w:t>
      </w:r>
      <w:r w:rsidR="004E514E" w:rsidRPr="00001C83">
        <w:rPr>
          <w:u w:val="single"/>
        </w:rPr>
        <w:t>judgment</w:t>
      </w:r>
      <w:r w:rsidR="00913D38">
        <w:t>.”</w:t>
      </w:r>
      <w:r w:rsidR="00913D38">
        <w:rPr>
          <w:rStyle w:val="FootnoteReference"/>
        </w:rPr>
        <w:footnoteReference w:id="4"/>
      </w:r>
      <w:r w:rsidR="00001C83">
        <w:t xml:space="preserve">  (emphasis added)  </w:t>
      </w:r>
      <w:r w:rsidR="0074023E">
        <w:t>And on page 48 the Commission stated as follows:</w:t>
      </w:r>
    </w:p>
    <w:p w:rsidR="0074023E" w:rsidRDefault="0074023E" w:rsidP="00EC1E5C">
      <w:pPr>
        <w:pStyle w:val="Header"/>
        <w:numPr>
          <w:ilvl w:val="0"/>
          <w:numId w:val="13"/>
        </w:numPr>
        <w:tabs>
          <w:tab w:val="clear" w:pos="240"/>
          <w:tab w:val="left" w:pos="720"/>
        </w:tabs>
        <w:autoSpaceDE w:val="0"/>
        <w:autoSpaceDN w:val="0"/>
        <w:adjustRightInd w:val="0"/>
        <w:ind w:left="720" w:hanging="1296"/>
        <w:jc w:val="both"/>
      </w:pPr>
      <w:r>
        <w:t xml:space="preserve">Where, as in this case, there is some, but not complete, evidence to demonstrate that the circumstances driving attrition are outside of the Company’s control, </w:t>
      </w:r>
      <w:r w:rsidRPr="00EC1E5C">
        <w:rPr>
          <w:u w:val="single"/>
        </w:rPr>
        <w:t>the Commission retains broad discretion to consider other factors</w:t>
      </w:r>
      <w:r>
        <w:t xml:space="preserve">, such as the Company’s intent to file another rate case within the next year, and the analysis under </w:t>
      </w:r>
      <w:r w:rsidRPr="0074023E">
        <w:rPr>
          <w:i/>
        </w:rPr>
        <w:t>Hope, Bluefield,</w:t>
      </w:r>
      <w:r>
        <w:t xml:space="preserve"> and </w:t>
      </w:r>
      <w:r w:rsidRPr="0074023E">
        <w:rPr>
          <w:i/>
        </w:rPr>
        <w:t>Permian Basin</w:t>
      </w:r>
      <w:r>
        <w:t xml:space="preserve">.  We believe </w:t>
      </w:r>
      <w:r w:rsidRPr="00EC1E5C">
        <w:rPr>
          <w:u w:val="single"/>
        </w:rPr>
        <w:t>we can exercise broad discretion to consider such seminal cases using our informed judgment</w:t>
      </w:r>
      <w:r>
        <w:t xml:space="preserve"> in deciding whether or not an attrition adjustment is warranted given the specific facts and circumstances in a rate case.</w:t>
      </w:r>
      <w:r w:rsidR="00EC1E5C">
        <w:t xml:space="preserve">  (emphasis added)</w:t>
      </w:r>
    </w:p>
    <w:p w:rsidR="0074023E" w:rsidRDefault="0074023E" w:rsidP="00EC1E5C">
      <w:pPr>
        <w:pStyle w:val="Header"/>
        <w:tabs>
          <w:tab w:val="left" w:pos="720"/>
        </w:tabs>
        <w:autoSpaceDE w:val="0"/>
        <w:autoSpaceDN w:val="0"/>
        <w:adjustRightInd w:val="0"/>
        <w:spacing w:line="480" w:lineRule="auto"/>
        <w:jc w:val="both"/>
      </w:pPr>
    </w:p>
    <w:p w:rsidR="00572D84" w:rsidRDefault="00EC1E5C" w:rsidP="00EC1E5C">
      <w:pPr>
        <w:pStyle w:val="Header"/>
        <w:numPr>
          <w:ilvl w:val="0"/>
          <w:numId w:val="13"/>
        </w:numPr>
        <w:tabs>
          <w:tab w:val="clear" w:pos="240"/>
          <w:tab w:val="left" w:pos="720"/>
        </w:tabs>
        <w:autoSpaceDE w:val="0"/>
        <w:autoSpaceDN w:val="0"/>
        <w:adjustRightInd w:val="0"/>
        <w:spacing w:line="480" w:lineRule="auto"/>
        <w:jc w:val="both"/>
      </w:pPr>
      <w:r>
        <w:t xml:space="preserve">       The Commission retains </w:t>
      </w:r>
      <w:r w:rsidR="00E24A59">
        <w:t>“</w:t>
      </w:r>
      <w:r>
        <w:t>broad discretion</w:t>
      </w:r>
      <w:r w:rsidR="00E24A59">
        <w:t>,” based on its “informed judgment,”</w:t>
      </w:r>
      <w:r>
        <w:t xml:space="preserve"> to not only determine “whether or not an attrition adjustment is warranted,” but also the size of the attritio</w:t>
      </w:r>
      <w:r w:rsidR="00D21289">
        <w:t>n adjustment as it takes into consideration all of the</w:t>
      </w:r>
      <w:r>
        <w:t xml:space="preserve"> evidence in the record.</w:t>
      </w:r>
      <w:r w:rsidR="005811AF">
        <w:t xml:space="preserve">  </w:t>
      </w:r>
      <w:r w:rsidR="00572D84">
        <w:t>And this is precisely what the Commission indicated it did when it stated as follows:</w:t>
      </w:r>
    </w:p>
    <w:p w:rsidR="0095039E" w:rsidRDefault="00572D84" w:rsidP="0095039E">
      <w:pPr>
        <w:pStyle w:val="Header"/>
        <w:tabs>
          <w:tab w:val="left" w:pos="720"/>
        </w:tabs>
        <w:autoSpaceDE w:val="0"/>
        <w:autoSpaceDN w:val="0"/>
        <w:adjustRightInd w:val="0"/>
        <w:ind w:left="720"/>
        <w:jc w:val="both"/>
      </w:pPr>
      <w:r>
        <w:t xml:space="preserve">Thus, </w:t>
      </w:r>
      <w:r w:rsidRPr="00B90522">
        <w:rPr>
          <w:u w:val="single"/>
        </w:rPr>
        <w:t>after considering the evidence in this case, as well as our public interest obligations and the “end-result” test</w:t>
      </w:r>
      <w:r>
        <w:t xml:space="preserve"> cited above, </w:t>
      </w:r>
      <w:r w:rsidRPr="00B90522">
        <w:t>we grant an attrition adjustment</w:t>
      </w:r>
      <w:r>
        <w:t xml:space="preserve"> in electric operations in this case.</w:t>
      </w:r>
      <w:r w:rsidR="005E149A">
        <w:rPr>
          <w:rStyle w:val="FootnoteReference"/>
        </w:rPr>
        <w:footnoteReference w:id="5"/>
      </w:r>
      <w:r w:rsidR="00B90522">
        <w:t xml:space="preserve">  (emphasis added)</w:t>
      </w:r>
    </w:p>
    <w:p w:rsidR="0095039E" w:rsidRDefault="0095039E" w:rsidP="0095039E">
      <w:pPr>
        <w:pStyle w:val="Header"/>
        <w:tabs>
          <w:tab w:val="left" w:pos="720"/>
        </w:tabs>
        <w:autoSpaceDE w:val="0"/>
        <w:autoSpaceDN w:val="0"/>
        <w:adjustRightInd w:val="0"/>
        <w:ind w:left="720"/>
        <w:jc w:val="both"/>
      </w:pPr>
    </w:p>
    <w:p w:rsidR="00572D84" w:rsidRDefault="005811AF" w:rsidP="005811AF">
      <w:pPr>
        <w:pStyle w:val="Header"/>
        <w:tabs>
          <w:tab w:val="left" w:pos="720"/>
        </w:tabs>
        <w:autoSpaceDE w:val="0"/>
        <w:autoSpaceDN w:val="0"/>
        <w:adjustRightInd w:val="0"/>
        <w:spacing w:line="480" w:lineRule="auto"/>
        <w:ind w:left="270"/>
        <w:jc w:val="both"/>
      </w:pPr>
      <w:r>
        <w:lastRenderedPageBreak/>
        <w:t>The Commission continued</w:t>
      </w:r>
      <w:r w:rsidR="00572D84">
        <w:t>:</w:t>
      </w:r>
    </w:p>
    <w:p w:rsidR="00795486" w:rsidRDefault="00414AE7" w:rsidP="0095039E">
      <w:pPr>
        <w:pStyle w:val="Header"/>
        <w:tabs>
          <w:tab w:val="left" w:pos="720"/>
        </w:tabs>
        <w:autoSpaceDE w:val="0"/>
        <w:autoSpaceDN w:val="0"/>
        <w:adjustRightInd w:val="0"/>
        <w:ind w:left="720"/>
        <w:jc w:val="both"/>
      </w:pPr>
      <w:r>
        <w:t>Accordingly, we find the overall revenue requirement for Avista’</w:t>
      </w:r>
      <w:r w:rsidR="004C70F3">
        <w:t xml:space="preserve">s electric service should be reduced by approximately $8.1 million, based upon the results of a modified historical test year with known and measurable pro forma adjustments, including an attrition adjustment of approximately $28.3 million.  While the </w:t>
      </w:r>
      <w:r w:rsidR="004C70F3" w:rsidRPr="00B90522">
        <w:rPr>
          <w:u w:val="single"/>
        </w:rPr>
        <w:t>end result</w:t>
      </w:r>
      <w:r w:rsidR="004C70F3">
        <w:t xml:space="preserve"> is still a reduction in revenue requirement for Avista’s electric service, it is significantly less than what would result from adopting Staff’s pro forma analysis or the intervenor’s revenue requirement recommendations.</w:t>
      </w:r>
      <w:r w:rsidR="004C70F3">
        <w:rPr>
          <w:rStyle w:val="FootnoteReference"/>
        </w:rPr>
        <w:footnoteReference w:id="6"/>
      </w:r>
      <w:r w:rsidR="00B90522">
        <w:t xml:space="preserve">  (emphasis added)</w:t>
      </w:r>
    </w:p>
    <w:p w:rsidR="004C70F3" w:rsidRDefault="004C70F3" w:rsidP="0095039E">
      <w:pPr>
        <w:pStyle w:val="Header"/>
        <w:tabs>
          <w:tab w:val="left" w:pos="720"/>
        </w:tabs>
        <w:autoSpaceDE w:val="0"/>
        <w:autoSpaceDN w:val="0"/>
        <w:adjustRightInd w:val="0"/>
        <w:ind w:left="360"/>
        <w:jc w:val="both"/>
      </w:pPr>
    </w:p>
    <w:p w:rsidR="000E343C" w:rsidRPr="001610A9" w:rsidRDefault="004C70F3" w:rsidP="001610A9">
      <w:pPr>
        <w:pStyle w:val="Header"/>
        <w:numPr>
          <w:ilvl w:val="0"/>
          <w:numId w:val="13"/>
        </w:numPr>
        <w:tabs>
          <w:tab w:val="clear" w:pos="240"/>
          <w:tab w:val="left" w:pos="720"/>
        </w:tabs>
        <w:autoSpaceDE w:val="0"/>
        <w:autoSpaceDN w:val="0"/>
        <w:adjustRightInd w:val="0"/>
        <w:spacing w:line="480" w:lineRule="auto"/>
        <w:jc w:val="both"/>
      </w:pPr>
      <w:r>
        <w:t xml:space="preserve">       </w:t>
      </w:r>
      <w:r w:rsidR="00C833D1">
        <w:t>To suggest</w:t>
      </w:r>
      <w:r w:rsidR="00C833D1" w:rsidRPr="00C833D1">
        <w:t xml:space="preserve"> </w:t>
      </w:r>
      <w:r w:rsidR="00C833D1">
        <w:t>that</w:t>
      </w:r>
      <w:r w:rsidR="009D3224">
        <w:t xml:space="preserve"> the</w:t>
      </w:r>
      <w:r w:rsidR="00C833D1">
        <w:t xml:space="preserve"> Commission made a mistake on one component</w:t>
      </w:r>
      <w:r w:rsidR="0072050D">
        <w:t xml:space="preserve">, </w:t>
      </w:r>
      <w:r w:rsidR="000E343C">
        <w:t>which would then lead to</w:t>
      </w:r>
      <w:r w:rsidR="00795486">
        <w:t xml:space="preserve"> a sig</w:t>
      </w:r>
      <w:r w:rsidR="000E343C">
        <w:t>nificant change to the outcome by</w:t>
      </w:r>
      <w:r w:rsidR="00795486">
        <w:t xml:space="preserve"> </w:t>
      </w:r>
      <w:r w:rsidR="000E343C">
        <w:t>adopting</w:t>
      </w:r>
      <w:r w:rsidR="00795486">
        <w:t xml:space="preserve"> </w:t>
      </w:r>
      <w:r w:rsidR="00BC6611">
        <w:t>a</w:t>
      </w:r>
      <w:r w:rsidR="000E343C">
        <w:t xml:space="preserve"> “correction”</w:t>
      </w:r>
      <w:r w:rsidR="00795486">
        <w:t xml:space="preserve"> at face value</w:t>
      </w:r>
      <w:r w:rsidR="005811AF">
        <w:t>,</w:t>
      </w:r>
      <w:r w:rsidR="00795486">
        <w:t xml:space="preserve"> </w:t>
      </w:r>
      <w:r w:rsidR="00C833D1">
        <w:t>is misplaced.</w:t>
      </w:r>
      <w:r w:rsidR="00774A21">
        <w:t xml:space="preserve">       </w:t>
      </w:r>
    </w:p>
    <w:p w:rsidR="00125355" w:rsidRDefault="00125355" w:rsidP="00B77CE1">
      <w:pPr>
        <w:pStyle w:val="Header"/>
        <w:tabs>
          <w:tab w:val="left" w:pos="720"/>
        </w:tabs>
        <w:autoSpaceDE w:val="0"/>
        <w:autoSpaceDN w:val="0"/>
        <w:adjustRightInd w:val="0"/>
        <w:spacing w:line="480" w:lineRule="auto"/>
        <w:ind w:left="270"/>
        <w:jc w:val="both"/>
        <w:rPr>
          <w:b/>
          <w:color w:val="000000" w:themeColor="text1"/>
          <w:u w:val="single"/>
        </w:rPr>
      </w:pPr>
    </w:p>
    <w:p w:rsidR="00B76890" w:rsidRPr="000E343C" w:rsidRDefault="00B76890" w:rsidP="00B77CE1">
      <w:pPr>
        <w:pStyle w:val="Header"/>
        <w:tabs>
          <w:tab w:val="left" w:pos="720"/>
        </w:tabs>
        <w:autoSpaceDE w:val="0"/>
        <w:autoSpaceDN w:val="0"/>
        <w:adjustRightInd w:val="0"/>
        <w:spacing w:line="480" w:lineRule="auto"/>
        <w:ind w:left="270"/>
        <w:jc w:val="both"/>
        <w:rPr>
          <w:b/>
          <w:color w:val="000000" w:themeColor="text1"/>
          <w:u w:val="single"/>
        </w:rPr>
      </w:pPr>
      <w:r w:rsidRPr="000E343C">
        <w:rPr>
          <w:b/>
          <w:color w:val="000000" w:themeColor="text1"/>
          <w:u w:val="single"/>
        </w:rPr>
        <w:t>A.  The Electric Revenue Decrease of $8.1 Million</w:t>
      </w:r>
    </w:p>
    <w:p w:rsidR="00B76890" w:rsidRPr="000967E5" w:rsidRDefault="00B76890" w:rsidP="00B76890">
      <w:pPr>
        <w:pStyle w:val="ListParagraph"/>
        <w:numPr>
          <w:ilvl w:val="0"/>
          <w:numId w:val="13"/>
        </w:numPr>
        <w:spacing w:line="480" w:lineRule="auto"/>
        <w:jc w:val="both"/>
        <w:rPr>
          <w:color w:val="000000" w:themeColor="text1"/>
        </w:rPr>
      </w:pPr>
      <w:r>
        <w:t xml:space="preserve">       </w:t>
      </w:r>
      <w:r w:rsidRPr="000967E5">
        <w:rPr>
          <w:color w:val="000000" w:themeColor="text1"/>
        </w:rPr>
        <w:t xml:space="preserve">The Commission-approved electric revenue decrease of $8.1 million is a </w:t>
      </w:r>
      <w:r w:rsidRPr="000967E5">
        <w:rPr>
          <w:color w:val="000000" w:themeColor="text1"/>
          <w:u w:val="single"/>
        </w:rPr>
        <w:t>larger decrease</w:t>
      </w:r>
      <w:r w:rsidRPr="000967E5">
        <w:rPr>
          <w:color w:val="000000" w:themeColor="text1"/>
        </w:rPr>
        <w:t xml:space="preserve"> than the decrease proposed and supported by Avista at the time the record closed in this </w:t>
      </w:r>
      <w:r>
        <w:rPr>
          <w:color w:val="000000" w:themeColor="text1"/>
        </w:rPr>
        <w:t>docket</w:t>
      </w:r>
      <w:r w:rsidRPr="000967E5">
        <w:rPr>
          <w:color w:val="000000" w:themeColor="text1"/>
        </w:rPr>
        <w:t>.  In its rebuttal filing</w:t>
      </w:r>
      <w:r>
        <w:rPr>
          <w:color w:val="000000" w:themeColor="text1"/>
        </w:rPr>
        <w:t>,</w:t>
      </w:r>
      <w:r w:rsidRPr="000967E5">
        <w:rPr>
          <w:color w:val="000000" w:themeColor="text1"/>
        </w:rPr>
        <w:t xml:space="preserve"> Avista presented an updated electric revenue requirement calculation showing the need for an electric revenue </w:t>
      </w:r>
      <w:r w:rsidRPr="000967E5">
        <w:rPr>
          <w:color w:val="000000" w:themeColor="text1"/>
          <w:u w:val="single"/>
        </w:rPr>
        <w:t>increase</w:t>
      </w:r>
      <w:r w:rsidRPr="000967E5">
        <w:rPr>
          <w:color w:val="000000" w:themeColor="text1"/>
        </w:rPr>
        <w:t xml:space="preserve"> of $3.6 million.</w:t>
      </w:r>
      <w:r>
        <w:rPr>
          <w:rStyle w:val="FootnoteReference"/>
          <w:color w:val="000000" w:themeColor="text1"/>
        </w:rPr>
        <w:footnoteReference w:id="7"/>
      </w:r>
      <w:r w:rsidRPr="000967E5">
        <w:rPr>
          <w:color w:val="000000" w:themeColor="text1"/>
        </w:rPr>
        <w:t xml:space="preserve"> </w:t>
      </w:r>
      <w:r>
        <w:rPr>
          <w:color w:val="000000" w:themeColor="text1"/>
        </w:rPr>
        <w:t xml:space="preserve"> </w:t>
      </w:r>
      <w:r w:rsidRPr="000967E5">
        <w:rPr>
          <w:color w:val="000000" w:themeColor="text1"/>
        </w:rPr>
        <w:t>As explained on page 34 of Mr. Norwood’s rebuttal testimony, this $3.6 revenue requirement was predicated upon Commission approval of deferred accounting treatment related to the 2016 major maintenance for thermal generation:</w:t>
      </w:r>
      <w:r>
        <w:rPr>
          <w:rStyle w:val="FootnoteReference"/>
          <w:color w:val="000000" w:themeColor="text1"/>
        </w:rPr>
        <w:footnoteReference w:id="8"/>
      </w:r>
    </w:p>
    <w:p w:rsidR="00B76890" w:rsidRDefault="00B76890" w:rsidP="00B76890">
      <w:pPr>
        <w:ind w:left="720" w:hanging="4"/>
        <w:jc w:val="both"/>
        <w:rPr>
          <w:color w:val="000000" w:themeColor="text1"/>
        </w:rPr>
      </w:pPr>
      <w:r>
        <w:rPr>
          <w:color w:val="000000" w:themeColor="text1"/>
        </w:rPr>
        <w:t xml:space="preserve">If Avista’s proposal on rebuttal to defer and amortize (normalize) the “hours-based” thermal maintenance is rejected by the Commission, then </w:t>
      </w:r>
      <w:r w:rsidRPr="001B1D0A">
        <w:rPr>
          <w:color w:val="000000" w:themeColor="text1"/>
          <w:u w:val="single"/>
        </w:rPr>
        <w:t>Avista’s electric revenue requirement on rebuttal would increase from $3.6 million to $6.6 million</w:t>
      </w:r>
      <w:r>
        <w:rPr>
          <w:color w:val="000000" w:themeColor="text1"/>
        </w:rPr>
        <w:t xml:space="preserve"> in order to provide recovery for these increased costs in 2016.  (emphasis added)</w:t>
      </w:r>
    </w:p>
    <w:p w:rsidR="00B76890" w:rsidRDefault="00B76890" w:rsidP="00B76890">
      <w:pPr>
        <w:spacing w:line="480" w:lineRule="auto"/>
        <w:ind w:left="270" w:firstLine="450"/>
        <w:jc w:val="both"/>
        <w:rPr>
          <w:color w:val="000000" w:themeColor="text1"/>
        </w:rPr>
      </w:pPr>
    </w:p>
    <w:p w:rsidR="00B76890" w:rsidRPr="000967E5" w:rsidRDefault="00B76890" w:rsidP="00B76890">
      <w:pPr>
        <w:pStyle w:val="ListParagraph"/>
        <w:numPr>
          <w:ilvl w:val="0"/>
          <w:numId w:val="13"/>
        </w:numPr>
        <w:spacing w:line="480" w:lineRule="auto"/>
        <w:jc w:val="both"/>
        <w:rPr>
          <w:color w:val="000000" w:themeColor="text1"/>
        </w:rPr>
      </w:pPr>
      <w:r>
        <w:lastRenderedPageBreak/>
        <w:t xml:space="preserve">       </w:t>
      </w:r>
      <w:r>
        <w:rPr>
          <w:color w:val="000000" w:themeColor="text1"/>
        </w:rPr>
        <w:t>Because t</w:t>
      </w:r>
      <w:r w:rsidRPr="000967E5">
        <w:rPr>
          <w:color w:val="000000" w:themeColor="text1"/>
        </w:rPr>
        <w:t>he Commission’s Order 05 did not approve the proposed accounting treatment</w:t>
      </w:r>
      <w:r>
        <w:rPr>
          <w:color w:val="000000" w:themeColor="text1"/>
        </w:rPr>
        <w:t xml:space="preserve"> for 2016 major maintenance for thermal generation</w:t>
      </w:r>
      <w:r w:rsidRPr="000967E5">
        <w:rPr>
          <w:color w:val="000000" w:themeColor="text1"/>
        </w:rPr>
        <w:t xml:space="preserve">, Avista’s demonstrated need for revenue relief in 2016 </w:t>
      </w:r>
      <w:r>
        <w:rPr>
          <w:color w:val="000000" w:themeColor="text1"/>
        </w:rPr>
        <w:t>became</w:t>
      </w:r>
      <w:r w:rsidRPr="000967E5">
        <w:rPr>
          <w:color w:val="000000" w:themeColor="text1"/>
        </w:rPr>
        <w:t xml:space="preserve"> $6.6 million,</w:t>
      </w:r>
      <w:r>
        <w:rPr>
          <w:rStyle w:val="FootnoteReference"/>
          <w:color w:val="000000" w:themeColor="text1"/>
        </w:rPr>
        <w:footnoteReference w:id="9"/>
      </w:r>
      <w:r w:rsidRPr="000967E5">
        <w:rPr>
          <w:color w:val="000000" w:themeColor="text1"/>
        </w:rPr>
        <w:t xml:space="preserve"> </w:t>
      </w:r>
      <w:r w:rsidRPr="00C31D55">
        <w:rPr>
          <w:color w:val="000000" w:themeColor="text1"/>
          <w:u w:val="single"/>
        </w:rPr>
        <w:t>i.e.</w:t>
      </w:r>
      <w:r w:rsidRPr="000967E5">
        <w:rPr>
          <w:color w:val="000000" w:themeColor="text1"/>
        </w:rPr>
        <w:t xml:space="preserve">, since the $3.0 million was not approved for recovery through deferred accounting, </w:t>
      </w:r>
      <w:r>
        <w:rPr>
          <w:color w:val="000000" w:themeColor="text1"/>
        </w:rPr>
        <w:t xml:space="preserve">the Company </w:t>
      </w:r>
      <w:r w:rsidRPr="000967E5">
        <w:rPr>
          <w:color w:val="000000" w:themeColor="text1"/>
        </w:rPr>
        <w:t>need</w:t>
      </w:r>
      <w:r>
        <w:rPr>
          <w:color w:val="000000" w:themeColor="text1"/>
        </w:rPr>
        <w:t>s</w:t>
      </w:r>
      <w:r w:rsidRPr="000967E5">
        <w:rPr>
          <w:color w:val="000000" w:themeColor="text1"/>
        </w:rPr>
        <w:t xml:space="preserve"> to recover it through base revenues.  </w:t>
      </w:r>
    </w:p>
    <w:p w:rsidR="00B76890" w:rsidRPr="000967E5" w:rsidRDefault="00B76890" w:rsidP="00B76890">
      <w:pPr>
        <w:pStyle w:val="ListParagraph"/>
        <w:numPr>
          <w:ilvl w:val="0"/>
          <w:numId w:val="13"/>
        </w:numPr>
        <w:spacing w:line="480" w:lineRule="auto"/>
        <w:jc w:val="both"/>
        <w:rPr>
          <w:color w:val="000000" w:themeColor="text1"/>
        </w:rPr>
      </w:pPr>
      <w:r>
        <w:t xml:space="preserve">       </w:t>
      </w:r>
      <w:r w:rsidRPr="000967E5">
        <w:rPr>
          <w:color w:val="000000" w:themeColor="text1"/>
        </w:rPr>
        <w:t xml:space="preserve">The Power Supply update filed by the Company on </w:t>
      </w:r>
      <w:r>
        <w:rPr>
          <w:color w:val="000000" w:themeColor="text1"/>
        </w:rPr>
        <w:t xml:space="preserve">October 29, </w:t>
      </w:r>
      <w:r w:rsidRPr="000967E5">
        <w:rPr>
          <w:color w:val="000000" w:themeColor="text1"/>
        </w:rPr>
        <w:t xml:space="preserve">2015, in compliance with the </w:t>
      </w:r>
      <w:r>
        <w:rPr>
          <w:color w:val="000000" w:themeColor="text1"/>
        </w:rPr>
        <w:t>M</w:t>
      </w:r>
      <w:r w:rsidRPr="000967E5">
        <w:rPr>
          <w:color w:val="000000" w:themeColor="text1"/>
        </w:rPr>
        <w:t xml:space="preserve">ultiparty </w:t>
      </w:r>
      <w:r>
        <w:rPr>
          <w:color w:val="000000" w:themeColor="text1"/>
        </w:rPr>
        <w:t>S</w:t>
      </w:r>
      <w:r w:rsidRPr="000967E5">
        <w:rPr>
          <w:color w:val="000000" w:themeColor="text1"/>
        </w:rPr>
        <w:t xml:space="preserve">ettlement </w:t>
      </w:r>
      <w:r>
        <w:rPr>
          <w:color w:val="000000" w:themeColor="text1"/>
        </w:rPr>
        <w:t>S</w:t>
      </w:r>
      <w:r w:rsidRPr="000967E5">
        <w:rPr>
          <w:color w:val="000000" w:themeColor="text1"/>
        </w:rPr>
        <w:t>tipulation, produced a reduction to Avista’s overall revenue requirement of $12.3 million.</w:t>
      </w:r>
      <w:r>
        <w:rPr>
          <w:rStyle w:val="FootnoteReference"/>
          <w:color w:val="000000" w:themeColor="text1"/>
        </w:rPr>
        <w:footnoteReference w:id="10"/>
      </w:r>
      <w:r>
        <w:rPr>
          <w:color w:val="000000" w:themeColor="text1"/>
        </w:rPr>
        <w:t xml:space="preserve"> </w:t>
      </w:r>
      <w:r w:rsidRPr="000967E5">
        <w:rPr>
          <w:color w:val="000000" w:themeColor="text1"/>
        </w:rPr>
        <w:t xml:space="preserve">This update reduced the Company’s proposed revenue requirement from a $6.6 million revenue increase, to a </w:t>
      </w:r>
      <w:r w:rsidRPr="000967E5">
        <w:rPr>
          <w:color w:val="000000" w:themeColor="text1"/>
          <w:u w:val="single"/>
        </w:rPr>
        <w:t>revenue decrease</w:t>
      </w:r>
      <w:r w:rsidRPr="000967E5">
        <w:rPr>
          <w:color w:val="000000" w:themeColor="text1"/>
        </w:rPr>
        <w:t xml:space="preserve"> of $5.7 million ($6.6 million increase, minus $12.3 million = $5.7 million decrease).</w:t>
      </w:r>
    </w:p>
    <w:p w:rsidR="00B76890" w:rsidRPr="00CE1C45" w:rsidRDefault="00B76890" w:rsidP="00B76890">
      <w:pPr>
        <w:pStyle w:val="ListParagraph"/>
        <w:numPr>
          <w:ilvl w:val="0"/>
          <w:numId w:val="13"/>
        </w:numPr>
        <w:spacing w:line="480" w:lineRule="auto"/>
        <w:jc w:val="both"/>
      </w:pPr>
      <w:r>
        <w:t xml:space="preserve">       </w:t>
      </w:r>
      <w:r w:rsidRPr="00F27C81">
        <w:rPr>
          <w:color w:val="000000" w:themeColor="text1"/>
        </w:rPr>
        <w:t xml:space="preserve">By comparison, the Commission’s $8.1 million electric revenue decrease in Order 05 was a </w:t>
      </w:r>
      <w:r w:rsidRPr="00F27C81">
        <w:rPr>
          <w:color w:val="000000" w:themeColor="text1"/>
          <w:u w:val="single"/>
        </w:rPr>
        <w:t>greater decrease</w:t>
      </w:r>
      <w:r w:rsidRPr="00F27C81">
        <w:rPr>
          <w:color w:val="000000" w:themeColor="text1"/>
        </w:rPr>
        <w:t xml:space="preserve"> than the $5.7 decrease demonstrated by the Company</w:t>
      </w:r>
      <w:r>
        <w:rPr>
          <w:color w:val="000000" w:themeColor="text1"/>
        </w:rPr>
        <w:t xml:space="preserve"> (which included the Power Supply update)</w:t>
      </w:r>
      <w:r w:rsidRPr="00F27C81">
        <w:rPr>
          <w:color w:val="000000" w:themeColor="text1"/>
        </w:rPr>
        <w:t xml:space="preserve">.  In its Order the Commission spent considerable time discussing the importance of the “end result” of the final electric and natural gas revenue adjustments, and the Commission concluded that an $8.1 million electric decrease </w:t>
      </w:r>
      <w:r w:rsidR="000C2129">
        <w:rPr>
          <w:color w:val="000000" w:themeColor="text1"/>
        </w:rPr>
        <w:t>produced</w:t>
      </w:r>
      <w:r w:rsidRPr="00F27C81">
        <w:rPr>
          <w:color w:val="000000" w:themeColor="text1"/>
        </w:rPr>
        <w:t xml:space="preserve"> a reasonable end result.  </w:t>
      </w:r>
    </w:p>
    <w:p w:rsidR="00AA3641" w:rsidRDefault="00AA3641" w:rsidP="00AA3641">
      <w:pPr>
        <w:pStyle w:val="ListParagraph"/>
        <w:numPr>
          <w:ilvl w:val="0"/>
          <w:numId w:val="13"/>
        </w:numPr>
        <w:spacing w:line="480" w:lineRule="auto"/>
        <w:jc w:val="both"/>
      </w:pPr>
      <w:r>
        <w:t xml:space="preserve">       Table No. 1 below shows the electric revenue adjustment proposals of each of the parties at the time the record closed in this docket, both prior to and after the $12.3 million power supply update that was filed by Avista on October 29, 2015.  The revenue decrease of $8.1 million ordered by the Commission in Order 05 is also provided for comparison purposes. </w:t>
      </w:r>
    </w:p>
    <w:p w:rsidR="00C1476B" w:rsidRDefault="00C1476B">
      <w:pPr>
        <w:spacing w:after="200" w:line="276" w:lineRule="auto"/>
        <w:rPr>
          <w:b/>
        </w:rPr>
      </w:pPr>
      <w:r>
        <w:rPr>
          <w:b/>
        </w:rPr>
        <w:br w:type="page"/>
      </w:r>
    </w:p>
    <w:p w:rsidR="00AA3641" w:rsidRPr="000D4E34" w:rsidRDefault="00AA3641" w:rsidP="00AA3641">
      <w:pPr>
        <w:pStyle w:val="ListParagraph"/>
        <w:ind w:left="240"/>
        <w:jc w:val="both"/>
        <w:rPr>
          <w:b/>
        </w:rPr>
      </w:pPr>
      <w:r>
        <w:rPr>
          <w:b/>
        </w:rPr>
        <w:lastRenderedPageBreak/>
        <w:t xml:space="preserve">Table No. 1 - </w:t>
      </w:r>
      <w:r w:rsidRPr="000D4E34">
        <w:rPr>
          <w:b/>
        </w:rPr>
        <w:t>Proposed Electric Revenue Requirement (Litigation Positions)</w:t>
      </w:r>
    </w:p>
    <w:tbl>
      <w:tblPr>
        <w:tblW w:w="9450" w:type="dxa"/>
        <w:tblInd w:w="288" w:type="dxa"/>
        <w:tblLook w:val="04A0"/>
      </w:tblPr>
      <w:tblGrid>
        <w:gridCol w:w="2396"/>
        <w:gridCol w:w="916"/>
        <w:gridCol w:w="265"/>
        <w:gridCol w:w="1483"/>
        <w:gridCol w:w="231"/>
        <w:gridCol w:w="1483"/>
        <w:gridCol w:w="222"/>
        <w:gridCol w:w="1076"/>
        <w:gridCol w:w="222"/>
        <w:gridCol w:w="18"/>
        <w:gridCol w:w="1221"/>
      </w:tblGrid>
      <w:tr w:rsidR="00AA3641" w:rsidRPr="00C24DC3" w:rsidTr="00125355">
        <w:trPr>
          <w:trHeight w:val="315"/>
        </w:trPr>
        <w:tc>
          <w:tcPr>
            <w:tcW w:w="2396" w:type="dxa"/>
            <w:tcBorders>
              <w:top w:val="nil"/>
              <w:left w:val="nil"/>
              <w:bottom w:val="nil"/>
              <w:right w:val="nil"/>
            </w:tcBorders>
            <w:shd w:val="clear" w:color="auto" w:fill="auto"/>
            <w:noWrap/>
            <w:vAlign w:val="bottom"/>
            <w:hideMark/>
          </w:tcPr>
          <w:p w:rsidR="00AA3641" w:rsidRPr="00C24DC3" w:rsidRDefault="00AA3641" w:rsidP="00125355">
            <w:pPr>
              <w:rPr>
                <w:rFonts w:eastAsia="Times New Roman"/>
                <w:color w:val="000000"/>
              </w:rPr>
            </w:pPr>
            <w:r w:rsidRPr="00C24DC3">
              <w:rPr>
                <w:rFonts w:eastAsia="Times New Roman"/>
                <w:color w:val="000000"/>
              </w:rPr>
              <w:t>($ in millions)</w:t>
            </w:r>
          </w:p>
        </w:tc>
        <w:tc>
          <w:tcPr>
            <w:tcW w:w="902" w:type="dxa"/>
            <w:tcBorders>
              <w:top w:val="nil"/>
              <w:left w:val="nil"/>
              <w:bottom w:val="nil"/>
              <w:right w:val="nil"/>
            </w:tcBorders>
            <w:shd w:val="clear" w:color="auto" w:fill="auto"/>
            <w:noWrap/>
            <w:vAlign w:val="bottom"/>
            <w:hideMark/>
          </w:tcPr>
          <w:p w:rsidR="00AA3641" w:rsidRPr="00C24DC3" w:rsidRDefault="00AA3641" w:rsidP="00125355">
            <w:pPr>
              <w:jc w:val="center"/>
              <w:rPr>
                <w:rFonts w:eastAsia="Times New Roman"/>
                <w:color w:val="000000"/>
              </w:rPr>
            </w:pPr>
          </w:p>
        </w:tc>
        <w:tc>
          <w:tcPr>
            <w:tcW w:w="265" w:type="dxa"/>
            <w:tcBorders>
              <w:top w:val="nil"/>
              <w:left w:val="nil"/>
              <w:bottom w:val="nil"/>
              <w:right w:val="nil"/>
            </w:tcBorders>
            <w:shd w:val="clear" w:color="auto" w:fill="auto"/>
            <w:noWrap/>
            <w:vAlign w:val="bottom"/>
            <w:hideMark/>
          </w:tcPr>
          <w:p w:rsidR="00AA3641" w:rsidRPr="00C24DC3" w:rsidRDefault="00AA3641" w:rsidP="00125355">
            <w:pPr>
              <w:jc w:val="center"/>
              <w:rPr>
                <w:rFonts w:eastAsia="Times New Roman"/>
                <w:color w:val="000000"/>
              </w:rPr>
            </w:pPr>
          </w:p>
        </w:tc>
        <w:tc>
          <w:tcPr>
            <w:tcW w:w="1457" w:type="dxa"/>
            <w:tcBorders>
              <w:top w:val="nil"/>
              <w:left w:val="nil"/>
              <w:bottom w:val="nil"/>
              <w:right w:val="nil"/>
            </w:tcBorders>
            <w:shd w:val="clear" w:color="auto" w:fill="auto"/>
            <w:noWrap/>
            <w:vAlign w:val="bottom"/>
            <w:hideMark/>
          </w:tcPr>
          <w:p w:rsidR="00AA3641" w:rsidRPr="00C24DC3" w:rsidRDefault="00AA3641" w:rsidP="00125355">
            <w:pPr>
              <w:jc w:val="center"/>
              <w:rPr>
                <w:rFonts w:eastAsia="Times New Roman"/>
                <w:color w:val="000000"/>
              </w:rPr>
            </w:pPr>
          </w:p>
        </w:tc>
        <w:tc>
          <w:tcPr>
            <w:tcW w:w="231" w:type="dxa"/>
            <w:tcBorders>
              <w:top w:val="nil"/>
              <w:left w:val="nil"/>
              <w:bottom w:val="nil"/>
              <w:right w:val="nil"/>
            </w:tcBorders>
            <w:shd w:val="clear" w:color="auto" w:fill="auto"/>
            <w:noWrap/>
            <w:vAlign w:val="bottom"/>
            <w:hideMark/>
          </w:tcPr>
          <w:p w:rsidR="00AA3641" w:rsidRPr="00C24DC3" w:rsidRDefault="00AA3641" w:rsidP="00125355">
            <w:pPr>
              <w:jc w:val="center"/>
              <w:rPr>
                <w:rFonts w:eastAsia="Times New Roman"/>
                <w:color w:val="000000"/>
              </w:rPr>
            </w:pPr>
          </w:p>
        </w:tc>
        <w:tc>
          <w:tcPr>
            <w:tcW w:w="1457" w:type="dxa"/>
            <w:tcBorders>
              <w:top w:val="nil"/>
              <w:left w:val="nil"/>
              <w:bottom w:val="nil"/>
              <w:right w:val="nil"/>
            </w:tcBorders>
            <w:shd w:val="clear" w:color="auto" w:fill="auto"/>
            <w:noWrap/>
            <w:vAlign w:val="bottom"/>
            <w:hideMark/>
          </w:tcPr>
          <w:p w:rsidR="00AA3641" w:rsidRPr="00C24DC3" w:rsidRDefault="00AA3641" w:rsidP="00125355">
            <w:pPr>
              <w:jc w:val="center"/>
              <w:rPr>
                <w:rFonts w:eastAsia="Times New Roman"/>
                <w:color w:val="000000"/>
              </w:rPr>
            </w:pPr>
          </w:p>
        </w:tc>
        <w:tc>
          <w:tcPr>
            <w:tcW w:w="222" w:type="dxa"/>
            <w:tcBorders>
              <w:top w:val="nil"/>
              <w:left w:val="nil"/>
              <w:bottom w:val="nil"/>
              <w:right w:val="nil"/>
            </w:tcBorders>
            <w:shd w:val="clear" w:color="auto" w:fill="auto"/>
            <w:noWrap/>
            <w:vAlign w:val="bottom"/>
            <w:hideMark/>
          </w:tcPr>
          <w:p w:rsidR="00AA3641" w:rsidRPr="00C24DC3" w:rsidRDefault="00AA3641" w:rsidP="00125355">
            <w:pPr>
              <w:jc w:val="center"/>
              <w:rPr>
                <w:rFonts w:eastAsia="Times New Roman"/>
                <w:color w:val="000000"/>
              </w:rPr>
            </w:pPr>
          </w:p>
        </w:tc>
        <w:tc>
          <w:tcPr>
            <w:tcW w:w="1059" w:type="dxa"/>
            <w:tcBorders>
              <w:top w:val="nil"/>
              <w:left w:val="nil"/>
              <w:bottom w:val="nil"/>
              <w:right w:val="nil"/>
            </w:tcBorders>
            <w:shd w:val="clear" w:color="auto" w:fill="auto"/>
            <w:noWrap/>
            <w:vAlign w:val="bottom"/>
            <w:hideMark/>
          </w:tcPr>
          <w:p w:rsidR="00AA3641" w:rsidRPr="00C24DC3" w:rsidRDefault="00AA3641" w:rsidP="00125355">
            <w:pPr>
              <w:jc w:val="center"/>
              <w:rPr>
                <w:rFonts w:eastAsia="Times New Roman"/>
                <w:color w:val="000000"/>
              </w:rPr>
            </w:pPr>
          </w:p>
        </w:tc>
        <w:tc>
          <w:tcPr>
            <w:tcW w:w="222" w:type="dxa"/>
            <w:tcBorders>
              <w:top w:val="nil"/>
              <w:left w:val="nil"/>
              <w:bottom w:val="nil"/>
              <w:right w:val="nil"/>
            </w:tcBorders>
            <w:shd w:val="clear" w:color="auto" w:fill="auto"/>
            <w:noWrap/>
            <w:vAlign w:val="bottom"/>
            <w:hideMark/>
          </w:tcPr>
          <w:p w:rsidR="00AA3641" w:rsidRPr="00C24DC3" w:rsidRDefault="00AA3641" w:rsidP="00125355">
            <w:pPr>
              <w:jc w:val="center"/>
              <w:rPr>
                <w:rFonts w:eastAsia="Times New Roman"/>
                <w:color w:val="000000"/>
              </w:rPr>
            </w:pPr>
          </w:p>
        </w:tc>
        <w:tc>
          <w:tcPr>
            <w:tcW w:w="1239" w:type="dxa"/>
            <w:gridSpan w:val="2"/>
            <w:tcBorders>
              <w:top w:val="nil"/>
              <w:left w:val="nil"/>
              <w:bottom w:val="nil"/>
              <w:right w:val="nil"/>
            </w:tcBorders>
            <w:shd w:val="clear" w:color="auto" w:fill="auto"/>
            <w:noWrap/>
            <w:vAlign w:val="bottom"/>
            <w:hideMark/>
          </w:tcPr>
          <w:p w:rsidR="00AA3641" w:rsidRPr="00C24DC3" w:rsidRDefault="00AA3641" w:rsidP="00125355">
            <w:pPr>
              <w:jc w:val="center"/>
              <w:rPr>
                <w:rFonts w:eastAsia="Times New Roman"/>
                <w:color w:val="000000"/>
              </w:rPr>
            </w:pPr>
          </w:p>
        </w:tc>
      </w:tr>
      <w:tr w:rsidR="00AA3641" w:rsidRPr="00C24DC3" w:rsidTr="00125355">
        <w:trPr>
          <w:trHeight w:val="315"/>
        </w:trPr>
        <w:tc>
          <w:tcPr>
            <w:tcW w:w="2396" w:type="dxa"/>
            <w:tcBorders>
              <w:top w:val="nil"/>
              <w:left w:val="nil"/>
              <w:bottom w:val="nil"/>
              <w:right w:val="nil"/>
            </w:tcBorders>
            <w:shd w:val="clear" w:color="auto" w:fill="auto"/>
            <w:noWrap/>
            <w:vAlign w:val="bottom"/>
            <w:hideMark/>
          </w:tcPr>
          <w:p w:rsidR="00AA3641" w:rsidRPr="00C24DC3" w:rsidRDefault="00AA3641" w:rsidP="00125355">
            <w:pPr>
              <w:rPr>
                <w:rFonts w:eastAsia="Times New Roman"/>
                <w:color w:val="000000"/>
              </w:rPr>
            </w:pPr>
          </w:p>
        </w:tc>
        <w:tc>
          <w:tcPr>
            <w:tcW w:w="902" w:type="dxa"/>
            <w:tcBorders>
              <w:top w:val="nil"/>
              <w:left w:val="nil"/>
              <w:bottom w:val="nil"/>
              <w:right w:val="nil"/>
            </w:tcBorders>
            <w:shd w:val="clear" w:color="auto" w:fill="auto"/>
            <w:noWrap/>
            <w:vAlign w:val="bottom"/>
            <w:hideMark/>
          </w:tcPr>
          <w:p w:rsidR="00AA3641" w:rsidRPr="00C24DC3" w:rsidRDefault="00AA3641" w:rsidP="00125355">
            <w:pPr>
              <w:jc w:val="center"/>
              <w:rPr>
                <w:rFonts w:eastAsia="Times New Roman"/>
                <w:b/>
                <w:bCs/>
                <w:color w:val="000000"/>
                <w:u w:val="single"/>
              </w:rPr>
            </w:pPr>
            <w:r w:rsidRPr="00C24DC3">
              <w:rPr>
                <w:rFonts w:eastAsia="Times New Roman"/>
                <w:b/>
                <w:bCs/>
                <w:color w:val="000000"/>
                <w:u w:val="single"/>
              </w:rPr>
              <w:t>Avista</w:t>
            </w:r>
          </w:p>
        </w:tc>
        <w:tc>
          <w:tcPr>
            <w:tcW w:w="265" w:type="dxa"/>
            <w:tcBorders>
              <w:top w:val="nil"/>
              <w:left w:val="nil"/>
              <w:bottom w:val="nil"/>
              <w:right w:val="nil"/>
            </w:tcBorders>
            <w:shd w:val="clear" w:color="auto" w:fill="auto"/>
            <w:noWrap/>
            <w:vAlign w:val="bottom"/>
            <w:hideMark/>
          </w:tcPr>
          <w:p w:rsidR="00AA3641" w:rsidRPr="00C24DC3" w:rsidRDefault="00AA3641" w:rsidP="00125355">
            <w:pPr>
              <w:jc w:val="center"/>
              <w:rPr>
                <w:rFonts w:eastAsia="Times New Roman"/>
                <w:b/>
                <w:bCs/>
                <w:color w:val="000000"/>
                <w:u w:val="single"/>
              </w:rPr>
            </w:pPr>
          </w:p>
        </w:tc>
        <w:tc>
          <w:tcPr>
            <w:tcW w:w="1457" w:type="dxa"/>
            <w:tcBorders>
              <w:top w:val="nil"/>
              <w:left w:val="nil"/>
              <w:bottom w:val="nil"/>
              <w:right w:val="nil"/>
            </w:tcBorders>
            <w:shd w:val="clear" w:color="auto" w:fill="auto"/>
            <w:noWrap/>
            <w:vAlign w:val="bottom"/>
            <w:hideMark/>
          </w:tcPr>
          <w:p w:rsidR="00AA3641" w:rsidRPr="00C24DC3" w:rsidRDefault="00AA3641" w:rsidP="00125355">
            <w:pPr>
              <w:jc w:val="center"/>
              <w:rPr>
                <w:rFonts w:eastAsia="Times New Roman"/>
                <w:b/>
                <w:bCs/>
                <w:color w:val="000000"/>
                <w:u w:val="single"/>
              </w:rPr>
            </w:pPr>
            <w:r w:rsidRPr="00C24DC3">
              <w:rPr>
                <w:rFonts w:eastAsia="Times New Roman"/>
                <w:b/>
                <w:bCs/>
                <w:color w:val="000000"/>
                <w:u w:val="single"/>
              </w:rPr>
              <w:t>Commission</w:t>
            </w:r>
          </w:p>
        </w:tc>
        <w:tc>
          <w:tcPr>
            <w:tcW w:w="231" w:type="dxa"/>
            <w:tcBorders>
              <w:top w:val="nil"/>
              <w:left w:val="nil"/>
              <w:bottom w:val="nil"/>
              <w:right w:val="nil"/>
            </w:tcBorders>
            <w:shd w:val="clear" w:color="auto" w:fill="auto"/>
            <w:noWrap/>
            <w:vAlign w:val="bottom"/>
            <w:hideMark/>
          </w:tcPr>
          <w:p w:rsidR="00AA3641" w:rsidRPr="00C24DC3" w:rsidRDefault="00AA3641" w:rsidP="00125355">
            <w:pPr>
              <w:jc w:val="center"/>
              <w:rPr>
                <w:rFonts w:eastAsia="Times New Roman"/>
                <w:b/>
                <w:bCs/>
                <w:color w:val="000000"/>
                <w:u w:val="single"/>
              </w:rPr>
            </w:pPr>
          </w:p>
        </w:tc>
        <w:tc>
          <w:tcPr>
            <w:tcW w:w="1457" w:type="dxa"/>
            <w:tcBorders>
              <w:top w:val="nil"/>
              <w:left w:val="nil"/>
              <w:bottom w:val="nil"/>
              <w:right w:val="nil"/>
            </w:tcBorders>
            <w:shd w:val="clear" w:color="auto" w:fill="auto"/>
            <w:noWrap/>
            <w:vAlign w:val="bottom"/>
            <w:hideMark/>
          </w:tcPr>
          <w:p w:rsidR="00AA3641" w:rsidRPr="00C24DC3" w:rsidRDefault="00AA3641" w:rsidP="00125355">
            <w:pPr>
              <w:jc w:val="center"/>
              <w:rPr>
                <w:rFonts w:eastAsia="Times New Roman"/>
                <w:b/>
                <w:bCs/>
                <w:color w:val="000000"/>
                <w:u w:val="single"/>
              </w:rPr>
            </w:pPr>
            <w:r w:rsidRPr="00C24DC3">
              <w:rPr>
                <w:rFonts w:eastAsia="Times New Roman"/>
                <w:b/>
                <w:bCs/>
                <w:color w:val="000000"/>
                <w:u w:val="single"/>
              </w:rPr>
              <w:t>Commission Staff</w:t>
            </w:r>
          </w:p>
        </w:tc>
        <w:tc>
          <w:tcPr>
            <w:tcW w:w="222" w:type="dxa"/>
            <w:tcBorders>
              <w:top w:val="nil"/>
              <w:left w:val="nil"/>
              <w:bottom w:val="nil"/>
              <w:right w:val="nil"/>
            </w:tcBorders>
            <w:shd w:val="clear" w:color="auto" w:fill="auto"/>
            <w:noWrap/>
            <w:vAlign w:val="bottom"/>
            <w:hideMark/>
          </w:tcPr>
          <w:p w:rsidR="00AA3641" w:rsidRPr="00C24DC3" w:rsidRDefault="00AA3641" w:rsidP="00125355">
            <w:pPr>
              <w:jc w:val="center"/>
              <w:rPr>
                <w:rFonts w:eastAsia="Times New Roman"/>
                <w:b/>
                <w:bCs/>
                <w:color w:val="000000"/>
                <w:u w:val="single"/>
              </w:rPr>
            </w:pPr>
          </w:p>
        </w:tc>
        <w:tc>
          <w:tcPr>
            <w:tcW w:w="1059" w:type="dxa"/>
            <w:tcBorders>
              <w:top w:val="nil"/>
              <w:left w:val="nil"/>
              <w:bottom w:val="nil"/>
              <w:right w:val="nil"/>
            </w:tcBorders>
            <w:shd w:val="clear" w:color="auto" w:fill="auto"/>
            <w:noWrap/>
            <w:vAlign w:val="bottom"/>
            <w:hideMark/>
          </w:tcPr>
          <w:p w:rsidR="00AA3641" w:rsidRPr="00C24DC3" w:rsidRDefault="00AA3641" w:rsidP="00125355">
            <w:pPr>
              <w:jc w:val="center"/>
              <w:rPr>
                <w:rFonts w:eastAsia="Times New Roman"/>
                <w:b/>
                <w:bCs/>
                <w:color w:val="000000"/>
                <w:u w:val="single"/>
              </w:rPr>
            </w:pPr>
            <w:r w:rsidRPr="00C24DC3">
              <w:rPr>
                <w:rFonts w:eastAsia="Times New Roman"/>
                <w:b/>
                <w:bCs/>
                <w:color w:val="000000"/>
                <w:u w:val="single"/>
              </w:rPr>
              <w:t>ICNU</w:t>
            </w:r>
          </w:p>
        </w:tc>
        <w:tc>
          <w:tcPr>
            <w:tcW w:w="240" w:type="dxa"/>
            <w:gridSpan w:val="2"/>
            <w:tcBorders>
              <w:top w:val="nil"/>
              <w:left w:val="nil"/>
              <w:bottom w:val="nil"/>
              <w:right w:val="nil"/>
            </w:tcBorders>
            <w:shd w:val="clear" w:color="auto" w:fill="auto"/>
            <w:noWrap/>
            <w:vAlign w:val="bottom"/>
            <w:hideMark/>
          </w:tcPr>
          <w:p w:rsidR="00AA3641" w:rsidRPr="00C24DC3" w:rsidRDefault="00AA3641" w:rsidP="00125355">
            <w:pPr>
              <w:jc w:val="center"/>
              <w:rPr>
                <w:rFonts w:eastAsia="Times New Roman"/>
                <w:b/>
                <w:bCs/>
                <w:color w:val="000000"/>
                <w:u w:val="single"/>
              </w:rPr>
            </w:pPr>
          </w:p>
        </w:tc>
        <w:tc>
          <w:tcPr>
            <w:tcW w:w="1221" w:type="dxa"/>
            <w:tcBorders>
              <w:top w:val="nil"/>
              <w:left w:val="nil"/>
              <w:bottom w:val="nil"/>
              <w:right w:val="nil"/>
            </w:tcBorders>
            <w:shd w:val="clear" w:color="auto" w:fill="auto"/>
            <w:noWrap/>
            <w:vAlign w:val="bottom"/>
            <w:hideMark/>
          </w:tcPr>
          <w:p w:rsidR="00AA3641" w:rsidRPr="00C24DC3" w:rsidRDefault="00AA3641" w:rsidP="00125355">
            <w:pPr>
              <w:jc w:val="center"/>
              <w:rPr>
                <w:rFonts w:eastAsia="Times New Roman"/>
                <w:b/>
                <w:bCs/>
                <w:color w:val="000000"/>
                <w:u w:val="single"/>
              </w:rPr>
            </w:pPr>
            <w:r w:rsidRPr="00C24DC3">
              <w:rPr>
                <w:rFonts w:eastAsia="Times New Roman"/>
                <w:b/>
                <w:bCs/>
                <w:color w:val="000000"/>
                <w:u w:val="single"/>
              </w:rPr>
              <w:t>PC</w:t>
            </w:r>
          </w:p>
        </w:tc>
      </w:tr>
      <w:tr w:rsidR="00AA3641" w:rsidRPr="00C24DC3" w:rsidTr="00125355">
        <w:trPr>
          <w:trHeight w:val="480"/>
        </w:trPr>
        <w:tc>
          <w:tcPr>
            <w:tcW w:w="2396" w:type="dxa"/>
            <w:tcBorders>
              <w:top w:val="nil"/>
              <w:left w:val="nil"/>
              <w:bottom w:val="nil"/>
              <w:right w:val="nil"/>
            </w:tcBorders>
            <w:shd w:val="clear" w:color="auto" w:fill="auto"/>
            <w:noWrap/>
            <w:vAlign w:val="bottom"/>
            <w:hideMark/>
          </w:tcPr>
          <w:p w:rsidR="00AA3641" w:rsidRPr="00C24DC3" w:rsidRDefault="00AA3641" w:rsidP="00125355">
            <w:pPr>
              <w:rPr>
                <w:rFonts w:eastAsia="Times New Roman"/>
                <w:color w:val="000000"/>
              </w:rPr>
            </w:pPr>
            <w:r w:rsidRPr="00C24DC3">
              <w:rPr>
                <w:rFonts w:eastAsia="Times New Roman"/>
                <w:color w:val="000000"/>
              </w:rPr>
              <w:t>Prior to Power Supply Update</w:t>
            </w:r>
          </w:p>
        </w:tc>
        <w:tc>
          <w:tcPr>
            <w:tcW w:w="902" w:type="dxa"/>
            <w:tcBorders>
              <w:top w:val="nil"/>
              <w:left w:val="nil"/>
              <w:bottom w:val="nil"/>
              <w:right w:val="nil"/>
            </w:tcBorders>
            <w:shd w:val="clear" w:color="auto" w:fill="auto"/>
            <w:noWrap/>
            <w:vAlign w:val="bottom"/>
            <w:hideMark/>
          </w:tcPr>
          <w:p w:rsidR="00AA3641" w:rsidRPr="00C24DC3" w:rsidRDefault="00AA3641" w:rsidP="00125355">
            <w:pPr>
              <w:jc w:val="center"/>
              <w:rPr>
                <w:rFonts w:eastAsia="Times New Roman"/>
                <w:color w:val="000000"/>
              </w:rPr>
            </w:pPr>
            <w:r w:rsidRPr="00C24DC3">
              <w:rPr>
                <w:rFonts w:eastAsia="Times New Roman"/>
                <w:color w:val="000000"/>
              </w:rPr>
              <w:t>$6.6</w:t>
            </w:r>
            <w:r>
              <w:rPr>
                <w:rStyle w:val="FootnoteReference"/>
                <w:rFonts w:eastAsia="Times New Roman"/>
                <w:color w:val="000000"/>
              </w:rPr>
              <w:footnoteReference w:id="11"/>
            </w:r>
            <w:r w:rsidRPr="00C24DC3">
              <w:rPr>
                <w:rFonts w:eastAsia="Times New Roman"/>
                <w:color w:val="000000"/>
              </w:rPr>
              <w:t xml:space="preserve"> </w:t>
            </w:r>
          </w:p>
        </w:tc>
        <w:tc>
          <w:tcPr>
            <w:tcW w:w="265" w:type="dxa"/>
            <w:tcBorders>
              <w:top w:val="nil"/>
              <w:left w:val="nil"/>
              <w:bottom w:val="nil"/>
              <w:right w:val="nil"/>
            </w:tcBorders>
            <w:shd w:val="clear" w:color="auto" w:fill="auto"/>
            <w:noWrap/>
            <w:vAlign w:val="bottom"/>
            <w:hideMark/>
          </w:tcPr>
          <w:p w:rsidR="00AA3641" w:rsidRPr="00C24DC3" w:rsidRDefault="00AA3641" w:rsidP="00125355">
            <w:pPr>
              <w:jc w:val="center"/>
              <w:rPr>
                <w:rFonts w:eastAsia="Times New Roman"/>
                <w:color w:val="000000"/>
              </w:rPr>
            </w:pPr>
          </w:p>
        </w:tc>
        <w:tc>
          <w:tcPr>
            <w:tcW w:w="1457" w:type="dxa"/>
            <w:tcBorders>
              <w:top w:val="nil"/>
              <w:left w:val="nil"/>
              <w:bottom w:val="nil"/>
              <w:right w:val="nil"/>
            </w:tcBorders>
            <w:shd w:val="clear" w:color="auto" w:fill="auto"/>
            <w:noWrap/>
            <w:vAlign w:val="bottom"/>
            <w:hideMark/>
          </w:tcPr>
          <w:p w:rsidR="00AA3641" w:rsidRPr="00C24DC3" w:rsidRDefault="00AA3641" w:rsidP="00125355">
            <w:pPr>
              <w:ind w:right="50"/>
              <w:jc w:val="center"/>
              <w:rPr>
                <w:rFonts w:eastAsia="Times New Roman"/>
                <w:color w:val="000000"/>
              </w:rPr>
            </w:pPr>
          </w:p>
        </w:tc>
        <w:tc>
          <w:tcPr>
            <w:tcW w:w="231" w:type="dxa"/>
            <w:tcBorders>
              <w:top w:val="nil"/>
              <w:left w:val="nil"/>
              <w:bottom w:val="nil"/>
              <w:right w:val="nil"/>
            </w:tcBorders>
            <w:shd w:val="clear" w:color="auto" w:fill="auto"/>
            <w:noWrap/>
            <w:vAlign w:val="bottom"/>
            <w:hideMark/>
          </w:tcPr>
          <w:p w:rsidR="00AA3641" w:rsidRPr="00C24DC3" w:rsidRDefault="00AA3641" w:rsidP="00125355">
            <w:pPr>
              <w:jc w:val="center"/>
              <w:rPr>
                <w:rFonts w:eastAsia="Times New Roman"/>
                <w:color w:val="000000"/>
              </w:rPr>
            </w:pPr>
          </w:p>
        </w:tc>
        <w:tc>
          <w:tcPr>
            <w:tcW w:w="1457" w:type="dxa"/>
            <w:tcBorders>
              <w:top w:val="nil"/>
              <w:left w:val="nil"/>
              <w:bottom w:val="nil"/>
              <w:right w:val="nil"/>
            </w:tcBorders>
            <w:shd w:val="clear" w:color="auto" w:fill="auto"/>
            <w:noWrap/>
            <w:vAlign w:val="bottom"/>
            <w:hideMark/>
          </w:tcPr>
          <w:p w:rsidR="00AA3641" w:rsidRPr="00C24DC3" w:rsidRDefault="00AA3641" w:rsidP="00125355">
            <w:pPr>
              <w:jc w:val="center"/>
              <w:rPr>
                <w:rFonts w:eastAsia="Times New Roman"/>
                <w:color w:val="000000"/>
              </w:rPr>
            </w:pPr>
            <w:r w:rsidRPr="00C24DC3">
              <w:rPr>
                <w:rFonts w:eastAsia="Times New Roman"/>
                <w:color w:val="000000"/>
              </w:rPr>
              <w:t>($6.2)</w:t>
            </w:r>
            <w:r>
              <w:rPr>
                <w:rStyle w:val="FootnoteReference"/>
                <w:rFonts w:eastAsia="Times New Roman"/>
                <w:color w:val="000000"/>
              </w:rPr>
              <w:footnoteReference w:id="12"/>
            </w:r>
          </w:p>
        </w:tc>
        <w:tc>
          <w:tcPr>
            <w:tcW w:w="222" w:type="dxa"/>
            <w:tcBorders>
              <w:top w:val="nil"/>
              <w:left w:val="nil"/>
              <w:bottom w:val="nil"/>
              <w:right w:val="nil"/>
            </w:tcBorders>
            <w:shd w:val="clear" w:color="auto" w:fill="auto"/>
            <w:noWrap/>
            <w:vAlign w:val="bottom"/>
            <w:hideMark/>
          </w:tcPr>
          <w:p w:rsidR="00AA3641" w:rsidRPr="00C24DC3" w:rsidRDefault="00AA3641" w:rsidP="00125355">
            <w:pPr>
              <w:jc w:val="center"/>
              <w:rPr>
                <w:rFonts w:eastAsia="Times New Roman"/>
                <w:color w:val="000000"/>
              </w:rPr>
            </w:pPr>
          </w:p>
        </w:tc>
        <w:tc>
          <w:tcPr>
            <w:tcW w:w="1059" w:type="dxa"/>
            <w:tcBorders>
              <w:top w:val="nil"/>
              <w:left w:val="nil"/>
              <w:bottom w:val="nil"/>
              <w:right w:val="nil"/>
            </w:tcBorders>
            <w:shd w:val="clear" w:color="auto" w:fill="auto"/>
            <w:noWrap/>
            <w:vAlign w:val="bottom"/>
            <w:hideMark/>
          </w:tcPr>
          <w:p w:rsidR="00AA3641" w:rsidRPr="00C24DC3" w:rsidRDefault="00AA3641" w:rsidP="00125355">
            <w:pPr>
              <w:jc w:val="center"/>
              <w:rPr>
                <w:rFonts w:eastAsia="Times New Roman"/>
                <w:color w:val="000000"/>
              </w:rPr>
            </w:pPr>
            <w:r w:rsidRPr="00C24DC3">
              <w:rPr>
                <w:rFonts w:eastAsia="Times New Roman"/>
                <w:color w:val="000000"/>
              </w:rPr>
              <w:t>($17.4)</w:t>
            </w:r>
            <w:r>
              <w:rPr>
                <w:rStyle w:val="FootnoteReference"/>
                <w:rFonts w:eastAsia="Times New Roman"/>
                <w:color w:val="000000"/>
              </w:rPr>
              <w:footnoteReference w:id="13"/>
            </w:r>
          </w:p>
        </w:tc>
        <w:tc>
          <w:tcPr>
            <w:tcW w:w="240" w:type="dxa"/>
            <w:gridSpan w:val="2"/>
            <w:tcBorders>
              <w:top w:val="nil"/>
              <w:left w:val="nil"/>
              <w:bottom w:val="nil"/>
              <w:right w:val="nil"/>
            </w:tcBorders>
            <w:shd w:val="clear" w:color="auto" w:fill="auto"/>
            <w:noWrap/>
            <w:vAlign w:val="bottom"/>
            <w:hideMark/>
          </w:tcPr>
          <w:p w:rsidR="00AA3641" w:rsidRPr="00C24DC3" w:rsidRDefault="00AA3641" w:rsidP="00125355">
            <w:pPr>
              <w:jc w:val="center"/>
              <w:rPr>
                <w:rFonts w:eastAsia="Times New Roman"/>
                <w:color w:val="000000"/>
              </w:rPr>
            </w:pPr>
          </w:p>
        </w:tc>
        <w:tc>
          <w:tcPr>
            <w:tcW w:w="1221" w:type="dxa"/>
            <w:tcBorders>
              <w:top w:val="nil"/>
              <w:left w:val="nil"/>
              <w:bottom w:val="nil"/>
              <w:right w:val="nil"/>
            </w:tcBorders>
            <w:shd w:val="clear" w:color="auto" w:fill="auto"/>
            <w:noWrap/>
            <w:vAlign w:val="bottom"/>
            <w:hideMark/>
          </w:tcPr>
          <w:p w:rsidR="00AA3641" w:rsidRPr="00C24DC3" w:rsidRDefault="00AA3641" w:rsidP="00125355">
            <w:pPr>
              <w:jc w:val="center"/>
              <w:rPr>
                <w:rFonts w:eastAsia="Times New Roman"/>
                <w:color w:val="000000"/>
              </w:rPr>
            </w:pPr>
            <w:r w:rsidRPr="00C24DC3">
              <w:rPr>
                <w:rFonts w:eastAsia="Times New Roman"/>
                <w:color w:val="000000"/>
              </w:rPr>
              <w:t>($29.7)</w:t>
            </w:r>
            <w:r>
              <w:rPr>
                <w:rStyle w:val="FootnoteReference"/>
                <w:rFonts w:eastAsia="Times New Roman"/>
                <w:color w:val="000000"/>
              </w:rPr>
              <w:footnoteReference w:id="14"/>
            </w:r>
          </w:p>
        </w:tc>
      </w:tr>
      <w:tr w:rsidR="00AA3641" w:rsidRPr="00C24DC3" w:rsidTr="00125355">
        <w:trPr>
          <w:trHeight w:val="495"/>
        </w:trPr>
        <w:tc>
          <w:tcPr>
            <w:tcW w:w="2396" w:type="dxa"/>
            <w:tcBorders>
              <w:top w:val="nil"/>
              <w:left w:val="nil"/>
              <w:bottom w:val="nil"/>
              <w:right w:val="nil"/>
            </w:tcBorders>
            <w:shd w:val="clear" w:color="auto" w:fill="auto"/>
            <w:noWrap/>
            <w:vAlign w:val="bottom"/>
            <w:hideMark/>
          </w:tcPr>
          <w:p w:rsidR="00AA3641" w:rsidRPr="00C24DC3" w:rsidRDefault="00AA3641" w:rsidP="00125355">
            <w:pPr>
              <w:rPr>
                <w:rFonts w:eastAsia="Times New Roman"/>
                <w:color w:val="000000"/>
              </w:rPr>
            </w:pPr>
            <w:r w:rsidRPr="00C24DC3">
              <w:rPr>
                <w:rFonts w:eastAsia="Times New Roman"/>
                <w:color w:val="000000"/>
              </w:rPr>
              <w:t>Power Supply Update</w:t>
            </w:r>
          </w:p>
        </w:tc>
        <w:tc>
          <w:tcPr>
            <w:tcW w:w="902" w:type="dxa"/>
            <w:tcBorders>
              <w:top w:val="nil"/>
              <w:left w:val="nil"/>
              <w:bottom w:val="single" w:sz="4" w:space="0" w:color="auto"/>
              <w:right w:val="nil"/>
            </w:tcBorders>
            <w:shd w:val="clear" w:color="auto" w:fill="auto"/>
            <w:noWrap/>
            <w:vAlign w:val="bottom"/>
            <w:hideMark/>
          </w:tcPr>
          <w:p w:rsidR="00AA3641" w:rsidRPr="00C24DC3" w:rsidRDefault="00AA3641" w:rsidP="00125355">
            <w:pPr>
              <w:jc w:val="center"/>
              <w:rPr>
                <w:rFonts w:eastAsia="Times New Roman"/>
                <w:color w:val="000000"/>
              </w:rPr>
            </w:pPr>
            <w:r w:rsidRPr="00C24DC3">
              <w:rPr>
                <w:rFonts w:eastAsia="Times New Roman"/>
                <w:color w:val="000000"/>
              </w:rPr>
              <w:t>($12.3)</w:t>
            </w:r>
          </w:p>
        </w:tc>
        <w:tc>
          <w:tcPr>
            <w:tcW w:w="265" w:type="dxa"/>
            <w:tcBorders>
              <w:top w:val="nil"/>
              <w:left w:val="nil"/>
              <w:bottom w:val="nil"/>
              <w:right w:val="nil"/>
            </w:tcBorders>
            <w:shd w:val="clear" w:color="auto" w:fill="auto"/>
            <w:noWrap/>
            <w:vAlign w:val="bottom"/>
            <w:hideMark/>
          </w:tcPr>
          <w:p w:rsidR="00AA3641" w:rsidRPr="00C24DC3" w:rsidRDefault="00AA3641" w:rsidP="00125355">
            <w:pPr>
              <w:jc w:val="center"/>
              <w:rPr>
                <w:rFonts w:eastAsia="Times New Roman"/>
                <w:color w:val="000000"/>
              </w:rPr>
            </w:pPr>
          </w:p>
        </w:tc>
        <w:tc>
          <w:tcPr>
            <w:tcW w:w="1457" w:type="dxa"/>
            <w:tcBorders>
              <w:top w:val="nil"/>
              <w:left w:val="nil"/>
              <w:bottom w:val="single" w:sz="4" w:space="0" w:color="auto"/>
              <w:right w:val="nil"/>
            </w:tcBorders>
            <w:shd w:val="clear" w:color="auto" w:fill="auto"/>
            <w:noWrap/>
            <w:vAlign w:val="bottom"/>
            <w:hideMark/>
          </w:tcPr>
          <w:p w:rsidR="00AA3641" w:rsidRPr="00C24DC3" w:rsidRDefault="00AA3641" w:rsidP="00125355">
            <w:pPr>
              <w:jc w:val="center"/>
              <w:rPr>
                <w:rFonts w:eastAsia="Times New Roman"/>
                <w:color w:val="000000"/>
              </w:rPr>
            </w:pPr>
            <w:r w:rsidRPr="00C24DC3">
              <w:rPr>
                <w:rFonts w:eastAsia="Times New Roman"/>
                <w:color w:val="000000"/>
              </w:rPr>
              <w:t> </w:t>
            </w:r>
          </w:p>
        </w:tc>
        <w:tc>
          <w:tcPr>
            <w:tcW w:w="231" w:type="dxa"/>
            <w:tcBorders>
              <w:top w:val="nil"/>
              <w:left w:val="nil"/>
              <w:bottom w:val="nil"/>
              <w:right w:val="nil"/>
            </w:tcBorders>
            <w:shd w:val="clear" w:color="auto" w:fill="auto"/>
            <w:noWrap/>
            <w:vAlign w:val="bottom"/>
            <w:hideMark/>
          </w:tcPr>
          <w:p w:rsidR="00AA3641" w:rsidRPr="00C24DC3" w:rsidRDefault="00AA3641" w:rsidP="00125355">
            <w:pPr>
              <w:jc w:val="center"/>
              <w:rPr>
                <w:rFonts w:eastAsia="Times New Roman"/>
                <w:color w:val="000000"/>
              </w:rPr>
            </w:pPr>
          </w:p>
        </w:tc>
        <w:tc>
          <w:tcPr>
            <w:tcW w:w="1457" w:type="dxa"/>
            <w:tcBorders>
              <w:top w:val="nil"/>
              <w:left w:val="nil"/>
              <w:bottom w:val="single" w:sz="4" w:space="0" w:color="auto"/>
              <w:right w:val="nil"/>
            </w:tcBorders>
            <w:shd w:val="clear" w:color="auto" w:fill="auto"/>
            <w:noWrap/>
            <w:vAlign w:val="bottom"/>
            <w:hideMark/>
          </w:tcPr>
          <w:p w:rsidR="00AA3641" w:rsidRPr="00C24DC3" w:rsidRDefault="00AA3641" w:rsidP="00125355">
            <w:pPr>
              <w:jc w:val="center"/>
              <w:rPr>
                <w:rFonts w:eastAsia="Times New Roman"/>
                <w:color w:val="000000"/>
              </w:rPr>
            </w:pPr>
            <w:r w:rsidRPr="00C24DC3">
              <w:rPr>
                <w:rFonts w:eastAsia="Times New Roman"/>
                <w:color w:val="000000"/>
              </w:rPr>
              <w:t>($12.3)</w:t>
            </w:r>
          </w:p>
        </w:tc>
        <w:tc>
          <w:tcPr>
            <w:tcW w:w="222" w:type="dxa"/>
            <w:tcBorders>
              <w:top w:val="nil"/>
              <w:left w:val="nil"/>
              <w:bottom w:val="nil"/>
              <w:right w:val="nil"/>
            </w:tcBorders>
            <w:shd w:val="clear" w:color="auto" w:fill="auto"/>
            <w:noWrap/>
            <w:vAlign w:val="bottom"/>
            <w:hideMark/>
          </w:tcPr>
          <w:p w:rsidR="00AA3641" w:rsidRPr="00C24DC3" w:rsidRDefault="00AA3641" w:rsidP="00125355">
            <w:pPr>
              <w:jc w:val="center"/>
              <w:rPr>
                <w:rFonts w:eastAsia="Times New Roman"/>
                <w:color w:val="000000"/>
              </w:rPr>
            </w:pPr>
          </w:p>
        </w:tc>
        <w:tc>
          <w:tcPr>
            <w:tcW w:w="1059" w:type="dxa"/>
            <w:tcBorders>
              <w:top w:val="nil"/>
              <w:left w:val="nil"/>
              <w:bottom w:val="single" w:sz="4" w:space="0" w:color="auto"/>
              <w:right w:val="nil"/>
            </w:tcBorders>
            <w:shd w:val="clear" w:color="auto" w:fill="auto"/>
            <w:noWrap/>
            <w:vAlign w:val="bottom"/>
            <w:hideMark/>
          </w:tcPr>
          <w:p w:rsidR="00AA3641" w:rsidRPr="00C24DC3" w:rsidRDefault="00AA3641" w:rsidP="00125355">
            <w:pPr>
              <w:jc w:val="center"/>
              <w:rPr>
                <w:rFonts w:eastAsia="Times New Roman"/>
                <w:color w:val="000000"/>
              </w:rPr>
            </w:pPr>
            <w:r w:rsidRPr="00C24DC3">
              <w:rPr>
                <w:rFonts w:eastAsia="Times New Roman"/>
                <w:color w:val="000000"/>
              </w:rPr>
              <w:t>($12.3)</w:t>
            </w:r>
          </w:p>
        </w:tc>
        <w:tc>
          <w:tcPr>
            <w:tcW w:w="240" w:type="dxa"/>
            <w:gridSpan w:val="2"/>
            <w:tcBorders>
              <w:top w:val="nil"/>
              <w:left w:val="nil"/>
              <w:bottom w:val="nil"/>
              <w:right w:val="nil"/>
            </w:tcBorders>
            <w:shd w:val="clear" w:color="auto" w:fill="auto"/>
            <w:noWrap/>
            <w:vAlign w:val="bottom"/>
            <w:hideMark/>
          </w:tcPr>
          <w:p w:rsidR="00AA3641" w:rsidRPr="00C24DC3" w:rsidRDefault="00AA3641" w:rsidP="00125355">
            <w:pPr>
              <w:jc w:val="center"/>
              <w:rPr>
                <w:rFonts w:eastAsia="Times New Roman"/>
                <w:color w:val="000000"/>
              </w:rPr>
            </w:pPr>
          </w:p>
        </w:tc>
        <w:tc>
          <w:tcPr>
            <w:tcW w:w="1221" w:type="dxa"/>
            <w:tcBorders>
              <w:top w:val="nil"/>
              <w:left w:val="nil"/>
              <w:bottom w:val="single" w:sz="4" w:space="0" w:color="auto"/>
              <w:right w:val="nil"/>
            </w:tcBorders>
            <w:shd w:val="clear" w:color="auto" w:fill="auto"/>
            <w:noWrap/>
            <w:vAlign w:val="bottom"/>
            <w:hideMark/>
          </w:tcPr>
          <w:p w:rsidR="00AA3641" w:rsidRPr="00C24DC3" w:rsidRDefault="00AA3641" w:rsidP="00125355">
            <w:pPr>
              <w:jc w:val="center"/>
              <w:rPr>
                <w:rFonts w:eastAsia="Times New Roman"/>
                <w:color w:val="000000"/>
              </w:rPr>
            </w:pPr>
            <w:r w:rsidRPr="00C24DC3">
              <w:rPr>
                <w:rFonts w:eastAsia="Times New Roman"/>
                <w:color w:val="000000"/>
              </w:rPr>
              <w:t>($12.3)</w:t>
            </w:r>
          </w:p>
        </w:tc>
      </w:tr>
      <w:tr w:rsidR="00AA3641" w:rsidRPr="00C24DC3" w:rsidTr="00125355">
        <w:trPr>
          <w:trHeight w:val="620"/>
        </w:trPr>
        <w:tc>
          <w:tcPr>
            <w:tcW w:w="2396" w:type="dxa"/>
            <w:tcBorders>
              <w:top w:val="nil"/>
              <w:left w:val="nil"/>
              <w:bottom w:val="nil"/>
              <w:right w:val="nil"/>
            </w:tcBorders>
            <w:shd w:val="clear" w:color="auto" w:fill="auto"/>
            <w:noWrap/>
            <w:vAlign w:val="bottom"/>
            <w:hideMark/>
          </w:tcPr>
          <w:p w:rsidR="00AA3641" w:rsidRPr="00C24DC3" w:rsidRDefault="00AA3641" w:rsidP="00125355">
            <w:pPr>
              <w:rPr>
                <w:rFonts w:eastAsia="Times New Roman"/>
                <w:color w:val="000000"/>
              </w:rPr>
            </w:pPr>
            <w:r w:rsidRPr="00C24DC3">
              <w:rPr>
                <w:rFonts w:eastAsia="Times New Roman"/>
                <w:color w:val="000000"/>
              </w:rPr>
              <w:t>After Power Supply Update</w:t>
            </w:r>
          </w:p>
        </w:tc>
        <w:tc>
          <w:tcPr>
            <w:tcW w:w="902" w:type="dxa"/>
            <w:tcBorders>
              <w:top w:val="nil"/>
              <w:left w:val="nil"/>
              <w:bottom w:val="nil"/>
              <w:right w:val="nil"/>
            </w:tcBorders>
            <w:shd w:val="clear" w:color="auto" w:fill="auto"/>
            <w:noWrap/>
            <w:vAlign w:val="bottom"/>
            <w:hideMark/>
          </w:tcPr>
          <w:p w:rsidR="00AA3641" w:rsidRPr="00C24DC3" w:rsidRDefault="00AA3641" w:rsidP="00125355">
            <w:pPr>
              <w:jc w:val="center"/>
              <w:rPr>
                <w:rFonts w:eastAsia="Times New Roman"/>
                <w:color w:val="000000"/>
              </w:rPr>
            </w:pPr>
            <w:r w:rsidRPr="00C24DC3">
              <w:rPr>
                <w:rFonts w:eastAsia="Times New Roman"/>
                <w:color w:val="000000"/>
              </w:rPr>
              <w:t>($5.7)</w:t>
            </w:r>
          </w:p>
        </w:tc>
        <w:tc>
          <w:tcPr>
            <w:tcW w:w="265" w:type="dxa"/>
            <w:tcBorders>
              <w:top w:val="nil"/>
              <w:left w:val="nil"/>
              <w:bottom w:val="nil"/>
              <w:right w:val="nil"/>
            </w:tcBorders>
            <w:shd w:val="clear" w:color="auto" w:fill="auto"/>
            <w:noWrap/>
            <w:vAlign w:val="bottom"/>
            <w:hideMark/>
          </w:tcPr>
          <w:p w:rsidR="00AA3641" w:rsidRPr="00C24DC3" w:rsidRDefault="00AA3641" w:rsidP="00125355">
            <w:pPr>
              <w:jc w:val="center"/>
              <w:rPr>
                <w:rFonts w:eastAsia="Times New Roman"/>
                <w:color w:val="000000"/>
              </w:rPr>
            </w:pPr>
          </w:p>
        </w:tc>
        <w:tc>
          <w:tcPr>
            <w:tcW w:w="1457" w:type="dxa"/>
            <w:tcBorders>
              <w:top w:val="nil"/>
              <w:left w:val="nil"/>
              <w:bottom w:val="nil"/>
              <w:right w:val="nil"/>
            </w:tcBorders>
            <w:shd w:val="clear" w:color="auto" w:fill="auto"/>
            <w:noWrap/>
            <w:vAlign w:val="bottom"/>
            <w:hideMark/>
          </w:tcPr>
          <w:p w:rsidR="00AA3641" w:rsidRPr="00C24DC3" w:rsidRDefault="00AA3641" w:rsidP="00125355">
            <w:pPr>
              <w:jc w:val="center"/>
              <w:rPr>
                <w:rFonts w:eastAsia="Times New Roman"/>
                <w:color w:val="000000"/>
              </w:rPr>
            </w:pPr>
            <w:r w:rsidRPr="00C24DC3">
              <w:rPr>
                <w:rFonts w:eastAsia="Times New Roman"/>
                <w:color w:val="000000"/>
              </w:rPr>
              <w:t>($8.1)</w:t>
            </w:r>
          </w:p>
        </w:tc>
        <w:tc>
          <w:tcPr>
            <w:tcW w:w="231" w:type="dxa"/>
            <w:tcBorders>
              <w:top w:val="nil"/>
              <w:left w:val="nil"/>
              <w:bottom w:val="nil"/>
              <w:right w:val="nil"/>
            </w:tcBorders>
            <w:shd w:val="clear" w:color="auto" w:fill="auto"/>
            <w:noWrap/>
            <w:vAlign w:val="bottom"/>
            <w:hideMark/>
          </w:tcPr>
          <w:p w:rsidR="00AA3641" w:rsidRPr="00C24DC3" w:rsidRDefault="00AA3641" w:rsidP="00125355">
            <w:pPr>
              <w:jc w:val="center"/>
              <w:rPr>
                <w:rFonts w:eastAsia="Times New Roman"/>
                <w:color w:val="000000"/>
              </w:rPr>
            </w:pPr>
          </w:p>
        </w:tc>
        <w:tc>
          <w:tcPr>
            <w:tcW w:w="1457" w:type="dxa"/>
            <w:tcBorders>
              <w:top w:val="nil"/>
              <w:left w:val="nil"/>
              <w:bottom w:val="nil"/>
              <w:right w:val="nil"/>
            </w:tcBorders>
            <w:shd w:val="clear" w:color="auto" w:fill="auto"/>
            <w:noWrap/>
            <w:vAlign w:val="bottom"/>
            <w:hideMark/>
          </w:tcPr>
          <w:p w:rsidR="00AA3641" w:rsidRPr="00C24DC3" w:rsidRDefault="00AA3641" w:rsidP="00125355">
            <w:pPr>
              <w:jc w:val="center"/>
              <w:rPr>
                <w:rFonts w:eastAsia="Times New Roman"/>
                <w:color w:val="000000"/>
              </w:rPr>
            </w:pPr>
            <w:r w:rsidRPr="00C24DC3">
              <w:rPr>
                <w:rFonts w:eastAsia="Times New Roman"/>
                <w:color w:val="000000"/>
              </w:rPr>
              <w:t>($18.5)</w:t>
            </w:r>
          </w:p>
        </w:tc>
        <w:tc>
          <w:tcPr>
            <w:tcW w:w="222" w:type="dxa"/>
            <w:tcBorders>
              <w:top w:val="nil"/>
              <w:left w:val="nil"/>
              <w:bottom w:val="nil"/>
              <w:right w:val="nil"/>
            </w:tcBorders>
            <w:shd w:val="clear" w:color="auto" w:fill="auto"/>
            <w:noWrap/>
            <w:vAlign w:val="bottom"/>
            <w:hideMark/>
          </w:tcPr>
          <w:p w:rsidR="00AA3641" w:rsidRPr="00C24DC3" w:rsidRDefault="00AA3641" w:rsidP="00125355">
            <w:pPr>
              <w:jc w:val="center"/>
              <w:rPr>
                <w:rFonts w:eastAsia="Times New Roman"/>
                <w:color w:val="000000"/>
              </w:rPr>
            </w:pPr>
          </w:p>
        </w:tc>
        <w:tc>
          <w:tcPr>
            <w:tcW w:w="1059" w:type="dxa"/>
            <w:tcBorders>
              <w:top w:val="nil"/>
              <w:left w:val="nil"/>
              <w:bottom w:val="nil"/>
              <w:right w:val="nil"/>
            </w:tcBorders>
            <w:shd w:val="clear" w:color="auto" w:fill="auto"/>
            <w:noWrap/>
            <w:vAlign w:val="bottom"/>
            <w:hideMark/>
          </w:tcPr>
          <w:p w:rsidR="00AA3641" w:rsidRPr="00C24DC3" w:rsidRDefault="00AA3641" w:rsidP="00125355">
            <w:pPr>
              <w:jc w:val="center"/>
              <w:rPr>
                <w:rFonts w:eastAsia="Times New Roman"/>
                <w:color w:val="000000"/>
              </w:rPr>
            </w:pPr>
            <w:r w:rsidRPr="00C24DC3">
              <w:rPr>
                <w:rFonts w:eastAsia="Times New Roman"/>
                <w:color w:val="000000"/>
              </w:rPr>
              <w:t>($29.7)</w:t>
            </w:r>
          </w:p>
        </w:tc>
        <w:tc>
          <w:tcPr>
            <w:tcW w:w="240" w:type="dxa"/>
            <w:gridSpan w:val="2"/>
            <w:tcBorders>
              <w:top w:val="nil"/>
              <w:left w:val="nil"/>
              <w:bottom w:val="nil"/>
              <w:right w:val="nil"/>
            </w:tcBorders>
            <w:shd w:val="clear" w:color="auto" w:fill="auto"/>
            <w:noWrap/>
            <w:vAlign w:val="bottom"/>
            <w:hideMark/>
          </w:tcPr>
          <w:p w:rsidR="00AA3641" w:rsidRPr="00C24DC3" w:rsidRDefault="00AA3641" w:rsidP="00125355">
            <w:pPr>
              <w:jc w:val="center"/>
              <w:rPr>
                <w:rFonts w:eastAsia="Times New Roman"/>
                <w:color w:val="000000"/>
              </w:rPr>
            </w:pPr>
          </w:p>
        </w:tc>
        <w:tc>
          <w:tcPr>
            <w:tcW w:w="1221" w:type="dxa"/>
            <w:tcBorders>
              <w:top w:val="nil"/>
              <w:left w:val="nil"/>
              <w:bottom w:val="nil"/>
              <w:right w:val="nil"/>
            </w:tcBorders>
            <w:shd w:val="clear" w:color="auto" w:fill="auto"/>
            <w:noWrap/>
            <w:vAlign w:val="bottom"/>
            <w:hideMark/>
          </w:tcPr>
          <w:p w:rsidR="00AA3641" w:rsidRPr="00C24DC3" w:rsidRDefault="00AA3641" w:rsidP="00125355">
            <w:pPr>
              <w:jc w:val="center"/>
              <w:rPr>
                <w:rFonts w:eastAsia="Times New Roman"/>
                <w:color w:val="000000"/>
              </w:rPr>
            </w:pPr>
            <w:r w:rsidRPr="00C24DC3">
              <w:rPr>
                <w:rFonts w:eastAsia="Times New Roman"/>
                <w:color w:val="000000"/>
              </w:rPr>
              <w:t>($42.0)</w:t>
            </w:r>
          </w:p>
        </w:tc>
      </w:tr>
    </w:tbl>
    <w:p w:rsidR="00AA3641" w:rsidRDefault="00AA3641" w:rsidP="00AA3641">
      <w:pPr>
        <w:spacing w:line="480" w:lineRule="auto"/>
        <w:jc w:val="both"/>
      </w:pPr>
    </w:p>
    <w:p w:rsidR="00AA3641" w:rsidRPr="000967E5" w:rsidRDefault="00AA3641" w:rsidP="00AA3641">
      <w:pPr>
        <w:pStyle w:val="ListParagraph"/>
        <w:numPr>
          <w:ilvl w:val="0"/>
          <w:numId w:val="13"/>
        </w:numPr>
        <w:spacing w:line="480" w:lineRule="auto"/>
        <w:jc w:val="both"/>
        <w:rPr>
          <w:color w:val="000000" w:themeColor="text1"/>
        </w:rPr>
      </w:pPr>
      <w:r>
        <w:t xml:space="preserve">       </w:t>
      </w:r>
      <w:r w:rsidRPr="000967E5">
        <w:rPr>
          <w:color w:val="000000" w:themeColor="text1"/>
        </w:rPr>
        <w:t>Although t</w:t>
      </w:r>
      <w:r>
        <w:rPr>
          <w:color w:val="000000" w:themeColor="text1"/>
        </w:rPr>
        <w:t>here can be</w:t>
      </w:r>
      <w:r w:rsidRPr="000967E5">
        <w:rPr>
          <w:color w:val="000000" w:themeColor="text1"/>
        </w:rPr>
        <w:t xml:space="preserve"> debate regarding the “building blocks” that lead to the end result, the $8.1 million revenue decrease is clearly within the bounds of reasonableness when compared with the</w:t>
      </w:r>
      <w:r>
        <w:rPr>
          <w:color w:val="000000" w:themeColor="text1"/>
        </w:rPr>
        <w:t xml:space="preserve"> lesser</w:t>
      </w:r>
      <w:r w:rsidRPr="000967E5">
        <w:rPr>
          <w:color w:val="000000" w:themeColor="text1"/>
        </w:rPr>
        <w:t xml:space="preserve"> $5.7 million decrease demonstrated by Avista.  Both of these revenue decrease amounts (the Commission’s $8.1 million and Avista’ proposed $5.7 million) incorporate the 9.5% return on equity (ROE) and the capital structure supported by the parties in the </w:t>
      </w:r>
      <w:r>
        <w:rPr>
          <w:color w:val="000000" w:themeColor="text1"/>
        </w:rPr>
        <w:t>M</w:t>
      </w:r>
      <w:r w:rsidRPr="000967E5">
        <w:rPr>
          <w:color w:val="000000" w:themeColor="text1"/>
        </w:rPr>
        <w:t xml:space="preserve">ultiparty </w:t>
      </w:r>
      <w:r>
        <w:rPr>
          <w:color w:val="000000" w:themeColor="text1"/>
        </w:rPr>
        <w:t>S</w:t>
      </w:r>
      <w:r w:rsidRPr="000967E5">
        <w:rPr>
          <w:color w:val="000000" w:themeColor="text1"/>
        </w:rPr>
        <w:t xml:space="preserve">ettlement </w:t>
      </w:r>
      <w:r>
        <w:rPr>
          <w:color w:val="000000" w:themeColor="text1"/>
        </w:rPr>
        <w:t>Stipulation</w:t>
      </w:r>
      <w:r w:rsidRPr="000967E5">
        <w:rPr>
          <w:color w:val="000000" w:themeColor="text1"/>
        </w:rPr>
        <w:t>.  The larger $8.1 million revenue decrease approved by the Commission makes it incumbent upon Avista to manage its costs in 2016 in order to have the opportunity to actually earn that 9.5% ROE.  From Avista’s perspective, this difference of $8.1 million vs</w:t>
      </w:r>
      <w:r>
        <w:rPr>
          <w:color w:val="000000" w:themeColor="text1"/>
        </w:rPr>
        <w:t>. the</w:t>
      </w:r>
      <w:r w:rsidRPr="000967E5">
        <w:rPr>
          <w:color w:val="000000" w:themeColor="text1"/>
        </w:rPr>
        <w:t xml:space="preserve"> $5.7 million</w:t>
      </w:r>
      <w:r>
        <w:rPr>
          <w:color w:val="000000" w:themeColor="text1"/>
        </w:rPr>
        <w:t xml:space="preserve"> reduction</w:t>
      </w:r>
      <w:r w:rsidRPr="000967E5">
        <w:rPr>
          <w:color w:val="000000" w:themeColor="text1"/>
        </w:rPr>
        <w:t xml:space="preserve"> is with</w:t>
      </w:r>
      <w:r>
        <w:rPr>
          <w:color w:val="000000" w:themeColor="text1"/>
        </w:rPr>
        <w:t>in</w:t>
      </w:r>
      <w:r w:rsidRPr="000967E5">
        <w:rPr>
          <w:color w:val="000000" w:themeColor="text1"/>
        </w:rPr>
        <w:t xml:space="preserve"> the bounds of reasonableness and is a manageable difference for the Company</w:t>
      </w:r>
      <w:r>
        <w:rPr>
          <w:color w:val="000000" w:themeColor="text1"/>
        </w:rPr>
        <w:t>, in its efforts to actually earn its authorized return</w:t>
      </w:r>
      <w:r w:rsidRPr="000967E5">
        <w:rPr>
          <w:color w:val="000000" w:themeColor="text1"/>
        </w:rPr>
        <w:t>.</w:t>
      </w:r>
    </w:p>
    <w:p w:rsidR="00AA3641" w:rsidRPr="00113D70" w:rsidRDefault="00AA3641" w:rsidP="00AA3641">
      <w:pPr>
        <w:pStyle w:val="ListParagraph"/>
        <w:numPr>
          <w:ilvl w:val="0"/>
          <w:numId w:val="13"/>
        </w:numPr>
        <w:spacing w:line="480" w:lineRule="auto"/>
        <w:jc w:val="both"/>
        <w:rPr>
          <w:color w:val="000000" w:themeColor="text1"/>
        </w:rPr>
      </w:pPr>
      <w:r>
        <w:t xml:space="preserve">       Avista agrees with the Commission’s characterization of ICNU and Public Counsel’s revenue decrease litigation proposals of $29.7 million and $42.0 million, respectively, from </w:t>
      </w:r>
      <w:r>
        <w:lastRenderedPageBreak/>
        <w:t>the table above, as being “drastic”</w:t>
      </w:r>
      <w:r>
        <w:rPr>
          <w:rStyle w:val="FootnoteReference"/>
        </w:rPr>
        <w:footnoteReference w:id="15"/>
      </w:r>
      <w:r>
        <w:t xml:space="preserve"> and “even more severe”.</w:t>
      </w:r>
      <w:r>
        <w:rPr>
          <w:rStyle w:val="FootnoteReference"/>
        </w:rPr>
        <w:footnoteReference w:id="16"/>
      </w:r>
      <w:r>
        <w:t xml:space="preserve">  Staff’s revenue decrease litigation proposal of $18.5 million also would not provide Avista with a reasonable opportunity to earn the authorized return for 2016, as demonstrated by the record.  </w:t>
      </w:r>
    </w:p>
    <w:p w:rsidR="00AA3641" w:rsidRPr="00460858" w:rsidRDefault="00AA3641" w:rsidP="00AA3641">
      <w:pPr>
        <w:pStyle w:val="ListParagraph"/>
        <w:numPr>
          <w:ilvl w:val="0"/>
          <w:numId w:val="13"/>
        </w:numPr>
        <w:spacing w:line="480" w:lineRule="auto"/>
        <w:jc w:val="both"/>
        <w:rPr>
          <w:color w:val="000000" w:themeColor="text1"/>
        </w:rPr>
      </w:pPr>
      <w:r>
        <w:t xml:space="preserve">       </w:t>
      </w:r>
      <w:r>
        <w:rPr>
          <w:color w:val="000000" w:themeColor="text1"/>
        </w:rPr>
        <w:t>Furthermore</w:t>
      </w:r>
      <w:r w:rsidRPr="000967E5">
        <w:rPr>
          <w:color w:val="000000" w:themeColor="text1"/>
        </w:rPr>
        <w:t xml:space="preserve">, if the Commission were to adopt an “end result” of a $19.8 million electric revenue decrease </w:t>
      </w:r>
      <w:r>
        <w:rPr>
          <w:color w:val="000000" w:themeColor="text1"/>
        </w:rPr>
        <w:t>as calculated</w:t>
      </w:r>
      <w:r w:rsidRPr="000967E5">
        <w:rPr>
          <w:color w:val="000000" w:themeColor="text1"/>
        </w:rPr>
        <w:t xml:space="preserve"> by ICNU and Public Counsel</w:t>
      </w:r>
      <w:r>
        <w:rPr>
          <w:color w:val="000000" w:themeColor="text1"/>
        </w:rPr>
        <w:t xml:space="preserve"> in their Motion for Clarification, or the $19.6</w:t>
      </w:r>
      <w:r w:rsidRPr="000967E5">
        <w:rPr>
          <w:color w:val="000000" w:themeColor="text1"/>
        </w:rPr>
        <w:t xml:space="preserve"> million revenue decrease </w:t>
      </w:r>
      <w:r>
        <w:rPr>
          <w:color w:val="000000" w:themeColor="text1"/>
        </w:rPr>
        <w:t>presented by</w:t>
      </w:r>
      <w:r w:rsidRPr="000967E5">
        <w:rPr>
          <w:color w:val="000000" w:themeColor="text1"/>
        </w:rPr>
        <w:t xml:space="preserve"> </w:t>
      </w:r>
      <w:r>
        <w:rPr>
          <w:color w:val="000000" w:themeColor="text1"/>
        </w:rPr>
        <w:t>Commission</w:t>
      </w:r>
      <w:r w:rsidRPr="000967E5">
        <w:rPr>
          <w:color w:val="000000" w:themeColor="text1"/>
        </w:rPr>
        <w:t xml:space="preserve"> Staff</w:t>
      </w:r>
      <w:r>
        <w:rPr>
          <w:color w:val="000000" w:themeColor="text1"/>
        </w:rPr>
        <w:t xml:space="preserve"> in its Motion to Reopen</w:t>
      </w:r>
      <w:r w:rsidRPr="000967E5">
        <w:rPr>
          <w:color w:val="000000" w:themeColor="text1"/>
        </w:rPr>
        <w:t xml:space="preserve">, the magnitude of these revenue decreases </w:t>
      </w:r>
      <w:r>
        <w:rPr>
          <w:color w:val="000000" w:themeColor="text1"/>
        </w:rPr>
        <w:t>would</w:t>
      </w:r>
      <w:r w:rsidRPr="000967E5">
        <w:rPr>
          <w:color w:val="000000" w:themeColor="text1"/>
        </w:rPr>
        <w:t xml:space="preserve"> not come close to providing a reasonable opportunity for Avista to earn the </w:t>
      </w:r>
      <w:r>
        <w:rPr>
          <w:color w:val="000000" w:themeColor="text1"/>
        </w:rPr>
        <w:t xml:space="preserve">agreed-upon </w:t>
      </w:r>
      <w:r w:rsidRPr="000967E5">
        <w:rPr>
          <w:color w:val="000000" w:themeColor="text1"/>
        </w:rPr>
        <w:t xml:space="preserve">9.5% </w:t>
      </w:r>
      <w:r>
        <w:rPr>
          <w:color w:val="000000" w:themeColor="text1"/>
        </w:rPr>
        <w:t xml:space="preserve">authorized </w:t>
      </w:r>
      <w:r w:rsidRPr="000967E5">
        <w:rPr>
          <w:color w:val="000000" w:themeColor="text1"/>
        </w:rPr>
        <w:t>ROE for 2016.</w:t>
      </w:r>
      <w:r>
        <w:rPr>
          <w:color w:val="000000" w:themeColor="text1"/>
        </w:rPr>
        <w:t xml:space="preserve">  </w:t>
      </w:r>
    </w:p>
    <w:p w:rsidR="0008117A" w:rsidRDefault="0008117A" w:rsidP="00B76890">
      <w:pPr>
        <w:tabs>
          <w:tab w:val="left" w:pos="720"/>
        </w:tabs>
        <w:spacing w:line="480" w:lineRule="auto"/>
        <w:ind w:left="270"/>
        <w:jc w:val="both"/>
        <w:rPr>
          <w:b/>
          <w:color w:val="000000" w:themeColor="text1"/>
          <w:u w:val="single"/>
        </w:rPr>
      </w:pPr>
    </w:p>
    <w:p w:rsidR="00B76890" w:rsidRPr="00B47ABF" w:rsidRDefault="00B76890" w:rsidP="00B76890">
      <w:pPr>
        <w:tabs>
          <w:tab w:val="left" w:pos="720"/>
        </w:tabs>
        <w:spacing w:line="480" w:lineRule="auto"/>
        <w:ind w:left="270"/>
        <w:jc w:val="both"/>
        <w:rPr>
          <w:b/>
          <w:color w:val="000000" w:themeColor="text1"/>
          <w:u w:val="single"/>
        </w:rPr>
      </w:pPr>
      <w:r>
        <w:rPr>
          <w:b/>
          <w:color w:val="000000" w:themeColor="text1"/>
          <w:u w:val="single"/>
        </w:rPr>
        <w:t>B.  The End Result</w:t>
      </w:r>
    </w:p>
    <w:p w:rsidR="00B76890" w:rsidRPr="00D44413" w:rsidRDefault="00B76890" w:rsidP="00B76890">
      <w:pPr>
        <w:pStyle w:val="ListParagraph"/>
        <w:numPr>
          <w:ilvl w:val="0"/>
          <w:numId w:val="13"/>
        </w:numPr>
        <w:spacing w:line="480" w:lineRule="auto"/>
        <w:jc w:val="both"/>
        <w:rPr>
          <w:color w:val="000000" w:themeColor="text1"/>
        </w:rPr>
      </w:pPr>
      <w:r>
        <w:t xml:space="preserve">       </w:t>
      </w:r>
      <w:r w:rsidRPr="00D44413">
        <w:rPr>
          <w:color w:val="000000" w:themeColor="text1"/>
        </w:rPr>
        <w:t>As mentioned above, the Commission appropriately spent considerable time in its Order emphasizing the importance of the “end result” of its order.  In particular, in paragraph 132, on page 49, of its Order 05 the Commission stated as follows (emphasis added):</w:t>
      </w:r>
    </w:p>
    <w:p w:rsidR="00B76890" w:rsidRDefault="00B76890" w:rsidP="00B76890">
      <w:pPr>
        <w:ind w:left="720"/>
        <w:jc w:val="both"/>
      </w:pPr>
      <w:r w:rsidRPr="009464B2">
        <w:t xml:space="preserve">Were we to reject an attrition adjustment for electric revenue requirement in this case, the result under Staff’s modified historical test year pro forma analysis would be a reduction in electric revenue requirement of </w:t>
      </w:r>
      <w:r>
        <w:t>more than</w:t>
      </w:r>
      <w:r w:rsidRPr="009464B2">
        <w:t xml:space="preserve"> $20 million.</w:t>
      </w:r>
      <w:r w:rsidRPr="009464B2">
        <w:rPr>
          <w:rStyle w:val="FootnoteReference"/>
        </w:rPr>
        <w:t xml:space="preserve"> </w:t>
      </w:r>
      <w:r w:rsidRPr="009464B2">
        <w:rPr>
          <w:rStyle w:val="FootnoteReference"/>
        </w:rPr>
        <w:footnoteReference w:id="17"/>
      </w:r>
      <w:r w:rsidRPr="009464B2">
        <w:t xml:space="preserve"> Public Counsel and </w:t>
      </w:r>
      <w:r>
        <w:t xml:space="preserve">the </w:t>
      </w:r>
      <w:r w:rsidRPr="009464B2">
        <w:t xml:space="preserve">intervenors recommend </w:t>
      </w:r>
      <w:r w:rsidRPr="007D74FC">
        <w:rPr>
          <w:u w:val="single"/>
        </w:rPr>
        <w:t>even more severe reductions</w:t>
      </w:r>
      <w:r w:rsidRPr="009464B2">
        <w:t xml:space="preserve"> based solely on a modified test year analysis with known and measurable pro forma adjustments. We cannot reasonably conclude such </w:t>
      </w:r>
      <w:r>
        <w:t>an end</w:t>
      </w:r>
      <w:r w:rsidRPr="009464B2">
        <w:t xml:space="preserve"> result would be appropriate under the standards in </w:t>
      </w:r>
      <w:r w:rsidRPr="009464B2">
        <w:rPr>
          <w:i/>
        </w:rPr>
        <w:t>Hope</w:t>
      </w:r>
      <w:r w:rsidRPr="009464B2">
        <w:t xml:space="preserve"> and </w:t>
      </w:r>
      <w:r w:rsidRPr="009464B2">
        <w:rPr>
          <w:i/>
        </w:rPr>
        <w:t>Bluefield</w:t>
      </w:r>
      <w:r w:rsidRPr="009464B2">
        <w:t xml:space="preserve">. </w:t>
      </w:r>
      <w:r w:rsidRPr="004E27FC">
        <w:rPr>
          <w:u w:val="single"/>
        </w:rPr>
        <w:t xml:space="preserve">The Commission’s responsibility to set rates that are fair, just, reasonable, and sufficient turns not on the particular rate making methodology it selects, </w:t>
      </w:r>
      <w:r w:rsidRPr="004E27FC">
        <w:rPr>
          <w:i/>
          <w:u w:val="single"/>
        </w:rPr>
        <w:t>i.e.</w:t>
      </w:r>
      <w:r w:rsidRPr="004E27FC">
        <w:rPr>
          <w:u w:val="single"/>
        </w:rPr>
        <w:t>, modified historical test year or attrition, but on its outcome, or “end results.</w:t>
      </w:r>
      <w:r w:rsidRPr="009464B2">
        <w:t>”</w:t>
      </w:r>
      <w:r w:rsidRPr="009464B2">
        <w:rPr>
          <w:vertAlign w:val="superscript"/>
        </w:rPr>
        <w:footnoteReference w:id="18"/>
      </w:r>
      <w:r w:rsidRPr="009464B2">
        <w:t xml:space="preserve"> Indeed, the Supreme Court in </w:t>
      </w:r>
      <w:r w:rsidRPr="009464B2">
        <w:rPr>
          <w:i/>
        </w:rPr>
        <w:t>Hope</w:t>
      </w:r>
      <w:r w:rsidRPr="009464B2">
        <w:t xml:space="preserve"> determined that the Federal Power Commission (FPC) “was not bound to </w:t>
      </w:r>
      <w:r w:rsidRPr="009464B2">
        <w:lastRenderedPageBreak/>
        <w:t>the use of any single formula or combination of formulae in determining rates.”</w:t>
      </w:r>
      <w:r w:rsidRPr="009464B2">
        <w:rPr>
          <w:vertAlign w:val="superscript"/>
        </w:rPr>
        <w:footnoteReference w:id="19"/>
      </w:r>
      <w:r w:rsidRPr="009464B2">
        <w:t xml:space="preserve"> The Court explained that:</w:t>
      </w:r>
    </w:p>
    <w:p w:rsidR="00B76890" w:rsidRPr="009464B2" w:rsidRDefault="00B76890" w:rsidP="00B76890">
      <w:pPr>
        <w:ind w:left="-720"/>
      </w:pPr>
    </w:p>
    <w:p w:rsidR="00B76890" w:rsidRDefault="00B76890" w:rsidP="00B76890">
      <w:pPr>
        <w:ind w:left="1440" w:right="720"/>
        <w:jc w:val="both"/>
      </w:pPr>
      <w:r w:rsidRPr="004E27FC">
        <w:rPr>
          <w:u w:val="single"/>
        </w:rPr>
        <w:t>Under the statutory standard of 'just and reasonable' it is the result reached not the method employed which is controlling.  It is not theory but the impact of the rate order which counts.  If the total effect of the rate order cannot be said to be unjust and unreasonable, judicial inquiry under the [Federal Power] Act is at an end. The fact that the method employed to reach that result may contain infirmities is not then important</w:t>
      </w:r>
      <w:r w:rsidRPr="009464B2">
        <w:t>.</w:t>
      </w:r>
      <w:r w:rsidRPr="009464B2">
        <w:rPr>
          <w:vertAlign w:val="superscript"/>
        </w:rPr>
        <w:footnoteReference w:id="20"/>
      </w:r>
      <w:r>
        <w:t xml:space="preserve"> (emphasis added)</w:t>
      </w:r>
    </w:p>
    <w:p w:rsidR="00B76890" w:rsidRPr="009464B2" w:rsidRDefault="00B76890" w:rsidP="00B76890">
      <w:pPr>
        <w:ind w:left="1440" w:right="720"/>
      </w:pPr>
    </w:p>
    <w:p w:rsidR="00B76890" w:rsidRPr="009464B2" w:rsidRDefault="00B76890" w:rsidP="00B76890"/>
    <w:p w:rsidR="00B76890" w:rsidRDefault="00B76890" w:rsidP="00B76890">
      <w:pPr>
        <w:pStyle w:val="ListParagraph"/>
        <w:numPr>
          <w:ilvl w:val="0"/>
          <w:numId w:val="13"/>
        </w:numPr>
        <w:spacing w:line="480" w:lineRule="auto"/>
        <w:jc w:val="both"/>
      </w:pPr>
      <w:r>
        <w:t xml:space="preserve">       As the Commission pointed out, the U.S. Supreme Court determined that, “it is the result reached not the method employed which is controlling.  It is not the theory but the impact of the rate order which counts.”  (</w:t>
      </w:r>
      <w:r>
        <w:rPr>
          <w:u w:val="single"/>
        </w:rPr>
        <w:t>S</w:t>
      </w:r>
      <w:r w:rsidRPr="00D91139">
        <w:rPr>
          <w:u w:val="single"/>
        </w:rPr>
        <w:t>upra</w:t>
      </w:r>
      <w:r>
        <w:t>) The Court even went on to state that, “The fact that the method employed to reach that result may contain infirmities is not then important.”  (</w:t>
      </w:r>
      <w:r>
        <w:rPr>
          <w:u w:val="single"/>
        </w:rPr>
        <w:t>S</w:t>
      </w:r>
      <w:r w:rsidRPr="00D91139">
        <w:rPr>
          <w:u w:val="single"/>
        </w:rPr>
        <w:t>upra</w:t>
      </w:r>
      <w:r>
        <w:t xml:space="preserve">) In the case of Avista, </w:t>
      </w:r>
      <w:r w:rsidRPr="008B5C86">
        <w:rPr>
          <w:u w:val="single"/>
        </w:rPr>
        <w:t>even if one were to conclude that there may be “infirmities”</w:t>
      </w:r>
      <w:r>
        <w:t xml:space="preserve"> within the method employed, </w:t>
      </w:r>
      <w:r w:rsidRPr="00D44413">
        <w:rPr>
          <w:u w:val="single"/>
        </w:rPr>
        <w:t>it would not, and should not,</w:t>
      </w:r>
      <w:r>
        <w:t xml:space="preserve"> lead to a conclusion that the end result is not just and reasonable.  </w:t>
      </w:r>
    </w:p>
    <w:p w:rsidR="00B76890" w:rsidRDefault="00B76890" w:rsidP="00B76890">
      <w:pPr>
        <w:pStyle w:val="ListParagraph"/>
        <w:numPr>
          <w:ilvl w:val="0"/>
          <w:numId w:val="13"/>
        </w:numPr>
        <w:spacing w:line="480" w:lineRule="auto"/>
        <w:jc w:val="both"/>
      </w:pPr>
      <w:r>
        <w:t xml:space="preserve">       The Commission, in its Order</w:t>
      </w:r>
      <w:r>
        <w:rPr>
          <w:rStyle w:val="FootnoteReference"/>
        </w:rPr>
        <w:footnoteReference w:id="21"/>
      </w:r>
      <w:r>
        <w:t xml:space="preserve">, went on to reference the </w:t>
      </w:r>
      <w:r w:rsidRPr="007D74FC">
        <w:rPr>
          <w:i/>
        </w:rPr>
        <w:t>Permian Basin</w:t>
      </w:r>
      <w:r>
        <w:t xml:space="preserve"> case and stated, in part, “</w:t>
      </w:r>
      <w:r w:rsidRPr="009464B2">
        <w:t xml:space="preserve">In the </w:t>
      </w:r>
      <w:r w:rsidRPr="007D74FC">
        <w:rPr>
          <w:i/>
        </w:rPr>
        <w:t xml:space="preserve">Permian Basin </w:t>
      </w:r>
      <w:r w:rsidRPr="009464B2">
        <w:t xml:space="preserve">case, another FPC case often cited with </w:t>
      </w:r>
      <w:r w:rsidRPr="007D74FC">
        <w:rPr>
          <w:i/>
        </w:rPr>
        <w:t xml:space="preserve">Hope, </w:t>
      </w:r>
      <w:r w:rsidRPr="009464B2">
        <w:t>the United States Supreme Court embraced the end result test</w:t>
      </w:r>
      <w:r>
        <w:t>”</w:t>
      </w:r>
      <w:r w:rsidRPr="007D74FC">
        <w:rPr>
          <w:i/>
          <w:iCs/>
        </w:rPr>
        <w:t>.</w:t>
      </w:r>
      <w:r w:rsidRPr="009464B2">
        <w:rPr>
          <w:vertAlign w:val="superscript"/>
        </w:rPr>
        <w:footnoteReference w:id="22"/>
      </w:r>
      <w:r w:rsidRPr="007D74FC">
        <w:rPr>
          <w:i/>
          <w:iCs/>
        </w:rPr>
        <w:t xml:space="preserve"> </w:t>
      </w:r>
      <w:r w:rsidRPr="007D74FC">
        <w:rPr>
          <w:iCs/>
        </w:rPr>
        <w:t xml:space="preserve"> </w:t>
      </w:r>
      <w:r>
        <w:t xml:space="preserve">The Commission’s footnote to this statement </w:t>
      </w:r>
      <w:r>
        <w:lastRenderedPageBreak/>
        <w:t>provides further emphasis on the importance of the “end result” test, as opposed to limiting its “inquiries” to the “computation of costs of service.”</w:t>
      </w:r>
      <w:r>
        <w:rPr>
          <w:rStyle w:val="FootnoteReference"/>
        </w:rPr>
        <w:footnoteReference w:id="23"/>
      </w:r>
      <w:r>
        <w:t xml:space="preserve">  The referenced footnote states, in part:</w:t>
      </w:r>
    </w:p>
    <w:p w:rsidR="00B76890" w:rsidRDefault="00B76890" w:rsidP="00B76890">
      <w:pPr>
        <w:ind w:left="720"/>
        <w:jc w:val="both"/>
      </w:pPr>
      <w:r>
        <w:t>The Court stated: “The Commission cannot confine its inquiries either to the computation of costs of service or to conjectures about prospective responses of the capital market; it is instead obliged at each step of the regulatory process to assess the requirements of the broad public interests entrusted to its protection by Congress.”  (</w:t>
      </w:r>
      <w:r w:rsidRPr="007D74FC">
        <w:rPr>
          <w:u w:val="single"/>
        </w:rPr>
        <w:t>Ibid</w:t>
      </w:r>
      <w:r>
        <w:t>.)</w:t>
      </w:r>
    </w:p>
    <w:p w:rsidR="00B76890" w:rsidRDefault="00B76890" w:rsidP="00B76890">
      <w:pPr>
        <w:spacing w:after="120" w:line="288" w:lineRule="auto"/>
        <w:ind w:firstLine="720"/>
      </w:pPr>
    </w:p>
    <w:p w:rsidR="00B76890" w:rsidRDefault="00B76890" w:rsidP="00B77CE1">
      <w:pPr>
        <w:spacing w:line="480" w:lineRule="auto"/>
        <w:ind w:left="270"/>
      </w:pPr>
      <w:r>
        <w:t>Mindful of its responsibilities, this Commission concluded:</w:t>
      </w:r>
    </w:p>
    <w:p w:rsidR="00B76890" w:rsidRPr="009464B2" w:rsidRDefault="00B76890" w:rsidP="00B76890">
      <w:pPr>
        <w:ind w:left="720"/>
        <w:jc w:val="both"/>
      </w:pPr>
      <w:r w:rsidRPr="009464B2">
        <w:t xml:space="preserve">These are the fundamental principles that have long guided the Commission when it determines rates for a jurisdictional utility such as Avista. </w:t>
      </w:r>
      <w:r w:rsidRPr="003913C4">
        <w:rPr>
          <w:u w:val="single"/>
        </w:rPr>
        <w:t>A drastic rate reduction, such as proposed by parties that urge us to reject an attrition adjustment, would run afoul of these principles</w:t>
      </w:r>
      <w:r w:rsidRPr="007D74FC">
        <w:t>.</w:t>
      </w:r>
      <w:r w:rsidRPr="007D74FC">
        <w:rPr>
          <w:rStyle w:val="FootnoteReference"/>
        </w:rPr>
        <w:footnoteReference w:id="24"/>
      </w:r>
      <w:r w:rsidRPr="007D74FC">
        <w:t xml:space="preserve">  (emphasis added)</w:t>
      </w:r>
    </w:p>
    <w:p w:rsidR="00B76890" w:rsidRDefault="00B76890" w:rsidP="00B76890">
      <w:pPr>
        <w:spacing w:line="480" w:lineRule="auto"/>
        <w:ind w:left="270" w:firstLine="450"/>
        <w:jc w:val="both"/>
        <w:rPr>
          <w:color w:val="000000" w:themeColor="text1"/>
        </w:rPr>
      </w:pPr>
    </w:p>
    <w:p w:rsidR="00B76890" w:rsidRPr="00D44413" w:rsidRDefault="00B76890" w:rsidP="00B76890">
      <w:pPr>
        <w:pStyle w:val="ListParagraph"/>
        <w:numPr>
          <w:ilvl w:val="0"/>
          <w:numId w:val="13"/>
        </w:numPr>
        <w:spacing w:line="480" w:lineRule="auto"/>
        <w:jc w:val="both"/>
        <w:rPr>
          <w:color w:val="000000" w:themeColor="text1"/>
        </w:rPr>
      </w:pPr>
      <w:r>
        <w:t xml:space="preserve">       </w:t>
      </w:r>
      <w:r w:rsidRPr="00D44413">
        <w:rPr>
          <w:color w:val="000000" w:themeColor="text1"/>
        </w:rPr>
        <w:t xml:space="preserve">The magnitude of the electric revenue decreases </w:t>
      </w:r>
      <w:r>
        <w:rPr>
          <w:color w:val="000000" w:themeColor="text1"/>
        </w:rPr>
        <w:t>calculated</w:t>
      </w:r>
      <w:r w:rsidRPr="00D44413">
        <w:rPr>
          <w:color w:val="000000" w:themeColor="text1"/>
        </w:rPr>
        <w:t xml:space="preserve"> by ICNU and Pubic Counsel ($</w:t>
      </w:r>
      <w:r w:rsidR="00947128">
        <w:rPr>
          <w:color w:val="000000" w:themeColor="text1"/>
        </w:rPr>
        <w:t>19.8</w:t>
      </w:r>
      <w:r w:rsidRPr="00D44413">
        <w:rPr>
          <w:color w:val="000000" w:themeColor="text1"/>
        </w:rPr>
        <w:t xml:space="preserve"> million), and the </w:t>
      </w:r>
      <w:r>
        <w:rPr>
          <w:color w:val="000000" w:themeColor="text1"/>
        </w:rPr>
        <w:t>Commission</w:t>
      </w:r>
      <w:r w:rsidRPr="00D44413">
        <w:rPr>
          <w:color w:val="000000" w:themeColor="text1"/>
        </w:rPr>
        <w:t xml:space="preserve"> Staff ($</w:t>
      </w:r>
      <w:r>
        <w:rPr>
          <w:color w:val="000000" w:themeColor="text1"/>
        </w:rPr>
        <w:t>19.6</w:t>
      </w:r>
      <w:r w:rsidRPr="00D44413">
        <w:rPr>
          <w:color w:val="000000" w:themeColor="text1"/>
        </w:rPr>
        <w:t xml:space="preserve"> million) are </w:t>
      </w:r>
      <w:r>
        <w:rPr>
          <w:color w:val="000000" w:themeColor="text1"/>
        </w:rPr>
        <w:t>“</w:t>
      </w:r>
      <w:r w:rsidRPr="00D44413">
        <w:rPr>
          <w:color w:val="000000" w:themeColor="text1"/>
        </w:rPr>
        <w:t>drastic</w:t>
      </w:r>
      <w:r>
        <w:rPr>
          <w:color w:val="000000" w:themeColor="text1"/>
        </w:rPr>
        <w:t>”</w:t>
      </w:r>
      <w:r w:rsidRPr="00D44413">
        <w:rPr>
          <w:color w:val="000000" w:themeColor="text1"/>
        </w:rPr>
        <w:t xml:space="preserve"> when compared with the $5.7 million decrease supported by Avista, and the $8.1 million decrease approved as a reasonable end result by this Commission.  If the Commission were to adopt an “end result” of a $</w:t>
      </w:r>
      <w:r w:rsidR="00947128">
        <w:rPr>
          <w:color w:val="000000" w:themeColor="text1"/>
        </w:rPr>
        <w:t>19.8</w:t>
      </w:r>
      <w:r w:rsidRPr="00D44413">
        <w:rPr>
          <w:color w:val="000000" w:themeColor="text1"/>
        </w:rPr>
        <w:t xml:space="preserve"> million electric revenue decrease </w:t>
      </w:r>
      <w:r>
        <w:rPr>
          <w:color w:val="000000" w:themeColor="text1"/>
        </w:rPr>
        <w:t>as calculated</w:t>
      </w:r>
      <w:r w:rsidRPr="00D44413">
        <w:rPr>
          <w:color w:val="000000" w:themeColor="text1"/>
        </w:rPr>
        <w:t xml:space="preserve"> by ICNU and Public Counsel, or the $</w:t>
      </w:r>
      <w:r>
        <w:rPr>
          <w:color w:val="000000" w:themeColor="text1"/>
        </w:rPr>
        <w:t>19.6 m</w:t>
      </w:r>
      <w:r w:rsidRPr="00D44413">
        <w:rPr>
          <w:color w:val="000000" w:themeColor="text1"/>
        </w:rPr>
        <w:t xml:space="preserve">illion revenue </w:t>
      </w:r>
      <w:r>
        <w:rPr>
          <w:color w:val="000000" w:themeColor="text1"/>
        </w:rPr>
        <w:t>calculated by</w:t>
      </w:r>
      <w:r w:rsidRPr="00D44413">
        <w:rPr>
          <w:color w:val="000000" w:themeColor="text1"/>
        </w:rPr>
        <w:t xml:space="preserve"> </w:t>
      </w:r>
      <w:r>
        <w:rPr>
          <w:color w:val="000000" w:themeColor="text1"/>
        </w:rPr>
        <w:t>Commission</w:t>
      </w:r>
      <w:r w:rsidRPr="00D44413">
        <w:rPr>
          <w:color w:val="000000" w:themeColor="text1"/>
        </w:rPr>
        <w:t xml:space="preserve"> Staff, Avista would not have a reasonable opportunity to earn</w:t>
      </w:r>
      <w:r>
        <w:rPr>
          <w:color w:val="000000" w:themeColor="text1"/>
        </w:rPr>
        <w:t xml:space="preserve"> its authorized return for 2016, as shown below.</w:t>
      </w:r>
    </w:p>
    <w:p w:rsidR="00B76890" w:rsidRDefault="00B76890" w:rsidP="00B76890">
      <w:pPr>
        <w:tabs>
          <w:tab w:val="left" w:pos="720"/>
        </w:tabs>
        <w:spacing w:line="480" w:lineRule="auto"/>
        <w:ind w:left="270"/>
        <w:jc w:val="both"/>
        <w:rPr>
          <w:b/>
          <w:color w:val="000000" w:themeColor="text1"/>
          <w:u w:val="single"/>
        </w:rPr>
      </w:pPr>
    </w:p>
    <w:p w:rsidR="00B76890" w:rsidRPr="00B47ABF" w:rsidRDefault="00B76890" w:rsidP="00B76890">
      <w:pPr>
        <w:tabs>
          <w:tab w:val="left" w:pos="720"/>
        </w:tabs>
        <w:spacing w:line="480" w:lineRule="auto"/>
        <w:ind w:left="270"/>
        <w:jc w:val="both"/>
        <w:rPr>
          <w:b/>
          <w:color w:val="000000" w:themeColor="text1"/>
          <w:u w:val="single"/>
        </w:rPr>
      </w:pPr>
      <w:r>
        <w:rPr>
          <w:b/>
          <w:color w:val="000000" w:themeColor="text1"/>
          <w:u w:val="single"/>
        </w:rPr>
        <w:t xml:space="preserve">C.  </w:t>
      </w:r>
      <w:r w:rsidRPr="008E3FA1">
        <w:rPr>
          <w:b/>
          <w:color w:val="000000" w:themeColor="text1"/>
          <w:u w:val="single"/>
        </w:rPr>
        <w:t xml:space="preserve">Avista’s ROE Opportunity </w:t>
      </w:r>
      <w:r>
        <w:rPr>
          <w:b/>
          <w:color w:val="000000" w:themeColor="text1"/>
          <w:u w:val="single"/>
        </w:rPr>
        <w:t xml:space="preserve">in 2016 </w:t>
      </w:r>
      <w:r w:rsidRPr="008E3FA1">
        <w:rPr>
          <w:b/>
          <w:color w:val="000000" w:themeColor="text1"/>
          <w:u w:val="single"/>
        </w:rPr>
        <w:t>if Amounts in Motions are Adopted</w:t>
      </w:r>
    </w:p>
    <w:p w:rsidR="00B76890" w:rsidRDefault="00B76890" w:rsidP="009D2CBD">
      <w:pPr>
        <w:pStyle w:val="ListParagraph"/>
        <w:numPr>
          <w:ilvl w:val="0"/>
          <w:numId w:val="13"/>
        </w:numPr>
        <w:tabs>
          <w:tab w:val="num" w:pos="720"/>
        </w:tabs>
        <w:spacing w:line="480" w:lineRule="auto"/>
        <w:jc w:val="both"/>
      </w:pPr>
      <w:r>
        <w:t xml:space="preserve">       Table No. 2 below illustrates Avista’s earnings opportunity for 2016 for its electric operations in Washington if the revenue decreases calculated by ICNU/Public Counsel and the Commission Staff </w:t>
      </w:r>
      <w:r w:rsidR="00E37548">
        <w:t xml:space="preserve">in </w:t>
      </w:r>
      <w:r w:rsidR="000C2129">
        <w:t>its</w:t>
      </w:r>
      <w:r w:rsidR="00E37548">
        <w:t xml:space="preserve"> Motion to Reopen </w:t>
      </w:r>
      <w:r>
        <w:t xml:space="preserve">were to be adopted by the Commission.  The table </w:t>
      </w:r>
      <w:r>
        <w:lastRenderedPageBreak/>
        <w:t xml:space="preserve">is in the same format as contained within Mr. Norwood’s Rebuttal Testimony showing the impact on ROE of the parties’ original positions, but updated to reflect the </w:t>
      </w:r>
      <w:r w:rsidR="00933864">
        <w:t xml:space="preserve">impact of their Motions and is </w:t>
      </w:r>
      <w:r>
        <w:t xml:space="preserve">reproduced from page 31 of Mr. Norwood’s testimony (Exhibit KON-1T). </w:t>
      </w:r>
      <w:r>
        <w:rPr>
          <w:rStyle w:val="FootnoteReference"/>
        </w:rPr>
        <w:footnoteReference w:id="25"/>
      </w:r>
      <w:r>
        <w:t xml:space="preserve">  All of the numbers are </w:t>
      </w:r>
      <w:r w:rsidRPr="00E37548">
        <w:rPr>
          <w:u w:val="single"/>
        </w:rPr>
        <w:t>derived from evidence of record</w:t>
      </w:r>
      <w:r>
        <w:t>, or simply represent mathematical calculations based on these source numbers.</w:t>
      </w:r>
    </w:p>
    <w:p w:rsidR="00B76890" w:rsidRPr="00BC17D6" w:rsidRDefault="00B76890" w:rsidP="00502753">
      <w:pPr>
        <w:spacing w:after="200" w:line="276" w:lineRule="auto"/>
        <w:ind w:left="270"/>
        <w:rPr>
          <w:b/>
          <w:bCs/>
          <w:u w:val="single"/>
        </w:rPr>
      </w:pPr>
      <w:r w:rsidRPr="00BC17D6">
        <w:rPr>
          <w:b/>
          <w:u w:val="single"/>
        </w:rPr>
        <w:t>Table No.</w:t>
      </w:r>
      <w:r>
        <w:rPr>
          <w:b/>
          <w:u w:val="single"/>
        </w:rPr>
        <w:t xml:space="preserve"> 2</w:t>
      </w:r>
      <w:r w:rsidRPr="00BC17D6">
        <w:rPr>
          <w:b/>
          <w:u w:val="single"/>
        </w:rPr>
        <w:t xml:space="preserve">     </w:t>
      </w:r>
    </w:p>
    <w:p w:rsidR="00B76890" w:rsidRPr="008C1B92" w:rsidRDefault="00B76890" w:rsidP="00502753">
      <w:pPr>
        <w:pStyle w:val="BodyText"/>
        <w:tabs>
          <w:tab w:val="left" w:pos="3960"/>
          <w:tab w:val="center" w:pos="4770"/>
          <w:tab w:val="right" w:pos="5580"/>
          <w:tab w:val="left" w:pos="6120"/>
          <w:tab w:val="center" w:pos="7470"/>
          <w:tab w:val="left" w:pos="7560"/>
          <w:tab w:val="center" w:pos="8280"/>
          <w:tab w:val="right" w:pos="9000"/>
        </w:tabs>
        <w:ind w:left="270" w:right="-54"/>
        <w:jc w:val="both"/>
        <w:rPr>
          <w:bCs/>
          <w:u w:val="single"/>
        </w:rPr>
      </w:pPr>
      <w:r w:rsidRPr="008C1B92">
        <w:tab/>
      </w:r>
      <w:r w:rsidRPr="00370F2D">
        <w:tab/>
      </w:r>
      <w:r w:rsidRPr="00370F2D">
        <w:tab/>
      </w:r>
      <w:r w:rsidRPr="00370F2D">
        <w:tab/>
      </w:r>
      <w:r>
        <w:rPr>
          <w:u w:val="single"/>
        </w:rPr>
        <w:tab/>
      </w:r>
      <w:r w:rsidRPr="008C1B92">
        <w:rPr>
          <w:u w:val="single"/>
        </w:rPr>
        <w:t>$Millions</w:t>
      </w:r>
      <w:r w:rsidRPr="008C1B92">
        <w:rPr>
          <w:u w:val="single"/>
        </w:rPr>
        <w:tab/>
      </w:r>
      <w:r w:rsidRPr="008C1B92">
        <w:rPr>
          <w:u w:val="single"/>
        </w:rPr>
        <w:tab/>
      </w:r>
      <w:r w:rsidRPr="00370F2D">
        <w:tab/>
      </w:r>
      <w:r w:rsidRPr="00370F2D">
        <w:tab/>
      </w:r>
    </w:p>
    <w:p w:rsidR="00B76890" w:rsidRPr="008C1B92" w:rsidRDefault="00B76890" w:rsidP="00502753">
      <w:pPr>
        <w:pStyle w:val="BodyText"/>
        <w:tabs>
          <w:tab w:val="left" w:pos="3960"/>
          <w:tab w:val="center" w:pos="4770"/>
          <w:tab w:val="right" w:pos="5580"/>
          <w:tab w:val="left" w:pos="5940"/>
          <w:tab w:val="center" w:pos="6570"/>
          <w:tab w:val="right" w:pos="7200"/>
          <w:tab w:val="left" w:pos="7560"/>
          <w:tab w:val="center" w:pos="8280"/>
          <w:tab w:val="right" w:pos="9000"/>
        </w:tabs>
        <w:ind w:left="270" w:right="-54"/>
        <w:jc w:val="both"/>
        <w:rPr>
          <w:bCs/>
        </w:rPr>
      </w:pPr>
      <w:r>
        <w:tab/>
      </w:r>
      <w:r>
        <w:tab/>
      </w:r>
      <w:r w:rsidR="00947128">
        <w:tab/>
        <w:t xml:space="preserve">               Commission Staff</w:t>
      </w:r>
      <w:r w:rsidRPr="008C1B92">
        <w:tab/>
      </w:r>
      <w:r w:rsidR="00947128">
        <w:t xml:space="preserve">    ICNU/PC</w:t>
      </w:r>
    </w:p>
    <w:p w:rsidR="00B76890" w:rsidRPr="00947128" w:rsidRDefault="00B76890" w:rsidP="00502753">
      <w:pPr>
        <w:pStyle w:val="BodyText"/>
        <w:tabs>
          <w:tab w:val="left" w:pos="3960"/>
          <w:tab w:val="center" w:pos="4770"/>
          <w:tab w:val="right" w:pos="5580"/>
          <w:tab w:val="left" w:pos="5940"/>
          <w:tab w:val="center" w:pos="6570"/>
          <w:tab w:val="right" w:pos="7200"/>
          <w:tab w:val="left" w:pos="7560"/>
          <w:tab w:val="center" w:pos="8280"/>
          <w:tab w:val="right" w:pos="9000"/>
        </w:tabs>
        <w:ind w:left="270" w:right="-58" w:firstLine="720"/>
        <w:jc w:val="both"/>
        <w:rPr>
          <w:bCs/>
        </w:rPr>
      </w:pPr>
      <w:r w:rsidRPr="008C1B92">
        <w:tab/>
      </w:r>
      <w:r w:rsidRPr="00370F2D">
        <w:tab/>
        <w:t xml:space="preserve"> </w:t>
      </w:r>
      <w:r w:rsidRPr="00370F2D">
        <w:tab/>
      </w:r>
      <w:r w:rsidRPr="008C1B92">
        <w:tab/>
      </w:r>
      <w:r w:rsidRPr="008C1B92">
        <w:rPr>
          <w:u w:val="single"/>
        </w:rPr>
        <w:tab/>
      </w:r>
      <w:r w:rsidRPr="00947128">
        <w:rPr>
          <w:u w:val="single"/>
        </w:rPr>
        <w:t xml:space="preserve">Electric       </w:t>
      </w:r>
      <w:r w:rsidRPr="00947128">
        <w:tab/>
      </w:r>
      <w:r w:rsidRPr="00947128">
        <w:rPr>
          <w:u w:val="single"/>
        </w:rPr>
        <w:tab/>
        <w:t>Electric</w:t>
      </w:r>
      <w:r w:rsidRPr="00947128">
        <w:rPr>
          <w:u w:val="single"/>
        </w:rPr>
        <w:tab/>
      </w:r>
    </w:p>
    <w:p w:rsidR="00B76890" w:rsidRPr="00947128" w:rsidRDefault="00B76890" w:rsidP="00502753">
      <w:pPr>
        <w:pStyle w:val="BodyText"/>
        <w:tabs>
          <w:tab w:val="center" w:pos="360"/>
          <w:tab w:val="left" w:pos="1080"/>
          <w:tab w:val="left" w:pos="3960"/>
          <w:tab w:val="center" w:pos="4770"/>
          <w:tab w:val="right" w:pos="5580"/>
          <w:tab w:val="left" w:pos="5940"/>
          <w:tab w:val="center" w:pos="6570"/>
          <w:tab w:val="right" w:pos="7200"/>
          <w:tab w:val="left" w:pos="7560"/>
          <w:tab w:val="center" w:pos="8280"/>
          <w:tab w:val="right" w:pos="9000"/>
        </w:tabs>
        <w:ind w:left="270" w:right="-58"/>
        <w:jc w:val="both"/>
        <w:rPr>
          <w:b/>
          <w:bCs/>
        </w:rPr>
      </w:pPr>
      <w:r w:rsidRPr="00947128">
        <w:rPr>
          <w:b/>
        </w:rPr>
        <w:t xml:space="preserve">a. </w:t>
      </w:r>
      <w:r w:rsidRPr="00947128">
        <w:t xml:space="preserve">ICNU/PC/ Staff Calculated Revenue Rqmt </w:t>
      </w:r>
      <w:r w:rsidRPr="00947128">
        <w:rPr>
          <w:b/>
          <w:i/>
        </w:rPr>
        <w:t>(1)</w:t>
      </w:r>
      <w:r w:rsidRPr="00947128">
        <w:tab/>
      </w:r>
      <w:r w:rsidRPr="00947128">
        <w:tab/>
      </w:r>
      <w:r w:rsidRPr="00947128">
        <w:tab/>
        <w:t>($19.</w:t>
      </w:r>
      <w:r w:rsidR="00947128" w:rsidRPr="00947128">
        <w:t>6</w:t>
      </w:r>
      <w:r w:rsidRPr="00947128">
        <w:t>)</w:t>
      </w:r>
      <w:r w:rsidRPr="00947128">
        <w:tab/>
      </w:r>
      <w:r w:rsidRPr="00947128">
        <w:tab/>
      </w:r>
      <w:r w:rsidRPr="00947128">
        <w:tab/>
        <w:t>($</w:t>
      </w:r>
      <w:r w:rsidR="00E37548" w:rsidRPr="00947128">
        <w:t>19.</w:t>
      </w:r>
      <w:r w:rsidR="00947128" w:rsidRPr="00947128">
        <w:t>8</w:t>
      </w:r>
      <w:r w:rsidRPr="00947128">
        <w:t>)</w:t>
      </w:r>
      <w:r w:rsidRPr="00947128">
        <w:tab/>
      </w:r>
    </w:p>
    <w:p w:rsidR="00B76890" w:rsidRPr="00C656A8" w:rsidRDefault="00B76890" w:rsidP="00502753">
      <w:pPr>
        <w:pStyle w:val="BodyText"/>
        <w:tabs>
          <w:tab w:val="center" w:pos="360"/>
          <w:tab w:val="left" w:pos="1080"/>
          <w:tab w:val="left" w:pos="3960"/>
          <w:tab w:val="center" w:pos="4770"/>
          <w:tab w:val="right" w:pos="5580"/>
          <w:tab w:val="left" w:pos="5940"/>
          <w:tab w:val="center" w:pos="6570"/>
          <w:tab w:val="right" w:pos="7200"/>
          <w:tab w:val="left" w:pos="7560"/>
          <w:tab w:val="center" w:pos="8280"/>
          <w:tab w:val="right" w:pos="9000"/>
        </w:tabs>
        <w:ind w:left="270" w:right="-58"/>
        <w:jc w:val="both"/>
        <w:rPr>
          <w:b/>
          <w:bCs/>
        </w:rPr>
      </w:pPr>
      <w:r w:rsidRPr="00947128">
        <w:rPr>
          <w:b/>
        </w:rPr>
        <w:t>b.</w:t>
      </w:r>
      <w:r w:rsidRPr="00947128">
        <w:t xml:space="preserve"> </w:t>
      </w:r>
      <w:r w:rsidRPr="00C656A8">
        <w:t xml:space="preserve">Avista Updated Revenue Rqmt </w:t>
      </w:r>
      <w:r w:rsidRPr="00C656A8">
        <w:rPr>
          <w:b/>
          <w:i/>
        </w:rPr>
        <w:t>(2)</w:t>
      </w:r>
      <w:r w:rsidRPr="00C656A8">
        <w:tab/>
      </w:r>
      <w:r w:rsidRPr="00C656A8">
        <w:tab/>
      </w:r>
      <w:r w:rsidRPr="00C656A8">
        <w:tab/>
        <w:t xml:space="preserve">     </w:t>
      </w:r>
      <w:r w:rsidRPr="00C656A8">
        <w:tab/>
      </w:r>
      <w:r w:rsidRPr="00C656A8">
        <w:rPr>
          <w:u w:val="single"/>
        </w:rPr>
        <w:tab/>
        <w:t>($5.7)</w:t>
      </w:r>
      <w:r w:rsidRPr="00C656A8">
        <w:rPr>
          <w:u w:val="single"/>
        </w:rPr>
        <w:tab/>
      </w:r>
      <w:r w:rsidRPr="00C656A8">
        <w:tab/>
      </w:r>
      <w:r w:rsidRPr="00C656A8">
        <w:rPr>
          <w:u w:val="single"/>
        </w:rPr>
        <w:tab/>
        <w:t>($5.7)</w:t>
      </w:r>
      <w:r w:rsidRPr="00C656A8">
        <w:rPr>
          <w:u w:val="single"/>
        </w:rPr>
        <w:tab/>
      </w:r>
    </w:p>
    <w:p w:rsidR="00B76890" w:rsidRPr="00C656A8" w:rsidRDefault="00B76890" w:rsidP="00502753">
      <w:pPr>
        <w:pStyle w:val="BodyText"/>
        <w:tabs>
          <w:tab w:val="center" w:pos="360"/>
          <w:tab w:val="left" w:pos="1080"/>
          <w:tab w:val="left" w:pos="3960"/>
          <w:tab w:val="center" w:pos="4770"/>
          <w:tab w:val="right" w:pos="5580"/>
          <w:tab w:val="left" w:pos="5940"/>
          <w:tab w:val="center" w:pos="6570"/>
          <w:tab w:val="right" w:pos="7200"/>
          <w:tab w:val="left" w:pos="7560"/>
          <w:tab w:val="center" w:pos="8280"/>
          <w:tab w:val="right" w:pos="9000"/>
        </w:tabs>
        <w:ind w:left="270" w:right="-58"/>
        <w:jc w:val="both"/>
        <w:rPr>
          <w:b/>
          <w:bCs/>
        </w:rPr>
      </w:pPr>
      <w:r w:rsidRPr="00C656A8">
        <w:rPr>
          <w:b/>
        </w:rPr>
        <w:t>c.</w:t>
      </w:r>
      <w:r w:rsidRPr="00C656A8">
        <w:t xml:space="preserve"> Shortfall from </w:t>
      </w:r>
      <w:r w:rsidR="00C656A8">
        <w:t>Staff / ICNU/PC</w:t>
      </w:r>
      <w:r w:rsidRPr="00C656A8">
        <w:t xml:space="preserve"> Calculations</w:t>
      </w:r>
      <w:r w:rsidRPr="00C656A8">
        <w:rPr>
          <w:b/>
          <w:i/>
        </w:rPr>
        <w:t xml:space="preserve"> (3)</w:t>
      </w:r>
      <w:r w:rsidRPr="00C656A8">
        <w:tab/>
      </w:r>
      <w:r w:rsidRPr="00C656A8">
        <w:tab/>
      </w:r>
      <w:r w:rsidRPr="00C656A8">
        <w:tab/>
        <w:t>($</w:t>
      </w:r>
      <w:r w:rsidR="00947128" w:rsidRPr="00C656A8">
        <w:t>13.9</w:t>
      </w:r>
      <w:r w:rsidRPr="00C656A8">
        <w:t>)</w:t>
      </w:r>
      <w:r w:rsidRPr="00C656A8">
        <w:tab/>
      </w:r>
      <w:r w:rsidRPr="00C656A8">
        <w:tab/>
      </w:r>
      <w:r w:rsidRPr="00C656A8">
        <w:tab/>
        <w:t>($</w:t>
      </w:r>
      <w:r w:rsidR="00947128" w:rsidRPr="00C656A8">
        <w:t>14.1</w:t>
      </w:r>
      <w:r w:rsidRPr="00C656A8">
        <w:t>)</w:t>
      </w:r>
    </w:p>
    <w:p w:rsidR="00B76890" w:rsidRPr="00C656A8" w:rsidRDefault="00B76890" w:rsidP="00502753">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360"/>
          <w:tab w:val="left" w:pos="1080"/>
          <w:tab w:val="left" w:pos="3960"/>
          <w:tab w:val="center" w:pos="4770"/>
          <w:tab w:val="right" w:pos="5580"/>
          <w:tab w:val="left" w:pos="5940"/>
          <w:tab w:val="center" w:pos="6570"/>
          <w:tab w:val="right" w:pos="7200"/>
          <w:tab w:val="left" w:pos="7560"/>
          <w:tab w:val="center" w:pos="8280"/>
          <w:tab w:val="right" w:pos="9000"/>
        </w:tabs>
        <w:ind w:left="270" w:right="360"/>
        <w:jc w:val="both"/>
        <w:rPr>
          <w:bCs/>
        </w:rPr>
      </w:pPr>
      <w:r w:rsidRPr="00C656A8">
        <w:rPr>
          <w:b/>
        </w:rPr>
        <w:t>d.</w:t>
      </w:r>
      <w:r w:rsidRPr="00C656A8">
        <w:t xml:space="preserve"> After-Tax Shortfall</w:t>
      </w:r>
      <w:r w:rsidRPr="00C656A8">
        <w:rPr>
          <w:rStyle w:val="FootnoteReference"/>
        </w:rPr>
        <w:t xml:space="preserve"> </w:t>
      </w:r>
      <w:r w:rsidRPr="00C656A8">
        <w:rPr>
          <w:b/>
          <w:i/>
        </w:rPr>
        <w:t>(4)</w:t>
      </w:r>
      <w:r w:rsidRPr="00C656A8">
        <w:tab/>
      </w:r>
      <w:r w:rsidRPr="00C656A8">
        <w:tab/>
      </w:r>
      <w:r w:rsidRPr="00C656A8">
        <w:tab/>
      </w:r>
      <w:r w:rsidRPr="00C656A8">
        <w:tab/>
      </w:r>
      <w:r w:rsidRPr="00C656A8">
        <w:tab/>
        <w:t>($8.</w:t>
      </w:r>
      <w:r w:rsidR="00947128" w:rsidRPr="00C656A8">
        <w:t>6</w:t>
      </w:r>
      <w:r w:rsidRPr="00C656A8">
        <w:t>)</w:t>
      </w:r>
      <w:r w:rsidRPr="00C656A8">
        <w:tab/>
      </w:r>
      <w:r w:rsidRPr="00C656A8">
        <w:tab/>
      </w:r>
      <w:r w:rsidRPr="00C656A8">
        <w:tab/>
        <w:t>($</w:t>
      </w:r>
      <w:r w:rsidR="00E37548" w:rsidRPr="00C656A8">
        <w:t>8.</w:t>
      </w:r>
      <w:r w:rsidR="00947128" w:rsidRPr="00C656A8">
        <w:t>7</w:t>
      </w:r>
      <w:r w:rsidRPr="00C656A8">
        <w:t>)</w:t>
      </w:r>
    </w:p>
    <w:p w:rsidR="00B76890" w:rsidRPr="00C656A8" w:rsidRDefault="00B76890" w:rsidP="00502753">
      <w:pPr>
        <w:pStyle w:val="BodyText"/>
        <w:tabs>
          <w:tab w:val="center" w:pos="360"/>
          <w:tab w:val="left" w:pos="1080"/>
          <w:tab w:val="left" w:pos="3960"/>
          <w:tab w:val="center" w:pos="4770"/>
          <w:tab w:val="right" w:pos="5580"/>
          <w:tab w:val="left" w:pos="5940"/>
          <w:tab w:val="center" w:pos="6570"/>
          <w:tab w:val="right" w:pos="7200"/>
          <w:tab w:val="left" w:pos="7560"/>
          <w:tab w:val="center" w:pos="8280"/>
          <w:tab w:val="right" w:pos="9000"/>
        </w:tabs>
        <w:ind w:left="270" w:right="360"/>
        <w:jc w:val="both"/>
        <w:rPr>
          <w:b/>
          <w:bCs/>
        </w:rPr>
      </w:pPr>
    </w:p>
    <w:p w:rsidR="00B76890" w:rsidRPr="00C656A8" w:rsidRDefault="00B76890" w:rsidP="00502753">
      <w:pPr>
        <w:pStyle w:val="BodyText"/>
        <w:tabs>
          <w:tab w:val="center" w:pos="360"/>
          <w:tab w:val="left" w:pos="1080"/>
          <w:tab w:val="left" w:pos="3960"/>
          <w:tab w:val="center" w:pos="4770"/>
          <w:tab w:val="right" w:pos="5580"/>
          <w:tab w:val="left" w:pos="5940"/>
          <w:tab w:val="center" w:pos="6570"/>
          <w:tab w:val="right" w:pos="7200"/>
          <w:tab w:val="left" w:pos="7560"/>
          <w:tab w:val="center" w:pos="8280"/>
          <w:tab w:val="right" w:pos="9000"/>
        </w:tabs>
        <w:ind w:left="270" w:right="360"/>
        <w:jc w:val="both"/>
        <w:rPr>
          <w:b/>
          <w:bCs/>
        </w:rPr>
      </w:pPr>
      <w:r w:rsidRPr="00C656A8">
        <w:rPr>
          <w:b/>
        </w:rPr>
        <w:t>e.</w:t>
      </w:r>
      <w:r w:rsidRPr="00C656A8">
        <w:t xml:space="preserve"> Rate Base </w:t>
      </w:r>
      <w:r w:rsidRPr="00C656A8">
        <w:rPr>
          <w:b/>
          <w:i/>
        </w:rPr>
        <w:t>(5)</w:t>
      </w:r>
      <w:r w:rsidRPr="00C656A8">
        <w:tab/>
      </w:r>
      <w:r w:rsidRPr="00C656A8">
        <w:tab/>
      </w:r>
      <w:r w:rsidRPr="00C656A8">
        <w:tab/>
      </w:r>
      <w:r w:rsidRPr="00C656A8">
        <w:tab/>
      </w:r>
      <w:r w:rsidRPr="00C656A8">
        <w:tab/>
        <w:t>$1,393.0</w:t>
      </w:r>
      <w:r w:rsidRPr="00C656A8">
        <w:tab/>
      </w:r>
      <w:r w:rsidRPr="00C656A8">
        <w:tab/>
      </w:r>
      <w:r w:rsidRPr="00C656A8">
        <w:tab/>
        <w:t>$1,393.0</w:t>
      </w:r>
    </w:p>
    <w:p w:rsidR="00B76890" w:rsidRPr="00C656A8" w:rsidRDefault="00B76890" w:rsidP="00502753">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360"/>
          <w:tab w:val="left" w:pos="1080"/>
          <w:tab w:val="left" w:pos="3960"/>
          <w:tab w:val="center" w:pos="4770"/>
          <w:tab w:val="right" w:pos="5580"/>
          <w:tab w:val="left" w:pos="5940"/>
          <w:tab w:val="center" w:pos="6570"/>
          <w:tab w:val="right" w:pos="7200"/>
          <w:tab w:val="left" w:pos="7560"/>
          <w:tab w:val="center" w:pos="8280"/>
          <w:tab w:val="right" w:pos="9000"/>
        </w:tabs>
        <w:ind w:left="270" w:right="360"/>
        <w:jc w:val="both"/>
        <w:rPr>
          <w:bCs/>
        </w:rPr>
      </w:pPr>
      <w:r w:rsidRPr="00C656A8">
        <w:rPr>
          <w:b/>
        </w:rPr>
        <w:t>f.</w:t>
      </w:r>
      <w:r w:rsidRPr="00C656A8">
        <w:t xml:space="preserve"> Equity Portion of Rate Base (48.5%) </w:t>
      </w:r>
      <w:r w:rsidRPr="00C656A8">
        <w:rPr>
          <w:b/>
          <w:i/>
        </w:rPr>
        <w:t>(6)</w:t>
      </w:r>
      <w:r w:rsidRPr="00C656A8">
        <w:tab/>
      </w:r>
      <w:r w:rsidRPr="00C656A8">
        <w:tab/>
      </w:r>
      <w:r w:rsidRPr="00C656A8">
        <w:tab/>
      </w:r>
      <w:r w:rsidRPr="00C656A8">
        <w:tab/>
        <w:t>$675.6</w:t>
      </w:r>
      <w:r w:rsidRPr="00C656A8">
        <w:tab/>
      </w:r>
      <w:r w:rsidRPr="00C656A8">
        <w:tab/>
      </w:r>
      <w:r w:rsidRPr="00C656A8">
        <w:tab/>
        <w:t>$675.6</w:t>
      </w:r>
      <w:r w:rsidRPr="00C656A8">
        <w:tab/>
      </w:r>
    </w:p>
    <w:p w:rsidR="00B76890" w:rsidRPr="00C656A8" w:rsidRDefault="00B76890" w:rsidP="00502753">
      <w:pPr>
        <w:pStyle w:val="BodyText"/>
        <w:tabs>
          <w:tab w:val="center" w:pos="360"/>
          <w:tab w:val="left" w:pos="1080"/>
          <w:tab w:val="left" w:pos="3960"/>
          <w:tab w:val="center" w:pos="4770"/>
          <w:tab w:val="right" w:pos="5580"/>
          <w:tab w:val="left" w:pos="5940"/>
          <w:tab w:val="center" w:pos="6570"/>
          <w:tab w:val="right" w:pos="7200"/>
          <w:tab w:val="left" w:pos="7560"/>
          <w:tab w:val="center" w:pos="8280"/>
          <w:tab w:val="right" w:pos="9000"/>
        </w:tabs>
        <w:ind w:left="270" w:right="360"/>
        <w:jc w:val="both"/>
        <w:rPr>
          <w:b/>
          <w:bCs/>
        </w:rPr>
      </w:pPr>
    </w:p>
    <w:p w:rsidR="00B76890" w:rsidRPr="00C656A8" w:rsidRDefault="00B76890" w:rsidP="00502753">
      <w:pPr>
        <w:pStyle w:val="BodyText"/>
        <w:tabs>
          <w:tab w:val="center" w:pos="360"/>
          <w:tab w:val="left" w:pos="1080"/>
          <w:tab w:val="left" w:pos="3960"/>
          <w:tab w:val="center" w:pos="4770"/>
          <w:tab w:val="right" w:pos="5580"/>
          <w:tab w:val="left" w:pos="5940"/>
          <w:tab w:val="center" w:pos="6570"/>
          <w:tab w:val="right" w:pos="7200"/>
          <w:tab w:val="left" w:pos="7560"/>
          <w:tab w:val="center" w:pos="8280"/>
          <w:tab w:val="right" w:pos="9000"/>
        </w:tabs>
        <w:ind w:left="270" w:right="360"/>
        <w:jc w:val="both"/>
        <w:rPr>
          <w:b/>
          <w:bCs/>
        </w:rPr>
      </w:pPr>
      <w:r w:rsidRPr="00C656A8">
        <w:rPr>
          <w:b/>
        </w:rPr>
        <w:t>g.</w:t>
      </w:r>
      <w:r w:rsidRPr="00C656A8">
        <w:t xml:space="preserve"> May 1, 2015 Stipulated ROE </w:t>
      </w:r>
      <w:r w:rsidRPr="00C656A8">
        <w:rPr>
          <w:b/>
          <w:i/>
        </w:rPr>
        <w:t>(7)</w:t>
      </w:r>
      <w:r w:rsidRPr="00C656A8">
        <w:tab/>
      </w:r>
      <w:r w:rsidRPr="00C656A8">
        <w:tab/>
      </w:r>
      <w:r w:rsidRPr="00C656A8">
        <w:tab/>
      </w:r>
      <w:r w:rsidRPr="00C656A8">
        <w:tab/>
      </w:r>
      <w:r w:rsidRPr="00C656A8">
        <w:tab/>
        <w:t>9.50%</w:t>
      </w:r>
      <w:r w:rsidRPr="00C656A8">
        <w:tab/>
      </w:r>
      <w:r w:rsidRPr="00C656A8">
        <w:tab/>
      </w:r>
      <w:r w:rsidRPr="00C656A8">
        <w:tab/>
        <w:t>9.50%</w:t>
      </w:r>
    </w:p>
    <w:p w:rsidR="00B76890" w:rsidRPr="00C656A8" w:rsidRDefault="00B76890" w:rsidP="00502753">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360"/>
          <w:tab w:val="left" w:pos="1080"/>
          <w:tab w:val="left" w:pos="3960"/>
          <w:tab w:val="center" w:pos="4770"/>
          <w:tab w:val="right" w:pos="5580"/>
          <w:tab w:val="left" w:pos="5940"/>
          <w:tab w:val="center" w:pos="6570"/>
          <w:tab w:val="right" w:pos="7200"/>
          <w:tab w:val="left" w:pos="7560"/>
          <w:tab w:val="center" w:pos="8280"/>
          <w:tab w:val="right" w:pos="9000"/>
        </w:tabs>
        <w:ind w:left="270" w:right="360"/>
        <w:jc w:val="both"/>
        <w:rPr>
          <w:bCs/>
        </w:rPr>
      </w:pPr>
      <w:r w:rsidRPr="00C656A8">
        <w:rPr>
          <w:b/>
        </w:rPr>
        <w:t>h.</w:t>
      </w:r>
      <w:r w:rsidRPr="00C656A8">
        <w:t xml:space="preserve"> ROE Shortfall </w:t>
      </w:r>
      <w:r w:rsidRPr="00C656A8">
        <w:rPr>
          <w:b/>
          <w:i/>
        </w:rPr>
        <w:t>(8)</w:t>
      </w:r>
      <w:r w:rsidRPr="00C656A8">
        <w:tab/>
      </w:r>
      <w:r w:rsidRPr="00C656A8">
        <w:tab/>
      </w:r>
      <w:r w:rsidRPr="00C656A8">
        <w:tab/>
      </w:r>
      <w:r w:rsidRPr="00C656A8">
        <w:tab/>
      </w:r>
      <w:r w:rsidRPr="00C656A8">
        <w:rPr>
          <w:u w:val="single"/>
        </w:rPr>
        <w:tab/>
        <w:t>(1.</w:t>
      </w:r>
      <w:r w:rsidR="00947128" w:rsidRPr="00C656A8">
        <w:rPr>
          <w:u w:val="single"/>
        </w:rPr>
        <w:t>2</w:t>
      </w:r>
      <w:r w:rsidR="00B607DE">
        <w:rPr>
          <w:u w:val="single"/>
        </w:rPr>
        <w:t>8</w:t>
      </w:r>
      <w:r w:rsidRPr="00C656A8">
        <w:rPr>
          <w:u w:val="single"/>
        </w:rPr>
        <w:t>%)</w:t>
      </w:r>
      <w:r w:rsidRPr="00C656A8">
        <w:rPr>
          <w:u w:val="single"/>
        </w:rPr>
        <w:tab/>
      </w:r>
      <w:r w:rsidRPr="00C656A8">
        <w:tab/>
      </w:r>
      <w:r w:rsidRPr="00C656A8">
        <w:rPr>
          <w:u w:val="single"/>
        </w:rPr>
        <w:tab/>
        <w:t>(</w:t>
      </w:r>
      <w:r w:rsidR="00E37548" w:rsidRPr="00C656A8">
        <w:rPr>
          <w:u w:val="single"/>
        </w:rPr>
        <w:t>1.2</w:t>
      </w:r>
      <w:r w:rsidR="00947128" w:rsidRPr="00C656A8">
        <w:rPr>
          <w:u w:val="single"/>
        </w:rPr>
        <w:t>9</w:t>
      </w:r>
      <w:r w:rsidRPr="00C656A8">
        <w:rPr>
          <w:u w:val="single"/>
        </w:rPr>
        <w:t>%)</w:t>
      </w:r>
      <w:r w:rsidRPr="00C656A8">
        <w:rPr>
          <w:u w:val="single"/>
        </w:rPr>
        <w:tab/>
      </w:r>
    </w:p>
    <w:p w:rsidR="00B76890" w:rsidRPr="005B3CA2" w:rsidRDefault="00B76890" w:rsidP="00502753">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360"/>
          <w:tab w:val="left" w:pos="1080"/>
          <w:tab w:val="left" w:pos="3960"/>
          <w:tab w:val="center" w:pos="4770"/>
          <w:tab w:val="right" w:pos="5580"/>
          <w:tab w:val="left" w:pos="5940"/>
          <w:tab w:val="center" w:pos="6570"/>
          <w:tab w:val="right" w:pos="7200"/>
          <w:tab w:val="left" w:pos="7560"/>
          <w:tab w:val="center" w:pos="8280"/>
          <w:tab w:val="right" w:pos="9000"/>
        </w:tabs>
        <w:ind w:left="270" w:right="360"/>
        <w:jc w:val="both"/>
        <w:rPr>
          <w:bCs/>
        </w:rPr>
      </w:pPr>
      <w:proofErr w:type="spellStart"/>
      <w:r w:rsidRPr="00C656A8">
        <w:rPr>
          <w:b/>
        </w:rPr>
        <w:t>i</w:t>
      </w:r>
      <w:proofErr w:type="spellEnd"/>
      <w:r w:rsidRPr="00C656A8">
        <w:rPr>
          <w:b/>
        </w:rPr>
        <w:t>.</w:t>
      </w:r>
      <w:r w:rsidRPr="00C656A8">
        <w:t xml:space="preserve"> ROE Earnings Opportunity </w:t>
      </w:r>
      <w:r w:rsidRPr="00C656A8">
        <w:rPr>
          <w:b/>
          <w:i/>
        </w:rPr>
        <w:t>(9)</w:t>
      </w:r>
      <w:r w:rsidRPr="00C656A8">
        <w:tab/>
      </w:r>
      <w:r w:rsidRPr="00C656A8">
        <w:tab/>
      </w:r>
      <w:r w:rsidRPr="00C656A8">
        <w:tab/>
      </w:r>
      <w:r w:rsidRPr="00C656A8">
        <w:tab/>
      </w:r>
      <w:r w:rsidR="00E37548" w:rsidRPr="00C656A8">
        <w:rPr>
          <w:b/>
        </w:rPr>
        <w:tab/>
      </w:r>
      <w:r w:rsidR="00947128" w:rsidRPr="00C656A8">
        <w:rPr>
          <w:b/>
        </w:rPr>
        <w:t>8.2</w:t>
      </w:r>
      <w:r w:rsidR="00B607DE">
        <w:rPr>
          <w:b/>
        </w:rPr>
        <w:t>2</w:t>
      </w:r>
      <w:r w:rsidR="00E37548" w:rsidRPr="00C656A8">
        <w:rPr>
          <w:b/>
        </w:rPr>
        <w:t>%</w:t>
      </w:r>
      <w:r w:rsidR="00E37548" w:rsidRPr="00C656A8">
        <w:rPr>
          <w:b/>
        </w:rPr>
        <w:tab/>
      </w:r>
      <w:r w:rsidR="00E37548" w:rsidRPr="00C656A8">
        <w:rPr>
          <w:b/>
        </w:rPr>
        <w:tab/>
      </w:r>
      <w:r w:rsidR="00E37548" w:rsidRPr="00C656A8">
        <w:rPr>
          <w:b/>
        </w:rPr>
        <w:tab/>
        <w:t>8.2</w:t>
      </w:r>
      <w:r w:rsidR="00947128" w:rsidRPr="00C656A8">
        <w:rPr>
          <w:b/>
        </w:rPr>
        <w:t>1</w:t>
      </w:r>
      <w:r w:rsidRPr="00C656A8">
        <w:rPr>
          <w:b/>
        </w:rPr>
        <w:t>%</w:t>
      </w:r>
      <w:r w:rsidRPr="00A85563">
        <w:tab/>
      </w:r>
    </w:p>
    <w:p w:rsidR="00B76890" w:rsidRDefault="00B76890" w:rsidP="00502753">
      <w:pPr>
        <w:pStyle w:val="ListParagraph"/>
        <w:ind w:left="270"/>
        <w:jc w:val="both"/>
      </w:pPr>
    </w:p>
    <w:p w:rsidR="00B76890" w:rsidRPr="0008117A" w:rsidRDefault="00B76890" w:rsidP="00502753">
      <w:pPr>
        <w:pStyle w:val="ListParagraph"/>
        <w:numPr>
          <w:ilvl w:val="0"/>
          <w:numId w:val="46"/>
        </w:numPr>
        <w:tabs>
          <w:tab w:val="left" w:pos="540"/>
          <w:tab w:val="num" w:pos="720"/>
        </w:tabs>
        <w:ind w:left="540"/>
        <w:jc w:val="both"/>
        <w:rPr>
          <w:sz w:val="20"/>
          <w:szCs w:val="20"/>
        </w:rPr>
      </w:pPr>
      <w:r w:rsidRPr="0008117A">
        <w:rPr>
          <w:sz w:val="20"/>
          <w:szCs w:val="20"/>
        </w:rPr>
        <w:t xml:space="preserve">Source:  </w:t>
      </w:r>
      <w:r w:rsidR="00947128" w:rsidRPr="0008117A">
        <w:rPr>
          <w:sz w:val="20"/>
          <w:szCs w:val="20"/>
        </w:rPr>
        <w:t xml:space="preserve">Staff’s Motion to Reopen p. 3, and </w:t>
      </w:r>
      <w:r w:rsidRPr="0008117A">
        <w:rPr>
          <w:sz w:val="20"/>
          <w:szCs w:val="20"/>
        </w:rPr>
        <w:t xml:space="preserve">ICNU/Public Counsel </w:t>
      </w:r>
      <w:r w:rsidR="00947128" w:rsidRPr="0008117A">
        <w:rPr>
          <w:sz w:val="20"/>
          <w:szCs w:val="20"/>
        </w:rPr>
        <w:t xml:space="preserve">Jt. </w:t>
      </w:r>
      <w:r w:rsidR="00E37548" w:rsidRPr="0008117A">
        <w:rPr>
          <w:sz w:val="20"/>
          <w:szCs w:val="20"/>
        </w:rPr>
        <w:t xml:space="preserve">Motion </w:t>
      </w:r>
      <w:r w:rsidR="00947128" w:rsidRPr="0008117A">
        <w:rPr>
          <w:sz w:val="20"/>
          <w:szCs w:val="20"/>
        </w:rPr>
        <w:t>for Clarification</w:t>
      </w:r>
      <w:r w:rsidRPr="0008117A">
        <w:rPr>
          <w:sz w:val="20"/>
          <w:szCs w:val="20"/>
        </w:rPr>
        <w:t xml:space="preserve"> p. 3.</w:t>
      </w:r>
    </w:p>
    <w:p w:rsidR="00B76890" w:rsidRPr="0008117A" w:rsidRDefault="00B76890" w:rsidP="00502753">
      <w:pPr>
        <w:pStyle w:val="ListParagraph"/>
        <w:numPr>
          <w:ilvl w:val="0"/>
          <w:numId w:val="46"/>
        </w:numPr>
        <w:tabs>
          <w:tab w:val="left" w:pos="540"/>
          <w:tab w:val="num" w:pos="720"/>
        </w:tabs>
        <w:ind w:left="540"/>
        <w:jc w:val="both"/>
        <w:rPr>
          <w:sz w:val="20"/>
          <w:szCs w:val="20"/>
        </w:rPr>
      </w:pPr>
      <w:r w:rsidRPr="0008117A">
        <w:rPr>
          <w:sz w:val="20"/>
          <w:szCs w:val="20"/>
        </w:rPr>
        <w:t xml:space="preserve">Source:  Explained in Paragraph </w:t>
      </w:r>
      <w:r w:rsidR="00C656A8" w:rsidRPr="0008117A">
        <w:rPr>
          <w:sz w:val="20"/>
          <w:szCs w:val="20"/>
        </w:rPr>
        <w:t>8</w:t>
      </w:r>
      <w:r w:rsidRPr="0008117A">
        <w:rPr>
          <w:sz w:val="20"/>
          <w:szCs w:val="20"/>
        </w:rPr>
        <w:t xml:space="preserve"> of this pleading.</w:t>
      </w:r>
    </w:p>
    <w:p w:rsidR="00B76890" w:rsidRPr="0008117A" w:rsidRDefault="00B76890" w:rsidP="00502753">
      <w:pPr>
        <w:pStyle w:val="ListParagraph"/>
        <w:numPr>
          <w:ilvl w:val="0"/>
          <w:numId w:val="46"/>
        </w:numPr>
        <w:tabs>
          <w:tab w:val="left" w:pos="540"/>
          <w:tab w:val="num" w:pos="720"/>
        </w:tabs>
        <w:ind w:left="540"/>
        <w:jc w:val="both"/>
        <w:rPr>
          <w:sz w:val="20"/>
          <w:szCs w:val="20"/>
        </w:rPr>
      </w:pPr>
      <w:r w:rsidRPr="0008117A">
        <w:rPr>
          <w:sz w:val="20"/>
          <w:szCs w:val="20"/>
        </w:rPr>
        <w:t>Source:  line a – line b</w:t>
      </w:r>
    </w:p>
    <w:p w:rsidR="00B76890" w:rsidRPr="0008117A" w:rsidRDefault="00B76890" w:rsidP="00502753">
      <w:pPr>
        <w:pStyle w:val="ListParagraph"/>
        <w:numPr>
          <w:ilvl w:val="0"/>
          <w:numId w:val="46"/>
        </w:numPr>
        <w:tabs>
          <w:tab w:val="left" w:pos="540"/>
          <w:tab w:val="num" w:pos="720"/>
        </w:tabs>
        <w:ind w:left="540"/>
        <w:jc w:val="both"/>
        <w:rPr>
          <w:sz w:val="20"/>
          <w:szCs w:val="20"/>
        </w:rPr>
      </w:pPr>
      <w:r w:rsidRPr="0008117A">
        <w:rPr>
          <w:sz w:val="20"/>
          <w:szCs w:val="20"/>
        </w:rPr>
        <w:t>Source: The Company used a revenue conversion factor of 0.62018 for electric to compute the after-tax shortfall. (See Exhibit No. KON-1T, p. 31, n. 21.)</w:t>
      </w:r>
    </w:p>
    <w:p w:rsidR="00B76890" w:rsidRPr="0008117A" w:rsidRDefault="00B76890" w:rsidP="00502753">
      <w:pPr>
        <w:pStyle w:val="ListParagraph"/>
        <w:numPr>
          <w:ilvl w:val="0"/>
          <w:numId w:val="46"/>
        </w:numPr>
        <w:tabs>
          <w:tab w:val="left" w:pos="540"/>
          <w:tab w:val="num" w:pos="720"/>
        </w:tabs>
        <w:ind w:left="540"/>
        <w:jc w:val="both"/>
        <w:rPr>
          <w:sz w:val="20"/>
          <w:szCs w:val="20"/>
        </w:rPr>
      </w:pPr>
      <w:r w:rsidRPr="0008117A">
        <w:rPr>
          <w:sz w:val="20"/>
          <w:szCs w:val="20"/>
        </w:rPr>
        <w:t xml:space="preserve">Source:  </w:t>
      </w:r>
      <w:r w:rsidR="0008117A" w:rsidRPr="0008117A">
        <w:rPr>
          <w:sz w:val="20"/>
          <w:szCs w:val="20"/>
        </w:rPr>
        <w:t xml:space="preserve">Exhibit No. </w:t>
      </w:r>
      <w:r w:rsidRPr="0008117A">
        <w:rPr>
          <w:sz w:val="20"/>
          <w:szCs w:val="20"/>
        </w:rPr>
        <w:t xml:space="preserve">KON-1T, p. 31, </w:t>
      </w:r>
      <w:proofErr w:type="spellStart"/>
      <w:r w:rsidRPr="0008117A">
        <w:rPr>
          <w:sz w:val="20"/>
          <w:szCs w:val="20"/>
        </w:rPr>
        <w:t>l</w:t>
      </w:r>
      <w:r w:rsidR="00280D0C" w:rsidRPr="0008117A">
        <w:rPr>
          <w:sz w:val="20"/>
          <w:szCs w:val="20"/>
        </w:rPr>
        <w:t>n</w:t>
      </w:r>
      <w:proofErr w:type="spellEnd"/>
      <w:r w:rsidRPr="0008117A">
        <w:rPr>
          <w:sz w:val="20"/>
          <w:szCs w:val="20"/>
        </w:rPr>
        <w:t>. 10.</w:t>
      </w:r>
    </w:p>
    <w:p w:rsidR="00B76890" w:rsidRPr="0008117A" w:rsidRDefault="00B76890" w:rsidP="00502753">
      <w:pPr>
        <w:pStyle w:val="ListParagraph"/>
        <w:numPr>
          <w:ilvl w:val="0"/>
          <w:numId w:val="46"/>
        </w:numPr>
        <w:tabs>
          <w:tab w:val="left" w:pos="540"/>
          <w:tab w:val="num" w:pos="720"/>
        </w:tabs>
        <w:ind w:left="540"/>
        <w:jc w:val="both"/>
        <w:rPr>
          <w:sz w:val="20"/>
          <w:szCs w:val="20"/>
        </w:rPr>
      </w:pPr>
      <w:r w:rsidRPr="0008117A">
        <w:rPr>
          <w:sz w:val="20"/>
          <w:szCs w:val="20"/>
        </w:rPr>
        <w:t xml:space="preserve">Source:  </w:t>
      </w:r>
      <w:r w:rsidR="0008117A" w:rsidRPr="0008117A">
        <w:rPr>
          <w:sz w:val="20"/>
          <w:szCs w:val="20"/>
        </w:rPr>
        <w:t xml:space="preserve">Exhibit No. </w:t>
      </w:r>
      <w:r w:rsidRPr="0008117A">
        <w:rPr>
          <w:sz w:val="20"/>
          <w:szCs w:val="20"/>
        </w:rPr>
        <w:t xml:space="preserve">KON-1T, p. 31, </w:t>
      </w:r>
      <w:proofErr w:type="spellStart"/>
      <w:r w:rsidRPr="0008117A">
        <w:rPr>
          <w:sz w:val="20"/>
          <w:szCs w:val="20"/>
        </w:rPr>
        <w:t>l</w:t>
      </w:r>
      <w:r w:rsidR="00280D0C" w:rsidRPr="0008117A">
        <w:rPr>
          <w:sz w:val="20"/>
          <w:szCs w:val="20"/>
        </w:rPr>
        <w:t>n</w:t>
      </w:r>
      <w:proofErr w:type="spellEnd"/>
      <w:r w:rsidRPr="0008117A">
        <w:rPr>
          <w:sz w:val="20"/>
          <w:szCs w:val="20"/>
        </w:rPr>
        <w:t>. 11.</w:t>
      </w:r>
    </w:p>
    <w:p w:rsidR="00B76890" w:rsidRPr="0008117A" w:rsidRDefault="00B76890" w:rsidP="00502753">
      <w:pPr>
        <w:pStyle w:val="ListParagraph"/>
        <w:numPr>
          <w:ilvl w:val="0"/>
          <w:numId w:val="46"/>
        </w:numPr>
        <w:tabs>
          <w:tab w:val="left" w:pos="540"/>
          <w:tab w:val="num" w:pos="720"/>
        </w:tabs>
        <w:ind w:left="540"/>
        <w:jc w:val="both"/>
        <w:rPr>
          <w:sz w:val="20"/>
          <w:szCs w:val="20"/>
        </w:rPr>
      </w:pPr>
      <w:r w:rsidRPr="0008117A">
        <w:rPr>
          <w:sz w:val="20"/>
          <w:szCs w:val="20"/>
        </w:rPr>
        <w:t xml:space="preserve">Source:  </w:t>
      </w:r>
      <w:r w:rsidR="0008117A" w:rsidRPr="0008117A">
        <w:rPr>
          <w:sz w:val="20"/>
          <w:szCs w:val="20"/>
        </w:rPr>
        <w:t xml:space="preserve">Exhibit No. </w:t>
      </w:r>
      <w:r w:rsidRPr="0008117A">
        <w:rPr>
          <w:sz w:val="20"/>
          <w:szCs w:val="20"/>
        </w:rPr>
        <w:t xml:space="preserve">KON-1T, p. 31, </w:t>
      </w:r>
      <w:proofErr w:type="spellStart"/>
      <w:r w:rsidRPr="0008117A">
        <w:rPr>
          <w:sz w:val="20"/>
          <w:szCs w:val="20"/>
        </w:rPr>
        <w:t>l</w:t>
      </w:r>
      <w:r w:rsidR="00280D0C" w:rsidRPr="0008117A">
        <w:rPr>
          <w:sz w:val="20"/>
          <w:szCs w:val="20"/>
        </w:rPr>
        <w:t>n</w:t>
      </w:r>
      <w:proofErr w:type="spellEnd"/>
      <w:r w:rsidRPr="0008117A">
        <w:rPr>
          <w:sz w:val="20"/>
          <w:szCs w:val="20"/>
        </w:rPr>
        <w:t>. 13.</w:t>
      </w:r>
    </w:p>
    <w:p w:rsidR="00B76890" w:rsidRPr="0008117A" w:rsidRDefault="00B76890" w:rsidP="00502753">
      <w:pPr>
        <w:pStyle w:val="ListParagraph"/>
        <w:numPr>
          <w:ilvl w:val="0"/>
          <w:numId w:val="46"/>
        </w:numPr>
        <w:tabs>
          <w:tab w:val="left" w:pos="540"/>
          <w:tab w:val="num" w:pos="720"/>
        </w:tabs>
        <w:ind w:left="540"/>
        <w:jc w:val="both"/>
        <w:rPr>
          <w:sz w:val="20"/>
          <w:szCs w:val="20"/>
        </w:rPr>
      </w:pPr>
      <w:r w:rsidRPr="0008117A">
        <w:rPr>
          <w:sz w:val="20"/>
          <w:szCs w:val="20"/>
        </w:rPr>
        <w:t>Source:  line d ÷ line f</w:t>
      </w:r>
    </w:p>
    <w:p w:rsidR="00B76890" w:rsidRPr="0008117A" w:rsidRDefault="00B76890" w:rsidP="00502753">
      <w:pPr>
        <w:pStyle w:val="ListParagraph"/>
        <w:numPr>
          <w:ilvl w:val="0"/>
          <w:numId w:val="46"/>
        </w:numPr>
        <w:tabs>
          <w:tab w:val="left" w:pos="540"/>
          <w:tab w:val="num" w:pos="720"/>
        </w:tabs>
        <w:spacing w:line="480" w:lineRule="auto"/>
        <w:ind w:left="540"/>
        <w:jc w:val="both"/>
        <w:rPr>
          <w:sz w:val="20"/>
          <w:szCs w:val="20"/>
        </w:rPr>
      </w:pPr>
      <w:r w:rsidRPr="0008117A">
        <w:rPr>
          <w:sz w:val="20"/>
          <w:szCs w:val="20"/>
        </w:rPr>
        <w:t>Source:  line g – line h</w:t>
      </w:r>
    </w:p>
    <w:p w:rsidR="00B76890" w:rsidRPr="00156787" w:rsidRDefault="00B76890" w:rsidP="00B76890">
      <w:pPr>
        <w:pStyle w:val="ListParagraph"/>
        <w:spacing w:line="480" w:lineRule="auto"/>
        <w:jc w:val="both"/>
        <w:rPr>
          <w:sz w:val="20"/>
        </w:rPr>
      </w:pPr>
    </w:p>
    <w:p w:rsidR="00B76890" w:rsidRDefault="00B76890" w:rsidP="00B76890">
      <w:pPr>
        <w:pStyle w:val="ListParagraph"/>
        <w:numPr>
          <w:ilvl w:val="0"/>
          <w:numId w:val="13"/>
        </w:numPr>
        <w:spacing w:line="480" w:lineRule="auto"/>
        <w:jc w:val="both"/>
      </w:pPr>
      <w:r>
        <w:t xml:space="preserve">       The first line of Table No. 2 above reflects the calculated electric revenue decreases of Commission Staff</w:t>
      </w:r>
      <w:r w:rsidR="00C656A8">
        <w:t xml:space="preserve"> and ICNU/Public Counsel</w:t>
      </w:r>
      <w:r>
        <w:t xml:space="preserve"> of $</w:t>
      </w:r>
      <w:r w:rsidR="00C656A8">
        <w:t>19.6</w:t>
      </w:r>
      <w:r>
        <w:t xml:space="preserve"> million and $</w:t>
      </w:r>
      <w:r w:rsidR="00D32080">
        <w:t>19.</w:t>
      </w:r>
      <w:r w:rsidR="00C656A8">
        <w:t>8</w:t>
      </w:r>
      <w:r>
        <w:t xml:space="preserve"> million, respectively.  </w:t>
      </w:r>
      <w:r>
        <w:lastRenderedPageBreak/>
        <w:t xml:space="preserve">The second line reflects Avista’s proposed revenue decrease of $5.7 million, as explained earlier.  All other information and calculations in the table are consistent with the original table in Mr. Norwood’s testimony (Exhibit </w:t>
      </w:r>
      <w:r w:rsidR="0008117A">
        <w:t xml:space="preserve">No. </w:t>
      </w:r>
      <w:r>
        <w:t>KON-1T).</w:t>
      </w:r>
    </w:p>
    <w:p w:rsidR="00B76890" w:rsidRDefault="00B76890" w:rsidP="00B76890">
      <w:pPr>
        <w:pStyle w:val="ListParagraph"/>
        <w:numPr>
          <w:ilvl w:val="0"/>
          <w:numId w:val="13"/>
        </w:numPr>
        <w:tabs>
          <w:tab w:val="num" w:pos="720"/>
        </w:tabs>
        <w:spacing w:line="480" w:lineRule="auto"/>
        <w:jc w:val="both"/>
      </w:pPr>
      <w:r>
        <w:t xml:space="preserve">       The table shows that if the Commission were to adopt</w:t>
      </w:r>
      <w:r w:rsidR="00B607DE">
        <w:t xml:space="preserve"> Commission Staff’s calculated decrease of $19.6 million, it would only provide an ROE earnings opportunity for Avista of </w:t>
      </w:r>
      <w:r w:rsidR="00B607DE">
        <w:rPr>
          <w:u w:val="single"/>
        </w:rPr>
        <w:t>8.22</w:t>
      </w:r>
      <w:r w:rsidR="00B607DE" w:rsidRPr="007D74FC">
        <w:rPr>
          <w:u w:val="single"/>
        </w:rPr>
        <w:t>%</w:t>
      </w:r>
      <w:r w:rsidR="00B607DE">
        <w:t>.  T</w:t>
      </w:r>
      <w:r>
        <w:t>he ICNU/Public Counsel calculated revenue decrease of $</w:t>
      </w:r>
      <w:r w:rsidR="00C656A8">
        <w:t xml:space="preserve">19.8 </w:t>
      </w:r>
      <w:r>
        <w:t xml:space="preserve">million would provide an ROE earnings opportunity for Avista for 2016 of only </w:t>
      </w:r>
      <w:r w:rsidR="00C656A8">
        <w:rPr>
          <w:u w:val="single"/>
        </w:rPr>
        <w:t>8.21</w:t>
      </w:r>
      <w:r w:rsidRPr="007D74FC">
        <w:rPr>
          <w:u w:val="single"/>
        </w:rPr>
        <w:t>%</w:t>
      </w:r>
      <w:r>
        <w:t xml:space="preserve">, as compared with the </w:t>
      </w:r>
      <w:r w:rsidRPr="007D74FC">
        <w:rPr>
          <w:u w:val="single"/>
        </w:rPr>
        <w:t>9.5%</w:t>
      </w:r>
      <w:r>
        <w:t xml:space="preserve"> authorized ROE.  Neither of these outcomes would provide a reasonable end result and would not provide the Company with a reasonable opportunity to earn the agreed-upon ROE of 9.5% in 2016.</w:t>
      </w:r>
    </w:p>
    <w:p w:rsidR="00BD6002" w:rsidRDefault="00BD6002" w:rsidP="00BD6002">
      <w:pPr>
        <w:tabs>
          <w:tab w:val="num" w:pos="720"/>
        </w:tabs>
        <w:spacing w:line="480" w:lineRule="auto"/>
        <w:jc w:val="both"/>
      </w:pPr>
    </w:p>
    <w:p w:rsidR="00BD6002" w:rsidRDefault="00BD6002" w:rsidP="00B77CE1">
      <w:pPr>
        <w:tabs>
          <w:tab w:val="left" w:pos="720"/>
        </w:tabs>
        <w:ind w:left="270"/>
        <w:jc w:val="both"/>
        <w:rPr>
          <w:b/>
          <w:color w:val="000000" w:themeColor="text1"/>
          <w:u w:val="single"/>
        </w:rPr>
      </w:pPr>
      <w:r>
        <w:rPr>
          <w:b/>
          <w:color w:val="000000" w:themeColor="text1"/>
          <w:u w:val="single"/>
        </w:rPr>
        <w:t>D.  Results in 2013 and 2014 Underscore the Importance of a Sufficient Attrition Adjustment in Producing a Reasonable End Result</w:t>
      </w:r>
    </w:p>
    <w:p w:rsidR="00B77CE1" w:rsidRPr="00B47ABF" w:rsidRDefault="00B77CE1" w:rsidP="00B77CE1">
      <w:pPr>
        <w:tabs>
          <w:tab w:val="left" w:pos="720"/>
        </w:tabs>
        <w:ind w:left="270"/>
        <w:jc w:val="both"/>
        <w:rPr>
          <w:b/>
          <w:color w:val="000000" w:themeColor="text1"/>
          <w:u w:val="single"/>
        </w:rPr>
      </w:pPr>
    </w:p>
    <w:p w:rsidR="00BD6002" w:rsidRDefault="00BD6002" w:rsidP="00BD6002">
      <w:pPr>
        <w:pStyle w:val="BodyText"/>
        <w:numPr>
          <w:ilvl w:val="0"/>
          <w:numId w:val="13"/>
        </w:numPr>
        <w:tabs>
          <w:tab w:val="left" w:pos="720"/>
        </w:tabs>
        <w:spacing w:line="480" w:lineRule="auto"/>
        <w:ind w:right="-54"/>
        <w:jc w:val="both"/>
      </w:pPr>
      <w:r>
        <w:t xml:space="preserve">       The importance of recognizing attrition was acknowledged by the Commission in Dockets UE-120436 and UG-120437.</w:t>
      </w:r>
      <w:r>
        <w:rPr>
          <w:rStyle w:val="FootnoteReference"/>
        </w:rPr>
        <w:footnoteReference w:id="26"/>
      </w:r>
      <w:r>
        <w:t xml:space="preserve"> </w:t>
      </w:r>
      <w:r w:rsidRPr="007D74FC">
        <w:rPr>
          <w:u w:val="single"/>
        </w:rPr>
        <w:t>Avista entered into, and supported, that settlement</w:t>
      </w:r>
      <w:r>
        <w:rPr>
          <w:u w:val="single"/>
        </w:rPr>
        <w:t xml:space="preserve"> in those dockets</w:t>
      </w:r>
      <w:r w:rsidRPr="007D74FC">
        <w:rPr>
          <w:u w:val="single"/>
        </w:rPr>
        <w:t xml:space="preserve"> because the end result was expected to provide an earned return close to the Commission-authorized return</w:t>
      </w:r>
      <w:r>
        <w:t xml:space="preserve"> for the two-year rate period.  </w:t>
      </w:r>
      <w:r w:rsidRPr="00540362">
        <w:t xml:space="preserve">The earned </w:t>
      </w:r>
      <w:proofErr w:type="spellStart"/>
      <w:r w:rsidRPr="00540362">
        <w:t>ROEs</w:t>
      </w:r>
      <w:proofErr w:type="spellEnd"/>
      <w:r w:rsidRPr="00540362">
        <w:t xml:space="preserve"> for Avista for 2013 and 2014 of 9.5% and 9.9%</w:t>
      </w:r>
      <w:r>
        <w:t>,</w:t>
      </w:r>
      <w:r>
        <w:rPr>
          <w:rStyle w:val="FootnoteReference"/>
        </w:rPr>
        <w:footnoteReference w:id="27"/>
      </w:r>
      <w:r w:rsidRPr="00F87FE6">
        <w:t xml:space="preserve"> </w:t>
      </w:r>
      <w:r w:rsidRPr="00540362">
        <w:t xml:space="preserve">respectively, </w:t>
      </w:r>
      <w:r>
        <w:t xml:space="preserve">for Avista’s combined electric and natural gas operations in Washington, </w:t>
      </w:r>
      <w:r w:rsidRPr="00540362">
        <w:t xml:space="preserve">are an after-the-fact confirmation that the </w:t>
      </w:r>
      <w:r>
        <w:t xml:space="preserve">earlier </w:t>
      </w:r>
      <w:r w:rsidRPr="00540362">
        <w:t xml:space="preserve">revenue </w:t>
      </w:r>
      <w:r w:rsidRPr="00540362">
        <w:lastRenderedPageBreak/>
        <w:t>increases granted based on recognition of attrition provided earned returns very close to the</w:t>
      </w:r>
      <w:r>
        <w:t xml:space="preserve"> then-</w:t>
      </w:r>
      <w:r w:rsidRPr="00540362">
        <w:t>authorized ROE of 9.8%.</w:t>
      </w:r>
      <w:r>
        <w:rPr>
          <w:rStyle w:val="FootnoteReference"/>
        </w:rPr>
        <w:footnoteReference w:id="28"/>
      </w:r>
    </w:p>
    <w:p w:rsidR="00BD6002" w:rsidRDefault="00BD6002" w:rsidP="00BD6002">
      <w:pPr>
        <w:pStyle w:val="ListParagraph"/>
        <w:numPr>
          <w:ilvl w:val="0"/>
          <w:numId w:val="13"/>
        </w:numPr>
        <w:spacing w:line="480" w:lineRule="auto"/>
        <w:jc w:val="both"/>
      </w:pPr>
      <w:r>
        <w:t xml:space="preserve">       </w:t>
      </w:r>
      <w:r w:rsidRPr="00B12F23">
        <w:rPr>
          <w:color w:val="000000" w:themeColor="text1"/>
        </w:rPr>
        <w:t>The point is</w:t>
      </w:r>
      <w:r>
        <w:rPr>
          <w:color w:val="000000" w:themeColor="text1"/>
        </w:rPr>
        <w:t xml:space="preserve"> this: </w:t>
      </w:r>
      <w:r w:rsidRPr="00B12F23">
        <w:rPr>
          <w:color w:val="000000" w:themeColor="text1"/>
        </w:rPr>
        <w:t xml:space="preserve">Avista agreed to and supported the settlement agreement that led to the new retail rates for 2013 and 2014, because there was an expectation that the end-result would </w:t>
      </w:r>
      <w:r w:rsidRPr="00B12F23">
        <w:rPr>
          <w:u w:val="single"/>
        </w:rPr>
        <w:t>provide an earned return close to the Commission-authorized return – and it did</w:t>
      </w:r>
      <w:r w:rsidRPr="00473D77">
        <w:t xml:space="preserve">.  </w:t>
      </w:r>
      <w:r w:rsidR="00233C80">
        <w:t>T</w:t>
      </w:r>
      <w:r>
        <w:t xml:space="preserve">he </w:t>
      </w:r>
      <w:r w:rsidRPr="00473D77">
        <w:t>settlement discussions among the parties</w:t>
      </w:r>
      <w:r>
        <w:t xml:space="preserve"> on the overall revenue requirement in the current case, however, did not yield a settlement agreement</w:t>
      </w:r>
      <w:r w:rsidRPr="00473D77">
        <w:t>.</w:t>
      </w:r>
      <w:r>
        <w:t xml:space="preserve">  We believe this was due in large part to the large difference in the positions of the parties, and Avista’s view that the proposals of the parties would not provide a reasonable opportunity for the Company to earn close to the authorized return for 2016.  </w:t>
      </w:r>
    </w:p>
    <w:p w:rsidR="00BD6002" w:rsidRDefault="00952B79" w:rsidP="00BD6002">
      <w:pPr>
        <w:pStyle w:val="ListParagraph"/>
        <w:numPr>
          <w:ilvl w:val="0"/>
          <w:numId w:val="13"/>
        </w:numPr>
        <w:spacing w:line="480" w:lineRule="auto"/>
        <w:jc w:val="both"/>
      </w:pPr>
      <w:r>
        <w:t xml:space="preserve">       I</w:t>
      </w:r>
      <w:r w:rsidR="00BD6002">
        <w:t>n this case, the Commission’s $8.1 million revenue decrease in Order 05, however it was derived, provides an “end result” that is reasonable and will provide Avista a reasonable opportunity to earn the authorized return in 2016.</w:t>
      </w:r>
      <w:r w:rsidR="00EB4B1E">
        <w:t xml:space="preserve">   Nothing sought to be introduced by Staff by reopening the record should change the Commission’s assessment of the reasonableness of the end result.</w:t>
      </w:r>
    </w:p>
    <w:p w:rsidR="00933864" w:rsidRDefault="00933864" w:rsidP="00BD6002">
      <w:pPr>
        <w:pStyle w:val="Header"/>
        <w:tabs>
          <w:tab w:val="left" w:pos="720"/>
        </w:tabs>
        <w:autoSpaceDE w:val="0"/>
        <w:autoSpaceDN w:val="0"/>
        <w:adjustRightInd w:val="0"/>
        <w:jc w:val="both"/>
        <w:rPr>
          <w:b/>
          <w:color w:val="000000" w:themeColor="text1"/>
          <w:u w:val="single"/>
        </w:rPr>
      </w:pPr>
    </w:p>
    <w:p w:rsidR="009D2CBD" w:rsidRDefault="00952B79" w:rsidP="009D2CBD">
      <w:pPr>
        <w:pStyle w:val="Header"/>
        <w:tabs>
          <w:tab w:val="left" w:pos="720"/>
        </w:tabs>
        <w:autoSpaceDE w:val="0"/>
        <w:autoSpaceDN w:val="0"/>
        <w:adjustRightInd w:val="0"/>
        <w:ind w:left="270"/>
        <w:jc w:val="both"/>
        <w:rPr>
          <w:b/>
          <w:color w:val="000000" w:themeColor="text1"/>
          <w:u w:val="single"/>
        </w:rPr>
      </w:pPr>
      <w:r>
        <w:rPr>
          <w:b/>
          <w:color w:val="000000" w:themeColor="text1"/>
          <w:u w:val="single"/>
        </w:rPr>
        <w:lastRenderedPageBreak/>
        <w:t>E</w:t>
      </w:r>
      <w:r w:rsidR="009D2CBD">
        <w:rPr>
          <w:b/>
          <w:color w:val="000000" w:themeColor="text1"/>
          <w:u w:val="single"/>
        </w:rPr>
        <w:t xml:space="preserve">.  The Motions to Reopen Improperly Seek to Isolate </w:t>
      </w:r>
      <w:r w:rsidR="009066D7">
        <w:rPr>
          <w:b/>
          <w:color w:val="000000" w:themeColor="text1"/>
          <w:u w:val="single"/>
        </w:rPr>
        <w:t>Only One Component of the Factors that were Incorporated into the Commission’s Decision</w:t>
      </w:r>
    </w:p>
    <w:p w:rsidR="009D2CBD" w:rsidRDefault="009D2CBD" w:rsidP="009D2CBD">
      <w:pPr>
        <w:pStyle w:val="Header"/>
        <w:tabs>
          <w:tab w:val="left" w:pos="720"/>
        </w:tabs>
        <w:autoSpaceDE w:val="0"/>
        <w:autoSpaceDN w:val="0"/>
        <w:adjustRightInd w:val="0"/>
        <w:ind w:left="270"/>
        <w:jc w:val="both"/>
      </w:pPr>
    </w:p>
    <w:p w:rsidR="009D2CBD" w:rsidRDefault="009D2CBD" w:rsidP="00F86745">
      <w:pPr>
        <w:pStyle w:val="Header"/>
        <w:numPr>
          <w:ilvl w:val="0"/>
          <w:numId w:val="13"/>
        </w:numPr>
        <w:tabs>
          <w:tab w:val="clear" w:pos="240"/>
          <w:tab w:val="left" w:pos="720"/>
        </w:tabs>
        <w:autoSpaceDE w:val="0"/>
        <w:autoSpaceDN w:val="0"/>
        <w:adjustRightInd w:val="0"/>
        <w:spacing w:line="480" w:lineRule="auto"/>
        <w:jc w:val="both"/>
      </w:pPr>
      <w:r>
        <w:t xml:space="preserve">       In its Motion to Reopen, Staff contends that “[b]y reopening the record, the Commission will be able to address its </w:t>
      </w:r>
      <w:r w:rsidRPr="009D2CBD">
        <w:rPr>
          <w:u w:val="single"/>
        </w:rPr>
        <w:t>specific issues</w:t>
      </w:r>
      <w:r>
        <w:t>, and remove any limitations on its ability to calculate Avista’s revenue requirement based on Staff’s updated attrition model.”</w:t>
      </w:r>
      <w:r>
        <w:rPr>
          <w:rStyle w:val="FootnoteReference"/>
        </w:rPr>
        <w:footnoteReference w:id="29"/>
      </w:r>
      <w:r>
        <w:t xml:space="preserve"> (emphasis added)  As such, Staff seeks to reopen the record on the “specific issue” of the attrition calculation – doing so in </w:t>
      </w:r>
      <w:r w:rsidRPr="009D2CBD">
        <w:rPr>
          <w:u w:val="single"/>
        </w:rPr>
        <w:t>isolation</w:t>
      </w:r>
      <w:r>
        <w:t>.</w:t>
      </w:r>
      <w:r w:rsidR="00B607DE">
        <w:rPr>
          <w:rStyle w:val="FootnoteReference"/>
        </w:rPr>
        <w:footnoteReference w:id="30"/>
      </w:r>
      <w:r>
        <w:t xml:space="preserve">  If the record is to be reopened, </w:t>
      </w:r>
      <w:r w:rsidR="00DE779C">
        <w:t xml:space="preserve">in a way that may change the end result, </w:t>
      </w:r>
      <w:r>
        <w:t>it needs to be reopened in its entirety, putting into play virtually all issues affecting revenue requirement (and not just one element) to assure that, in the final analysis, the “end result” re</w:t>
      </w:r>
      <w:r w:rsidR="004D5CF5">
        <w:t>a</w:t>
      </w:r>
      <w:r>
        <w:t xml:space="preserve">ched in terms of the overall revenue requirement is still reasonable.  Otherwise, the Company will be deprived of its reasonable opportunity to earn its authorized ROE.  </w:t>
      </w:r>
    </w:p>
    <w:p w:rsidR="00AA1222" w:rsidRDefault="0051416B" w:rsidP="00DE779C">
      <w:pPr>
        <w:pStyle w:val="Header"/>
        <w:numPr>
          <w:ilvl w:val="0"/>
          <w:numId w:val="13"/>
        </w:numPr>
        <w:tabs>
          <w:tab w:val="clear" w:pos="240"/>
          <w:tab w:val="left" w:pos="720"/>
        </w:tabs>
        <w:autoSpaceDE w:val="0"/>
        <w:autoSpaceDN w:val="0"/>
        <w:adjustRightInd w:val="0"/>
        <w:spacing w:line="480" w:lineRule="auto"/>
        <w:jc w:val="both"/>
      </w:pPr>
      <w:r>
        <w:t xml:space="preserve">       </w:t>
      </w:r>
      <w:r w:rsidR="00B17752">
        <w:t xml:space="preserve">At the time the Commission made its decision in this case, the Commission had before it the </w:t>
      </w:r>
      <w:r w:rsidR="00B17752" w:rsidRPr="002B122D">
        <w:t>effects</w:t>
      </w:r>
      <w:r w:rsidR="00B17752">
        <w:t xml:space="preserve"> of all of the adjustments that are at issue in the recent Motions filed by Staff, ICNU and Public Coun</w:t>
      </w:r>
      <w:r w:rsidR="005811AF">
        <w:t>sel</w:t>
      </w:r>
      <w:r w:rsidR="002B122D">
        <w:t>.</w:t>
      </w:r>
      <w:r w:rsidR="005A642A">
        <w:t xml:space="preserve">  </w:t>
      </w:r>
      <w:r w:rsidR="00AA1222" w:rsidRPr="00AA1222">
        <w:t>Even if one were to conclude that there may be “infirmities”</w:t>
      </w:r>
      <w:r w:rsidR="00AA1222">
        <w:t xml:space="preserve"> within any of the components or methods employed, </w:t>
      </w:r>
      <w:r w:rsidR="00AA1222" w:rsidRPr="00DE779C">
        <w:rPr>
          <w:u w:val="single"/>
        </w:rPr>
        <w:t>it would not, and should not,</w:t>
      </w:r>
      <w:r w:rsidR="00AA1222">
        <w:t xml:space="preserve"> lead to a conclusion that the end result is not just and reasonable.  The Commission has broad </w:t>
      </w:r>
      <w:r w:rsidR="00BC2B14">
        <w:t xml:space="preserve">discretion, based on its informed judgment and the evidence in the record, to determine the end result that is just </w:t>
      </w:r>
      <w:r w:rsidR="00BC2B14">
        <w:lastRenderedPageBreak/>
        <w:t>and reasonable.</w:t>
      </w:r>
      <w:r w:rsidR="00DE779C">
        <w:rPr>
          <w:rStyle w:val="FootnoteReference"/>
        </w:rPr>
        <w:footnoteReference w:id="31"/>
      </w:r>
      <w:r w:rsidR="00BC2B14">
        <w:t xml:space="preserve">  </w:t>
      </w:r>
      <w:r w:rsidR="00AA1222">
        <w:t xml:space="preserve">And </w:t>
      </w:r>
      <w:r w:rsidR="00BC2B14">
        <w:t xml:space="preserve">the Commission </w:t>
      </w:r>
      <w:r w:rsidR="00AA1222">
        <w:t xml:space="preserve">has done so in this case in arriving at an end result of </w:t>
      </w:r>
      <w:r w:rsidR="00E50C5F">
        <w:t xml:space="preserve">a revenue reduction of </w:t>
      </w:r>
      <w:r w:rsidR="00AA1222">
        <w:t>$8.1 million.</w:t>
      </w:r>
    </w:p>
    <w:p w:rsidR="008561B8" w:rsidRDefault="008561B8" w:rsidP="00BC2B14">
      <w:pPr>
        <w:pStyle w:val="Header"/>
        <w:numPr>
          <w:ilvl w:val="0"/>
          <w:numId w:val="13"/>
        </w:numPr>
        <w:tabs>
          <w:tab w:val="clear" w:pos="240"/>
          <w:tab w:val="left" w:pos="720"/>
        </w:tabs>
        <w:autoSpaceDE w:val="0"/>
        <w:autoSpaceDN w:val="0"/>
        <w:adjustRightInd w:val="0"/>
        <w:spacing w:line="480" w:lineRule="auto"/>
        <w:jc w:val="both"/>
      </w:pPr>
      <w:r>
        <w:t xml:space="preserve">       The Motions of Staff, ICNU and Public Counsel should be rejected.</w:t>
      </w:r>
    </w:p>
    <w:p w:rsidR="00502753" w:rsidRDefault="00CA4326" w:rsidP="00CA4326">
      <w:pPr>
        <w:tabs>
          <w:tab w:val="left" w:pos="4320"/>
        </w:tabs>
        <w:spacing w:line="480" w:lineRule="auto"/>
        <w:ind w:left="720" w:hanging="540"/>
        <w:jc w:val="both"/>
      </w:pPr>
      <w:r>
        <w:tab/>
      </w:r>
    </w:p>
    <w:p w:rsidR="003D2170" w:rsidRDefault="00502753" w:rsidP="00502753">
      <w:pPr>
        <w:tabs>
          <w:tab w:val="left" w:pos="4320"/>
        </w:tabs>
        <w:spacing w:line="480" w:lineRule="auto"/>
        <w:ind w:left="720" w:hanging="540"/>
        <w:jc w:val="right"/>
      </w:pPr>
      <w:r>
        <w:tab/>
      </w:r>
      <w:r w:rsidR="00CA4326">
        <w:t>RESPECTFULLY SUBMITTED</w:t>
      </w:r>
      <w:r w:rsidR="003D2170">
        <w:t xml:space="preserve"> this </w:t>
      </w:r>
      <w:r w:rsidR="00492331">
        <w:t>_______</w:t>
      </w:r>
      <w:r w:rsidR="00EE4384">
        <w:rPr>
          <w:vertAlign w:val="superscript"/>
        </w:rPr>
        <w:t xml:space="preserve"> </w:t>
      </w:r>
      <w:r w:rsidR="003D2170">
        <w:t xml:space="preserve">day of </w:t>
      </w:r>
      <w:r w:rsidR="00E77466">
        <w:t>February</w:t>
      </w:r>
      <w:r w:rsidR="001D2866">
        <w:t xml:space="preserve"> 2016</w:t>
      </w:r>
    </w:p>
    <w:p w:rsidR="003D2170" w:rsidRDefault="003D2170">
      <w:pPr>
        <w:tabs>
          <w:tab w:val="left" w:pos="4320"/>
        </w:tabs>
        <w:ind w:left="540" w:hanging="540"/>
        <w:jc w:val="both"/>
      </w:pPr>
    </w:p>
    <w:p w:rsidR="00522D49" w:rsidRDefault="00CA4326">
      <w:pPr>
        <w:tabs>
          <w:tab w:val="left" w:pos="4320"/>
        </w:tabs>
        <w:ind w:left="540" w:hanging="540"/>
        <w:jc w:val="both"/>
      </w:pPr>
      <w:r>
        <w:tab/>
      </w:r>
      <w:r>
        <w:tab/>
        <w:t>AVISTA CORPORATION</w:t>
      </w:r>
    </w:p>
    <w:p w:rsidR="00CA4326" w:rsidRDefault="00CA4326">
      <w:pPr>
        <w:tabs>
          <w:tab w:val="left" w:pos="4320"/>
        </w:tabs>
        <w:ind w:left="540" w:hanging="540"/>
        <w:jc w:val="both"/>
      </w:pPr>
    </w:p>
    <w:p w:rsidR="00CA4326" w:rsidRDefault="00CA4326">
      <w:pPr>
        <w:tabs>
          <w:tab w:val="left" w:pos="4320"/>
        </w:tabs>
        <w:ind w:left="540" w:hanging="540"/>
        <w:jc w:val="both"/>
      </w:pPr>
    </w:p>
    <w:p w:rsidR="00CA4326" w:rsidRDefault="00CA4326">
      <w:pPr>
        <w:tabs>
          <w:tab w:val="left" w:pos="4320"/>
        </w:tabs>
        <w:ind w:left="540" w:hanging="540"/>
        <w:jc w:val="both"/>
      </w:pPr>
    </w:p>
    <w:p w:rsidR="003D2170" w:rsidRDefault="003D2170">
      <w:pPr>
        <w:tabs>
          <w:tab w:val="left" w:pos="4320"/>
          <w:tab w:val="left" w:pos="4680"/>
        </w:tabs>
        <w:ind w:left="540" w:hanging="540"/>
        <w:jc w:val="both"/>
      </w:pPr>
      <w:r>
        <w:tab/>
      </w:r>
      <w:r>
        <w:tab/>
        <w:t>By: __________________________________</w:t>
      </w:r>
    </w:p>
    <w:p w:rsidR="003D2170" w:rsidRDefault="003D2170">
      <w:pPr>
        <w:tabs>
          <w:tab w:val="left" w:pos="3960"/>
          <w:tab w:val="left" w:pos="4320"/>
          <w:tab w:val="left" w:pos="4680"/>
        </w:tabs>
        <w:ind w:left="540" w:hanging="540"/>
        <w:jc w:val="both"/>
      </w:pPr>
      <w:r>
        <w:tab/>
      </w:r>
      <w:r>
        <w:tab/>
      </w:r>
      <w:r>
        <w:tab/>
      </w:r>
      <w:r w:rsidR="00CA4326">
        <w:tab/>
        <w:t>David J. Meyer</w:t>
      </w:r>
    </w:p>
    <w:p w:rsidR="008A03B3" w:rsidRDefault="003D2170" w:rsidP="009F7689">
      <w:pPr>
        <w:tabs>
          <w:tab w:val="left" w:pos="3960"/>
          <w:tab w:val="left" w:pos="4320"/>
          <w:tab w:val="left" w:pos="4680"/>
        </w:tabs>
        <w:ind w:left="540" w:hanging="540"/>
        <w:jc w:val="both"/>
      </w:pPr>
      <w:r>
        <w:tab/>
      </w:r>
      <w:r>
        <w:tab/>
      </w:r>
      <w:r>
        <w:tab/>
      </w:r>
      <w:r w:rsidR="00CA4326">
        <w:tab/>
        <w:t xml:space="preserve">VP, Chief Counsel for Regulatory and </w:t>
      </w:r>
    </w:p>
    <w:p w:rsidR="003D2170" w:rsidRDefault="00CA4326" w:rsidP="00222658">
      <w:pPr>
        <w:tabs>
          <w:tab w:val="left" w:pos="3960"/>
          <w:tab w:val="left" w:pos="4320"/>
          <w:tab w:val="left" w:pos="4680"/>
        </w:tabs>
        <w:ind w:left="540" w:hanging="540"/>
        <w:jc w:val="both"/>
      </w:pPr>
      <w:r>
        <w:tab/>
      </w:r>
      <w:r>
        <w:tab/>
      </w:r>
      <w:r>
        <w:tab/>
      </w:r>
      <w:r>
        <w:tab/>
        <w:t>Governmental Affairs</w:t>
      </w:r>
    </w:p>
    <w:sectPr w:rsidR="003D2170" w:rsidSect="00502753">
      <w:footerReference w:type="default" r:id="rId10"/>
      <w:type w:val="continuous"/>
      <w:pgSz w:w="12240" w:h="15840" w:code="1"/>
      <w:pgMar w:top="1440" w:right="1440" w:bottom="1800" w:left="1440" w:header="720" w:footer="295" w:gutter="0"/>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A790C7" w15:done="0"/>
  <w15:commentEx w15:paraId="5E6A148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4D8" w:rsidRDefault="009014D8" w:rsidP="003D2170">
      <w:r>
        <w:separator/>
      </w:r>
    </w:p>
  </w:endnote>
  <w:endnote w:type="continuationSeparator" w:id="0">
    <w:p w:rsidR="009014D8" w:rsidRDefault="009014D8" w:rsidP="003D2170">
      <w:r>
        <w:continuationSeparator/>
      </w:r>
    </w:p>
  </w:endnote>
  <w:endnote w:type="continuationNotice" w:id="1">
    <w:p w:rsidR="009014D8" w:rsidRDefault="009014D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utura Book">
    <w:altName w:val="Futura Book"/>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4D8" w:rsidRDefault="009014D8" w:rsidP="009C23AF">
    <w:pPr>
      <w:ind w:right="-90"/>
      <w:jc w:val="both"/>
    </w:pPr>
    <w:r w:rsidRPr="00744694">
      <w:t xml:space="preserve">AVISTA’S </w:t>
    </w:r>
    <w:r>
      <w:t xml:space="preserve">RESPONSE TO STAFF’S MOTION TO </w:t>
    </w:r>
  </w:p>
  <w:p w:rsidR="009014D8" w:rsidRPr="00744694" w:rsidRDefault="009014D8" w:rsidP="009C23AF">
    <w:pPr>
      <w:ind w:right="-90"/>
      <w:jc w:val="both"/>
    </w:pPr>
    <w:r>
      <w:t>REOPEN THE RECORD</w:t>
    </w:r>
    <w:r w:rsidRPr="00744694">
      <w:tab/>
    </w:r>
    <w:r w:rsidRPr="00744694">
      <w:tab/>
    </w:r>
    <w:r w:rsidRPr="00744694">
      <w:tab/>
    </w:r>
    <w:r w:rsidRPr="00744694">
      <w:tab/>
    </w:r>
    <w:r w:rsidRPr="00744694">
      <w:tab/>
    </w:r>
    <w:r w:rsidRPr="00744694">
      <w:tab/>
    </w:r>
    <w:r w:rsidRPr="00744694">
      <w:tab/>
    </w:r>
    <w:r w:rsidRPr="00744694">
      <w:tab/>
      <w:t xml:space="preserve">PAGE </w:t>
    </w:r>
    <w:fldSimple w:instr=" PAGE   \* MERGEFORMAT ">
      <w:r w:rsidR="00BF26F9">
        <w:rPr>
          <w:noProof/>
        </w:rPr>
        <w:t>13</w:t>
      </w:r>
    </w:fldSimple>
  </w:p>
  <w:p w:rsidR="009014D8" w:rsidRPr="001F638D" w:rsidRDefault="009014D8" w:rsidP="001F638D">
    <w:pPr>
      <w:ind w:right="-270"/>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9014D8" w:rsidRPr="00E27AD3" w:rsidRDefault="009014D8">
    <w:pPr>
      <w:pStyle w:val="Footer"/>
      <w:jc w:val="right"/>
      <w:rPr>
        <w:caps/>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4D8" w:rsidRDefault="009014D8" w:rsidP="003D2170">
      <w:r>
        <w:separator/>
      </w:r>
    </w:p>
  </w:footnote>
  <w:footnote w:type="continuationSeparator" w:id="0">
    <w:p w:rsidR="009014D8" w:rsidRDefault="009014D8" w:rsidP="003D2170">
      <w:r>
        <w:continuationSeparator/>
      </w:r>
    </w:p>
  </w:footnote>
  <w:footnote w:type="continuationNotice" w:id="1">
    <w:p w:rsidR="009014D8" w:rsidRDefault="009014D8"/>
  </w:footnote>
  <w:footnote w:id="2">
    <w:p w:rsidR="009014D8" w:rsidRDefault="009014D8" w:rsidP="00DE779C">
      <w:pPr>
        <w:pStyle w:val="FootnoteText"/>
        <w:jc w:val="both"/>
      </w:pPr>
      <w:r>
        <w:rPr>
          <w:rStyle w:val="FootnoteReference"/>
        </w:rPr>
        <w:footnoteRef/>
      </w:r>
      <w:r>
        <w:t xml:space="preserve"> </w:t>
      </w:r>
      <w:r w:rsidRPr="00DE779C">
        <w:t>Motion/Petition for a Waiver of Rules to Allow for an Answer to ICNU and Public Counsel’s Motion for Clarification, and Commission Staff’s Motion to Reconsider, as filed by the Company on January 28, 2016 (hereafter “Avista’s January 28 Motion”)</w:t>
      </w:r>
      <w:r>
        <w:t>.</w:t>
      </w:r>
    </w:p>
  </w:footnote>
  <w:footnote w:id="3">
    <w:p w:rsidR="009014D8" w:rsidRDefault="009014D8">
      <w:pPr>
        <w:pStyle w:val="FootnoteText"/>
      </w:pPr>
      <w:r>
        <w:rPr>
          <w:rStyle w:val="FootnoteReference"/>
        </w:rPr>
        <w:footnoteRef/>
      </w:r>
      <w:r>
        <w:t xml:space="preserve"> Staff Motion to Reopen, p. 3.</w:t>
      </w:r>
    </w:p>
  </w:footnote>
  <w:footnote w:id="4">
    <w:p w:rsidR="009014D8" w:rsidRDefault="009014D8">
      <w:pPr>
        <w:pStyle w:val="FootnoteText"/>
      </w:pPr>
      <w:r>
        <w:rPr>
          <w:rStyle w:val="FootnoteReference"/>
        </w:rPr>
        <w:footnoteRef/>
      </w:r>
      <w:r>
        <w:t xml:space="preserve"> Order 05, p. 42, ¶ 115.</w:t>
      </w:r>
    </w:p>
  </w:footnote>
  <w:footnote w:id="5">
    <w:p w:rsidR="009014D8" w:rsidRDefault="009014D8">
      <w:pPr>
        <w:pStyle w:val="FootnoteText"/>
      </w:pPr>
      <w:r>
        <w:rPr>
          <w:rStyle w:val="FootnoteReference"/>
        </w:rPr>
        <w:footnoteRef/>
      </w:r>
      <w:r>
        <w:t xml:space="preserve"> Order 05, p. 50, ¶ 135.</w:t>
      </w:r>
    </w:p>
  </w:footnote>
  <w:footnote w:id="6">
    <w:p w:rsidR="009014D8" w:rsidRDefault="009014D8">
      <w:pPr>
        <w:pStyle w:val="FootnoteText"/>
      </w:pPr>
      <w:r>
        <w:rPr>
          <w:rStyle w:val="FootnoteReference"/>
        </w:rPr>
        <w:footnoteRef/>
      </w:r>
      <w:r>
        <w:t xml:space="preserve"> Order 05, p. 52, ¶ 140</w:t>
      </w:r>
    </w:p>
  </w:footnote>
  <w:footnote w:id="7">
    <w:p w:rsidR="009014D8" w:rsidRDefault="009014D8" w:rsidP="00B76890">
      <w:pPr>
        <w:pStyle w:val="FootnoteText"/>
        <w:jc w:val="both"/>
      </w:pPr>
      <w:r>
        <w:rPr>
          <w:rStyle w:val="FootnoteReference"/>
        </w:rPr>
        <w:footnoteRef/>
      </w:r>
      <w:r>
        <w:t xml:space="preserve"> Exhibit No. KON-1T, p. 34.</w:t>
      </w:r>
    </w:p>
  </w:footnote>
  <w:footnote w:id="8">
    <w:p w:rsidR="009014D8" w:rsidRDefault="009014D8" w:rsidP="00B76890">
      <w:pPr>
        <w:pStyle w:val="FootnoteText"/>
        <w:jc w:val="both"/>
      </w:pPr>
      <w:r>
        <w:rPr>
          <w:rStyle w:val="FootnoteReference"/>
        </w:rPr>
        <w:footnoteRef/>
      </w:r>
      <w:r>
        <w:t xml:space="preserve"> Exhibit No. KON-1T, p. 34, n. 24.</w:t>
      </w:r>
    </w:p>
  </w:footnote>
  <w:footnote w:id="9">
    <w:p w:rsidR="009014D8" w:rsidRDefault="009014D8" w:rsidP="00B76890">
      <w:pPr>
        <w:pStyle w:val="FootnoteText"/>
        <w:jc w:val="both"/>
      </w:pPr>
      <w:r>
        <w:rPr>
          <w:rStyle w:val="FootnoteReference"/>
        </w:rPr>
        <w:footnoteRef/>
      </w:r>
      <w:r>
        <w:t xml:space="preserve"> </w:t>
      </w:r>
      <w:r w:rsidRPr="0065652B">
        <w:rPr>
          <w:u w:val="single"/>
        </w:rPr>
        <w:t>See</w:t>
      </w:r>
      <w:r>
        <w:t xml:space="preserve"> Order 05, </w:t>
      </w:r>
      <w:r w:rsidRPr="0065652B">
        <w:t>¶</w:t>
      </w:r>
      <w:r>
        <w:t xml:space="preserve"> 153.  The effect of the Commission’s Order 05 </w:t>
      </w:r>
      <w:r>
        <w:rPr>
          <w:color w:val="000000" w:themeColor="text1"/>
        </w:rPr>
        <w:t>is to normalize the cost for customers, but not the Company (</w:t>
      </w:r>
      <w:r w:rsidRPr="009E615B">
        <w:rPr>
          <w:color w:val="000000" w:themeColor="text1"/>
          <w:u w:val="single"/>
        </w:rPr>
        <w:t>See</w:t>
      </w:r>
      <w:r>
        <w:rPr>
          <w:color w:val="000000" w:themeColor="text1"/>
        </w:rPr>
        <w:t xml:space="preserve"> Exhibit No. KON-1T, p. 44, </w:t>
      </w:r>
      <w:proofErr w:type="spellStart"/>
      <w:r>
        <w:rPr>
          <w:color w:val="000000" w:themeColor="text1"/>
        </w:rPr>
        <w:t>ln</w:t>
      </w:r>
      <w:proofErr w:type="spellEnd"/>
      <w:r>
        <w:rPr>
          <w:color w:val="000000" w:themeColor="text1"/>
        </w:rPr>
        <w:t>. 18-20).</w:t>
      </w:r>
    </w:p>
  </w:footnote>
  <w:footnote w:id="10">
    <w:p w:rsidR="009014D8" w:rsidRDefault="009014D8" w:rsidP="00B76890">
      <w:pPr>
        <w:pStyle w:val="FootnoteText"/>
        <w:jc w:val="both"/>
      </w:pPr>
      <w:r>
        <w:rPr>
          <w:rStyle w:val="FootnoteReference"/>
        </w:rPr>
        <w:footnoteRef/>
      </w:r>
      <w:r>
        <w:t xml:space="preserve"> Order 05, </w:t>
      </w:r>
      <w:r w:rsidRPr="0065652B">
        <w:t>¶</w:t>
      </w:r>
      <w:r>
        <w:t xml:space="preserve"> 12.</w:t>
      </w:r>
    </w:p>
  </w:footnote>
  <w:footnote w:id="11">
    <w:p w:rsidR="009014D8" w:rsidRDefault="009014D8" w:rsidP="00AA3641">
      <w:pPr>
        <w:pStyle w:val="FootnoteText"/>
        <w:jc w:val="both"/>
      </w:pPr>
      <w:r>
        <w:rPr>
          <w:rStyle w:val="FootnoteReference"/>
        </w:rPr>
        <w:footnoteRef/>
      </w:r>
      <w:r>
        <w:t xml:space="preserve"> See ¶11 – 13 in this pleading.</w:t>
      </w:r>
    </w:p>
  </w:footnote>
  <w:footnote w:id="12">
    <w:p w:rsidR="009014D8" w:rsidRDefault="009014D8" w:rsidP="00AA3641">
      <w:pPr>
        <w:pStyle w:val="FootnoteText"/>
      </w:pPr>
      <w:r>
        <w:rPr>
          <w:rStyle w:val="FootnoteReference"/>
        </w:rPr>
        <w:footnoteRef/>
      </w:r>
      <w:r>
        <w:t xml:space="preserve"> Exhibit No. KON-1T, p. 18, </w:t>
      </w:r>
      <w:proofErr w:type="spellStart"/>
      <w:r>
        <w:t>ln</w:t>
      </w:r>
      <w:proofErr w:type="spellEnd"/>
      <w:r>
        <w:t xml:space="preserve"> 24.</w:t>
      </w:r>
    </w:p>
  </w:footnote>
  <w:footnote w:id="13">
    <w:p w:rsidR="009014D8" w:rsidRDefault="009014D8" w:rsidP="00AA3641">
      <w:pPr>
        <w:pStyle w:val="FootnoteText"/>
      </w:pPr>
      <w:r>
        <w:rPr>
          <w:rStyle w:val="FootnoteReference"/>
        </w:rPr>
        <w:footnoteRef/>
      </w:r>
      <w:r>
        <w:t xml:space="preserve"> Exhibit No. KON-1T, p. 31, </w:t>
      </w:r>
      <w:proofErr w:type="spellStart"/>
      <w:r>
        <w:t>ln</w:t>
      </w:r>
      <w:proofErr w:type="spellEnd"/>
      <w:r>
        <w:t xml:space="preserve"> 5.</w:t>
      </w:r>
    </w:p>
  </w:footnote>
  <w:footnote w:id="14">
    <w:p w:rsidR="009014D8" w:rsidRDefault="009014D8" w:rsidP="00AA3641">
      <w:pPr>
        <w:pStyle w:val="FootnoteText"/>
      </w:pPr>
      <w:r>
        <w:rPr>
          <w:rStyle w:val="FootnoteReference"/>
        </w:rPr>
        <w:footnoteRef/>
      </w:r>
      <w:r>
        <w:t xml:space="preserve"> Ibid.</w:t>
      </w:r>
    </w:p>
  </w:footnote>
  <w:footnote w:id="15">
    <w:p w:rsidR="009014D8" w:rsidRDefault="009014D8" w:rsidP="00AA3641">
      <w:pPr>
        <w:pStyle w:val="FootnoteText"/>
        <w:jc w:val="both"/>
      </w:pPr>
      <w:r>
        <w:rPr>
          <w:rStyle w:val="FootnoteReference"/>
        </w:rPr>
        <w:footnoteRef/>
      </w:r>
      <w:r>
        <w:t xml:space="preserve"> Order 05, ¶ 134.</w:t>
      </w:r>
    </w:p>
  </w:footnote>
  <w:footnote w:id="16">
    <w:p w:rsidR="009014D8" w:rsidRDefault="009014D8" w:rsidP="00AA3641">
      <w:pPr>
        <w:pStyle w:val="FootnoteText"/>
        <w:jc w:val="both"/>
      </w:pPr>
      <w:r>
        <w:rPr>
          <w:rStyle w:val="FootnoteReference"/>
        </w:rPr>
        <w:footnoteRef/>
      </w:r>
      <w:r>
        <w:t xml:space="preserve"> Order 05, ¶ 132.</w:t>
      </w:r>
    </w:p>
  </w:footnote>
  <w:footnote w:id="17">
    <w:p w:rsidR="009014D8" w:rsidRDefault="009014D8" w:rsidP="00B76890">
      <w:pPr>
        <w:pStyle w:val="FootnoteText"/>
        <w:jc w:val="both"/>
      </w:pPr>
      <w:r>
        <w:rPr>
          <w:rStyle w:val="FootnoteReference"/>
        </w:rPr>
        <w:footnoteRef/>
      </w:r>
      <w:r>
        <w:t xml:space="preserve"> Exhibit No. </w:t>
      </w:r>
      <w:proofErr w:type="spellStart"/>
      <w:r>
        <w:rPr>
          <w:szCs w:val="22"/>
        </w:rPr>
        <w:t>CSH</w:t>
      </w:r>
      <w:proofErr w:type="spellEnd"/>
      <w:r>
        <w:rPr>
          <w:szCs w:val="22"/>
        </w:rPr>
        <w:t xml:space="preserve">-2 at </w:t>
      </w:r>
      <w:r w:rsidRPr="003868A4">
        <w:rPr>
          <w:szCs w:val="22"/>
        </w:rPr>
        <w:t xml:space="preserve">1 </w:t>
      </w:r>
      <w:r>
        <w:rPr>
          <w:szCs w:val="22"/>
        </w:rPr>
        <w:t>(</w:t>
      </w:r>
      <w:r>
        <w:t>Revised Oct. 13, 2015).</w:t>
      </w:r>
    </w:p>
  </w:footnote>
  <w:footnote w:id="18">
    <w:p w:rsidR="009014D8" w:rsidRPr="00544A34" w:rsidRDefault="009014D8" w:rsidP="00B76890">
      <w:pPr>
        <w:pStyle w:val="FootnoteText"/>
        <w:jc w:val="both"/>
      </w:pPr>
      <w:r w:rsidRPr="00544A34">
        <w:rPr>
          <w:rStyle w:val="FootnoteReference"/>
        </w:rPr>
        <w:footnoteRef/>
      </w:r>
      <w:r w:rsidRPr="00544A34">
        <w:t xml:space="preserve"> </w:t>
      </w:r>
      <w:r w:rsidRPr="00544A34">
        <w:rPr>
          <w:i/>
        </w:rPr>
        <w:t>See</w:t>
      </w:r>
      <w:r w:rsidRPr="00544A34">
        <w:t xml:space="preserve"> </w:t>
      </w:r>
      <w:r w:rsidRPr="00544A34">
        <w:rPr>
          <w:i/>
        </w:rPr>
        <w:t xml:space="preserve">Fed.  Power </w:t>
      </w:r>
      <w:proofErr w:type="spellStart"/>
      <w:r w:rsidRPr="00544A34">
        <w:rPr>
          <w:i/>
        </w:rPr>
        <w:t>Comm</w:t>
      </w:r>
      <w:proofErr w:type="spellEnd"/>
      <w:r w:rsidRPr="00544A34">
        <w:rPr>
          <w:i/>
        </w:rPr>
        <w:t xml:space="preserve"> 'n v. Hope Natural Gas Co., </w:t>
      </w:r>
      <w:r w:rsidRPr="00544A34">
        <w:t>320 U.S. 591, 603, 64 S. Ct. 281, 88 L. Ed. 333 (1944) (</w:t>
      </w:r>
      <w:r w:rsidRPr="00544A34">
        <w:rPr>
          <w:i/>
        </w:rPr>
        <w:t>Hope</w:t>
      </w:r>
      <w:r w:rsidRPr="00544A34">
        <w:t xml:space="preserve">) (the methods by which government regulators determine a utility's  rate are inconsequential so long as the </w:t>
      </w:r>
      <w:r w:rsidRPr="00544A34">
        <w:rPr>
          <w:i/>
        </w:rPr>
        <w:t xml:space="preserve">end result </w:t>
      </w:r>
      <w:r w:rsidRPr="00544A34">
        <w:t>is fair).</w:t>
      </w:r>
    </w:p>
  </w:footnote>
  <w:footnote w:id="19">
    <w:p w:rsidR="009014D8" w:rsidRPr="00544A34" w:rsidRDefault="009014D8" w:rsidP="00B76890">
      <w:pPr>
        <w:pStyle w:val="FootnoteText"/>
        <w:jc w:val="both"/>
      </w:pPr>
      <w:r w:rsidRPr="00544A34">
        <w:rPr>
          <w:rStyle w:val="FootnoteReference"/>
        </w:rPr>
        <w:footnoteRef/>
      </w:r>
      <w:r w:rsidRPr="00544A34">
        <w:t xml:space="preserve"> </w:t>
      </w:r>
      <w:r w:rsidRPr="00544A34">
        <w:rPr>
          <w:i/>
        </w:rPr>
        <w:t xml:space="preserve">Id. </w:t>
      </w:r>
      <w:r w:rsidRPr="00544A34">
        <w:t>at 602.</w:t>
      </w:r>
    </w:p>
  </w:footnote>
  <w:footnote w:id="20">
    <w:p w:rsidR="009014D8" w:rsidRPr="00544A34" w:rsidRDefault="009014D8" w:rsidP="00B76890">
      <w:pPr>
        <w:pStyle w:val="FootnoteText"/>
        <w:jc w:val="both"/>
      </w:pPr>
      <w:r w:rsidRPr="00544A34">
        <w:rPr>
          <w:rStyle w:val="FootnoteReference"/>
        </w:rPr>
        <w:footnoteRef/>
      </w:r>
      <w:r w:rsidRPr="00544A34">
        <w:t xml:space="preserve"> </w:t>
      </w:r>
      <w:r w:rsidRPr="00544A34">
        <w:rPr>
          <w:i/>
        </w:rPr>
        <w:t>Id.</w:t>
      </w:r>
      <w:r w:rsidRPr="00544A34">
        <w:t xml:space="preserve"> This language became known as the "end result" test.</w:t>
      </w:r>
    </w:p>
  </w:footnote>
  <w:footnote w:id="21">
    <w:p w:rsidR="009014D8" w:rsidRDefault="009014D8" w:rsidP="00B76890">
      <w:pPr>
        <w:pStyle w:val="FootnoteText"/>
        <w:jc w:val="both"/>
      </w:pPr>
      <w:r>
        <w:rPr>
          <w:rStyle w:val="FootnoteReference"/>
        </w:rPr>
        <w:footnoteRef/>
      </w:r>
      <w:r>
        <w:t xml:space="preserve"> Order 05, ¶133.</w:t>
      </w:r>
    </w:p>
  </w:footnote>
  <w:footnote w:id="22">
    <w:p w:rsidR="009014D8" w:rsidRPr="00544A34" w:rsidRDefault="009014D8" w:rsidP="00280D0C">
      <w:pPr>
        <w:pStyle w:val="FootnoteText"/>
        <w:jc w:val="both"/>
      </w:pPr>
      <w:r w:rsidRPr="00544A34">
        <w:rPr>
          <w:rStyle w:val="FootnoteReference"/>
        </w:rPr>
        <w:footnoteRef/>
      </w:r>
      <w:r w:rsidRPr="00544A34">
        <w:t xml:space="preserve"> </w:t>
      </w:r>
      <w:r>
        <w:t xml:space="preserve">See Order 05, </w:t>
      </w:r>
      <w:r w:rsidRPr="00D91139">
        <w:rPr>
          <w:u w:val="single"/>
        </w:rPr>
        <w:t>supra</w:t>
      </w:r>
      <w:r>
        <w:t xml:space="preserve">, at ¶133, n. 196 - </w:t>
      </w:r>
      <w:r w:rsidRPr="00D05CA9">
        <w:rPr>
          <w:i/>
        </w:rPr>
        <w:t xml:space="preserve">In re Permian Basin Area Rate Cases, </w:t>
      </w:r>
      <w:r w:rsidRPr="00D05CA9">
        <w:t xml:space="preserve">390 U.S. 747, 791–92, 88 S. Ct. 1344, 1372–73, 20 L. Ed. </w:t>
      </w:r>
      <w:proofErr w:type="spellStart"/>
      <w:r w:rsidRPr="00D05CA9">
        <w:t>2d</w:t>
      </w:r>
      <w:proofErr w:type="spellEnd"/>
      <w:r w:rsidRPr="00D05CA9">
        <w:t xml:space="preserve"> 312 (1968) (</w:t>
      </w:r>
      <w:r w:rsidRPr="00D05CA9">
        <w:rPr>
          <w:i/>
        </w:rPr>
        <w:t>Permian Basin</w:t>
      </w:r>
      <w:r w:rsidRPr="00D05CA9">
        <w:t>)</w:t>
      </w:r>
      <w:r w:rsidRPr="00544A34">
        <w:t xml:space="preserve">. </w:t>
      </w:r>
      <w:r>
        <w:t xml:space="preserve">The Court stated: “The Commission cannot confine its inquiries either to the computation of costs of service or to conjectures about prospective responses of the capital market; it is instead obliged at each step of the regulatory process to assess the requirements of the broad public interests entrusted to its protection by Congress.  Accordingly, the ‘end result’ of the Commission’s order must be measured as much by the success with which they protect those interests as by the effectiveness with which they ‘maintain credit … and … attract capital’.” 390 U.S. at 791. </w:t>
      </w:r>
      <w:r w:rsidRPr="00544A34">
        <w:t xml:space="preserve">See also, </w:t>
      </w:r>
      <w:r w:rsidRPr="00DF45DE">
        <w:rPr>
          <w:i/>
        </w:rPr>
        <w:t xml:space="preserve">People’s Organization for Washington Energy Resources v. Washington Utilities &amp; Transportation </w:t>
      </w:r>
      <w:proofErr w:type="spellStart"/>
      <w:r w:rsidRPr="00DF45DE">
        <w:rPr>
          <w:i/>
        </w:rPr>
        <w:t>Comm’n</w:t>
      </w:r>
      <w:proofErr w:type="spellEnd"/>
      <w:r w:rsidRPr="00DF45DE">
        <w:t xml:space="preserve">, 104 </w:t>
      </w:r>
      <w:proofErr w:type="spellStart"/>
      <w:r w:rsidRPr="00DF45DE">
        <w:t>Wn.2d</w:t>
      </w:r>
      <w:proofErr w:type="spellEnd"/>
      <w:r w:rsidRPr="00DF45DE">
        <w:t xml:space="preserve"> 798, </w:t>
      </w:r>
      <w:r w:rsidRPr="00544A34">
        <w:t>811-12</w:t>
      </w:r>
      <w:r w:rsidRPr="00DF45DE">
        <w:t xml:space="preserve">, 711 </w:t>
      </w:r>
      <w:proofErr w:type="spellStart"/>
      <w:r w:rsidRPr="00DF45DE">
        <w:t>P.2d</w:t>
      </w:r>
      <w:proofErr w:type="spellEnd"/>
      <w:r w:rsidRPr="00DF45DE">
        <w:t xml:space="preserve"> 319 (1985) </w:t>
      </w:r>
      <w:r>
        <w:t>(</w:t>
      </w:r>
      <w:r w:rsidRPr="00544A34">
        <w:rPr>
          <w:i/>
        </w:rPr>
        <w:t>POWER</w:t>
      </w:r>
      <w:r>
        <w:t xml:space="preserve">) </w:t>
      </w:r>
      <w:r w:rsidRPr="00544A34">
        <w:t xml:space="preserve">(quoting </w:t>
      </w:r>
      <w:r w:rsidRPr="00544A34">
        <w:rPr>
          <w:i/>
        </w:rPr>
        <w:t>Permian Basin</w:t>
      </w:r>
      <w:r w:rsidRPr="00544A34">
        <w:t>).</w:t>
      </w:r>
    </w:p>
  </w:footnote>
  <w:footnote w:id="23">
    <w:p w:rsidR="009014D8" w:rsidRDefault="009014D8" w:rsidP="00280D0C">
      <w:pPr>
        <w:pStyle w:val="FootnoteText"/>
        <w:jc w:val="both"/>
      </w:pPr>
      <w:r>
        <w:rPr>
          <w:rStyle w:val="FootnoteReference"/>
        </w:rPr>
        <w:footnoteRef/>
      </w:r>
      <w:r>
        <w:t xml:space="preserve"> Order 05, n. 196.</w:t>
      </w:r>
    </w:p>
  </w:footnote>
  <w:footnote w:id="24">
    <w:p w:rsidR="009014D8" w:rsidRDefault="009014D8" w:rsidP="00280D0C">
      <w:pPr>
        <w:pStyle w:val="FootnoteText"/>
        <w:jc w:val="both"/>
      </w:pPr>
      <w:r>
        <w:rPr>
          <w:rStyle w:val="FootnoteReference"/>
        </w:rPr>
        <w:footnoteRef/>
      </w:r>
      <w:r>
        <w:t xml:space="preserve"> Order 05, ¶134.</w:t>
      </w:r>
    </w:p>
  </w:footnote>
  <w:footnote w:id="25">
    <w:p w:rsidR="009014D8" w:rsidRDefault="009014D8" w:rsidP="00B76890">
      <w:pPr>
        <w:pStyle w:val="FootnoteText"/>
        <w:jc w:val="both"/>
      </w:pPr>
      <w:r>
        <w:rPr>
          <w:rStyle w:val="FootnoteReference"/>
        </w:rPr>
        <w:footnoteRef/>
      </w:r>
      <w:r>
        <w:t xml:space="preserve"> Exhibit No. KON-1T, p. 31.</w:t>
      </w:r>
    </w:p>
  </w:footnote>
  <w:footnote w:id="26">
    <w:p w:rsidR="009014D8" w:rsidRDefault="009014D8" w:rsidP="00BD6002">
      <w:pPr>
        <w:pStyle w:val="FootnoteText"/>
      </w:pPr>
      <w:r>
        <w:rPr>
          <w:rStyle w:val="FootnoteReference"/>
        </w:rPr>
        <w:footnoteRef/>
      </w:r>
      <w:r>
        <w:t>Docket Nos. UE-120436 and UG-120437, Order 14, ¶70 (December 26, 2012).</w:t>
      </w:r>
    </w:p>
  </w:footnote>
  <w:footnote w:id="27">
    <w:p w:rsidR="009014D8" w:rsidRDefault="009014D8" w:rsidP="00BD6002">
      <w:pPr>
        <w:pStyle w:val="FootnoteText"/>
        <w:jc w:val="both"/>
      </w:pPr>
      <w:r>
        <w:rPr>
          <w:rStyle w:val="FootnoteReference"/>
        </w:rPr>
        <w:footnoteRef/>
      </w:r>
      <w:r>
        <w:t xml:space="preserve"> Exhibit No. KON-1T, p. 13.</w:t>
      </w:r>
    </w:p>
  </w:footnote>
  <w:footnote w:id="28">
    <w:p w:rsidR="009014D8" w:rsidRDefault="009014D8" w:rsidP="00BD6002">
      <w:pPr>
        <w:pStyle w:val="FootnoteText"/>
        <w:jc w:val="both"/>
      </w:pPr>
      <w:r>
        <w:rPr>
          <w:rStyle w:val="FootnoteReference"/>
        </w:rPr>
        <w:footnoteRef/>
      </w:r>
      <w:r>
        <w:t xml:space="preserve"> </w:t>
      </w:r>
      <w:r w:rsidRPr="00B12F23">
        <w:t xml:space="preserve">Even if one were to look solely at the Washington electric after-the-fact earnings results, the differences between the normalized earned returns for 2013 and 2014 and the authorized return were within a reasonable range.  The electric earned return in 2013 was 9.9% </w:t>
      </w:r>
      <w:proofErr w:type="spellStart"/>
      <w:r w:rsidRPr="00B12F23">
        <w:t>vs</w:t>
      </w:r>
      <w:proofErr w:type="spellEnd"/>
      <w:r w:rsidRPr="00B12F23">
        <w:t xml:space="preserve"> the authorized return of 9.8%.  For 2014, as Avista explained in this docket, the pension and post-retirement medical expense took an unexpected drop in 2014, but then went back up in 2015 to a level similar to 2013.  Cross Exhibit No. 9, Attachment A shows expense for 2013, 2014, and 2015 of $18.7 million, $14.1 million, and $18.7 million, respectively.  The decrease in 2014 was related to favorable returns on the fund balances in 2014 (</w:t>
      </w:r>
      <w:proofErr w:type="spellStart"/>
      <w:r w:rsidRPr="00B12F23">
        <w:t>TR</w:t>
      </w:r>
      <w:proofErr w:type="spellEnd"/>
      <w:r w:rsidRPr="00B12F23">
        <w:t xml:space="preserve"> 197:22 – 198:3), and changes in interest rates and discount rates (</w:t>
      </w:r>
      <w:proofErr w:type="spellStart"/>
      <w:r w:rsidRPr="00B12F23">
        <w:t>TR</w:t>
      </w:r>
      <w:proofErr w:type="spellEnd"/>
      <w:r w:rsidRPr="00B12F23">
        <w:t xml:space="preserve"> 203:25 – 204:4).  Removing this one-year aberration in expense for 2014, which was beyond the control of the Company, reduces the normalized ROE for Washington electric operations from 10.6% to 10.2%.  The $4.6 million drop from 2013 to 2014 is equal to 42 basis points on ROE</w:t>
      </w:r>
      <w:r>
        <w:t>. F</w:t>
      </w:r>
      <w:r w:rsidRPr="00B12F23">
        <w:t>or Avista’s electric operations, 10 basis points on ROE is equal to $1.1 million in revenue requirement (0.1% x $675.6 million from Table 2, line f. ÷ 0.62018 from Table 2, line d., Note 4.) $4.6 million ÷ $1.1 million = 42 basis points or 0.42% ROE.  This 10.2% ROE is reasonably close to the 9.8% authorized level.</w:t>
      </w:r>
    </w:p>
  </w:footnote>
  <w:footnote w:id="29">
    <w:p w:rsidR="009014D8" w:rsidRDefault="009014D8">
      <w:pPr>
        <w:pStyle w:val="FootnoteText"/>
      </w:pPr>
      <w:r>
        <w:rPr>
          <w:rStyle w:val="FootnoteReference"/>
        </w:rPr>
        <w:footnoteRef/>
      </w:r>
      <w:r>
        <w:t xml:space="preserve"> Staff’s Motion, p. 3.</w:t>
      </w:r>
    </w:p>
  </w:footnote>
  <w:footnote w:id="30">
    <w:p w:rsidR="009014D8" w:rsidRDefault="009014D8" w:rsidP="00B607DE">
      <w:pPr>
        <w:pStyle w:val="FootnoteText"/>
        <w:jc w:val="both"/>
      </w:pPr>
      <w:r>
        <w:rPr>
          <w:rStyle w:val="FootnoteReference"/>
        </w:rPr>
        <w:footnoteRef/>
      </w:r>
      <w:r>
        <w:t xml:space="preserve"> As explained above, there is evidence already in the record that supports the reasonableness of the end result</w:t>
      </w:r>
      <w:r w:rsidR="005811AF">
        <w:t xml:space="preserve">; </w:t>
      </w:r>
      <w:r>
        <w:t xml:space="preserve"> there is no need to reopen the record for that purpose.  During the February 3, 2016 Order Conference, Accounting Advisor Kermode systematically described, based on the evidence of record, how the Commission arrived at its revenue requirement determination.  As he further observed, if Staff or other parties believed that the record was somehow deficient with regard to the treatment of updated power supply costs or the modeling of attrition, they could have sought to introduce additional evidence into the record after the power supply update was filed by the Company on October 29, 2015.  As stated on p. 8 of the Joint Testimony in Support of the Partial Settlement Stipulation, the “Parties are free to seek discovery on, and examine the prudence of, the updated power supply items…”.  The Parties had two months to review the power supply update, and in the end, they did not make note of any alleged deficiency in the record.  </w:t>
      </w:r>
    </w:p>
  </w:footnote>
  <w:footnote w:id="31">
    <w:p w:rsidR="009014D8" w:rsidRDefault="009014D8" w:rsidP="00DE779C">
      <w:pPr>
        <w:pStyle w:val="FootnoteText"/>
        <w:jc w:val="both"/>
      </w:pPr>
      <w:r>
        <w:rPr>
          <w:rStyle w:val="FootnoteReference"/>
        </w:rPr>
        <w:footnoteRef/>
      </w:r>
      <w:r>
        <w:t xml:space="preserve"> Even if the Commission were to reopen the record to entertain additional evidence, it should nevertheless reaffirm its decision with respect to the approval of the ultimate end result revenue requirement of an $8.1 million decrease.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78B2"/>
    <w:multiLevelType w:val="hybridMultilevel"/>
    <w:tmpl w:val="24B230DC"/>
    <w:lvl w:ilvl="0" w:tplc="CFA0BFA6">
      <w:start w:val="1"/>
      <w:numFmt w:val="decimal"/>
      <w:lvlText w:val="%1"/>
      <w:lvlJc w:val="left"/>
      <w:pPr>
        <w:tabs>
          <w:tab w:val="num" w:pos="960"/>
        </w:tabs>
        <w:ind w:left="960" w:hanging="816"/>
      </w:pPr>
      <w:rPr>
        <w:rFonts w:cs="Times New Roman" w:hint="default"/>
        <w:b w:val="0"/>
        <w:bCs w:val="0"/>
        <w:i/>
        <w:iCs/>
        <w:color w:val="auto"/>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9C19A8"/>
    <w:multiLevelType w:val="hybridMultilevel"/>
    <w:tmpl w:val="609248FA"/>
    <w:lvl w:ilvl="0" w:tplc="41282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D03E0E"/>
    <w:multiLevelType w:val="hybridMultilevel"/>
    <w:tmpl w:val="D1DA1046"/>
    <w:lvl w:ilvl="0" w:tplc="665C54C8">
      <w:start w:val="16"/>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3">
    <w:nsid w:val="091E673C"/>
    <w:multiLevelType w:val="hybridMultilevel"/>
    <w:tmpl w:val="5226E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2C06BB"/>
    <w:multiLevelType w:val="hybridMultilevel"/>
    <w:tmpl w:val="B734EA80"/>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E07603"/>
    <w:multiLevelType w:val="hybridMultilevel"/>
    <w:tmpl w:val="59A0B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937A4B"/>
    <w:multiLevelType w:val="hybridMultilevel"/>
    <w:tmpl w:val="7A64C87E"/>
    <w:lvl w:ilvl="0" w:tplc="7A6AC7BE">
      <w:start w:val="26"/>
      <w:numFmt w:val="decimal"/>
      <w:lvlText w:val="%1"/>
      <w:lvlJc w:val="left"/>
      <w:pPr>
        <w:tabs>
          <w:tab w:val="num" w:pos="720"/>
        </w:tabs>
        <w:ind w:left="720" w:hanging="720"/>
      </w:pPr>
      <w:rPr>
        <w:rFonts w:cs="Times New Roman" w:hint="default"/>
        <w:i/>
        <w:iCs/>
        <w:sz w:val="18"/>
        <w:szCs w:val="18"/>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1D716AD"/>
    <w:multiLevelType w:val="hybridMultilevel"/>
    <w:tmpl w:val="23DC083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14D271E3"/>
    <w:multiLevelType w:val="hybridMultilevel"/>
    <w:tmpl w:val="E5B4ED3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F75975"/>
    <w:multiLevelType w:val="hybridMultilevel"/>
    <w:tmpl w:val="9F88C8EC"/>
    <w:lvl w:ilvl="0" w:tplc="FFFFFFFF">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1">
    <w:nsid w:val="1A851D96"/>
    <w:multiLevelType w:val="hybridMultilevel"/>
    <w:tmpl w:val="9A84233C"/>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402622"/>
    <w:multiLevelType w:val="hybridMultilevel"/>
    <w:tmpl w:val="1F1E2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127DD2"/>
    <w:multiLevelType w:val="hybridMultilevel"/>
    <w:tmpl w:val="26F26EAC"/>
    <w:lvl w:ilvl="0" w:tplc="FFFFFFFF">
      <w:start w:val="2"/>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nsid w:val="1E64204C"/>
    <w:multiLevelType w:val="hybridMultilevel"/>
    <w:tmpl w:val="DFC4F3AE"/>
    <w:lvl w:ilvl="0" w:tplc="A81CD388">
      <w:start w:val="1"/>
      <w:numFmt w:val="decimal"/>
      <w:pStyle w:val="FindingsConclusions"/>
      <w:lvlText w:val="%1"/>
      <w:lvlJc w:val="left"/>
      <w:pPr>
        <w:tabs>
          <w:tab w:val="num" w:pos="1080"/>
        </w:tabs>
        <w:ind w:left="1080" w:hanging="1080"/>
      </w:pPr>
      <w:rPr>
        <w:rFonts w:hint="default"/>
        <w:b w:val="0"/>
        <w:i/>
        <w:sz w:val="20"/>
      </w:rPr>
    </w:lvl>
    <w:lvl w:ilvl="1" w:tplc="5B08A2AA">
      <w:start w:val="1"/>
      <w:numFmt w:val="decimal"/>
      <w:lvlText w:val="%2."/>
      <w:lvlJc w:val="left"/>
      <w:pPr>
        <w:tabs>
          <w:tab w:val="num" w:pos="1800"/>
        </w:tabs>
        <w:ind w:left="1800" w:hanging="720"/>
      </w:pPr>
      <w:rPr>
        <w:rFonts w:hint="default"/>
        <w:b/>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FC0C1A50">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11B4A31"/>
    <w:multiLevelType w:val="hybridMultilevel"/>
    <w:tmpl w:val="E64A5C16"/>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250C9D"/>
    <w:multiLevelType w:val="hybridMultilevel"/>
    <w:tmpl w:val="1248AB8C"/>
    <w:lvl w:ilvl="0" w:tplc="CFA0BFA6">
      <w:start w:val="1"/>
      <w:numFmt w:val="decimal"/>
      <w:lvlText w:val="%1"/>
      <w:lvlJc w:val="left"/>
      <w:pPr>
        <w:tabs>
          <w:tab w:val="num" w:pos="960"/>
        </w:tabs>
        <w:ind w:left="960" w:hanging="816"/>
      </w:pPr>
      <w:rPr>
        <w:rFonts w:cs="Times New Roman" w:hint="default"/>
        <w:b w:val="0"/>
        <w:bCs w:val="0"/>
        <w:i/>
        <w:iCs/>
        <w:color w:val="auto"/>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48118D7"/>
    <w:multiLevelType w:val="hybridMultilevel"/>
    <w:tmpl w:val="61FA2D56"/>
    <w:lvl w:ilvl="0" w:tplc="CFA0BFA6">
      <w:start w:val="1"/>
      <w:numFmt w:val="decimal"/>
      <w:lvlText w:val="%1"/>
      <w:lvlJc w:val="left"/>
      <w:pPr>
        <w:tabs>
          <w:tab w:val="num" w:pos="960"/>
        </w:tabs>
        <w:ind w:left="960" w:hanging="816"/>
      </w:pPr>
      <w:rPr>
        <w:rFonts w:cs="Times New Roman" w:hint="default"/>
        <w:b w:val="0"/>
        <w:bCs w:val="0"/>
        <w:i/>
        <w:iCs/>
        <w:color w:val="auto"/>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507388D"/>
    <w:multiLevelType w:val="hybridMultilevel"/>
    <w:tmpl w:val="75EEB832"/>
    <w:lvl w:ilvl="0" w:tplc="CFA0BFA6">
      <w:start w:val="1"/>
      <w:numFmt w:val="decimal"/>
      <w:lvlText w:val="%1"/>
      <w:lvlJc w:val="left"/>
      <w:pPr>
        <w:tabs>
          <w:tab w:val="num" w:pos="960"/>
        </w:tabs>
        <w:ind w:left="960" w:hanging="816"/>
      </w:pPr>
      <w:rPr>
        <w:rFonts w:cs="Times New Roman" w:hint="default"/>
        <w:b w:val="0"/>
        <w:bCs w:val="0"/>
        <w:i/>
        <w:iCs/>
        <w:color w:val="auto"/>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69D7FDC"/>
    <w:multiLevelType w:val="hybridMultilevel"/>
    <w:tmpl w:val="FBB05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79D722F"/>
    <w:multiLevelType w:val="hybridMultilevel"/>
    <w:tmpl w:val="9F10971C"/>
    <w:lvl w:ilvl="0" w:tplc="CFA0BFA6">
      <w:start w:val="1"/>
      <w:numFmt w:val="decimal"/>
      <w:lvlText w:val="%1"/>
      <w:lvlJc w:val="left"/>
      <w:pPr>
        <w:tabs>
          <w:tab w:val="num" w:pos="960"/>
        </w:tabs>
        <w:ind w:left="960" w:hanging="816"/>
      </w:pPr>
      <w:rPr>
        <w:rFonts w:cs="Times New Roman" w:hint="default"/>
        <w:b w:val="0"/>
        <w:bCs w:val="0"/>
        <w:i/>
        <w:iCs/>
        <w:color w:val="auto"/>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7E819C3"/>
    <w:multiLevelType w:val="hybridMultilevel"/>
    <w:tmpl w:val="1D603D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80A4D0A"/>
    <w:multiLevelType w:val="hybridMultilevel"/>
    <w:tmpl w:val="CF962F08"/>
    <w:lvl w:ilvl="0" w:tplc="E5742222">
      <w:start w:val="2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3">
    <w:nsid w:val="2B9E0069"/>
    <w:multiLevelType w:val="hybridMultilevel"/>
    <w:tmpl w:val="1008727C"/>
    <w:lvl w:ilvl="0" w:tplc="FDECF420">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2F575074"/>
    <w:multiLevelType w:val="hybridMultilevel"/>
    <w:tmpl w:val="5E426D8A"/>
    <w:lvl w:ilvl="0" w:tplc="CFA0BFA6">
      <w:start w:val="1"/>
      <w:numFmt w:val="decimal"/>
      <w:lvlText w:val="%1"/>
      <w:lvlJc w:val="left"/>
      <w:pPr>
        <w:tabs>
          <w:tab w:val="num" w:pos="960"/>
        </w:tabs>
        <w:ind w:left="960" w:hanging="816"/>
      </w:pPr>
      <w:rPr>
        <w:rFonts w:cs="Times New Roman" w:hint="default"/>
        <w:b w:val="0"/>
        <w:bCs w:val="0"/>
        <w:i/>
        <w:iCs/>
        <w:color w:val="auto"/>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F6328BD"/>
    <w:multiLevelType w:val="hybridMultilevel"/>
    <w:tmpl w:val="39E69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0AE5319"/>
    <w:multiLevelType w:val="hybridMultilevel"/>
    <w:tmpl w:val="3C92F570"/>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5616B9"/>
    <w:multiLevelType w:val="hybridMultilevel"/>
    <w:tmpl w:val="99827E7E"/>
    <w:lvl w:ilvl="0" w:tplc="7A5CA69E">
      <w:start w:val="11"/>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28">
    <w:nsid w:val="3F166001"/>
    <w:multiLevelType w:val="hybridMultilevel"/>
    <w:tmpl w:val="FCE8DCE8"/>
    <w:lvl w:ilvl="0" w:tplc="D8C21222">
      <w:start w:val="7"/>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29">
    <w:nsid w:val="40B40D11"/>
    <w:multiLevelType w:val="hybridMultilevel"/>
    <w:tmpl w:val="03DEAA28"/>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2675B4"/>
    <w:multiLevelType w:val="hybridMultilevel"/>
    <w:tmpl w:val="A2D07946"/>
    <w:lvl w:ilvl="0" w:tplc="04090001">
      <w:start w:val="1"/>
      <w:numFmt w:val="bullet"/>
      <w:lvlText w:val=""/>
      <w:lvlJc w:val="left"/>
      <w:pPr>
        <w:tabs>
          <w:tab w:val="num" w:pos="240"/>
        </w:tabs>
        <w:ind w:left="240" w:hanging="816"/>
      </w:pPr>
      <w:rPr>
        <w:rFonts w:ascii="Symbol" w:hAnsi="Symbol"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31">
    <w:nsid w:val="4BF662C1"/>
    <w:multiLevelType w:val="hybridMultilevel"/>
    <w:tmpl w:val="85FEE5E6"/>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32">
    <w:nsid w:val="4F0D67E4"/>
    <w:multiLevelType w:val="hybridMultilevel"/>
    <w:tmpl w:val="EAAA0B4E"/>
    <w:lvl w:ilvl="0" w:tplc="CFA0BFA6">
      <w:start w:val="1"/>
      <w:numFmt w:val="decimal"/>
      <w:lvlText w:val="%1"/>
      <w:lvlJc w:val="left"/>
      <w:pPr>
        <w:tabs>
          <w:tab w:val="num" w:pos="966"/>
        </w:tabs>
        <w:ind w:left="966" w:hanging="816"/>
      </w:pPr>
      <w:rPr>
        <w:rFonts w:cs="Times New Roman" w:hint="default"/>
        <w:b w:val="0"/>
        <w:bCs w:val="0"/>
        <w:i/>
        <w:iCs/>
        <w:color w:val="auto"/>
        <w:sz w:val="18"/>
        <w:szCs w:val="18"/>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3">
    <w:nsid w:val="52DC79BD"/>
    <w:multiLevelType w:val="hybridMultilevel"/>
    <w:tmpl w:val="FDD6B3E4"/>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8F786CEE">
      <w:start w:val="1"/>
      <w:numFmt w:val="lowerLetter"/>
      <w:lvlText w:val="%2."/>
      <w:lvlJc w:val="left"/>
      <w:pPr>
        <w:tabs>
          <w:tab w:val="num" w:pos="1080"/>
        </w:tabs>
        <w:ind w:left="1080" w:hanging="360"/>
      </w:pPr>
      <w:rPr>
        <w:rFonts w:cs="Times New Roman"/>
        <w:b w:val="0"/>
        <w:sz w:val="24"/>
        <w:szCs w:val="24"/>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34">
    <w:nsid w:val="568A44DC"/>
    <w:multiLevelType w:val="singleLevel"/>
    <w:tmpl w:val="FBCA1606"/>
    <w:lvl w:ilvl="0">
      <w:start w:val="1"/>
      <w:numFmt w:val="bullet"/>
      <w:lvlText w:val="-"/>
      <w:lvlJc w:val="left"/>
      <w:pPr>
        <w:tabs>
          <w:tab w:val="num" w:pos="1080"/>
        </w:tabs>
        <w:ind w:left="1080" w:hanging="360"/>
      </w:pPr>
      <w:rPr>
        <w:rFonts w:hint="default"/>
      </w:rPr>
    </w:lvl>
  </w:abstractNum>
  <w:abstractNum w:abstractNumId="35">
    <w:nsid w:val="59C067DA"/>
    <w:multiLevelType w:val="hybridMultilevel"/>
    <w:tmpl w:val="D5406F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B867C13"/>
    <w:multiLevelType w:val="hybridMultilevel"/>
    <w:tmpl w:val="90B86B64"/>
    <w:lvl w:ilvl="0" w:tplc="CFA0BFA6">
      <w:start w:val="1"/>
      <w:numFmt w:val="decimal"/>
      <w:lvlText w:val="%1"/>
      <w:lvlJc w:val="left"/>
      <w:pPr>
        <w:tabs>
          <w:tab w:val="num" w:pos="960"/>
        </w:tabs>
        <w:ind w:left="960" w:hanging="816"/>
      </w:pPr>
      <w:rPr>
        <w:rFonts w:cs="Times New Roman" w:hint="default"/>
        <w:b w:val="0"/>
        <w:bCs w:val="0"/>
        <w:i/>
        <w:iCs/>
        <w:color w:val="auto"/>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D165FCB"/>
    <w:multiLevelType w:val="hybridMultilevel"/>
    <w:tmpl w:val="4E683C96"/>
    <w:lvl w:ilvl="0" w:tplc="CFA0BFA6">
      <w:start w:val="1"/>
      <w:numFmt w:val="decimal"/>
      <w:lvlText w:val="%1"/>
      <w:lvlJc w:val="left"/>
      <w:pPr>
        <w:tabs>
          <w:tab w:val="num" w:pos="960"/>
        </w:tabs>
        <w:ind w:left="960" w:hanging="816"/>
      </w:pPr>
      <w:rPr>
        <w:rFonts w:cs="Times New Roman" w:hint="default"/>
        <w:b w:val="0"/>
        <w:bCs w:val="0"/>
        <w:i/>
        <w:iCs/>
        <w:color w:val="auto"/>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E3F70BF"/>
    <w:multiLevelType w:val="hybridMultilevel"/>
    <w:tmpl w:val="10EA56C4"/>
    <w:lvl w:ilvl="0" w:tplc="D8D03DB6">
      <w:start w:val="16"/>
      <w:numFmt w:val="bullet"/>
      <w:lvlText w:val="•"/>
      <w:lvlJc w:val="left"/>
      <w:pPr>
        <w:ind w:left="560" w:hanging="360"/>
      </w:pPr>
      <w:rPr>
        <w:rFonts w:ascii="Times New Roman" w:eastAsiaTheme="minorHAnsi" w:hAnsi="Times New Roman" w:cs="Times New Roman" w:hint="default"/>
        <w:color w:val="000000"/>
      </w:rPr>
    </w:lvl>
    <w:lvl w:ilvl="1" w:tplc="04090003">
      <w:start w:val="1"/>
      <w:numFmt w:val="bullet"/>
      <w:lvlText w:val="o"/>
      <w:lvlJc w:val="left"/>
      <w:pPr>
        <w:ind w:left="1280" w:hanging="360"/>
      </w:pPr>
      <w:rPr>
        <w:rFonts w:ascii="Courier New" w:hAnsi="Courier New" w:cs="Courier New" w:hint="default"/>
      </w:rPr>
    </w:lvl>
    <w:lvl w:ilvl="2" w:tplc="04090005">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9">
    <w:nsid w:val="657D4861"/>
    <w:multiLevelType w:val="hybridMultilevel"/>
    <w:tmpl w:val="C62AF112"/>
    <w:lvl w:ilvl="0" w:tplc="CFA0BFA6">
      <w:start w:val="1"/>
      <w:numFmt w:val="decimal"/>
      <w:lvlText w:val="%1"/>
      <w:lvlJc w:val="left"/>
      <w:pPr>
        <w:tabs>
          <w:tab w:val="num" w:pos="960"/>
        </w:tabs>
        <w:ind w:left="960" w:hanging="816"/>
      </w:pPr>
      <w:rPr>
        <w:rFonts w:cs="Times New Roman" w:hint="default"/>
        <w:b w:val="0"/>
        <w:bCs w:val="0"/>
        <w:i/>
        <w:iCs/>
        <w:color w:val="auto"/>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1">
    <w:nsid w:val="69BE6A50"/>
    <w:multiLevelType w:val="hybridMultilevel"/>
    <w:tmpl w:val="250EEAB6"/>
    <w:lvl w:ilvl="0" w:tplc="337A60D4">
      <w:start w:val="6"/>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nsid w:val="6BD8007D"/>
    <w:multiLevelType w:val="hybridMultilevel"/>
    <w:tmpl w:val="CB46C2CA"/>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65669F"/>
    <w:multiLevelType w:val="hybridMultilevel"/>
    <w:tmpl w:val="7E90FC7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F62CEF"/>
    <w:multiLevelType w:val="hybridMultilevel"/>
    <w:tmpl w:val="F552F7F0"/>
    <w:lvl w:ilvl="0" w:tplc="1AD4C174">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5">
    <w:nsid w:val="79977075"/>
    <w:multiLevelType w:val="hybridMultilevel"/>
    <w:tmpl w:val="7D7A5402"/>
    <w:lvl w:ilvl="0" w:tplc="2BF8494C">
      <w:start w:val="24"/>
      <w:numFmt w:val="decimal"/>
      <w:lvlText w:val="%1"/>
      <w:lvlJc w:val="left"/>
      <w:pPr>
        <w:tabs>
          <w:tab w:val="num" w:pos="0"/>
        </w:tabs>
        <w:ind w:hanging="480"/>
      </w:pPr>
      <w:rPr>
        <w:rFonts w:cs="Times New Roman" w:hint="default"/>
        <w:i/>
        <w:iCs/>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46">
    <w:nsid w:val="7D0B5EE2"/>
    <w:multiLevelType w:val="hybridMultilevel"/>
    <w:tmpl w:val="BD305920"/>
    <w:lvl w:ilvl="0" w:tplc="CFA0BFA6">
      <w:start w:val="1"/>
      <w:numFmt w:val="decimal"/>
      <w:lvlText w:val="%1"/>
      <w:lvlJc w:val="left"/>
      <w:pPr>
        <w:tabs>
          <w:tab w:val="num" w:pos="960"/>
        </w:tabs>
        <w:ind w:left="960" w:hanging="816"/>
      </w:pPr>
      <w:rPr>
        <w:rFonts w:cs="Times New Roman" w:hint="default"/>
        <w:b w:val="0"/>
        <w:bCs w:val="0"/>
        <w:i/>
        <w:iCs/>
        <w:color w:val="auto"/>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FDE4ED7"/>
    <w:multiLevelType w:val="hybridMultilevel"/>
    <w:tmpl w:val="A6827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34"/>
  </w:num>
  <w:num w:numId="4">
    <w:abstractNumId w:val="44"/>
  </w:num>
  <w:num w:numId="5">
    <w:abstractNumId w:val="23"/>
  </w:num>
  <w:num w:numId="6">
    <w:abstractNumId w:val="28"/>
  </w:num>
  <w:num w:numId="7">
    <w:abstractNumId w:val="27"/>
  </w:num>
  <w:num w:numId="8">
    <w:abstractNumId w:val="6"/>
  </w:num>
  <w:num w:numId="9">
    <w:abstractNumId w:val="2"/>
  </w:num>
  <w:num w:numId="10">
    <w:abstractNumId w:val="41"/>
  </w:num>
  <w:num w:numId="11">
    <w:abstractNumId w:val="45"/>
  </w:num>
  <w:num w:numId="12">
    <w:abstractNumId w:val="22"/>
  </w:num>
  <w:num w:numId="13">
    <w:abstractNumId w:val="33"/>
  </w:num>
  <w:num w:numId="14">
    <w:abstractNumId w:val="40"/>
  </w:num>
  <w:num w:numId="15">
    <w:abstractNumId w:val="5"/>
  </w:num>
  <w:num w:numId="16">
    <w:abstractNumId w:val="8"/>
  </w:num>
  <w:num w:numId="17">
    <w:abstractNumId w:val="31"/>
  </w:num>
  <w:num w:numId="18">
    <w:abstractNumId w:val="30"/>
  </w:num>
  <w:num w:numId="19">
    <w:abstractNumId w:val="25"/>
  </w:num>
  <w:num w:numId="20">
    <w:abstractNumId w:val="1"/>
  </w:num>
  <w:num w:numId="21">
    <w:abstractNumId w:val="43"/>
  </w:num>
  <w:num w:numId="22">
    <w:abstractNumId w:val="7"/>
  </w:num>
  <w:num w:numId="23">
    <w:abstractNumId w:val="26"/>
  </w:num>
  <w:num w:numId="24">
    <w:abstractNumId w:val="11"/>
  </w:num>
  <w:num w:numId="25">
    <w:abstractNumId w:val="15"/>
  </w:num>
  <w:num w:numId="26">
    <w:abstractNumId w:val="9"/>
  </w:num>
  <w:num w:numId="27">
    <w:abstractNumId w:val="4"/>
  </w:num>
  <w:num w:numId="28">
    <w:abstractNumId w:val="35"/>
  </w:num>
  <w:num w:numId="29">
    <w:abstractNumId w:val="21"/>
  </w:num>
  <w:num w:numId="30">
    <w:abstractNumId w:val="38"/>
  </w:num>
  <w:num w:numId="31">
    <w:abstractNumId w:val="19"/>
  </w:num>
  <w:num w:numId="32">
    <w:abstractNumId w:val="47"/>
  </w:num>
  <w:num w:numId="33">
    <w:abstractNumId w:val="29"/>
  </w:num>
  <w:num w:numId="34">
    <w:abstractNumId w:val="24"/>
  </w:num>
  <w:num w:numId="35">
    <w:abstractNumId w:val="17"/>
  </w:num>
  <w:num w:numId="36">
    <w:abstractNumId w:val="16"/>
  </w:num>
  <w:num w:numId="37">
    <w:abstractNumId w:val="18"/>
  </w:num>
  <w:num w:numId="38">
    <w:abstractNumId w:val="39"/>
  </w:num>
  <w:num w:numId="39">
    <w:abstractNumId w:val="14"/>
  </w:num>
  <w:num w:numId="40">
    <w:abstractNumId w:val="46"/>
  </w:num>
  <w:num w:numId="41">
    <w:abstractNumId w:val="36"/>
  </w:num>
  <w:num w:numId="42">
    <w:abstractNumId w:val="0"/>
  </w:num>
  <w:num w:numId="43">
    <w:abstractNumId w:val="42"/>
  </w:num>
  <w:num w:numId="44">
    <w:abstractNumId w:val="37"/>
  </w:num>
  <w:num w:numId="45">
    <w:abstractNumId w:val="20"/>
  </w:num>
  <w:num w:numId="46">
    <w:abstractNumId w:val="3"/>
  </w:num>
  <w:num w:numId="47">
    <w:abstractNumId w:val="32"/>
  </w:num>
  <w:num w:numId="4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embedSystemFonts/>
  <w:proofState w:spelling="clean"/>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16385"/>
  </w:hdrShapeDefaults>
  <w:footnotePr>
    <w:footnote w:id="-1"/>
    <w:footnote w:id="0"/>
    <w:footnote w:id="1"/>
  </w:footnotePr>
  <w:endnotePr>
    <w:endnote w:id="-1"/>
    <w:endnote w:id="0"/>
    <w:endnote w:id="1"/>
  </w:endnotePr>
  <w:compat>
    <w:useFELayout/>
  </w:compat>
  <w:rsids>
    <w:rsidRoot w:val="003D453C"/>
    <w:rsid w:val="0000121D"/>
    <w:rsid w:val="00001C83"/>
    <w:rsid w:val="00004144"/>
    <w:rsid w:val="00006885"/>
    <w:rsid w:val="00006A6C"/>
    <w:rsid w:val="00010AFC"/>
    <w:rsid w:val="00011864"/>
    <w:rsid w:val="00013E10"/>
    <w:rsid w:val="000149D1"/>
    <w:rsid w:val="00014A45"/>
    <w:rsid w:val="00015699"/>
    <w:rsid w:val="00016783"/>
    <w:rsid w:val="00016F0D"/>
    <w:rsid w:val="000204B9"/>
    <w:rsid w:val="00020511"/>
    <w:rsid w:val="00023C78"/>
    <w:rsid w:val="000259FF"/>
    <w:rsid w:val="00025A1B"/>
    <w:rsid w:val="000261D1"/>
    <w:rsid w:val="000267D0"/>
    <w:rsid w:val="00032BE9"/>
    <w:rsid w:val="000348E2"/>
    <w:rsid w:val="00036440"/>
    <w:rsid w:val="00036DC6"/>
    <w:rsid w:val="000429F5"/>
    <w:rsid w:val="000451B3"/>
    <w:rsid w:val="00047CBD"/>
    <w:rsid w:val="00051163"/>
    <w:rsid w:val="0005157E"/>
    <w:rsid w:val="000521BC"/>
    <w:rsid w:val="0005685D"/>
    <w:rsid w:val="000569AB"/>
    <w:rsid w:val="00062D04"/>
    <w:rsid w:val="00062EED"/>
    <w:rsid w:val="0006676D"/>
    <w:rsid w:val="00070DDE"/>
    <w:rsid w:val="0007292C"/>
    <w:rsid w:val="000735C6"/>
    <w:rsid w:val="00076C7E"/>
    <w:rsid w:val="00077C34"/>
    <w:rsid w:val="000801EE"/>
    <w:rsid w:val="0008117A"/>
    <w:rsid w:val="0008186D"/>
    <w:rsid w:val="00082C5D"/>
    <w:rsid w:val="0008395E"/>
    <w:rsid w:val="0008544C"/>
    <w:rsid w:val="000856DB"/>
    <w:rsid w:val="00087466"/>
    <w:rsid w:val="000912E9"/>
    <w:rsid w:val="00092E15"/>
    <w:rsid w:val="00093905"/>
    <w:rsid w:val="00094C1E"/>
    <w:rsid w:val="0009542A"/>
    <w:rsid w:val="000967E5"/>
    <w:rsid w:val="000969D7"/>
    <w:rsid w:val="00097E8E"/>
    <w:rsid w:val="000A0BAA"/>
    <w:rsid w:val="000A17E4"/>
    <w:rsid w:val="000A195C"/>
    <w:rsid w:val="000B13CF"/>
    <w:rsid w:val="000B3027"/>
    <w:rsid w:val="000B40F0"/>
    <w:rsid w:val="000B51D3"/>
    <w:rsid w:val="000B53B7"/>
    <w:rsid w:val="000B599B"/>
    <w:rsid w:val="000C2103"/>
    <w:rsid w:val="000C2129"/>
    <w:rsid w:val="000C32A3"/>
    <w:rsid w:val="000C55B4"/>
    <w:rsid w:val="000C5782"/>
    <w:rsid w:val="000C5C45"/>
    <w:rsid w:val="000D044A"/>
    <w:rsid w:val="000D16EB"/>
    <w:rsid w:val="000D4E34"/>
    <w:rsid w:val="000D629E"/>
    <w:rsid w:val="000D767D"/>
    <w:rsid w:val="000D7AE6"/>
    <w:rsid w:val="000E1E3A"/>
    <w:rsid w:val="000E33A5"/>
    <w:rsid w:val="000E343C"/>
    <w:rsid w:val="000E49C9"/>
    <w:rsid w:val="000E4D17"/>
    <w:rsid w:val="000E587F"/>
    <w:rsid w:val="000F04D6"/>
    <w:rsid w:val="000F058D"/>
    <w:rsid w:val="000F3A90"/>
    <w:rsid w:val="000F3B62"/>
    <w:rsid w:val="000F41F5"/>
    <w:rsid w:val="000F4729"/>
    <w:rsid w:val="000F4CA6"/>
    <w:rsid w:val="000F54DA"/>
    <w:rsid w:val="000F7A62"/>
    <w:rsid w:val="00102BCD"/>
    <w:rsid w:val="001031C4"/>
    <w:rsid w:val="0010697C"/>
    <w:rsid w:val="001111D5"/>
    <w:rsid w:val="0011264D"/>
    <w:rsid w:val="00113D70"/>
    <w:rsid w:val="00115282"/>
    <w:rsid w:val="00116BD3"/>
    <w:rsid w:val="00120D59"/>
    <w:rsid w:val="001216F1"/>
    <w:rsid w:val="00121717"/>
    <w:rsid w:val="001224AC"/>
    <w:rsid w:val="001234F8"/>
    <w:rsid w:val="00123B79"/>
    <w:rsid w:val="00124B1D"/>
    <w:rsid w:val="00125355"/>
    <w:rsid w:val="00126FF3"/>
    <w:rsid w:val="00127032"/>
    <w:rsid w:val="00130B93"/>
    <w:rsid w:val="00130FAE"/>
    <w:rsid w:val="001330AC"/>
    <w:rsid w:val="00133140"/>
    <w:rsid w:val="00134122"/>
    <w:rsid w:val="0014599A"/>
    <w:rsid w:val="00146685"/>
    <w:rsid w:val="00146BE0"/>
    <w:rsid w:val="00151CBE"/>
    <w:rsid w:val="00153F5E"/>
    <w:rsid w:val="001543B6"/>
    <w:rsid w:val="001550DE"/>
    <w:rsid w:val="001554AC"/>
    <w:rsid w:val="00155C79"/>
    <w:rsid w:val="00156787"/>
    <w:rsid w:val="00157366"/>
    <w:rsid w:val="001610A9"/>
    <w:rsid w:val="001614DA"/>
    <w:rsid w:val="0016683F"/>
    <w:rsid w:val="00166E91"/>
    <w:rsid w:val="00172B47"/>
    <w:rsid w:val="00172EC8"/>
    <w:rsid w:val="00174E60"/>
    <w:rsid w:val="00177C05"/>
    <w:rsid w:val="00190154"/>
    <w:rsid w:val="001909C2"/>
    <w:rsid w:val="00191C9B"/>
    <w:rsid w:val="00195D6E"/>
    <w:rsid w:val="00196FB0"/>
    <w:rsid w:val="00197C74"/>
    <w:rsid w:val="001A00C2"/>
    <w:rsid w:val="001A0A82"/>
    <w:rsid w:val="001A0C96"/>
    <w:rsid w:val="001A309F"/>
    <w:rsid w:val="001A386E"/>
    <w:rsid w:val="001A3CAC"/>
    <w:rsid w:val="001A3EA4"/>
    <w:rsid w:val="001A6CC8"/>
    <w:rsid w:val="001B0AA8"/>
    <w:rsid w:val="001B1D0A"/>
    <w:rsid w:val="001B407E"/>
    <w:rsid w:val="001C071E"/>
    <w:rsid w:val="001C3B8B"/>
    <w:rsid w:val="001C5D0E"/>
    <w:rsid w:val="001C6551"/>
    <w:rsid w:val="001C7DB0"/>
    <w:rsid w:val="001C7EE0"/>
    <w:rsid w:val="001D1AF0"/>
    <w:rsid w:val="001D25B3"/>
    <w:rsid w:val="001D2866"/>
    <w:rsid w:val="001D57A8"/>
    <w:rsid w:val="001D6056"/>
    <w:rsid w:val="001D6CB2"/>
    <w:rsid w:val="001E0AE5"/>
    <w:rsid w:val="001E34C4"/>
    <w:rsid w:val="001E44A5"/>
    <w:rsid w:val="001F5646"/>
    <w:rsid w:val="001F5BE6"/>
    <w:rsid w:val="001F5D1C"/>
    <w:rsid w:val="001F6013"/>
    <w:rsid w:val="001F638D"/>
    <w:rsid w:val="00200608"/>
    <w:rsid w:val="0020310D"/>
    <w:rsid w:val="00203CE1"/>
    <w:rsid w:val="00206D1E"/>
    <w:rsid w:val="002070C6"/>
    <w:rsid w:val="002073D8"/>
    <w:rsid w:val="00211E24"/>
    <w:rsid w:val="00214167"/>
    <w:rsid w:val="0021495B"/>
    <w:rsid w:val="002158F0"/>
    <w:rsid w:val="002203FC"/>
    <w:rsid w:val="00222658"/>
    <w:rsid w:val="00224F42"/>
    <w:rsid w:val="00227511"/>
    <w:rsid w:val="002327B7"/>
    <w:rsid w:val="00232D89"/>
    <w:rsid w:val="00233AFF"/>
    <w:rsid w:val="00233BFF"/>
    <w:rsid w:val="00233C80"/>
    <w:rsid w:val="0023515D"/>
    <w:rsid w:val="00236B2C"/>
    <w:rsid w:val="00236D60"/>
    <w:rsid w:val="00237239"/>
    <w:rsid w:val="002374FC"/>
    <w:rsid w:val="00237778"/>
    <w:rsid w:val="00241748"/>
    <w:rsid w:val="002423B5"/>
    <w:rsid w:val="0024590C"/>
    <w:rsid w:val="0025032A"/>
    <w:rsid w:val="002509C7"/>
    <w:rsid w:val="00250F13"/>
    <w:rsid w:val="0025116E"/>
    <w:rsid w:val="002517C3"/>
    <w:rsid w:val="00252DF4"/>
    <w:rsid w:val="00257217"/>
    <w:rsid w:val="002576A4"/>
    <w:rsid w:val="002607F9"/>
    <w:rsid w:val="00262355"/>
    <w:rsid w:val="00264407"/>
    <w:rsid w:val="0026583A"/>
    <w:rsid w:val="00265F27"/>
    <w:rsid w:val="00280232"/>
    <w:rsid w:val="00280D0C"/>
    <w:rsid w:val="00281B3C"/>
    <w:rsid w:val="00282CF0"/>
    <w:rsid w:val="00282D24"/>
    <w:rsid w:val="00283244"/>
    <w:rsid w:val="00285221"/>
    <w:rsid w:val="00287853"/>
    <w:rsid w:val="002917A1"/>
    <w:rsid w:val="002969A4"/>
    <w:rsid w:val="00297ADC"/>
    <w:rsid w:val="002A0A07"/>
    <w:rsid w:val="002A2ECE"/>
    <w:rsid w:val="002A39F3"/>
    <w:rsid w:val="002A4599"/>
    <w:rsid w:val="002A6860"/>
    <w:rsid w:val="002B122D"/>
    <w:rsid w:val="002B1696"/>
    <w:rsid w:val="002B1B97"/>
    <w:rsid w:val="002B60BD"/>
    <w:rsid w:val="002B705C"/>
    <w:rsid w:val="002C10E4"/>
    <w:rsid w:val="002C1474"/>
    <w:rsid w:val="002C2EDA"/>
    <w:rsid w:val="002C693C"/>
    <w:rsid w:val="002D2174"/>
    <w:rsid w:val="002D326F"/>
    <w:rsid w:val="002D4EFA"/>
    <w:rsid w:val="002E2930"/>
    <w:rsid w:val="002E3393"/>
    <w:rsid w:val="002E564D"/>
    <w:rsid w:val="002E57DE"/>
    <w:rsid w:val="002E6800"/>
    <w:rsid w:val="002E772C"/>
    <w:rsid w:val="002F0031"/>
    <w:rsid w:val="002F0DE7"/>
    <w:rsid w:val="002F3AC6"/>
    <w:rsid w:val="002F3B14"/>
    <w:rsid w:val="002F4DF6"/>
    <w:rsid w:val="002F7805"/>
    <w:rsid w:val="003008D3"/>
    <w:rsid w:val="003013A2"/>
    <w:rsid w:val="003016BB"/>
    <w:rsid w:val="00302331"/>
    <w:rsid w:val="0031454E"/>
    <w:rsid w:val="0032202E"/>
    <w:rsid w:val="003231FA"/>
    <w:rsid w:val="0032335A"/>
    <w:rsid w:val="00324C18"/>
    <w:rsid w:val="00341B33"/>
    <w:rsid w:val="0034483A"/>
    <w:rsid w:val="00344DF2"/>
    <w:rsid w:val="003453C3"/>
    <w:rsid w:val="00347FF1"/>
    <w:rsid w:val="00350684"/>
    <w:rsid w:val="00350A40"/>
    <w:rsid w:val="00352033"/>
    <w:rsid w:val="00352830"/>
    <w:rsid w:val="00353986"/>
    <w:rsid w:val="00354915"/>
    <w:rsid w:val="00355281"/>
    <w:rsid w:val="003554A9"/>
    <w:rsid w:val="00355B46"/>
    <w:rsid w:val="00355C39"/>
    <w:rsid w:val="003566E8"/>
    <w:rsid w:val="00360698"/>
    <w:rsid w:val="003628D3"/>
    <w:rsid w:val="00363784"/>
    <w:rsid w:val="00365063"/>
    <w:rsid w:val="00366A71"/>
    <w:rsid w:val="00366ECD"/>
    <w:rsid w:val="003672F4"/>
    <w:rsid w:val="00370326"/>
    <w:rsid w:val="00370F0B"/>
    <w:rsid w:val="00371B3D"/>
    <w:rsid w:val="00374836"/>
    <w:rsid w:val="00375FCB"/>
    <w:rsid w:val="00376454"/>
    <w:rsid w:val="003823C2"/>
    <w:rsid w:val="00382488"/>
    <w:rsid w:val="00385C54"/>
    <w:rsid w:val="0038636C"/>
    <w:rsid w:val="00387B6D"/>
    <w:rsid w:val="003902E6"/>
    <w:rsid w:val="003913C4"/>
    <w:rsid w:val="003922C3"/>
    <w:rsid w:val="00392781"/>
    <w:rsid w:val="00393728"/>
    <w:rsid w:val="00394794"/>
    <w:rsid w:val="003A014E"/>
    <w:rsid w:val="003A2A0F"/>
    <w:rsid w:val="003A2BE1"/>
    <w:rsid w:val="003A7081"/>
    <w:rsid w:val="003A71F9"/>
    <w:rsid w:val="003A74FB"/>
    <w:rsid w:val="003A797F"/>
    <w:rsid w:val="003B09A0"/>
    <w:rsid w:val="003B33B3"/>
    <w:rsid w:val="003B38BD"/>
    <w:rsid w:val="003B3EF9"/>
    <w:rsid w:val="003B62AB"/>
    <w:rsid w:val="003C17C1"/>
    <w:rsid w:val="003C367B"/>
    <w:rsid w:val="003C77C5"/>
    <w:rsid w:val="003D003E"/>
    <w:rsid w:val="003D1F52"/>
    <w:rsid w:val="003D2170"/>
    <w:rsid w:val="003D26E8"/>
    <w:rsid w:val="003D33D3"/>
    <w:rsid w:val="003D3A71"/>
    <w:rsid w:val="003D453C"/>
    <w:rsid w:val="003D4BD1"/>
    <w:rsid w:val="003D4D4A"/>
    <w:rsid w:val="003D622B"/>
    <w:rsid w:val="003D632B"/>
    <w:rsid w:val="003D7CD4"/>
    <w:rsid w:val="003E00D7"/>
    <w:rsid w:val="003E09B6"/>
    <w:rsid w:val="003E09D6"/>
    <w:rsid w:val="003E0A8C"/>
    <w:rsid w:val="003E0C2C"/>
    <w:rsid w:val="003E1E74"/>
    <w:rsid w:val="003E1FBA"/>
    <w:rsid w:val="003E4715"/>
    <w:rsid w:val="003E4CF1"/>
    <w:rsid w:val="003E7A8A"/>
    <w:rsid w:val="003F0AEA"/>
    <w:rsid w:val="003F0E35"/>
    <w:rsid w:val="003F50AC"/>
    <w:rsid w:val="003F579E"/>
    <w:rsid w:val="003F5F30"/>
    <w:rsid w:val="003F6800"/>
    <w:rsid w:val="003F79B6"/>
    <w:rsid w:val="00407049"/>
    <w:rsid w:val="00407EBA"/>
    <w:rsid w:val="0041023B"/>
    <w:rsid w:val="00412F8B"/>
    <w:rsid w:val="0041462B"/>
    <w:rsid w:val="0041476F"/>
    <w:rsid w:val="00414AE7"/>
    <w:rsid w:val="004225E1"/>
    <w:rsid w:val="0042479C"/>
    <w:rsid w:val="004248EE"/>
    <w:rsid w:val="00427DDF"/>
    <w:rsid w:val="0043001A"/>
    <w:rsid w:val="004300B2"/>
    <w:rsid w:val="004304B6"/>
    <w:rsid w:val="00430754"/>
    <w:rsid w:val="004317A3"/>
    <w:rsid w:val="00431A26"/>
    <w:rsid w:val="00432116"/>
    <w:rsid w:val="00432585"/>
    <w:rsid w:val="00432D53"/>
    <w:rsid w:val="00434F2E"/>
    <w:rsid w:val="0043505B"/>
    <w:rsid w:val="00436664"/>
    <w:rsid w:val="004373EF"/>
    <w:rsid w:val="0044103D"/>
    <w:rsid w:val="00446859"/>
    <w:rsid w:val="00447F76"/>
    <w:rsid w:val="00450E9D"/>
    <w:rsid w:val="004511D2"/>
    <w:rsid w:val="00453C50"/>
    <w:rsid w:val="0045447F"/>
    <w:rsid w:val="00455552"/>
    <w:rsid w:val="004558AA"/>
    <w:rsid w:val="004563CF"/>
    <w:rsid w:val="00456484"/>
    <w:rsid w:val="00460858"/>
    <w:rsid w:val="00467192"/>
    <w:rsid w:val="00467215"/>
    <w:rsid w:val="00467CC5"/>
    <w:rsid w:val="0047000B"/>
    <w:rsid w:val="00472002"/>
    <w:rsid w:val="0047360F"/>
    <w:rsid w:val="00477307"/>
    <w:rsid w:val="00480006"/>
    <w:rsid w:val="00481F84"/>
    <w:rsid w:val="004837FC"/>
    <w:rsid w:val="004850A5"/>
    <w:rsid w:val="00492331"/>
    <w:rsid w:val="00492B86"/>
    <w:rsid w:val="00492C35"/>
    <w:rsid w:val="004961D8"/>
    <w:rsid w:val="0049735F"/>
    <w:rsid w:val="004A00C8"/>
    <w:rsid w:val="004A1C3A"/>
    <w:rsid w:val="004A35C0"/>
    <w:rsid w:val="004A405F"/>
    <w:rsid w:val="004A4C6B"/>
    <w:rsid w:val="004B0596"/>
    <w:rsid w:val="004B14A8"/>
    <w:rsid w:val="004B14D3"/>
    <w:rsid w:val="004B5975"/>
    <w:rsid w:val="004C0E70"/>
    <w:rsid w:val="004C4BFC"/>
    <w:rsid w:val="004C70F3"/>
    <w:rsid w:val="004D1F58"/>
    <w:rsid w:val="004D2228"/>
    <w:rsid w:val="004D2A83"/>
    <w:rsid w:val="004D47A6"/>
    <w:rsid w:val="004D5CF5"/>
    <w:rsid w:val="004D6B97"/>
    <w:rsid w:val="004D773D"/>
    <w:rsid w:val="004D7F09"/>
    <w:rsid w:val="004E27FC"/>
    <w:rsid w:val="004E2C7E"/>
    <w:rsid w:val="004E514E"/>
    <w:rsid w:val="004E58CF"/>
    <w:rsid w:val="004F005B"/>
    <w:rsid w:val="004F0587"/>
    <w:rsid w:val="004F3D48"/>
    <w:rsid w:val="004F6400"/>
    <w:rsid w:val="004F6FCB"/>
    <w:rsid w:val="0050193C"/>
    <w:rsid w:val="005023F6"/>
    <w:rsid w:val="00502753"/>
    <w:rsid w:val="005057FB"/>
    <w:rsid w:val="00505BF1"/>
    <w:rsid w:val="00511622"/>
    <w:rsid w:val="00511B6A"/>
    <w:rsid w:val="00512739"/>
    <w:rsid w:val="0051416B"/>
    <w:rsid w:val="00516326"/>
    <w:rsid w:val="0052097B"/>
    <w:rsid w:val="0052118D"/>
    <w:rsid w:val="00522D49"/>
    <w:rsid w:val="00525A73"/>
    <w:rsid w:val="00525B11"/>
    <w:rsid w:val="00525D0D"/>
    <w:rsid w:val="0052684A"/>
    <w:rsid w:val="005327B2"/>
    <w:rsid w:val="005367AA"/>
    <w:rsid w:val="005370D3"/>
    <w:rsid w:val="00540362"/>
    <w:rsid w:val="00545CB0"/>
    <w:rsid w:val="00545D79"/>
    <w:rsid w:val="00546506"/>
    <w:rsid w:val="00546DC5"/>
    <w:rsid w:val="00553EDB"/>
    <w:rsid w:val="0055565B"/>
    <w:rsid w:val="0055717E"/>
    <w:rsid w:val="00557AED"/>
    <w:rsid w:val="005608DD"/>
    <w:rsid w:val="005615C2"/>
    <w:rsid w:val="00566937"/>
    <w:rsid w:val="005713DD"/>
    <w:rsid w:val="00571991"/>
    <w:rsid w:val="0057264C"/>
    <w:rsid w:val="005727A1"/>
    <w:rsid w:val="00572CCF"/>
    <w:rsid w:val="00572D84"/>
    <w:rsid w:val="005739ED"/>
    <w:rsid w:val="00574569"/>
    <w:rsid w:val="00574CBC"/>
    <w:rsid w:val="00575257"/>
    <w:rsid w:val="00575DAD"/>
    <w:rsid w:val="00576C07"/>
    <w:rsid w:val="00580D82"/>
    <w:rsid w:val="005811AF"/>
    <w:rsid w:val="005814C5"/>
    <w:rsid w:val="005837CF"/>
    <w:rsid w:val="00584BEB"/>
    <w:rsid w:val="00587AF3"/>
    <w:rsid w:val="005941F8"/>
    <w:rsid w:val="005A01F8"/>
    <w:rsid w:val="005A08E9"/>
    <w:rsid w:val="005A0AE0"/>
    <w:rsid w:val="005A0F85"/>
    <w:rsid w:val="005A1D95"/>
    <w:rsid w:val="005A1E2E"/>
    <w:rsid w:val="005A3125"/>
    <w:rsid w:val="005A3CE6"/>
    <w:rsid w:val="005A63BE"/>
    <w:rsid w:val="005A642A"/>
    <w:rsid w:val="005A6A70"/>
    <w:rsid w:val="005B0926"/>
    <w:rsid w:val="005B51D4"/>
    <w:rsid w:val="005B58EE"/>
    <w:rsid w:val="005B59D7"/>
    <w:rsid w:val="005B730A"/>
    <w:rsid w:val="005C00DA"/>
    <w:rsid w:val="005C26CE"/>
    <w:rsid w:val="005C2D27"/>
    <w:rsid w:val="005C3D15"/>
    <w:rsid w:val="005C5A65"/>
    <w:rsid w:val="005C7F1A"/>
    <w:rsid w:val="005D57F7"/>
    <w:rsid w:val="005D5DCE"/>
    <w:rsid w:val="005D62F0"/>
    <w:rsid w:val="005D7888"/>
    <w:rsid w:val="005D7A4C"/>
    <w:rsid w:val="005D7EE3"/>
    <w:rsid w:val="005E149A"/>
    <w:rsid w:val="005E2002"/>
    <w:rsid w:val="005E2833"/>
    <w:rsid w:val="005E436A"/>
    <w:rsid w:val="005E4F5C"/>
    <w:rsid w:val="005E5E10"/>
    <w:rsid w:val="005E7BA8"/>
    <w:rsid w:val="005F625E"/>
    <w:rsid w:val="00600F54"/>
    <w:rsid w:val="006011CB"/>
    <w:rsid w:val="00601670"/>
    <w:rsid w:val="006032B2"/>
    <w:rsid w:val="006057E8"/>
    <w:rsid w:val="006062B5"/>
    <w:rsid w:val="006072AD"/>
    <w:rsid w:val="006102E2"/>
    <w:rsid w:val="00611060"/>
    <w:rsid w:val="00612264"/>
    <w:rsid w:val="00612BED"/>
    <w:rsid w:val="00614315"/>
    <w:rsid w:val="00615F49"/>
    <w:rsid w:val="006204F2"/>
    <w:rsid w:val="00625E9C"/>
    <w:rsid w:val="00626E62"/>
    <w:rsid w:val="006315E6"/>
    <w:rsid w:val="0063208B"/>
    <w:rsid w:val="00634375"/>
    <w:rsid w:val="0063561C"/>
    <w:rsid w:val="00636395"/>
    <w:rsid w:val="00637774"/>
    <w:rsid w:val="006407FA"/>
    <w:rsid w:val="006441AA"/>
    <w:rsid w:val="0064433F"/>
    <w:rsid w:val="00645257"/>
    <w:rsid w:val="00645D53"/>
    <w:rsid w:val="00646B0C"/>
    <w:rsid w:val="00650494"/>
    <w:rsid w:val="006521EC"/>
    <w:rsid w:val="00655BDC"/>
    <w:rsid w:val="0065652B"/>
    <w:rsid w:val="006647AC"/>
    <w:rsid w:val="006658C8"/>
    <w:rsid w:val="006675C0"/>
    <w:rsid w:val="0067022C"/>
    <w:rsid w:val="00675D43"/>
    <w:rsid w:val="006804B5"/>
    <w:rsid w:val="00681662"/>
    <w:rsid w:val="00682E30"/>
    <w:rsid w:val="00683825"/>
    <w:rsid w:val="006870D1"/>
    <w:rsid w:val="00687B02"/>
    <w:rsid w:val="00696A78"/>
    <w:rsid w:val="00696C06"/>
    <w:rsid w:val="006A145A"/>
    <w:rsid w:val="006A3349"/>
    <w:rsid w:val="006A337C"/>
    <w:rsid w:val="006A3C70"/>
    <w:rsid w:val="006B0AA6"/>
    <w:rsid w:val="006B5D30"/>
    <w:rsid w:val="006B69F1"/>
    <w:rsid w:val="006C0103"/>
    <w:rsid w:val="006C01B6"/>
    <w:rsid w:val="006C0688"/>
    <w:rsid w:val="006C08D5"/>
    <w:rsid w:val="006C278C"/>
    <w:rsid w:val="006D25E5"/>
    <w:rsid w:val="006D67AF"/>
    <w:rsid w:val="006D7B63"/>
    <w:rsid w:val="006E48A3"/>
    <w:rsid w:val="006E4F67"/>
    <w:rsid w:val="006E60CB"/>
    <w:rsid w:val="006E626A"/>
    <w:rsid w:val="006E776B"/>
    <w:rsid w:val="006F2CF9"/>
    <w:rsid w:val="006F2F10"/>
    <w:rsid w:val="006F31DD"/>
    <w:rsid w:val="006F3DC7"/>
    <w:rsid w:val="006F4D26"/>
    <w:rsid w:val="006F5B49"/>
    <w:rsid w:val="007000DA"/>
    <w:rsid w:val="00702EA4"/>
    <w:rsid w:val="00703C4E"/>
    <w:rsid w:val="0070641D"/>
    <w:rsid w:val="0070712A"/>
    <w:rsid w:val="0071071B"/>
    <w:rsid w:val="0071257D"/>
    <w:rsid w:val="00712CBC"/>
    <w:rsid w:val="0071482E"/>
    <w:rsid w:val="0072050D"/>
    <w:rsid w:val="00721984"/>
    <w:rsid w:val="0072632C"/>
    <w:rsid w:val="00726E4A"/>
    <w:rsid w:val="00726F4F"/>
    <w:rsid w:val="00727895"/>
    <w:rsid w:val="007317EA"/>
    <w:rsid w:val="00733B9C"/>
    <w:rsid w:val="00734E06"/>
    <w:rsid w:val="0074023E"/>
    <w:rsid w:val="00740588"/>
    <w:rsid w:val="00741F6C"/>
    <w:rsid w:val="00742523"/>
    <w:rsid w:val="00742D31"/>
    <w:rsid w:val="00742E1C"/>
    <w:rsid w:val="00744154"/>
    <w:rsid w:val="00744694"/>
    <w:rsid w:val="00744740"/>
    <w:rsid w:val="007467FB"/>
    <w:rsid w:val="00746E2A"/>
    <w:rsid w:val="00750DE8"/>
    <w:rsid w:val="00752FC8"/>
    <w:rsid w:val="007541A7"/>
    <w:rsid w:val="007546BC"/>
    <w:rsid w:val="00754A5B"/>
    <w:rsid w:val="00754EEF"/>
    <w:rsid w:val="0075772E"/>
    <w:rsid w:val="007626C8"/>
    <w:rsid w:val="00765EA1"/>
    <w:rsid w:val="00770604"/>
    <w:rsid w:val="00771DFD"/>
    <w:rsid w:val="00773A98"/>
    <w:rsid w:val="00774A21"/>
    <w:rsid w:val="007755CA"/>
    <w:rsid w:val="007770F6"/>
    <w:rsid w:val="00783AC0"/>
    <w:rsid w:val="00784219"/>
    <w:rsid w:val="00786DAC"/>
    <w:rsid w:val="007878ED"/>
    <w:rsid w:val="00790C75"/>
    <w:rsid w:val="0079196D"/>
    <w:rsid w:val="00794CE1"/>
    <w:rsid w:val="00795486"/>
    <w:rsid w:val="00796721"/>
    <w:rsid w:val="007A2EB6"/>
    <w:rsid w:val="007A5001"/>
    <w:rsid w:val="007A71AE"/>
    <w:rsid w:val="007B36CA"/>
    <w:rsid w:val="007B4C61"/>
    <w:rsid w:val="007B4CE2"/>
    <w:rsid w:val="007B7DBB"/>
    <w:rsid w:val="007C39EF"/>
    <w:rsid w:val="007C614D"/>
    <w:rsid w:val="007C7DA8"/>
    <w:rsid w:val="007D113D"/>
    <w:rsid w:val="007D1469"/>
    <w:rsid w:val="007D2C3C"/>
    <w:rsid w:val="007D603A"/>
    <w:rsid w:val="007D6228"/>
    <w:rsid w:val="007D710B"/>
    <w:rsid w:val="007D74FC"/>
    <w:rsid w:val="007E4CCA"/>
    <w:rsid w:val="007E4D17"/>
    <w:rsid w:val="007E574A"/>
    <w:rsid w:val="007E6DE4"/>
    <w:rsid w:val="007E7B13"/>
    <w:rsid w:val="007E7CA1"/>
    <w:rsid w:val="007E7FA9"/>
    <w:rsid w:val="007F0605"/>
    <w:rsid w:val="007F3ADC"/>
    <w:rsid w:val="007F4488"/>
    <w:rsid w:val="007F5BDA"/>
    <w:rsid w:val="007F70C5"/>
    <w:rsid w:val="00800131"/>
    <w:rsid w:val="0080045C"/>
    <w:rsid w:val="00803300"/>
    <w:rsid w:val="008033A2"/>
    <w:rsid w:val="00804292"/>
    <w:rsid w:val="00804BA3"/>
    <w:rsid w:val="008052A5"/>
    <w:rsid w:val="00805FFD"/>
    <w:rsid w:val="0080666D"/>
    <w:rsid w:val="00807217"/>
    <w:rsid w:val="0080794F"/>
    <w:rsid w:val="00811271"/>
    <w:rsid w:val="00812E1E"/>
    <w:rsid w:val="00813A67"/>
    <w:rsid w:val="008140E4"/>
    <w:rsid w:val="00816090"/>
    <w:rsid w:val="00816E9D"/>
    <w:rsid w:val="00817E30"/>
    <w:rsid w:val="00821551"/>
    <w:rsid w:val="00822502"/>
    <w:rsid w:val="00825932"/>
    <w:rsid w:val="00826D3E"/>
    <w:rsid w:val="00832E0D"/>
    <w:rsid w:val="00836F0F"/>
    <w:rsid w:val="00837986"/>
    <w:rsid w:val="00841A57"/>
    <w:rsid w:val="00841F89"/>
    <w:rsid w:val="008441EB"/>
    <w:rsid w:val="0084758C"/>
    <w:rsid w:val="00850841"/>
    <w:rsid w:val="00855238"/>
    <w:rsid w:val="00855F54"/>
    <w:rsid w:val="008561B8"/>
    <w:rsid w:val="00856AD8"/>
    <w:rsid w:val="0086300D"/>
    <w:rsid w:val="00863AF0"/>
    <w:rsid w:val="0086479D"/>
    <w:rsid w:val="00865BB1"/>
    <w:rsid w:val="0087046F"/>
    <w:rsid w:val="008706EA"/>
    <w:rsid w:val="008723C9"/>
    <w:rsid w:val="00874563"/>
    <w:rsid w:val="00877072"/>
    <w:rsid w:val="008805F3"/>
    <w:rsid w:val="008807C3"/>
    <w:rsid w:val="00881AC1"/>
    <w:rsid w:val="00882500"/>
    <w:rsid w:val="008827FD"/>
    <w:rsid w:val="00882DC6"/>
    <w:rsid w:val="008842BC"/>
    <w:rsid w:val="00886330"/>
    <w:rsid w:val="0088713F"/>
    <w:rsid w:val="00890F05"/>
    <w:rsid w:val="00890F10"/>
    <w:rsid w:val="008928E2"/>
    <w:rsid w:val="008959D2"/>
    <w:rsid w:val="008A03B3"/>
    <w:rsid w:val="008A0967"/>
    <w:rsid w:val="008A3680"/>
    <w:rsid w:val="008A4C7B"/>
    <w:rsid w:val="008B3895"/>
    <w:rsid w:val="008B39FA"/>
    <w:rsid w:val="008B422A"/>
    <w:rsid w:val="008B5562"/>
    <w:rsid w:val="008B5C86"/>
    <w:rsid w:val="008B667D"/>
    <w:rsid w:val="008B6EC7"/>
    <w:rsid w:val="008C31A2"/>
    <w:rsid w:val="008C4D3B"/>
    <w:rsid w:val="008D1305"/>
    <w:rsid w:val="008D1C0B"/>
    <w:rsid w:val="008D4E21"/>
    <w:rsid w:val="008D56BE"/>
    <w:rsid w:val="008D696D"/>
    <w:rsid w:val="008E3FA1"/>
    <w:rsid w:val="008E788F"/>
    <w:rsid w:val="008E7DBE"/>
    <w:rsid w:val="008F4A8B"/>
    <w:rsid w:val="008F5021"/>
    <w:rsid w:val="008F5287"/>
    <w:rsid w:val="008F5B00"/>
    <w:rsid w:val="008F7D3F"/>
    <w:rsid w:val="008F7DBE"/>
    <w:rsid w:val="009014D8"/>
    <w:rsid w:val="009041CC"/>
    <w:rsid w:val="00905B74"/>
    <w:rsid w:val="009066D7"/>
    <w:rsid w:val="00907F99"/>
    <w:rsid w:val="009118E4"/>
    <w:rsid w:val="00912B53"/>
    <w:rsid w:val="00913D38"/>
    <w:rsid w:val="00914189"/>
    <w:rsid w:val="00914290"/>
    <w:rsid w:val="00914335"/>
    <w:rsid w:val="00914F13"/>
    <w:rsid w:val="00917558"/>
    <w:rsid w:val="009177D6"/>
    <w:rsid w:val="00921223"/>
    <w:rsid w:val="00921762"/>
    <w:rsid w:val="009233BC"/>
    <w:rsid w:val="00923F82"/>
    <w:rsid w:val="009244B4"/>
    <w:rsid w:val="0092467B"/>
    <w:rsid w:val="00925B2F"/>
    <w:rsid w:val="009308B7"/>
    <w:rsid w:val="009324A6"/>
    <w:rsid w:val="00933776"/>
    <w:rsid w:val="00933864"/>
    <w:rsid w:val="009373AE"/>
    <w:rsid w:val="00940A43"/>
    <w:rsid w:val="00940FF8"/>
    <w:rsid w:val="009432E1"/>
    <w:rsid w:val="00943F15"/>
    <w:rsid w:val="0094644B"/>
    <w:rsid w:val="00946514"/>
    <w:rsid w:val="00947128"/>
    <w:rsid w:val="0095039E"/>
    <w:rsid w:val="00952A18"/>
    <w:rsid w:val="00952B79"/>
    <w:rsid w:val="00953A07"/>
    <w:rsid w:val="00960DE3"/>
    <w:rsid w:val="00966ABC"/>
    <w:rsid w:val="009676E2"/>
    <w:rsid w:val="009723FE"/>
    <w:rsid w:val="0097320D"/>
    <w:rsid w:val="009747BD"/>
    <w:rsid w:val="00976E8F"/>
    <w:rsid w:val="00977684"/>
    <w:rsid w:val="009811EB"/>
    <w:rsid w:val="00981388"/>
    <w:rsid w:val="0098152B"/>
    <w:rsid w:val="009820D5"/>
    <w:rsid w:val="009839AD"/>
    <w:rsid w:val="0098478C"/>
    <w:rsid w:val="00984C21"/>
    <w:rsid w:val="0098630A"/>
    <w:rsid w:val="00994B45"/>
    <w:rsid w:val="009950B0"/>
    <w:rsid w:val="00997DF8"/>
    <w:rsid w:val="009A2717"/>
    <w:rsid w:val="009A3495"/>
    <w:rsid w:val="009A515C"/>
    <w:rsid w:val="009A6A34"/>
    <w:rsid w:val="009B0EE6"/>
    <w:rsid w:val="009B75CD"/>
    <w:rsid w:val="009C1B5C"/>
    <w:rsid w:val="009C23AF"/>
    <w:rsid w:val="009C6017"/>
    <w:rsid w:val="009C6BE0"/>
    <w:rsid w:val="009D1690"/>
    <w:rsid w:val="009D2CBD"/>
    <w:rsid w:val="009D2E6B"/>
    <w:rsid w:val="009D3224"/>
    <w:rsid w:val="009D33EA"/>
    <w:rsid w:val="009D359B"/>
    <w:rsid w:val="009D4E33"/>
    <w:rsid w:val="009E10D3"/>
    <w:rsid w:val="009E1C05"/>
    <w:rsid w:val="009E21B4"/>
    <w:rsid w:val="009E3A6F"/>
    <w:rsid w:val="009E5E61"/>
    <w:rsid w:val="009E615B"/>
    <w:rsid w:val="009E7FF4"/>
    <w:rsid w:val="009F2DF8"/>
    <w:rsid w:val="009F2E9C"/>
    <w:rsid w:val="009F3E76"/>
    <w:rsid w:val="009F7689"/>
    <w:rsid w:val="009F7FD7"/>
    <w:rsid w:val="00A00C6D"/>
    <w:rsid w:val="00A02A76"/>
    <w:rsid w:val="00A07FCB"/>
    <w:rsid w:val="00A108D9"/>
    <w:rsid w:val="00A10E5A"/>
    <w:rsid w:val="00A12385"/>
    <w:rsid w:val="00A123C4"/>
    <w:rsid w:val="00A215ED"/>
    <w:rsid w:val="00A21ADA"/>
    <w:rsid w:val="00A21C17"/>
    <w:rsid w:val="00A24F6C"/>
    <w:rsid w:val="00A25EE5"/>
    <w:rsid w:val="00A26CD4"/>
    <w:rsid w:val="00A26D49"/>
    <w:rsid w:val="00A304C6"/>
    <w:rsid w:val="00A3323D"/>
    <w:rsid w:val="00A33721"/>
    <w:rsid w:val="00A343B6"/>
    <w:rsid w:val="00A34C91"/>
    <w:rsid w:val="00A356E9"/>
    <w:rsid w:val="00A3607E"/>
    <w:rsid w:val="00A41A50"/>
    <w:rsid w:val="00A440EA"/>
    <w:rsid w:val="00A4511A"/>
    <w:rsid w:val="00A4563B"/>
    <w:rsid w:val="00A46F07"/>
    <w:rsid w:val="00A50FE7"/>
    <w:rsid w:val="00A51EDD"/>
    <w:rsid w:val="00A537A7"/>
    <w:rsid w:val="00A53AF6"/>
    <w:rsid w:val="00A609DB"/>
    <w:rsid w:val="00A61B12"/>
    <w:rsid w:val="00A621F1"/>
    <w:rsid w:val="00A64731"/>
    <w:rsid w:val="00A6537D"/>
    <w:rsid w:val="00A669CC"/>
    <w:rsid w:val="00A72120"/>
    <w:rsid w:val="00A81DD0"/>
    <w:rsid w:val="00A83E30"/>
    <w:rsid w:val="00A86614"/>
    <w:rsid w:val="00A86F4B"/>
    <w:rsid w:val="00A87961"/>
    <w:rsid w:val="00A90F81"/>
    <w:rsid w:val="00A9115F"/>
    <w:rsid w:val="00A914F5"/>
    <w:rsid w:val="00A91BDD"/>
    <w:rsid w:val="00A9303D"/>
    <w:rsid w:val="00A949F8"/>
    <w:rsid w:val="00A94AD3"/>
    <w:rsid w:val="00A97739"/>
    <w:rsid w:val="00AA1222"/>
    <w:rsid w:val="00AA12F2"/>
    <w:rsid w:val="00AA16C7"/>
    <w:rsid w:val="00AA3641"/>
    <w:rsid w:val="00AA732F"/>
    <w:rsid w:val="00AB0554"/>
    <w:rsid w:val="00AB0DBC"/>
    <w:rsid w:val="00AB2C86"/>
    <w:rsid w:val="00AB2FAD"/>
    <w:rsid w:val="00AB5B11"/>
    <w:rsid w:val="00AB5FB8"/>
    <w:rsid w:val="00AB7748"/>
    <w:rsid w:val="00AB776E"/>
    <w:rsid w:val="00AC09FC"/>
    <w:rsid w:val="00AC18DD"/>
    <w:rsid w:val="00AC31BD"/>
    <w:rsid w:val="00AC3239"/>
    <w:rsid w:val="00AC37D0"/>
    <w:rsid w:val="00AC38D8"/>
    <w:rsid w:val="00AC4978"/>
    <w:rsid w:val="00AC6595"/>
    <w:rsid w:val="00AC66DD"/>
    <w:rsid w:val="00AC6977"/>
    <w:rsid w:val="00AD20A7"/>
    <w:rsid w:val="00AD351E"/>
    <w:rsid w:val="00AD4491"/>
    <w:rsid w:val="00AD6B0D"/>
    <w:rsid w:val="00AD7B29"/>
    <w:rsid w:val="00AE3BD7"/>
    <w:rsid w:val="00AE6D92"/>
    <w:rsid w:val="00AF15C7"/>
    <w:rsid w:val="00AF63BD"/>
    <w:rsid w:val="00AF64F2"/>
    <w:rsid w:val="00AF65B9"/>
    <w:rsid w:val="00AF75D6"/>
    <w:rsid w:val="00B02C11"/>
    <w:rsid w:val="00B05147"/>
    <w:rsid w:val="00B05E43"/>
    <w:rsid w:val="00B076BB"/>
    <w:rsid w:val="00B12F23"/>
    <w:rsid w:val="00B15870"/>
    <w:rsid w:val="00B17752"/>
    <w:rsid w:val="00B209F5"/>
    <w:rsid w:val="00B221EF"/>
    <w:rsid w:val="00B24258"/>
    <w:rsid w:val="00B26698"/>
    <w:rsid w:val="00B27911"/>
    <w:rsid w:val="00B32142"/>
    <w:rsid w:val="00B3730C"/>
    <w:rsid w:val="00B424AF"/>
    <w:rsid w:val="00B42CD3"/>
    <w:rsid w:val="00B44087"/>
    <w:rsid w:val="00B45681"/>
    <w:rsid w:val="00B475EA"/>
    <w:rsid w:val="00B4798B"/>
    <w:rsid w:val="00B47ABF"/>
    <w:rsid w:val="00B51F8A"/>
    <w:rsid w:val="00B53DC7"/>
    <w:rsid w:val="00B54043"/>
    <w:rsid w:val="00B5753F"/>
    <w:rsid w:val="00B607DE"/>
    <w:rsid w:val="00B63548"/>
    <w:rsid w:val="00B63695"/>
    <w:rsid w:val="00B64591"/>
    <w:rsid w:val="00B6776D"/>
    <w:rsid w:val="00B67BD7"/>
    <w:rsid w:val="00B70F7A"/>
    <w:rsid w:val="00B71158"/>
    <w:rsid w:val="00B7148E"/>
    <w:rsid w:val="00B76890"/>
    <w:rsid w:val="00B77CE1"/>
    <w:rsid w:val="00B808DA"/>
    <w:rsid w:val="00B82DD5"/>
    <w:rsid w:val="00B837B7"/>
    <w:rsid w:val="00B84055"/>
    <w:rsid w:val="00B857FE"/>
    <w:rsid w:val="00B86A03"/>
    <w:rsid w:val="00B90522"/>
    <w:rsid w:val="00B93E3B"/>
    <w:rsid w:val="00BA0A50"/>
    <w:rsid w:val="00BA1D9B"/>
    <w:rsid w:val="00BA20BB"/>
    <w:rsid w:val="00BA507F"/>
    <w:rsid w:val="00BA6A72"/>
    <w:rsid w:val="00BB08D4"/>
    <w:rsid w:val="00BB178A"/>
    <w:rsid w:val="00BB5C1B"/>
    <w:rsid w:val="00BB6D04"/>
    <w:rsid w:val="00BC2B14"/>
    <w:rsid w:val="00BC31BD"/>
    <w:rsid w:val="00BC3276"/>
    <w:rsid w:val="00BC35BA"/>
    <w:rsid w:val="00BC6611"/>
    <w:rsid w:val="00BD13B0"/>
    <w:rsid w:val="00BD150B"/>
    <w:rsid w:val="00BD2566"/>
    <w:rsid w:val="00BD3D62"/>
    <w:rsid w:val="00BD4EEF"/>
    <w:rsid w:val="00BD6002"/>
    <w:rsid w:val="00BF08E1"/>
    <w:rsid w:val="00BF0A30"/>
    <w:rsid w:val="00BF0E97"/>
    <w:rsid w:val="00BF1D83"/>
    <w:rsid w:val="00BF26F9"/>
    <w:rsid w:val="00BF7427"/>
    <w:rsid w:val="00C03FDB"/>
    <w:rsid w:val="00C069B0"/>
    <w:rsid w:val="00C1099D"/>
    <w:rsid w:val="00C123F4"/>
    <w:rsid w:val="00C13F8E"/>
    <w:rsid w:val="00C1476B"/>
    <w:rsid w:val="00C21905"/>
    <w:rsid w:val="00C31D55"/>
    <w:rsid w:val="00C322A9"/>
    <w:rsid w:val="00C35F78"/>
    <w:rsid w:val="00C377EC"/>
    <w:rsid w:val="00C44A25"/>
    <w:rsid w:val="00C45B3E"/>
    <w:rsid w:val="00C461E0"/>
    <w:rsid w:val="00C50C98"/>
    <w:rsid w:val="00C5464A"/>
    <w:rsid w:val="00C57131"/>
    <w:rsid w:val="00C57BEE"/>
    <w:rsid w:val="00C6172D"/>
    <w:rsid w:val="00C61C3C"/>
    <w:rsid w:val="00C65263"/>
    <w:rsid w:val="00C6547E"/>
    <w:rsid w:val="00C656A8"/>
    <w:rsid w:val="00C66532"/>
    <w:rsid w:val="00C67D6C"/>
    <w:rsid w:val="00C73D35"/>
    <w:rsid w:val="00C74DA7"/>
    <w:rsid w:val="00C768AE"/>
    <w:rsid w:val="00C76EB8"/>
    <w:rsid w:val="00C7791A"/>
    <w:rsid w:val="00C81F4C"/>
    <w:rsid w:val="00C82257"/>
    <w:rsid w:val="00C82AAD"/>
    <w:rsid w:val="00C83225"/>
    <w:rsid w:val="00C833D1"/>
    <w:rsid w:val="00C841D4"/>
    <w:rsid w:val="00C848E7"/>
    <w:rsid w:val="00C85AFA"/>
    <w:rsid w:val="00C85D02"/>
    <w:rsid w:val="00C9127B"/>
    <w:rsid w:val="00C9544A"/>
    <w:rsid w:val="00CA01B8"/>
    <w:rsid w:val="00CA0DF2"/>
    <w:rsid w:val="00CA2CDC"/>
    <w:rsid w:val="00CA2CFB"/>
    <w:rsid w:val="00CA3349"/>
    <w:rsid w:val="00CA4326"/>
    <w:rsid w:val="00CA46D3"/>
    <w:rsid w:val="00CA5B52"/>
    <w:rsid w:val="00CA5E68"/>
    <w:rsid w:val="00CA6EEE"/>
    <w:rsid w:val="00CB2082"/>
    <w:rsid w:val="00CB47E2"/>
    <w:rsid w:val="00CB7FC0"/>
    <w:rsid w:val="00CC0CBA"/>
    <w:rsid w:val="00CC0DB0"/>
    <w:rsid w:val="00CC24DA"/>
    <w:rsid w:val="00CC3E46"/>
    <w:rsid w:val="00CC4B1D"/>
    <w:rsid w:val="00CD0A48"/>
    <w:rsid w:val="00CD346E"/>
    <w:rsid w:val="00CD5083"/>
    <w:rsid w:val="00CD5BCA"/>
    <w:rsid w:val="00CD7A77"/>
    <w:rsid w:val="00CE05FD"/>
    <w:rsid w:val="00CE1C45"/>
    <w:rsid w:val="00CE1CE2"/>
    <w:rsid w:val="00CE2A01"/>
    <w:rsid w:val="00CE4DB5"/>
    <w:rsid w:val="00CE4F6E"/>
    <w:rsid w:val="00CE5956"/>
    <w:rsid w:val="00CE6484"/>
    <w:rsid w:val="00CE6763"/>
    <w:rsid w:val="00CF1AC6"/>
    <w:rsid w:val="00CF1C94"/>
    <w:rsid w:val="00CF2201"/>
    <w:rsid w:val="00CF48EC"/>
    <w:rsid w:val="00CF4A9A"/>
    <w:rsid w:val="00CF7D5D"/>
    <w:rsid w:val="00D00F1B"/>
    <w:rsid w:val="00D076B4"/>
    <w:rsid w:val="00D10206"/>
    <w:rsid w:val="00D176D3"/>
    <w:rsid w:val="00D21085"/>
    <w:rsid w:val="00D21289"/>
    <w:rsid w:val="00D21DC3"/>
    <w:rsid w:val="00D22FC4"/>
    <w:rsid w:val="00D24B4D"/>
    <w:rsid w:val="00D25A37"/>
    <w:rsid w:val="00D310A1"/>
    <w:rsid w:val="00D31533"/>
    <w:rsid w:val="00D32080"/>
    <w:rsid w:val="00D32137"/>
    <w:rsid w:val="00D3270E"/>
    <w:rsid w:val="00D337EA"/>
    <w:rsid w:val="00D3615C"/>
    <w:rsid w:val="00D3655F"/>
    <w:rsid w:val="00D425C2"/>
    <w:rsid w:val="00D44413"/>
    <w:rsid w:val="00D54B77"/>
    <w:rsid w:val="00D55A78"/>
    <w:rsid w:val="00D62982"/>
    <w:rsid w:val="00D63764"/>
    <w:rsid w:val="00D64EA0"/>
    <w:rsid w:val="00D66FB2"/>
    <w:rsid w:val="00D67321"/>
    <w:rsid w:val="00D713D1"/>
    <w:rsid w:val="00D73539"/>
    <w:rsid w:val="00D769D7"/>
    <w:rsid w:val="00D776C8"/>
    <w:rsid w:val="00D8003C"/>
    <w:rsid w:val="00D81081"/>
    <w:rsid w:val="00D81C58"/>
    <w:rsid w:val="00D82BC2"/>
    <w:rsid w:val="00D901DD"/>
    <w:rsid w:val="00D91139"/>
    <w:rsid w:val="00D91608"/>
    <w:rsid w:val="00D93266"/>
    <w:rsid w:val="00D9452E"/>
    <w:rsid w:val="00D948E2"/>
    <w:rsid w:val="00D979F4"/>
    <w:rsid w:val="00DA0036"/>
    <w:rsid w:val="00DA0E6C"/>
    <w:rsid w:val="00DA12B3"/>
    <w:rsid w:val="00DA1690"/>
    <w:rsid w:val="00DA5DA9"/>
    <w:rsid w:val="00DA6D27"/>
    <w:rsid w:val="00DB1A40"/>
    <w:rsid w:val="00DB415A"/>
    <w:rsid w:val="00DB4BB9"/>
    <w:rsid w:val="00DB5651"/>
    <w:rsid w:val="00DB7177"/>
    <w:rsid w:val="00DC05D2"/>
    <w:rsid w:val="00DC1976"/>
    <w:rsid w:val="00DC5F39"/>
    <w:rsid w:val="00DC620F"/>
    <w:rsid w:val="00DC75B5"/>
    <w:rsid w:val="00DD0334"/>
    <w:rsid w:val="00DD217C"/>
    <w:rsid w:val="00DD5757"/>
    <w:rsid w:val="00DD5E5B"/>
    <w:rsid w:val="00DD6BAD"/>
    <w:rsid w:val="00DE032E"/>
    <w:rsid w:val="00DE14E7"/>
    <w:rsid w:val="00DE3B8F"/>
    <w:rsid w:val="00DE3E50"/>
    <w:rsid w:val="00DE779C"/>
    <w:rsid w:val="00DE77EE"/>
    <w:rsid w:val="00DF0341"/>
    <w:rsid w:val="00DF0D3B"/>
    <w:rsid w:val="00DF0F75"/>
    <w:rsid w:val="00DF4BE6"/>
    <w:rsid w:val="00DF74C1"/>
    <w:rsid w:val="00DF74F5"/>
    <w:rsid w:val="00DF7720"/>
    <w:rsid w:val="00E0507F"/>
    <w:rsid w:val="00E06EDE"/>
    <w:rsid w:val="00E112B5"/>
    <w:rsid w:val="00E14C66"/>
    <w:rsid w:val="00E151B1"/>
    <w:rsid w:val="00E16ABE"/>
    <w:rsid w:val="00E20C43"/>
    <w:rsid w:val="00E22152"/>
    <w:rsid w:val="00E24238"/>
    <w:rsid w:val="00E24A59"/>
    <w:rsid w:val="00E24BBB"/>
    <w:rsid w:val="00E24F04"/>
    <w:rsid w:val="00E26206"/>
    <w:rsid w:val="00E27AD3"/>
    <w:rsid w:val="00E31878"/>
    <w:rsid w:val="00E31897"/>
    <w:rsid w:val="00E3449D"/>
    <w:rsid w:val="00E34F46"/>
    <w:rsid w:val="00E35742"/>
    <w:rsid w:val="00E36590"/>
    <w:rsid w:val="00E37548"/>
    <w:rsid w:val="00E37FC1"/>
    <w:rsid w:val="00E409F9"/>
    <w:rsid w:val="00E41E1E"/>
    <w:rsid w:val="00E42961"/>
    <w:rsid w:val="00E42AAC"/>
    <w:rsid w:val="00E43916"/>
    <w:rsid w:val="00E46FAD"/>
    <w:rsid w:val="00E4726E"/>
    <w:rsid w:val="00E504F0"/>
    <w:rsid w:val="00E50C5F"/>
    <w:rsid w:val="00E52EB9"/>
    <w:rsid w:val="00E53BDA"/>
    <w:rsid w:val="00E57213"/>
    <w:rsid w:val="00E5752B"/>
    <w:rsid w:val="00E60710"/>
    <w:rsid w:val="00E61FEE"/>
    <w:rsid w:val="00E62D89"/>
    <w:rsid w:val="00E6312B"/>
    <w:rsid w:val="00E636BC"/>
    <w:rsid w:val="00E7177C"/>
    <w:rsid w:val="00E71C99"/>
    <w:rsid w:val="00E72773"/>
    <w:rsid w:val="00E73373"/>
    <w:rsid w:val="00E73490"/>
    <w:rsid w:val="00E77466"/>
    <w:rsid w:val="00E815B9"/>
    <w:rsid w:val="00E82E3A"/>
    <w:rsid w:val="00E84C8B"/>
    <w:rsid w:val="00E86598"/>
    <w:rsid w:val="00E87B4F"/>
    <w:rsid w:val="00E91386"/>
    <w:rsid w:val="00E92270"/>
    <w:rsid w:val="00E93550"/>
    <w:rsid w:val="00E937B3"/>
    <w:rsid w:val="00E94499"/>
    <w:rsid w:val="00E95928"/>
    <w:rsid w:val="00EA02C3"/>
    <w:rsid w:val="00EA2FF6"/>
    <w:rsid w:val="00EA52E4"/>
    <w:rsid w:val="00EA79AD"/>
    <w:rsid w:val="00EB2BF5"/>
    <w:rsid w:val="00EB3D40"/>
    <w:rsid w:val="00EB4B1E"/>
    <w:rsid w:val="00EB6301"/>
    <w:rsid w:val="00EC1E5C"/>
    <w:rsid w:val="00EC5127"/>
    <w:rsid w:val="00EC7E6E"/>
    <w:rsid w:val="00ED03BC"/>
    <w:rsid w:val="00ED051E"/>
    <w:rsid w:val="00ED3976"/>
    <w:rsid w:val="00ED473C"/>
    <w:rsid w:val="00ED7340"/>
    <w:rsid w:val="00EE02B9"/>
    <w:rsid w:val="00EE0385"/>
    <w:rsid w:val="00EE1E9F"/>
    <w:rsid w:val="00EE238E"/>
    <w:rsid w:val="00EE3459"/>
    <w:rsid w:val="00EE3508"/>
    <w:rsid w:val="00EE4384"/>
    <w:rsid w:val="00EE43E4"/>
    <w:rsid w:val="00EE46A4"/>
    <w:rsid w:val="00EE61D4"/>
    <w:rsid w:val="00EE68B0"/>
    <w:rsid w:val="00EE6BC9"/>
    <w:rsid w:val="00EE775D"/>
    <w:rsid w:val="00EE7A93"/>
    <w:rsid w:val="00EF39C4"/>
    <w:rsid w:val="00EF516F"/>
    <w:rsid w:val="00EF6DF2"/>
    <w:rsid w:val="00EF7098"/>
    <w:rsid w:val="00EF76FA"/>
    <w:rsid w:val="00F0166F"/>
    <w:rsid w:val="00F03C41"/>
    <w:rsid w:val="00F051B3"/>
    <w:rsid w:val="00F129D6"/>
    <w:rsid w:val="00F14656"/>
    <w:rsid w:val="00F147C1"/>
    <w:rsid w:val="00F161D5"/>
    <w:rsid w:val="00F21DE9"/>
    <w:rsid w:val="00F232A0"/>
    <w:rsid w:val="00F248C2"/>
    <w:rsid w:val="00F256FF"/>
    <w:rsid w:val="00F258E9"/>
    <w:rsid w:val="00F26B0C"/>
    <w:rsid w:val="00F26F45"/>
    <w:rsid w:val="00F27843"/>
    <w:rsid w:val="00F27C81"/>
    <w:rsid w:val="00F3059F"/>
    <w:rsid w:val="00F326C1"/>
    <w:rsid w:val="00F346B2"/>
    <w:rsid w:val="00F35020"/>
    <w:rsid w:val="00F35FBA"/>
    <w:rsid w:val="00F40211"/>
    <w:rsid w:val="00F411A6"/>
    <w:rsid w:val="00F41E92"/>
    <w:rsid w:val="00F42C83"/>
    <w:rsid w:val="00F42CE0"/>
    <w:rsid w:val="00F45999"/>
    <w:rsid w:val="00F45CA7"/>
    <w:rsid w:val="00F5024D"/>
    <w:rsid w:val="00F5458D"/>
    <w:rsid w:val="00F54D89"/>
    <w:rsid w:val="00F6359F"/>
    <w:rsid w:val="00F63776"/>
    <w:rsid w:val="00F637FD"/>
    <w:rsid w:val="00F6496F"/>
    <w:rsid w:val="00F64BA5"/>
    <w:rsid w:val="00F65DC1"/>
    <w:rsid w:val="00F67004"/>
    <w:rsid w:val="00F70787"/>
    <w:rsid w:val="00F7450E"/>
    <w:rsid w:val="00F7596F"/>
    <w:rsid w:val="00F770B4"/>
    <w:rsid w:val="00F77B6A"/>
    <w:rsid w:val="00F80982"/>
    <w:rsid w:val="00F85676"/>
    <w:rsid w:val="00F85919"/>
    <w:rsid w:val="00F8598E"/>
    <w:rsid w:val="00F863BC"/>
    <w:rsid w:val="00F864E1"/>
    <w:rsid w:val="00F86745"/>
    <w:rsid w:val="00F87931"/>
    <w:rsid w:val="00F90244"/>
    <w:rsid w:val="00F9204B"/>
    <w:rsid w:val="00F92831"/>
    <w:rsid w:val="00F93B0C"/>
    <w:rsid w:val="00F93FFD"/>
    <w:rsid w:val="00F95530"/>
    <w:rsid w:val="00F955C2"/>
    <w:rsid w:val="00F95DBB"/>
    <w:rsid w:val="00FA1AA8"/>
    <w:rsid w:val="00FA22E2"/>
    <w:rsid w:val="00FA2F78"/>
    <w:rsid w:val="00FA6DA6"/>
    <w:rsid w:val="00FB050C"/>
    <w:rsid w:val="00FB08E1"/>
    <w:rsid w:val="00FB0D86"/>
    <w:rsid w:val="00FB1CDE"/>
    <w:rsid w:val="00FB2F16"/>
    <w:rsid w:val="00FB664B"/>
    <w:rsid w:val="00FB72FF"/>
    <w:rsid w:val="00FC017C"/>
    <w:rsid w:val="00FC2809"/>
    <w:rsid w:val="00FC28A8"/>
    <w:rsid w:val="00FC2D1D"/>
    <w:rsid w:val="00FC555A"/>
    <w:rsid w:val="00FC61E9"/>
    <w:rsid w:val="00FD1DFA"/>
    <w:rsid w:val="00FD3D4F"/>
    <w:rsid w:val="00FD486C"/>
    <w:rsid w:val="00FD6B81"/>
    <w:rsid w:val="00FE2D3F"/>
    <w:rsid w:val="00FE330C"/>
    <w:rsid w:val="00FE52F3"/>
    <w:rsid w:val="00FE5832"/>
    <w:rsid w:val="00FE6451"/>
    <w:rsid w:val="00FE7176"/>
    <w:rsid w:val="00FF1AF4"/>
    <w:rsid w:val="00FF39A7"/>
    <w:rsid w:val="00FF7C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header" w:unhideWhenUsed="0"/>
    <w:lsdException w:name="footer" w:unhideWhenUsed="0"/>
    <w:lsdException w:name="caption" w:uiPriority="35" w:qFormat="1"/>
    <w:lsdException w:name="footnote reference" w:unhideWhenUsed="0" w:qFormat="1"/>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8E4"/>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semiHidden/>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fn,f,1"/>
    <w:basedOn w:val="Normal"/>
    <w:link w:val="FootnoteTextChar"/>
    <w:uiPriority w:val="99"/>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Appel note de bas de p,Style 124,Style 3,FR,Style 6,callout"/>
    <w:basedOn w:val="DefaultParagraphFont"/>
    <w:uiPriority w:val="99"/>
    <w:qFormat/>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locked/>
    <w:rsid w:val="009118E4"/>
    <w:rPr>
      <w:rFonts w:ascii="Times New Roman" w:hAnsi="Times New Roman" w:cs="Times New Roman"/>
      <w:sz w:val="24"/>
      <w:szCs w:val="24"/>
    </w:rPr>
  </w:style>
  <w:style w:type="character" w:styleId="Emphasis">
    <w:name w:val="Emphasis"/>
    <w:basedOn w:val="DefaultParagraphFont"/>
    <w:uiPriority w:val="99"/>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semiHidden/>
    <w:unhideWhenUsed/>
    <w:rsid w:val="009D4E33"/>
    <w:rPr>
      <w:sz w:val="20"/>
      <w:szCs w:val="20"/>
    </w:rPr>
  </w:style>
  <w:style w:type="character" w:customStyle="1" w:styleId="CommentTextChar">
    <w:name w:val="Comment Text Char"/>
    <w:basedOn w:val="DefaultParagraphFont"/>
    <w:link w:val="CommentText"/>
    <w:uiPriority w:val="99"/>
    <w:semiHidden/>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character" w:customStyle="1" w:styleId="st">
    <w:name w:val="st"/>
    <w:basedOn w:val="DefaultParagraphFont"/>
    <w:rsid w:val="00CF1AC6"/>
  </w:style>
  <w:style w:type="paragraph" w:styleId="BodyTextIndent">
    <w:name w:val="Body Text Indent"/>
    <w:basedOn w:val="Normal"/>
    <w:link w:val="BodyTextIndentChar"/>
    <w:uiPriority w:val="99"/>
    <w:semiHidden/>
    <w:unhideWhenUsed/>
    <w:rsid w:val="00206D1E"/>
    <w:pPr>
      <w:spacing w:after="120"/>
      <w:ind w:left="360"/>
    </w:pPr>
  </w:style>
  <w:style w:type="character" w:customStyle="1" w:styleId="BodyTextIndentChar">
    <w:name w:val="Body Text Indent Char"/>
    <w:basedOn w:val="DefaultParagraphFont"/>
    <w:link w:val="BodyTextIndent"/>
    <w:uiPriority w:val="99"/>
    <w:semiHidden/>
    <w:rsid w:val="00206D1E"/>
    <w:rPr>
      <w:rFonts w:ascii="Times New Roman" w:hAnsi="Times New Roman"/>
      <w:sz w:val="24"/>
      <w:szCs w:val="24"/>
    </w:rPr>
  </w:style>
  <w:style w:type="paragraph" w:customStyle="1" w:styleId="Default">
    <w:name w:val="Default"/>
    <w:link w:val="DefaultChar"/>
    <w:rsid w:val="00D25A37"/>
    <w:pPr>
      <w:widowControl w:val="0"/>
      <w:autoSpaceDE w:val="0"/>
      <w:autoSpaceDN w:val="0"/>
      <w:adjustRightInd w:val="0"/>
      <w:spacing w:after="0" w:line="240" w:lineRule="auto"/>
    </w:pPr>
    <w:rPr>
      <w:rFonts w:ascii="Century Gothic" w:eastAsia="Times New Roman" w:hAnsi="Century Gothic" w:cs="Century Gothic"/>
      <w:color w:val="000000"/>
      <w:sz w:val="24"/>
      <w:szCs w:val="24"/>
    </w:rPr>
  </w:style>
  <w:style w:type="character" w:customStyle="1" w:styleId="DefaultChar">
    <w:name w:val="Default Char"/>
    <w:basedOn w:val="DefaultParagraphFont"/>
    <w:link w:val="Default"/>
    <w:locked/>
    <w:rsid w:val="00D25A37"/>
    <w:rPr>
      <w:rFonts w:ascii="Century Gothic" w:eastAsia="Times New Roman" w:hAnsi="Century Gothic" w:cs="Century Gothic"/>
      <w:color w:val="000000"/>
      <w:sz w:val="24"/>
      <w:szCs w:val="24"/>
    </w:rPr>
  </w:style>
  <w:style w:type="paragraph" w:customStyle="1" w:styleId="Pa7">
    <w:name w:val="Pa7"/>
    <w:basedOn w:val="Default"/>
    <w:next w:val="Default"/>
    <w:uiPriority w:val="99"/>
    <w:rsid w:val="00D25A37"/>
    <w:pPr>
      <w:widowControl/>
      <w:spacing w:line="241" w:lineRule="atLeast"/>
    </w:pPr>
    <w:rPr>
      <w:rFonts w:ascii="Futura Book" w:eastAsiaTheme="minorHAnsi" w:hAnsi="Futura Book" w:cstheme="minorBidi"/>
      <w:color w:val="auto"/>
    </w:rPr>
  </w:style>
  <w:style w:type="character" w:customStyle="1" w:styleId="A6">
    <w:name w:val="A6"/>
    <w:uiPriority w:val="99"/>
    <w:rsid w:val="00D25A37"/>
    <w:rPr>
      <w:rFonts w:cs="Futura Book"/>
      <w:color w:val="000000"/>
      <w:sz w:val="16"/>
      <w:szCs w:val="16"/>
    </w:rPr>
  </w:style>
  <w:style w:type="paragraph" w:customStyle="1" w:styleId="Pa8">
    <w:name w:val="Pa8"/>
    <w:basedOn w:val="Default"/>
    <w:next w:val="Default"/>
    <w:uiPriority w:val="99"/>
    <w:rsid w:val="00D25A37"/>
    <w:pPr>
      <w:widowControl/>
      <w:spacing w:line="241" w:lineRule="atLeast"/>
    </w:pPr>
    <w:rPr>
      <w:rFonts w:ascii="Futura Book" w:eastAsiaTheme="minorHAnsi" w:hAnsi="Futura Book" w:cstheme="minorBidi"/>
      <w:color w:val="auto"/>
    </w:rPr>
  </w:style>
  <w:style w:type="paragraph" w:customStyle="1" w:styleId="FindingsConclusions">
    <w:name w:val="Findings &amp; Conclusions"/>
    <w:basedOn w:val="Normal"/>
    <w:rsid w:val="006E48A3"/>
    <w:pPr>
      <w:numPr>
        <w:numId w:val="39"/>
      </w:numPr>
    </w:pPr>
    <w:rPr>
      <w:rFonts w:eastAsia="Times New Roman"/>
    </w:rPr>
  </w:style>
</w:styles>
</file>

<file path=word/webSettings.xml><?xml version="1.0" encoding="utf-8"?>
<w:webSettings xmlns:r="http://schemas.openxmlformats.org/officeDocument/2006/relationships" xmlns:w="http://schemas.openxmlformats.org/wordprocessingml/2006/main">
  <w:divs>
    <w:div w:id="767852415">
      <w:bodyDiv w:val="1"/>
      <w:marLeft w:val="0"/>
      <w:marRight w:val="0"/>
      <w:marTop w:val="0"/>
      <w:marBottom w:val="0"/>
      <w:divBdr>
        <w:top w:val="none" w:sz="0" w:space="0" w:color="auto"/>
        <w:left w:val="none" w:sz="0" w:space="0" w:color="auto"/>
        <w:bottom w:val="none" w:sz="0" w:space="0" w:color="auto"/>
        <w:right w:val="none" w:sz="0" w:space="0" w:color="auto"/>
      </w:divBdr>
    </w:div>
    <w:div w:id="929511776">
      <w:bodyDiv w:val="1"/>
      <w:marLeft w:val="0"/>
      <w:marRight w:val="0"/>
      <w:marTop w:val="0"/>
      <w:marBottom w:val="0"/>
      <w:divBdr>
        <w:top w:val="none" w:sz="0" w:space="0" w:color="auto"/>
        <w:left w:val="none" w:sz="0" w:space="0" w:color="auto"/>
        <w:bottom w:val="none" w:sz="0" w:space="0" w:color="auto"/>
        <w:right w:val="none" w:sz="0" w:space="0" w:color="auto"/>
      </w:divBdr>
    </w:div>
    <w:div w:id="21174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customXml" Target="../customXml/item7.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2016-02-09T08:00:00+00:00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3D9C1D6-90A1-4A0F-B098-B547512E135A}"/>
</file>

<file path=customXml/itemProps2.xml><?xml version="1.0" encoding="utf-8"?>
<ds:datastoreItem xmlns:ds="http://schemas.openxmlformats.org/officeDocument/2006/customXml" ds:itemID="{55EE0FFA-E80C-454B-9819-CC7130CB93FB}"/>
</file>

<file path=customXml/itemProps3.xml><?xml version="1.0" encoding="utf-8"?>
<ds:datastoreItem xmlns:ds="http://schemas.openxmlformats.org/officeDocument/2006/customXml" ds:itemID="{9825EEF3-4F12-41AD-8825-B9C00A105F3A}"/>
</file>

<file path=customXml/itemProps4.xml><?xml version="1.0" encoding="utf-8"?>
<ds:datastoreItem xmlns:ds="http://schemas.openxmlformats.org/officeDocument/2006/customXml" ds:itemID="{61CDB7CB-2880-4EA4-B63A-6F2FB138F5E6}"/>
</file>

<file path=customXml/itemProps5.xml><?xml version="1.0" encoding="utf-8"?>
<ds:datastoreItem xmlns:ds="http://schemas.openxmlformats.org/officeDocument/2006/customXml" ds:itemID="{D9BCEEFF-1737-458E-B4D9-F5737656A64D}"/>
</file>

<file path=customXml/itemProps6.xml><?xml version="1.0" encoding="utf-8"?>
<ds:datastoreItem xmlns:ds="http://schemas.openxmlformats.org/officeDocument/2006/customXml" ds:itemID="{3EBF4FCD-DEAE-42C2-B94C-AFEC20B32420}"/>
</file>

<file path=customXml/itemProps7.xml><?xml version="1.0" encoding="utf-8"?>
<ds:datastoreItem xmlns:ds="http://schemas.openxmlformats.org/officeDocument/2006/customXml" ds:itemID="{187F46C1-8D55-4837-AAAA-4F6B535128E9}"/>
</file>

<file path=docProps/app.xml><?xml version="1.0" encoding="utf-8"?>
<Properties xmlns="http://schemas.openxmlformats.org/officeDocument/2006/extended-properties" xmlns:vt="http://schemas.openxmlformats.org/officeDocument/2006/docPropsVTypes">
  <Template>Normal.dotm</Template>
  <TotalTime>0</TotalTime>
  <Pages>14</Pages>
  <Words>3327</Words>
  <Characters>18054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2016-02-05T21:08:00Z</dcterms:created>
  <dcterms:modified xsi:type="dcterms:W3CDTF">2016-02-09T18:30:00Z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