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00" w:rsidRPr="008932ED" w:rsidRDefault="00164AE5" w:rsidP="00AD47E0">
      <w:pPr>
        <w:widowControl w:val="0"/>
        <w:rPr>
          <w:rFonts w:ascii="Times New Roman" w:hAnsi="Times New Roman"/>
          <w:szCs w:val="24"/>
        </w:rPr>
      </w:pPr>
      <w:bookmarkStart w:id="0" w:name="_GoBack"/>
      <w:bookmarkEnd w:id="0"/>
      <w:r w:rsidRPr="008932ED">
        <w:rPr>
          <w:rFonts w:ascii="Times New Roman" w:hAnsi="Times New Roman"/>
          <w:noProof/>
          <w:szCs w:val="24"/>
        </w:rPr>
        <w:drawing>
          <wp:anchor distT="0" distB="0" distL="114300" distR="114300" simplePos="0" relativeHeight="251658240" behindDoc="1" locked="0" layoutInCell="1" allowOverlap="1" wp14:anchorId="6F81A229" wp14:editId="5B36E685">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83646" w:rsidRPr="008932ED" w:rsidRDefault="00783646" w:rsidP="00AD47E0">
      <w:pPr>
        <w:widowControl w:val="0"/>
        <w:rPr>
          <w:rFonts w:ascii="Times New Roman" w:hAnsi="Times New Roman"/>
          <w:szCs w:val="24"/>
        </w:rPr>
      </w:pPr>
    </w:p>
    <w:p w:rsidR="00903EB4" w:rsidRPr="008932ED" w:rsidRDefault="00C406BC" w:rsidP="00AD47E0">
      <w:pPr>
        <w:widowControl w:val="0"/>
        <w:rPr>
          <w:rFonts w:ascii="Times New Roman" w:hAnsi="Times New Roman"/>
          <w:szCs w:val="24"/>
        </w:rPr>
      </w:pPr>
      <w:r>
        <w:rPr>
          <w:rFonts w:ascii="Times New Roman" w:hAnsi="Times New Roman"/>
          <w:szCs w:val="24"/>
        </w:rPr>
        <w:t>October 3</w:t>
      </w:r>
      <w:r w:rsidR="00CF0812" w:rsidRPr="008932ED">
        <w:rPr>
          <w:rFonts w:ascii="Times New Roman" w:hAnsi="Times New Roman"/>
          <w:szCs w:val="24"/>
        </w:rPr>
        <w:t>, 2014</w:t>
      </w:r>
    </w:p>
    <w:p w:rsidR="00903EB4" w:rsidRPr="008932ED" w:rsidRDefault="00903EB4" w:rsidP="00AD47E0">
      <w:pPr>
        <w:widowControl w:val="0"/>
        <w:rPr>
          <w:rFonts w:ascii="Times New Roman" w:hAnsi="Times New Roman"/>
          <w:szCs w:val="24"/>
        </w:rPr>
      </w:pPr>
    </w:p>
    <w:p w:rsidR="00114181" w:rsidRPr="008932ED" w:rsidRDefault="00903EB4" w:rsidP="00AD47E0">
      <w:pPr>
        <w:widowControl w:val="0"/>
        <w:rPr>
          <w:rFonts w:ascii="Times New Roman" w:hAnsi="Times New Roman"/>
          <w:b/>
          <w:i/>
          <w:szCs w:val="24"/>
        </w:rPr>
      </w:pPr>
      <w:r w:rsidRPr="008932ED">
        <w:rPr>
          <w:rFonts w:ascii="Times New Roman" w:hAnsi="Times New Roman"/>
          <w:b/>
          <w:i/>
          <w:szCs w:val="24"/>
        </w:rPr>
        <w:t>VIA ELECTRONIC FILING</w:t>
      </w:r>
      <w:r w:rsidR="00F14D10">
        <w:rPr>
          <w:rFonts w:ascii="Times New Roman" w:hAnsi="Times New Roman"/>
          <w:b/>
          <w:i/>
          <w:szCs w:val="24"/>
        </w:rPr>
        <w:t xml:space="preserve"> </w:t>
      </w:r>
      <w:r w:rsidR="00F14D10">
        <w:rPr>
          <w:rFonts w:ascii="Times New Roman" w:hAnsi="Times New Roman"/>
          <w:b/>
          <w:i/>
          <w:szCs w:val="24"/>
        </w:rPr>
        <w:br/>
        <w:t xml:space="preserve">AND OVERNIGHT DELIVERY </w:t>
      </w:r>
    </w:p>
    <w:p w:rsidR="00903EB4" w:rsidRPr="008932ED" w:rsidRDefault="00903EB4" w:rsidP="00AD47E0">
      <w:pPr>
        <w:widowControl w:val="0"/>
        <w:rPr>
          <w:rFonts w:ascii="Times New Roman" w:hAnsi="Times New Roman"/>
          <w:szCs w:val="24"/>
        </w:rPr>
      </w:pPr>
    </w:p>
    <w:p w:rsidR="0005279F" w:rsidRPr="008932ED" w:rsidRDefault="0005279F" w:rsidP="00AD47E0">
      <w:pPr>
        <w:widowControl w:val="0"/>
        <w:rPr>
          <w:rFonts w:ascii="Times New Roman" w:hAnsi="Times New Roman"/>
          <w:szCs w:val="24"/>
        </w:rPr>
      </w:pPr>
      <w:r w:rsidRPr="008932ED">
        <w:rPr>
          <w:rFonts w:ascii="Times New Roman" w:hAnsi="Times New Roman"/>
          <w:szCs w:val="24"/>
        </w:rPr>
        <w:t>Steven V. King</w:t>
      </w:r>
    </w:p>
    <w:p w:rsidR="0005279F" w:rsidRPr="008932ED" w:rsidRDefault="0005279F" w:rsidP="00AD47E0">
      <w:pPr>
        <w:widowControl w:val="0"/>
        <w:rPr>
          <w:rFonts w:ascii="Times New Roman" w:hAnsi="Times New Roman"/>
          <w:szCs w:val="24"/>
        </w:rPr>
      </w:pPr>
      <w:r w:rsidRPr="008932ED">
        <w:rPr>
          <w:rFonts w:ascii="Times New Roman" w:hAnsi="Times New Roman"/>
          <w:szCs w:val="24"/>
        </w:rPr>
        <w:t>Executive Director and Secretary</w:t>
      </w:r>
    </w:p>
    <w:p w:rsidR="00903EB4" w:rsidRPr="003458FD" w:rsidRDefault="00903EB4" w:rsidP="00AD47E0">
      <w:pPr>
        <w:widowControl w:val="0"/>
        <w:rPr>
          <w:rFonts w:ascii="Times New Roman" w:hAnsi="Times New Roman"/>
          <w:szCs w:val="24"/>
        </w:rPr>
      </w:pPr>
      <w:r w:rsidRPr="003458FD">
        <w:rPr>
          <w:rFonts w:ascii="Times New Roman" w:hAnsi="Times New Roman"/>
          <w:szCs w:val="24"/>
        </w:rPr>
        <w:t>Washington Utilities and Transportation Commission</w:t>
      </w:r>
    </w:p>
    <w:p w:rsidR="00903EB4" w:rsidRPr="003458FD" w:rsidRDefault="00903EB4" w:rsidP="00AD47E0">
      <w:pPr>
        <w:widowControl w:val="0"/>
        <w:rPr>
          <w:rFonts w:ascii="Times New Roman" w:hAnsi="Times New Roman"/>
          <w:szCs w:val="24"/>
        </w:rPr>
      </w:pPr>
      <w:r w:rsidRPr="003458FD">
        <w:rPr>
          <w:rFonts w:ascii="Times New Roman" w:hAnsi="Times New Roman"/>
          <w:szCs w:val="24"/>
        </w:rPr>
        <w:t>1300 S. Evergreen Park Drive SW</w:t>
      </w:r>
    </w:p>
    <w:p w:rsidR="00903EB4" w:rsidRPr="003458FD" w:rsidRDefault="00903EB4" w:rsidP="00AD47E0">
      <w:pPr>
        <w:widowControl w:val="0"/>
        <w:rPr>
          <w:rFonts w:ascii="Times New Roman" w:hAnsi="Times New Roman"/>
          <w:szCs w:val="24"/>
        </w:rPr>
      </w:pPr>
      <w:r w:rsidRPr="003458FD">
        <w:rPr>
          <w:rFonts w:ascii="Times New Roman" w:hAnsi="Times New Roman"/>
          <w:szCs w:val="24"/>
        </w:rPr>
        <w:t>PO Box 47250</w:t>
      </w:r>
    </w:p>
    <w:p w:rsidR="00903EB4" w:rsidRPr="003458FD" w:rsidRDefault="0062175F" w:rsidP="00AD47E0">
      <w:pPr>
        <w:widowControl w:val="0"/>
        <w:rPr>
          <w:rFonts w:ascii="Times New Roman" w:hAnsi="Times New Roman"/>
          <w:szCs w:val="24"/>
        </w:rPr>
      </w:pPr>
      <w:r w:rsidRPr="003458FD">
        <w:rPr>
          <w:rFonts w:ascii="Times New Roman" w:hAnsi="Times New Roman"/>
          <w:szCs w:val="24"/>
        </w:rPr>
        <w:t>Olympia, WA 98504-</w:t>
      </w:r>
      <w:r w:rsidR="00903EB4" w:rsidRPr="003458FD">
        <w:rPr>
          <w:rFonts w:ascii="Times New Roman" w:hAnsi="Times New Roman"/>
          <w:szCs w:val="24"/>
        </w:rPr>
        <w:t>7250</w:t>
      </w:r>
    </w:p>
    <w:p w:rsidR="00903EB4" w:rsidRPr="003458FD" w:rsidRDefault="00903EB4" w:rsidP="00AD47E0">
      <w:pPr>
        <w:widowControl w:val="0"/>
        <w:rPr>
          <w:rFonts w:ascii="Times New Roman" w:hAnsi="Times New Roman"/>
          <w:szCs w:val="24"/>
        </w:rPr>
      </w:pPr>
    </w:p>
    <w:p w:rsidR="00903EB4" w:rsidRDefault="00903EB4" w:rsidP="00AD47E0">
      <w:pPr>
        <w:widowControl w:val="0"/>
        <w:ind w:left="720" w:hanging="720"/>
        <w:rPr>
          <w:rFonts w:ascii="Times New Roman" w:hAnsi="Times New Roman"/>
          <w:b/>
          <w:szCs w:val="24"/>
        </w:rPr>
      </w:pPr>
      <w:r w:rsidRPr="003458FD">
        <w:rPr>
          <w:rFonts w:ascii="Times New Roman" w:hAnsi="Times New Roman"/>
          <w:b/>
          <w:szCs w:val="24"/>
        </w:rPr>
        <w:t>RE:</w:t>
      </w:r>
      <w:r w:rsidRPr="003458FD">
        <w:rPr>
          <w:rFonts w:ascii="Times New Roman" w:hAnsi="Times New Roman"/>
          <w:b/>
          <w:szCs w:val="24"/>
        </w:rPr>
        <w:tab/>
      </w:r>
      <w:r w:rsidR="00F864EA" w:rsidRPr="003458FD">
        <w:rPr>
          <w:rFonts w:ascii="Times New Roman" w:hAnsi="Times New Roman"/>
          <w:b/>
          <w:szCs w:val="24"/>
        </w:rPr>
        <w:t>Advice 14-06—</w:t>
      </w:r>
      <w:r w:rsidR="003C441C" w:rsidRPr="003458FD">
        <w:rPr>
          <w:rFonts w:ascii="Times New Roman" w:hAnsi="Times New Roman"/>
          <w:b/>
          <w:szCs w:val="24"/>
        </w:rPr>
        <w:t>Schedule 95</w:t>
      </w:r>
      <w:r w:rsidR="0005279F" w:rsidRPr="003458FD">
        <w:rPr>
          <w:rFonts w:ascii="Times New Roman" w:hAnsi="Times New Roman"/>
          <w:b/>
          <w:szCs w:val="24"/>
        </w:rPr>
        <w:t>—</w:t>
      </w:r>
      <w:r w:rsidR="003C441C" w:rsidRPr="003458FD">
        <w:rPr>
          <w:rFonts w:ascii="Times New Roman" w:hAnsi="Times New Roman"/>
          <w:b/>
          <w:szCs w:val="24"/>
        </w:rPr>
        <w:t>Renewable Energy Revenue Adjustment</w:t>
      </w:r>
    </w:p>
    <w:p w:rsidR="00F14D10" w:rsidRPr="003458FD" w:rsidRDefault="00F14D10" w:rsidP="00AD47E0">
      <w:pPr>
        <w:widowControl w:val="0"/>
        <w:ind w:left="720" w:hanging="720"/>
        <w:rPr>
          <w:rFonts w:ascii="Times New Roman" w:hAnsi="Times New Roman"/>
          <w:b/>
          <w:szCs w:val="24"/>
        </w:rPr>
      </w:pPr>
      <w:r>
        <w:rPr>
          <w:rFonts w:ascii="Times New Roman" w:hAnsi="Times New Roman"/>
          <w:b/>
          <w:szCs w:val="24"/>
        </w:rPr>
        <w:tab/>
        <w:t>Docket UE-100749—Compliance Filing</w:t>
      </w:r>
    </w:p>
    <w:p w:rsidR="00903EB4" w:rsidRPr="003458FD" w:rsidRDefault="00903EB4"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 xml:space="preserve">Dear Mr. </w:t>
      </w:r>
      <w:r w:rsidR="0005279F" w:rsidRPr="003458FD">
        <w:rPr>
          <w:rFonts w:ascii="Times New Roman" w:hAnsi="Times New Roman"/>
          <w:szCs w:val="24"/>
        </w:rPr>
        <w:t>King</w:t>
      </w:r>
      <w:r w:rsidRPr="003458FD">
        <w:rPr>
          <w:rFonts w:ascii="Times New Roman" w:hAnsi="Times New Roman"/>
          <w:szCs w:val="24"/>
        </w:rPr>
        <w:t>:</w:t>
      </w:r>
    </w:p>
    <w:p w:rsidR="00903EB4" w:rsidRPr="003458FD" w:rsidRDefault="00903EB4" w:rsidP="00AD47E0">
      <w:pPr>
        <w:widowControl w:val="0"/>
        <w:rPr>
          <w:rFonts w:ascii="Times New Roman" w:hAnsi="Times New Roman"/>
          <w:szCs w:val="24"/>
        </w:rPr>
      </w:pPr>
    </w:p>
    <w:p w:rsidR="00724396" w:rsidRPr="003458FD" w:rsidRDefault="00724396" w:rsidP="00AD47E0">
      <w:pPr>
        <w:widowControl w:val="0"/>
        <w:rPr>
          <w:rFonts w:ascii="Times New Roman" w:hAnsi="Times New Roman"/>
          <w:szCs w:val="24"/>
        </w:rPr>
      </w:pPr>
      <w:r w:rsidRPr="003458FD">
        <w:rPr>
          <w:rFonts w:ascii="Times New Roman" w:hAnsi="Times New Roman"/>
          <w:szCs w:val="24"/>
        </w:rPr>
        <w:t>Pacific Power &amp; Light Company</w:t>
      </w:r>
      <w:r w:rsidR="00C406BC" w:rsidRPr="003458FD">
        <w:rPr>
          <w:rFonts w:ascii="Times New Roman" w:hAnsi="Times New Roman"/>
          <w:szCs w:val="24"/>
        </w:rPr>
        <w:t xml:space="preserve"> (Pacific Power or Company)</w:t>
      </w:r>
      <w:r w:rsidR="003C441C" w:rsidRPr="003458FD">
        <w:rPr>
          <w:rFonts w:ascii="Times New Roman" w:hAnsi="Times New Roman"/>
          <w:szCs w:val="24"/>
        </w:rPr>
        <w:t xml:space="preserve">, a division of PacifiCorp, </w:t>
      </w:r>
      <w:r w:rsidRPr="003458FD">
        <w:rPr>
          <w:rFonts w:ascii="Times New Roman" w:hAnsi="Times New Roman"/>
          <w:szCs w:val="24"/>
        </w:rPr>
        <w:t xml:space="preserve">submits this filing </w:t>
      </w:r>
      <w:r w:rsidRPr="003458FD">
        <w:rPr>
          <w:rStyle w:val="A4"/>
          <w:rFonts w:ascii="Times New Roman" w:hAnsi="Times New Roman"/>
          <w:sz w:val="24"/>
          <w:szCs w:val="24"/>
        </w:rPr>
        <w:t xml:space="preserve">in compliance with </w:t>
      </w:r>
      <w:r w:rsidRPr="003458FD">
        <w:rPr>
          <w:rFonts w:ascii="Times New Roman" w:hAnsi="Times New Roman"/>
          <w:szCs w:val="24"/>
        </w:rPr>
        <w:t>RCW 80.28.050, RCW 80.28.060, WAC section 480-100-028</w:t>
      </w:r>
      <w:r w:rsidR="00F14D10">
        <w:rPr>
          <w:rFonts w:ascii="Times New Roman" w:hAnsi="Times New Roman"/>
          <w:szCs w:val="24"/>
        </w:rPr>
        <w:t xml:space="preserve">, and previous </w:t>
      </w:r>
      <w:r w:rsidR="00F14D10">
        <w:rPr>
          <w:rFonts w:ascii="Times New Roman" w:hAnsi="Times New Roman"/>
          <w:bCs/>
          <w:szCs w:val="24"/>
        </w:rPr>
        <w:t xml:space="preserve">Washington Utilities and Transportation </w:t>
      </w:r>
      <w:r w:rsidR="00F14D10" w:rsidRPr="003458FD">
        <w:rPr>
          <w:rFonts w:ascii="Times New Roman" w:hAnsi="Times New Roman"/>
          <w:bCs/>
          <w:szCs w:val="24"/>
        </w:rPr>
        <w:t>Commission</w:t>
      </w:r>
      <w:r w:rsidR="00F14D10">
        <w:rPr>
          <w:rFonts w:ascii="Times New Roman" w:hAnsi="Times New Roman"/>
          <w:bCs/>
          <w:szCs w:val="24"/>
        </w:rPr>
        <w:t xml:space="preserve"> (Commission)</w:t>
      </w:r>
      <w:r w:rsidR="00F14D10">
        <w:rPr>
          <w:rFonts w:ascii="Times New Roman" w:hAnsi="Times New Roman"/>
          <w:szCs w:val="24"/>
        </w:rPr>
        <w:t xml:space="preserve"> orders in Docket UE-100749</w:t>
      </w:r>
      <w:r w:rsidRPr="003458FD">
        <w:rPr>
          <w:rFonts w:ascii="Times New Roman" w:hAnsi="Times New Roman"/>
          <w:szCs w:val="24"/>
        </w:rPr>
        <w:t xml:space="preserve">.  </w:t>
      </w:r>
      <w:r w:rsidR="00AE04C0" w:rsidRPr="003458FD">
        <w:rPr>
          <w:rFonts w:ascii="Times New Roman" w:hAnsi="Times New Roman"/>
          <w:szCs w:val="24"/>
        </w:rPr>
        <w:t>The Company requests an effective date of November 1</w:t>
      </w:r>
      <w:r w:rsidR="00354D42" w:rsidRPr="003458FD">
        <w:rPr>
          <w:rFonts w:ascii="Times New Roman" w:hAnsi="Times New Roman"/>
          <w:szCs w:val="24"/>
        </w:rPr>
        <w:t>6</w:t>
      </w:r>
      <w:r w:rsidR="00AE04C0" w:rsidRPr="003458FD">
        <w:rPr>
          <w:rFonts w:ascii="Times New Roman" w:hAnsi="Times New Roman"/>
          <w:szCs w:val="24"/>
        </w:rPr>
        <w:t xml:space="preserve">, 2014.  </w:t>
      </w:r>
    </w:p>
    <w:p w:rsidR="00724396" w:rsidRPr="003458FD" w:rsidRDefault="00724396" w:rsidP="00AD47E0">
      <w:pPr>
        <w:widowControl w:val="0"/>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690"/>
        <w:gridCol w:w="1530"/>
        <w:gridCol w:w="4320"/>
      </w:tblGrid>
      <w:tr w:rsidR="00724396" w:rsidRPr="003458FD" w:rsidTr="003C441C">
        <w:tc>
          <w:tcPr>
            <w:tcW w:w="3690" w:type="dxa"/>
          </w:tcPr>
          <w:p w:rsidR="00724396" w:rsidRPr="003458FD" w:rsidRDefault="00724396" w:rsidP="00AD47E0">
            <w:pPr>
              <w:widowControl w:val="0"/>
              <w:ind w:left="-108"/>
              <w:rPr>
                <w:rFonts w:ascii="Times New Roman" w:hAnsi="Times New Roman" w:cs="Times New Roman"/>
                <w:szCs w:val="24"/>
              </w:rPr>
            </w:pPr>
            <w:r w:rsidRPr="003458FD">
              <w:rPr>
                <w:rFonts w:ascii="Times New Roman" w:hAnsi="Times New Roman" w:cs="Times New Roman"/>
                <w:szCs w:val="24"/>
              </w:rPr>
              <w:t xml:space="preserve">Second Revision of Sheet No. </w:t>
            </w:r>
            <w:r w:rsidR="003C441C" w:rsidRPr="003458FD">
              <w:rPr>
                <w:rFonts w:ascii="Times New Roman" w:hAnsi="Times New Roman" w:cs="Times New Roman"/>
                <w:szCs w:val="24"/>
              </w:rPr>
              <w:t>95.1</w:t>
            </w:r>
          </w:p>
        </w:tc>
        <w:tc>
          <w:tcPr>
            <w:tcW w:w="1530" w:type="dxa"/>
          </w:tcPr>
          <w:p w:rsidR="00724396" w:rsidRPr="003458FD" w:rsidRDefault="003C441C" w:rsidP="00AD47E0">
            <w:pPr>
              <w:widowControl w:val="0"/>
              <w:rPr>
                <w:rFonts w:ascii="Times New Roman" w:hAnsi="Times New Roman" w:cs="Times New Roman"/>
                <w:szCs w:val="24"/>
              </w:rPr>
            </w:pPr>
            <w:r w:rsidRPr="003458FD">
              <w:rPr>
                <w:rFonts w:ascii="Times New Roman" w:hAnsi="Times New Roman" w:cs="Times New Roman"/>
                <w:szCs w:val="24"/>
              </w:rPr>
              <w:t>Schedule 95</w:t>
            </w:r>
          </w:p>
        </w:tc>
        <w:tc>
          <w:tcPr>
            <w:tcW w:w="4320" w:type="dxa"/>
          </w:tcPr>
          <w:p w:rsidR="00724396" w:rsidRPr="003458FD" w:rsidRDefault="003C441C" w:rsidP="00AD47E0">
            <w:pPr>
              <w:widowControl w:val="0"/>
              <w:rPr>
                <w:rFonts w:ascii="Times New Roman" w:hAnsi="Times New Roman" w:cs="Times New Roman"/>
                <w:szCs w:val="24"/>
              </w:rPr>
            </w:pPr>
            <w:r w:rsidRPr="003458FD">
              <w:rPr>
                <w:rFonts w:ascii="Times New Roman" w:hAnsi="Times New Roman" w:cs="Times New Roman"/>
                <w:szCs w:val="24"/>
              </w:rPr>
              <w:t>Renewable Energy Revenue Adjustment</w:t>
            </w:r>
          </w:p>
        </w:tc>
      </w:tr>
    </w:tbl>
    <w:p w:rsidR="00724396" w:rsidRPr="003458FD" w:rsidRDefault="00724396" w:rsidP="00AD47E0">
      <w:pPr>
        <w:widowControl w:val="0"/>
        <w:rPr>
          <w:rFonts w:ascii="Times New Roman" w:hAnsi="Times New Roman"/>
          <w:szCs w:val="24"/>
        </w:rPr>
      </w:pPr>
    </w:p>
    <w:p w:rsidR="00EC21F7" w:rsidRDefault="001633FC" w:rsidP="00F14D10">
      <w:pPr>
        <w:rPr>
          <w:rFonts w:ascii="Times New Roman" w:hAnsi="Times New Roman"/>
          <w:szCs w:val="24"/>
        </w:rPr>
      </w:pPr>
      <w:r w:rsidRPr="003458FD">
        <w:rPr>
          <w:rFonts w:ascii="Times New Roman" w:hAnsi="Times New Roman"/>
          <w:bCs/>
          <w:szCs w:val="24"/>
        </w:rPr>
        <w:t xml:space="preserve">This filing requests a rate adjustment to recover $5.2 million </w:t>
      </w:r>
      <w:r w:rsidR="003458FD">
        <w:rPr>
          <w:rFonts w:ascii="Times New Roman" w:hAnsi="Times New Roman"/>
          <w:bCs/>
          <w:szCs w:val="24"/>
        </w:rPr>
        <w:t>in</w:t>
      </w:r>
      <w:r w:rsidRPr="003458FD">
        <w:rPr>
          <w:rFonts w:ascii="Times New Roman" w:hAnsi="Times New Roman"/>
          <w:bCs/>
          <w:szCs w:val="24"/>
        </w:rPr>
        <w:t xml:space="preserve"> over-credited revenues from the sale of Renewable Energy Credits (RECs).  As previously ordered by the </w:t>
      </w:r>
      <w:r w:rsidR="00A6314F">
        <w:rPr>
          <w:rFonts w:ascii="Times New Roman" w:hAnsi="Times New Roman"/>
          <w:bCs/>
          <w:szCs w:val="24"/>
        </w:rPr>
        <w:t>Commission</w:t>
      </w:r>
      <w:r w:rsidRPr="003458FD">
        <w:rPr>
          <w:rFonts w:ascii="Times New Roman" w:hAnsi="Times New Roman"/>
          <w:bCs/>
          <w:szCs w:val="24"/>
        </w:rPr>
        <w:t>, revenues from the sale of RECs are tracked and credited to customers separately from base rates.</w:t>
      </w:r>
      <w:r w:rsidRPr="003458FD">
        <w:rPr>
          <w:rStyle w:val="FootnoteReference"/>
          <w:rFonts w:ascii="Times New Roman" w:hAnsi="Times New Roman"/>
          <w:bCs/>
          <w:szCs w:val="24"/>
        </w:rPr>
        <w:footnoteReference w:id="1"/>
      </w:r>
      <w:r w:rsidRPr="003458FD">
        <w:rPr>
          <w:rFonts w:ascii="Times New Roman" w:hAnsi="Times New Roman"/>
          <w:bCs/>
          <w:szCs w:val="24"/>
        </w:rPr>
        <w:t xml:space="preserve">  </w:t>
      </w:r>
      <w:r w:rsidR="00C03F6A">
        <w:rPr>
          <w:rFonts w:ascii="Times New Roman" w:hAnsi="Times New Roman"/>
          <w:bCs/>
          <w:szCs w:val="24"/>
        </w:rPr>
        <w:t>The Company’s appeal</w:t>
      </w:r>
      <w:r w:rsidR="00F14D10">
        <w:rPr>
          <w:rFonts w:ascii="Times New Roman" w:hAnsi="Times New Roman"/>
          <w:szCs w:val="24"/>
        </w:rPr>
        <w:t xml:space="preserve"> regarding</w:t>
      </w:r>
      <w:r w:rsidRPr="003458FD">
        <w:rPr>
          <w:rFonts w:ascii="Times New Roman" w:hAnsi="Times New Roman"/>
          <w:szCs w:val="24"/>
        </w:rPr>
        <w:t xml:space="preserve"> historical REC revenues (January 1, 2009, through April 2, 2011) was resolved through a stipulation and one-time bill credit (Schedule 96) to customers in June 2014.</w:t>
      </w:r>
      <w:r w:rsidRPr="003458FD">
        <w:rPr>
          <w:rStyle w:val="FootnoteReference"/>
          <w:rFonts w:ascii="Times New Roman" w:hAnsi="Times New Roman"/>
          <w:szCs w:val="24"/>
        </w:rPr>
        <w:footnoteReference w:id="2"/>
      </w:r>
      <w:r w:rsidRPr="003458FD">
        <w:rPr>
          <w:rFonts w:ascii="Times New Roman" w:hAnsi="Times New Roman"/>
          <w:szCs w:val="24"/>
        </w:rPr>
        <w:t xml:space="preserve">  </w:t>
      </w:r>
    </w:p>
    <w:p w:rsidR="00EC21F7" w:rsidRDefault="00EC21F7" w:rsidP="00F14D10">
      <w:pPr>
        <w:rPr>
          <w:rFonts w:ascii="Times New Roman" w:hAnsi="Times New Roman"/>
          <w:szCs w:val="24"/>
        </w:rPr>
      </w:pPr>
    </w:p>
    <w:p w:rsidR="00EC21F7" w:rsidRDefault="001633FC" w:rsidP="00F14D10">
      <w:pPr>
        <w:rPr>
          <w:rFonts w:ascii="Times New Roman" w:hAnsi="Times New Roman"/>
          <w:szCs w:val="24"/>
        </w:rPr>
      </w:pPr>
      <w:r w:rsidRPr="003458FD">
        <w:rPr>
          <w:rFonts w:ascii="Times New Roman" w:hAnsi="Times New Roman"/>
          <w:szCs w:val="24"/>
        </w:rPr>
        <w:t xml:space="preserve">Now that the </w:t>
      </w:r>
      <w:r w:rsidR="00C03F6A">
        <w:rPr>
          <w:rFonts w:ascii="Times New Roman" w:hAnsi="Times New Roman"/>
          <w:szCs w:val="24"/>
        </w:rPr>
        <w:t>appeal</w:t>
      </w:r>
      <w:r w:rsidRPr="003458FD">
        <w:rPr>
          <w:rFonts w:ascii="Times New Roman" w:hAnsi="Times New Roman"/>
          <w:szCs w:val="24"/>
        </w:rPr>
        <w:t xml:space="preserve"> </w:t>
      </w:r>
      <w:r w:rsidR="00C03F6A">
        <w:rPr>
          <w:rFonts w:ascii="Times New Roman" w:hAnsi="Times New Roman"/>
          <w:szCs w:val="24"/>
        </w:rPr>
        <w:t>is</w:t>
      </w:r>
      <w:r w:rsidRPr="003458FD">
        <w:rPr>
          <w:rFonts w:ascii="Times New Roman" w:hAnsi="Times New Roman"/>
          <w:szCs w:val="24"/>
        </w:rPr>
        <w:t xml:space="preserve"> resolved,</w:t>
      </w:r>
      <w:r w:rsidR="00577F30">
        <w:rPr>
          <w:rStyle w:val="FootnoteReference"/>
          <w:rFonts w:ascii="Times New Roman" w:hAnsi="Times New Roman"/>
          <w:szCs w:val="24"/>
        </w:rPr>
        <w:footnoteReference w:id="3"/>
      </w:r>
      <w:r w:rsidRPr="003458FD">
        <w:rPr>
          <w:rFonts w:ascii="Times New Roman" w:hAnsi="Times New Roman"/>
          <w:szCs w:val="24"/>
        </w:rPr>
        <w:t xml:space="preserve"> </w:t>
      </w:r>
      <w:r w:rsidR="003458FD">
        <w:rPr>
          <w:rFonts w:ascii="Times New Roman" w:hAnsi="Times New Roman"/>
          <w:szCs w:val="24"/>
        </w:rPr>
        <w:t>this</w:t>
      </w:r>
      <w:r w:rsidRPr="003458FD">
        <w:rPr>
          <w:rFonts w:ascii="Times New Roman" w:hAnsi="Times New Roman"/>
          <w:szCs w:val="24"/>
        </w:rPr>
        <w:t xml:space="preserve"> filing requests a true up of REC </w:t>
      </w:r>
      <w:r w:rsidR="00C03F6A">
        <w:rPr>
          <w:rFonts w:ascii="Times New Roman" w:hAnsi="Times New Roman"/>
          <w:szCs w:val="24"/>
        </w:rPr>
        <w:t>sales proceeds,</w:t>
      </w:r>
      <w:r w:rsidRPr="003458FD">
        <w:rPr>
          <w:rFonts w:ascii="Times New Roman" w:hAnsi="Times New Roman"/>
          <w:szCs w:val="24"/>
        </w:rPr>
        <w:t xml:space="preserve"> net of amounts credited to customers, from April 3, 2011, through December 31, 2013.</w:t>
      </w:r>
      <w:r w:rsidR="0026038B">
        <w:rPr>
          <w:rStyle w:val="FootnoteReference"/>
          <w:rFonts w:ascii="Times New Roman" w:hAnsi="Times New Roman"/>
          <w:szCs w:val="24"/>
        </w:rPr>
        <w:footnoteReference w:id="4"/>
      </w:r>
      <w:r w:rsidR="003458FD">
        <w:rPr>
          <w:rFonts w:ascii="Times New Roman" w:hAnsi="Times New Roman"/>
          <w:szCs w:val="24"/>
        </w:rPr>
        <w:t xml:space="preserve">  </w:t>
      </w:r>
      <w:r w:rsidR="00F14D10">
        <w:rPr>
          <w:rFonts w:ascii="Times New Roman" w:hAnsi="Times New Roman"/>
          <w:bCs/>
          <w:szCs w:val="24"/>
        </w:rPr>
        <w:t>The C</w:t>
      </w:r>
      <w:r w:rsidRPr="003458FD">
        <w:rPr>
          <w:rFonts w:ascii="Times New Roman" w:hAnsi="Times New Roman"/>
          <w:bCs/>
          <w:szCs w:val="24"/>
        </w:rPr>
        <w:t>ompany</w:t>
      </w:r>
      <w:r w:rsidR="003458FD">
        <w:rPr>
          <w:rFonts w:ascii="Times New Roman" w:hAnsi="Times New Roman"/>
          <w:bCs/>
          <w:szCs w:val="24"/>
        </w:rPr>
        <w:t xml:space="preserve"> </w:t>
      </w:r>
      <w:r w:rsidRPr="003458FD">
        <w:rPr>
          <w:rFonts w:ascii="Times New Roman" w:hAnsi="Times New Roman"/>
          <w:bCs/>
          <w:szCs w:val="24"/>
        </w:rPr>
        <w:t>requests that the $5.2</w:t>
      </w:r>
      <w:r w:rsidR="003458FD">
        <w:rPr>
          <w:rFonts w:ascii="Times New Roman" w:hAnsi="Times New Roman"/>
          <w:bCs/>
          <w:szCs w:val="24"/>
        </w:rPr>
        <w:t xml:space="preserve"> </w:t>
      </w:r>
      <w:r w:rsidRPr="003458FD">
        <w:rPr>
          <w:rFonts w:ascii="Times New Roman" w:hAnsi="Times New Roman"/>
          <w:bCs/>
          <w:szCs w:val="24"/>
        </w:rPr>
        <w:t>m</w:t>
      </w:r>
      <w:r w:rsidR="003458FD">
        <w:rPr>
          <w:rFonts w:ascii="Times New Roman" w:hAnsi="Times New Roman"/>
          <w:bCs/>
          <w:szCs w:val="24"/>
        </w:rPr>
        <w:t>illion,</w:t>
      </w:r>
      <w:r w:rsidRPr="003458FD">
        <w:rPr>
          <w:rFonts w:ascii="Times New Roman" w:hAnsi="Times New Roman"/>
          <w:bCs/>
          <w:szCs w:val="24"/>
        </w:rPr>
        <w:t xml:space="preserve"> or 1.6</w:t>
      </w:r>
      <w:r w:rsidR="003458FD">
        <w:rPr>
          <w:rFonts w:ascii="Times New Roman" w:hAnsi="Times New Roman"/>
          <w:bCs/>
          <w:szCs w:val="24"/>
        </w:rPr>
        <w:t xml:space="preserve"> percent</w:t>
      </w:r>
      <w:r w:rsidRPr="003458FD">
        <w:rPr>
          <w:rFonts w:ascii="Times New Roman" w:hAnsi="Times New Roman"/>
          <w:bCs/>
          <w:szCs w:val="24"/>
        </w:rPr>
        <w:t xml:space="preserve"> overall</w:t>
      </w:r>
      <w:r w:rsidR="003458FD">
        <w:rPr>
          <w:rFonts w:ascii="Times New Roman" w:hAnsi="Times New Roman"/>
          <w:bCs/>
          <w:szCs w:val="24"/>
        </w:rPr>
        <w:t>,</w:t>
      </w:r>
      <w:r w:rsidRPr="003458FD">
        <w:rPr>
          <w:rFonts w:ascii="Times New Roman" w:hAnsi="Times New Roman"/>
          <w:bCs/>
          <w:szCs w:val="24"/>
        </w:rPr>
        <w:t xml:space="preserve"> be recovered from customers over a one-year period beginning November 16, 2014.</w:t>
      </w:r>
      <w:r w:rsidR="00577F30">
        <w:rPr>
          <w:rFonts w:ascii="Times New Roman" w:hAnsi="Times New Roman"/>
          <w:bCs/>
          <w:szCs w:val="24"/>
        </w:rPr>
        <w:t xml:space="preserve">  </w:t>
      </w:r>
      <w:r w:rsidR="00577F30" w:rsidRPr="003458FD">
        <w:rPr>
          <w:rFonts w:ascii="Times New Roman" w:hAnsi="Times New Roman"/>
          <w:szCs w:val="24"/>
        </w:rPr>
        <w:t>A residential cus</w:t>
      </w:r>
      <w:r w:rsidR="00577F30">
        <w:rPr>
          <w:rFonts w:ascii="Times New Roman" w:hAnsi="Times New Roman"/>
          <w:szCs w:val="24"/>
        </w:rPr>
        <w:t>tomer using approximately 1,300 </w:t>
      </w:r>
      <w:r w:rsidR="00577F30" w:rsidRPr="003458FD">
        <w:rPr>
          <w:rFonts w:ascii="Times New Roman" w:hAnsi="Times New Roman"/>
          <w:szCs w:val="24"/>
        </w:rPr>
        <w:t xml:space="preserve">kWh per month </w:t>
      </w:r>
      <w:r w:rsidR="00B35E66">
        <w:rPr>
          <w:rFonts w:ascii="Times New Roman" w:hAnsi="Times New Roman"/>
          <w:szCs w:val="24"/>
        </w:rPr>
        <w:t>would see a bill impact of $1.86</w:t>
      </w:r>
      <w:r w:rsidR="00577F30">
        <w:rPr>
          <w:rFonts w:ascii="Times New Roman" w:hAnsi="Times New Roman"/>
          <w:szCs w:val="24"/>
        </w:rPr>
        <w:t xml:space="preserve"> per month.</w:t>
      </w:r>
      <w:r w:rsidR="006E43FD">
        <w:rPr>
          <w:rFonts w:ascii="Times New Roman" w:hAnsi="Times New Roman"/>
          <w:szCs w:val="24"/>
        </w:rPr>
        <w:t xml:space="preserve">  </w:t>
      </w:r>
      <w:r w:rsidR="006E43FD" w:rsidRPr="003458FD">
        <w:rPr>
          <w:rFonts w:ascii="Times New Roman" w:hAnsi="Times New Roman"/>
          <w:szCs w:val="24"/>
        </w:rPr>
        <w:t xml:space="preserve">The Company will publish a notice to customers in accordance with WAC 480-100-194 </w:t>
      </w:r>
      <w:r w:rsidR="00EC21F7">
        <w:rPr>
          <w:rFonts w:ascii="Times New Roman" w:hAnsi="Times New Roman"/>
          <w:szCs w:val="24"/>
        </w:rPr>
        <w:t xml:space="preserve">on or before October 16, 2014.  </w:t>
      </w:r>
    </w:p>
    <w:p w:rsidR="00EC21F7" w:rsidRDefault="00EC21F7" w:rsidP="00F14D10">
      <w:pPr>
        <w:rPr>
          <w:rFonts w:ascii="Times New Roman" w:hAnsi="Times New Roman"/>
          <w:szCs w:val="24"/>
        </w:rPr>
      </w:pPr>
    </w:p>
    <w:p w:rsidR="00EC21F7" w:rsidRDefault="00EC21F7" w:rsidP="006E43FD">
      <w:pPr>
        <w:keepNext/>
        <w:rPr>
          <w:rFonts w:ascii="Times New Roman" w:hAnsi="Times New Roman"/>
          <w:szCs w:val="24"/>
        </w:rPr>
      </w:pPr>
      <w:r>
        <w:rPr>
          <w:rFonts w:ascii="Times New Roman" w:hAnsi="Times New Roman"/>
          <w:szCs w:val="24"/>
        </w:rPr>
        <w:lastRenderedPageBreak/>
        <w:t>The following attachments are included with this filing:</w:t>
      </w:r>
    </w:p>
    <w:p w:rsidR="00EC21F7" w:rsidRDefault="00EC21F7" w:rsidP="006E43FD">
      <w:pPr>
        <w:keepNext/>
        <w:rPr>
          <w:rFonts w:ascii="Times New Roman" w:hAnsi="Times New Roman"/>
          <w:szCs w:val="24"/>
        </w:rPr>
      </w:pPr>
    </w:p>
    <w:p w:rsidR="00EC21F7" w:rsidRPr="003458FD" w:rsidRDefault="00EC21F7" w:rsidP="00EC21F7">
      <w:pPr>
        <w:tabs>
          <w:tab w:val="left" w:pos="1080"/>
        </w:tabs>
        <w:ind w:left="1440"/>
        <w:rPr>
          <w:rFonts w:ascii="Times New Roman" w:hAnsi="Times New Roman"/>
          <w:szCs w:val="24"/>
        </w:rPr>
      </w:pPr>
      <w:r w:rsidRPr="003458FD">
        <w:rPr>
          <w:rFonts w:ascii="Times New Roman" w:hAnsi="Times New Roman"/>
          <w:szCs w:val="24"/>
        </w:rPr>
        <w:t>Attachment A—Draft Customer Notice</w:t>
      </w:r>
    </w:p>
    <w:p w:rsidR="00EC21F7" w:rsidRPr="003458FD" w:rsidRDefault="00EC21F7" w:rsidP="00EC21F7">
      <w:pPr>
        <w:tabs>
          <w:tab w:val="left" w:pos="1080"/>
        </w:tabs>
        <w:ind w:left="1440"/>
        <w:rPr>
          <w:rFonts w:ascii="Times New Roman" w:hAnsi="Times New Roman"/>
          <w:szCs w:val="24"/>
        </w:rPr>
      </w:pPr>
      <w:r w:rsidRPr="003458FD">
        <w:rPr>
          <w:rFonts w:ascii="Times New Roman" w:hAnsi="Times New Roman"/>
          <w:szCs w:val="24"/>
        </w:rPr>
        <w:t>Attachment B—List of Proposed Tariff Revisions</w:t>
      </w:r>
    </w:p>
    <w:p w:rsidR="00EC21F7" w:rsidRPr="003458FD" w:rsidRDefault="00EC21F7" w:rsidP="00EC21F7">
      <w:pPr>
        <w:tabs>
          <w:tab w:val="left" w:pos="1080"/>
        </w:tabs>
        <w:ind w:left="1440"/>
        <w:rPr>
          <w:rFonts w:ascii="Times New Roman" w:hAnsi="Times New Roman"/>
          <w:szCs w:val="24"/>
        </w:rPr>
      </w:pPr>
      <w:r w:rsidRPr="003458FD">
        <w:rPr>
          <w:rFonts w:ascii="Times New Roman" w:hAnsi="Times New Roman"/>
          <w:szCs w:val="24"/>
        </w:rPr>
        <w:t>Attachment C—Table Showing Bill Impacts</w:t>
      </w:r>
    </w:p>
    <w:p w:rsidR="00EC21F7" w:rsidRPr="003458FD" w:rsidRDefault="00EC21F7" w:rsidP="00EC21F7">
      <w:pPr>
        <w:tabs>
          <w:tab w:val="left" w:pos="1080"/>
        </w:tabs>
        <w:ind w:left="1440"/>
        <w:rPr>
          <w:rFonts w:ascii="Times New Roman" w:hAnsi="Times New Roman"/>
          <w:szCs w:val="24"/>
        </w:rPr>
      </w:pPr>
      <w:r w:rsidRPr="003458FD">
        <w:rPr>
          <w:rFonts w:ascii="Times New Roman" w:hAnsi="Times New Roman"/>
          <w:szCs w:val="24"/>
        </w:rPr>
        <w:t xml:space="preserve">Confidential Attachment D—REC Revenue </w:t>
      </w:r>
      <w:r w:rsidR="00334DB2">
        <w:rPr>
          <w:rFonts w:ascii="Times New Roman" w:hAnsi="Times New Roman"/>
          <w:szCs w:val="24"/>
        </w:rPr>
        <w:t>Calculation</w:t>
      </w:r>
    </w:p>
    <w:p w:rsidR="00EC21F7" w:rsidRDefault="00EC21F7" w:rsidP="00EC21F7">
      <w:pPr>
        <w:tabs>
          <w:tab w:val="left" w:pos="1080"/>
        </w:tabs>
        <w:ind w:left="1440"/>
        <w:rPr>
          <w:rFonts w:ascii="Times New Roman" w:hAnsi="Times New Roman"/>
          <w:szCs w:val="24"/>
        </w:rPr>
      </w:pPr>
      <w:r w:rsidRPr="003458FD">
        <w:rPr>
          <w:rFonts w:ascii="Times New Roman" w:hAnsi="Times New Roman"/>
          <w:szCs w:val="24"/>
        </w:rPr>
        <w:t>Attachment E—Revision to Schedule 95</w:t>
      </w:r>
    </w:p>
    <w:p w:rsidR="00EC21F7" w:rsidRPr="003458FD" w:rsidRDefault="00EC21F7" w:rsidP="00EC21F7">
      <w:pPr>
        <w:tabs>
          <w:tab w:val="left" w:pos="1080"/>
        </w:tabs>
        <w:ind w:left="1440"/>
        <w:rPr>
          <w:rFonts w:ascii="Times New Roman" w:hAnsi="Times New Roman"/>
          <w:szCs w:val="24"/>
        </w:rPr>
      </w:pPr>
    </w:p>
    <w:p w:rsidR="003458FD" w:rsidRPr="0026038B" w:rsidRDefault="003458FD" w:rsidP="00AD47E0">
      <w:pPr>
        <w:widowControl w:val="0"/>
        <w:rPr>
          <w:rFonts w:ascii="Times New Roman" w:hAnsi="Times New Roman"/>
          <w:b/>
          <w:szCs w:val="24"/>
          <w:u w:val="single"/>
        </w:rPr>
      </w:pPr>
      <w:r w:rsidRPr="0026038B">
        <w:rPr>
          <w:rFonts w:ascii="Times New Roman" w:hAnsi="Times New Roman"/>
          <w:b/>
          <w:szCs w:val="24"/>
          <w:u w:val="single"/>
        </w:rPr>
        <w:t>Background</w:t>
      </w:r>
    </w:p>
    <w:p w:rsidR="003458FD" w:rsidRDefault="003458FD" w:rsidP="00AD47E0">
      <w:pPr>
        <w:widowControl w:val="0"/>
        <w:rPr>
          <w:rFonts w:ascii="Times New Roman" w:hAnsi="Times New Roman"/>
          <w:szCs w:val="24"/>
        </w:rPr>
      </w:pPr>
    </w:p>
    <w:p w:rsidR="00F148BC" w:rsidRDefault="00F148BC" w:rsidP="005A1483">
      <w:pPr>
        <w:rPr>
          <w:rFonts w:ascii="Times New Roman" w:hAnsi="Times New Roman"/>
          <w:szCs w:val="24"/>
        </w:rPr>
      </w:pPr>
      <w:r>
        <w:rPr>
          <w:rFonts w:ascii="Times New Roman" w:hAnsi="Times New Roman"/>
          <w:szCs w:val="24"/>
        </w:rPr>
        <w:t>In Order 06 in Docket UE 100749, the Company’s 2010 general rate case, the Commission ordered Pacific Power to establish a mechanism to credit customers for REC sales proceeds.</w:t>
      </w:r>
      <w:r w:rsidR="00EC21F7">
        <w:rPr>
          <w:rStyle w:val="FootnoteReference"/>
          <w:rFonts w:ascii="Times New Roman" w:hAnsi="Times New Roman"/>
          <w:szCs w:val="24"/>
        </w:rPr>
        <w:footnoteReference w:id="5"/>
      </w:r>
      <w:r>
        <w:rPr>
          <w:rFonts w:ascii="Times New Roman" w:hAnsi="Times New Roman"/>
          <w:szCs w:val="24"/>
        </w:rPr>
        <w:t xml:space="preserve">  The Commission ordered Pacific Power to credit customers $4.8 million in estimated REC sales proceeds beginning April 3, 2011.</w:t>
      </w:r>
      <w:r w:rsidR="00EC21F7">
        <w:rPr>
          <w:rStyle w:val="FootnoteReference"/>
          <w:rFonts w:ascii="Times New Roman" w:hAnsi="Times New Roman"/>
          <w:szCs w:val="24"/>
        </w:rPr>
        <w:footnoteReference w:id="6"/>
      </w:r>
      <w:r>
        <w:rPr>
          <w:rFonts w:ascii="Times New Roman" w:hAnsi="Times New Roman"/>
          <w:szCs w:val="24"/>
        </w:rPr>
        <w:t xml:space="preserve"> </w:t>
      </w:r>
      <w:r w:rsidR="00EC21F7">
        <w:rPr>
          <w:rFonts w:ascii="Times New Roman" w:hAnsi="Times New Roman"/>
          <w:szCs w:val="24"/>
        </w:rPr>
        <w:t xml:space="preserve"> </w:t>
      </w:r>
      <w:r>
        <w:rPr>
          <w:rFonts w:ascii="Times New Roman" w:hAnsi="Times New Roman"/>
          <w:szCs w:val="24"/>
        </w:rPr>
        <w:t xml:space="preserve">Pacific Power filed a compliance tariff, Schedule 95, crediting </w:t>
      </w:r>
      <w:r w:rsidR="005A1483">
        <w:rPr>
          <w:rFonts w:ascii="Times New Roman" w:hAnsi="Times New Roman"/>
          <w:szCs w:val="24"/>
        </w:rPr>
        <w:t>the $4.8 million to customers</w:t>
      </w:r>
      <w:r w:rsidR="00EC21F7">
        <w:rPr>
          <w:rFonts w:ascii="Times New Roman" w:hAnsi="Times New Roman"/>
          <w:szCs w:val="24"/>
        </w:rPr>
        <w:t xml:space="preserve"> over twelve months</w:t>
      </w:r>
      <w:r w:rsidR="005A1483">
        <w:rPr>
          <w:rFonts w:ascii="Times New Roman" w:hAnsi="Times New Roman"/>
          <w:szCs w:val="24"/>
        </w:rPr>
        <w:t>.</w:t>
      </w:r>
      <w:r w:rsidR="00EC21F7">
        <w:rPr>
          <w:rStyle w:val="FootnoteReference"/>
          <w:rFonts w:ascii="Times New Roman" w:hAnsi="Times New Roman"/>
          <w:szCs w:val="24"/>
        </w:rPr>
        <w:footnoteReference w:id="7"/>
      </w:r>
    </w:p>
    <w:p w:rsidR="00F148BC" w:rsidRDefault="00F148BC" w:rsidP="00AD47E0">
      <w:pPr>
        <w:widowControl w:val="0"/>
        <w:rPr>
          <w:rFonts w:ascii="Times New Roman" w:hAnsi="Times New Roman"/>
          <w:szCs w:val="24"/>
        </w:rPr>
      </w:pPr>
    </w:p>
    <w:p w:rsidR="00845466" w:rsidRDefault="00F148BC" w:rsidP="00845466">
      <w:pPr>
        <w:widowControl w:val="0"/>
        <w:rPr>
          <w:rFonts w:ascii="Times New Roman" w:hAnsi="Times New Roman"/>
          <w:szCs w:val="24"/>
        </w:rPr>
      </w:pPr>
      <w:r>
        <w:rPr>
          <w:rFonts w:ascii="Times New Roman" w:hAnsi="Times New Roman"/>
          <w:szCs w:val="24"/>
        </w:rPr>
        <w:t xml:space="preserve">In Order 10, the Commission clarified that the mechanism should </w:t>
      </w:r>
      <w:r w:rsidR="00334DB2">
        <w:rPr>
          <w:rFonts w:ascii="Times New Roman" w:hAnsi="Times New Roman"/>
          <w:szCs w:val="24"/>
        </w:rPr>
        <w:t xml:space="preserve">be based on actual REC sales proceeds rather than a forecasted amount with a </w:t>
      </w:r>
      <w:r>
        <w:rPr>
          <w:rFonts w:ascii="Times New Roman" w:hAnsi="Times New Roman"/>
          <w:szCs w:val="24"/>
        </w:rPr>
        <w:t>true-up</w:t>
      </w:r>
      <w:r w:rsidR="00334DB2">
        <w:rPr>
          <w:rFonts w:ascii="Times New Roman" w:hAnsi="Times New Roman"/>
          <w:szCs w:val="24"/>
        </w:rPr>
        <w:t>.</w:t>
      </w:r>
      <w:r w:rsidR="00EC21F7">
        <w:rPr>
          <w:rStyle w:val="FootnoteReference"/>
          <w:rFonts w:ascii="Times New Roman" w:hAnsi="Times New Roman"/>
          <w:szCs w:val="24"/>
        </w:rPr>
        <w:footnoteReference w:id="8"/>
      </w:r>
      <w:r>
        <w:rPr>
          <w:rFonts w:ascii="Times New Roman" w:hAnsi="Times New Roman"/>
          <w:szCs w:val="24"/>
        </w:rPr>
        <w:t xml:space="preserve">  The Commission also instructed the parties to develop an appropriate mechanism.</w:t>
      </w:r>
      <w:r w:rsidR="00334DB2">
        <w:rPr>
          <w:rStyle w:val="FootnoteReference"/>
          <w:rFonts w:ascii="Times New Roman" w:hAnsi="Times New Roman"/>
          <w:szCs w:val="24"/>
        </w:rPr>
        <w:footnoteReference w:id="9"/>
      </w:r>
      <w:r>
        <w:rPr>
          <w:rFonts w:ascii="Times New Roman" w:hAnsi="Times New Roman"/>
          <w:szCs w:val="24"/>
        </w:rPr>
        <w:t xml:space="preserve">  </w:t>
      </w:r>
      <w:r w:rsidR="00845466" w:rsidRPr="003458FD">
        <w:rPr>
          <w:rFonts w:ascii="Times New Roman" w:hAnsi="Times New Roman"/>
          <w:szCs w:val="24"/>
        </w:rPr>
        <w:t xml:space="preserve">On February 28, 2013, the Company, Commission Staff, </w:t>
      </w:r>
      <w:r w:rsidR="00A6314F" w:rsidRPr="003458FD">
        <w:rPr>
          <w:rFonts w:ascii="Times New Roman" w:hAnsi="Times New Roman"/>
          <w:szCs w:val="24"/>
        </w:rPr>
        <w:t>Public Counsel</w:t>
      </w:r>
      <w:r w:rsidR="00A6314F">
        <w:rPr>
          <w:rFonts w:ascii="Times New Roman" w:hAnsi="Times New Roman"/>
          <w:szCs w:val="24"/>
        </w:rPr>
        <w:t>, and</w:t>
      </w:r>
      <w:r w:rsidR="00A6314F" w:rsidRPr="003458FD">
        <w:rPr>
          <w:rFonts w:ascii="Times New Roman" w:hAnsi="Times New Roman"/>
          <w:szCs w:val="24"/>
        </w:rPr>
        <w:t xml:space="preserve"> </w:t>
      </w:r>
      <w:r w:rsidR="00845466" w:rsidRPr="003458FD">
        <w:rPr>
          <w:rFonts w:ascii="Times New Roman" w:hAnsi="Times New Roman"/>
          <w:szCs w:val="24"/>
        </w:rPr>
        <w:t>the Industrial Customers of Northwest Utilities</w:t>
      </w:r>
      <w:r w:rsidR="00A6314F">
        <w:rPr>
          <w:rFonts w:ascii="Times New Roman" w:hAnsi="Times New Roman"/>
          <w:szCs w:val="24"/>
        </w:rPr>
        <w:t xml:space="preserve"> (ICNU)</w:t>
      </w:r>
      <w:r w:rsidR="00845466" w:rsidRPr="003458FD">
        <w:rPr>
          <w:rFonts w:ascii="Times New Roman" w:hAnsi="Times New Roman"/>
          <w:szCs w:val="24"/>
        </w:rPr>
        <w:t xml:space="preserve"> filed a joint letter with the Commission discussing the calculation and operation of the REC </w:t>
      </w:r>
      <w:r w:rsidR="00334DB2">
        <w:rPr>
          <w:rFonts w:ascii="Times New Roman" w:hAnsi="Times New Roman"/>
          <w:szCs w:val="24"/>
        </w:rPr>
        <w:t>sales proceeds tracking mechanism</w:t>
      </w:r>
      <w:r w:rsidR="00845466" w:rsidRPr="003458FD">
        <w:rPr>
          <w:rFonts w:ascii="Times New Roman" w:hAnsi="Times New Roman"/>
          <w:szCs w:val="24"/>
        </w:rPr>
        <w:t>.</w:t>
      </w:r>
      <w:r w:rsidR="00334DB2">
        <w:rPr>
          <w:rStyle w:val="FootnoteReference"/>
          <w:rFonts w:ascii="Times New Roman" w:hAnsi="Times New Roman"/>
          <w:szCs w:val="24"/>
        </w:rPr>
        <w:footnoteReference w:id="10"/>
      </w:r>
      <w:r w:rsidR="00845466" w:rsidRPr="003458FD">
        <w:rPr>
          <w:rFonts w:ascii="Times New Roman" w:hAnsi="Times New Roman"/>
          <w:szCs w:val="24"/>
        </w:rPr>
        <w:t xml:space="preserve">  The letter outlined the </w:t>
      </w:r>
      <w:r w:rsidR="00A6314F">
        <w:rPr>
          <w:rFonts w:ascii="Times New Roman" w:hAnsi="Times New Roman"/>
          <w:szCs w:val="24"/>
        </w:rPr>
        <w:t xml:space="preserve">parties’ </w:t>
      </w:r>
      <w:r w:rsidR="00845466" w:rsidRPr="003458FD">
        <w:rPr>
          <w:rFonts w:ascii="Times New Roman" w:hAnsi="Times New Roman"/>
          <w:szCs w:val="24"/>
        </w:rPr>
        <w:t xml:space="preserve">agreement </w:t>
      </w:r>
      <w:r w:rsidR="00A6314F">
        <w:rPr>
          <w:rFonts w:ascii="Times New Roman" w:hAnsi="Times New Roman"/>
          <w:szCs w:val="24"/>
        </w:rPr>
        <w:t xml:space="preserve">regarding calculation of the </w:t>
      </w:r>
      <w:r w:rsidR="00845466" w:rsidRPr="003458FD">
        <w:rPr>
          <w:rFonts w:ascii="Times New Roman" w:hAnsi="Times New Roman"/>
          <w:szCs w:val="24"/>
        </w:rPr>
        <w:t xml:space="preserve">revenues, the </w:t>
      </w:r>
      <w:r w:rsidR="00C03F6A">
        <w:rPr>
          <w:rFonts w:ascii="Times New Roman" w:hAnsi="Times New Roman"/>
          <w:szCs w:val="24"/>
        </w:rPr>
        <w:t xml:space="preserve">applicable </w:t>
      </w:r>
      <w:r w:rsidR="00845466" w:rsidRPr="003458FD">
        <w:rPr>
          <w:rFonts w:ascii="Times New Roman" w:hAnsi="Times New Roman"/>
          <w:szCs w:val="24"/>
        </w:rPr>
        <w:t>interest rate, and the filing dates.</w:t>
      </w:r>
      <w:r w:rsidR="00A6314F">
        <w:rPr>
          <w:rStyle w:val="FootnoteReference"/>
          <w:rFonts w:ascii="Times New Roman" w:hAnsi="Times New Roman"/>
          <w:szCs w:val="24"/>
        </w:rPr>
        <w:footnoteReference w:id="11"/>
      </w:r>
      <w:r w:rsidR="00A6314F" w:rsidRPr="003458FD">
        <w:rPr>
          <w:rFonts w:ascii="Times New Roman" w:hAnsi="Times New Roman"/>
          <w:szCs w:val="24"/>
        </w:rPr>
        <w:t xml:space="preserve"> </w:t>
      </w:r>
      <w:r w:rsidR="00845466" w:rsidRPr="003458FD">
        <w:rPr>
          <w:rFonts w:ascii="Times New Roman" w:hAnsi="Times New Roman"/>
          <w:szCs w:val="24"/>
        </w:rPr>
        <w:t xml:space="preserve"> </w:t>
      </w:r>
      <w:r w:rsidR="006E43FD">
        <w:rPr>
          <w:rFonts w:ascii="Times New Roman" w:hAnsi="Times New Roman"/>
          <w:szCs w:val="24"/>
        </w:rPr>
        <w:t>The</w:t>
      </w:r>
      <w:r w:rsidR="00845466" w:rsidRPr="003458FD">
        <w:rPr>
          <w:rFonts w:ascii="Times New Roman" w:hAnsi="Times New Roman"/>
          <w:szCs w:val="24"/>
        </w:rPr>
        <w:t xml:space="preserve"> parties agreed to a May 1 filing each year with a rate adjustment, if necessary, on June 1.</w:t>
      </w:r>
      <w:r w:rsidR="00334DB2">
        <w:rPr>
          <w:rFonts w:ascii="Times New Roman" w:hAnsi="Times New Roman"/>
          <w:szCs w:val="24"/>
        </w:rPr>
        <w:t xml:space="preserve">  </w:t>
      </w:r>
    </w:p>
    <w:p w:rsidR="00845466" w:rsidRPr="003458FD" w:rsidRDefault="00845466" w:rsidP="00845466">
      <w:pPr>
        <w:widowControl w:val="0"/>
        <w:rPr>
          <w:rFonts w:ascii="Times New Roman" w:hAnsi="Times New Roman"/>
          <w:szCs w:val="24"/>
        </w:rPr>
      </w:pPr>
    </w:p>
    <w:p w:rsidR="00F148BC" w:rsidRDefault="005A1483" w:rsidP="00AD47E0">
      <w:pPr>
        <w:widowControl w:val="0"/>
        <w:rPr>
          <w:rFonts w:ascii="Times New Roman" w:hAnsi="Times New Roman"/>
          <w:szCs w:val="24"/>
        </w:rPr>
      </w:pPr>
      <w:r>
        <w:rPr>
          <w:rFonts w:ascii="Times New Roman" w:hAnsi="Times New Roman"/>
          <w:szCs w:val="24"/>
        </w:rPr>
        <w:t>Because Pacific Power filed an appeal of Order 10, the Commission did not issue an order approving or rejecting the mechanism.</w:t>
      </w:r>
      <w:r w:rsidR="00334DB2">
        <w:rPr>
          <w:rStyle w:val="FootnoteReference"/>
          <w:rFonts w:ascii="Times New Roman" w:hAnsi="Times New Roman"/>
          <w:szCs w:val="24"/>
        </w:rPr>
        <w:footnoteReference w:id="12"/>
      </w:r>
      <w:r>
        <w:rPr>
          <w:rFonts w:ascii="Times New Roman" w:hAnsi="Times New Roman"/>
          <w:szCs w:val="24"/>
        </w:rPr>
        <w:t xml:space="preserve">  Pacific Power is required, however, to submit annual compliance filings reporting the proceeds from the sale of RECs for the previous calendar year.</w:t>
      </w:r>
      <w:r w:rsidR="00334DB2">
        <w:rPr>
          <w:rStyle w:val="FootnoteReference"/>
          <w:rFonts w:ascii="Times New Roman" w:hAnsi="Times New Roman"/>
          <w:szCs w:val="24"/>
        </w:rPr>
        <w:footnoteReference w:id="13"/>
      </w:r>
    </w:p>
    <w:p w:rsidR="005A1483" w:rsidRDefault="005A1483" w:rsidP="00AD47E0">
      <w:pPr>
        <w:widowControl w:val="0"/>
        <w:rPr>
          <w:rFonts w:ascii="Times New Roman" w:hAnsi="Times New Roman"/>
          <w:szCs w:val="24"/>
        </w:rPr>
      </w:pPr>
    </w:p>
    <w:p w:rsidR="005A1483" w:rsidRDefault="0026038B" w:rsidP="00BA7E7E">
      <w:pPr>
        <w:rPr>
          <w:rFonts w:ascii="Times New Roman" w:hAnsi="Times New Roman"/>
          <w:szCs w:val="24"/>
        </w:rPr>
      </w:pPr>
      <w:r>
        <w:rPr>
          <w:rFonts w:ascii="Times New Roman" w:hAnsi="Times New Roman"/>
          <w:szCs w:val="24"/>
        </w:rPr>
        <w:t>During the period April 3</w:t>
      </w:r>
      <w:r w:rsidR="005A1483">
        <w:rPr>
          <w:rFonts w:ascii="Times New Roman" w:hAnsi="Times New Roman"/>
          <w:szCs w:val="24"/>
        </w:rPr>
        <w:t>, 2011, through December 31, 2012, the Company over-credited customers for REC sales proceeds by approximately $3.</w:t>
      </w:r>
      <w:r w:rsidR="00A96FC8">
        <w:rPr>
          <w:rFonts w:ascii="Times New Roman" w:hAnsi="Times New Roman"/>
          <w:szCs w:val="24"/>
        </w:rPr>
        <w:t>6</w:t>
      </w:r>
      <w:r w:rsidR="005A1483">
        <w:rPr>
          <w:rFonts w:ascii="Times New Roman" w:hAnsi="Times New Roman"/>
          <w:szCs w:val="24"/>
        </w:rPr>
        <w:t xml:space="preserve"> million.</w:t>
      </w:r>
      <w:r w:rsidR="00A96FC8">
        <w:rPr>
          <w:rStyle w:val="FootnoteReference"/>
          <w:rFonts w:ascii="Times New Roman" w:hAnsi="Times New Roman"/>
          <w:szCs w:val="24"/>
        </w:rPr>
        <w:footnoteReference w:id="14"/>
      </w:r>
      <w:r w:rsidR="005A1483">
        <w:rPr>
          <w:rFonts w:ascii="Times New Roman" w:hAnsi="Times New Roman"/>
          <w:szCs w:val="24"/>
        </w:rPr>
        <w:t xml:space="preserve">  In a letter filed </w:t>
      </w:r>
      <w:r w:rsidR="00845466">
        <w:rPr>
          <w:rFonts w:ascii="Times New Roman" w:hAnsi="Times New Roman"/>
          <w:szCs w:val="24"/>
        </w:rPr>
        <w:t>January 16</w:t>
      </w:r>
      <w:r w:rsidR="005A1483">
        <w:rPr>
          <w:rFonts w:ascii="Times New Roman" w:hAnsi="Times New Roman"/>
          <w:szCs w:val="24"/>
        </w:rPr>
        <w:t xml:space="preserve">, </w:t>
      </w:r>
      <w:r w:rsidR="005A1483">
        <w:rPr>
          <w:rFonts w:ascii="Times New Roman" w:hAnsi="Times New Roman"/>
          <w:szCs w:val="24"/>
        </w:rPr>
        <w:lastRenderedPageBreak/>
        <w:t>2013, Pacific Power requested that the Commission set Schedule 95 to zero due to this over-credit.</w:t>
      </w:r>
      <w:r w:rsidR="00BA7E7E">
        <w:rPr>
          <w:rStyle w:val="FootnoteReference"/>
          <w:rFonts w:ascii="Times New Roman" w:hAnsi="Times New Roman"/>
          <w:szCs w:val="24"/>
        </w:rPr>
        <w:footnoteReference w:id="15"/>
      </w:r>
      <w:r w:rsidR="005A1483" w:rsidRPr="005A1483">
        <w:rPr>
          <w:rFonts w:ascii="Times New Roman" w:hAnsi="Times New Roman"/>
          <w:szCs w:val="24"/>
        </w:rPr>
        <w:t xml:space="preserve"> </w:t>
      </w:r>
      <w:r w:rsidR="005A1483">
        <w:rPr>
          <w:rFonts w:ascii="Times New Roman" w:hAnsi="Times New Roman"/>
          <w:szCs w:val="24"/>
        </w:rPr>
        <w:t xml:space="preserve"> </w:t>
      </w:r>
      <w:r w:rsidR="005A1483" w:rsidRPr="003458FD">
        <w:rPr>
          <w:rFonts w:ascii="Times New Roman" w:hAnsi="Times New Roman"/>
          <w:szCs w:val="24"/>
        </w:rPr>
        <w:t>On February 1</w:t>
      </w:r>
      <w:r w:rsidR="00845466">
        <w:rPr>
          <w:rFonts w:ascii="Times New Roman" w:hAnsi="Times New Roman"/>
          <w:szCs w:val="24"/>
        </w:rPr>
        <w:t>2</w:t>
      </w:r>
      <w:r w:rsidR="005A1483" w:rsidRPr="003458FD">
        <w:rPr>
          <w:rFonts w:ascii="Times New Roman" w:hAnsi="Times New Roman"/>
          <w:szCs w:val="24"/>
        </w:rPr>
        <w:t xml:space="preserve">, 2013, the </w:t>
      </w:r>
      <w:r w:rsidR="00A6314F">
        <w:rPr>
          <w:rFonts w:ascii="Times New Roman" w:hAnsi="Times New Roman"/>
          <w:szCs w:val="24"/>
        </w:rPr>
        <w:t>Commission</w:t>
      </w:r>
      <w:r w:rsidR="005A1483" w:rsidRPr="003458FD">
        <w:rPr>
          <w:rFonts w:ascii="Times New Roman" w:hAnsi="Times New Roman"/>
          <w:szCs w:val="24"/>
        </w:rPr>
        <w:t xml:space="preserve"> approved the Company’s request</w:t>
      </w:r>
      <w:r w:rsidR="00845466">
        <w:rPr>
          <w:rFonts w:ascii="Times New Roman" w:hAnsi="Times New Roman"/>
          <w:szCs w:val="24"/>
        </w:rPr>
        <w:t>,</w:t>
      </w:r>
      <w:r w:rsidR="005A1483" w:rsidRPr="003458FD">
        <w:rPr>
          <w:rFonts w:ascii="Times New Roman" w:hAnsi="Times New Roman"/>
          <w:szCs w:val="24"/>
        </w:rPr>
        <w:t xml:space="preserve"> effective immediately.</w:t>
      </w:r>
    </w:p>
    <w:p w:rsidR="00A6314F" w:rsidRDefault="00A6314F" w:rsidP="00BA7E7E">
      <w:pPr>
        <w:rPr>
          <w:rFonts w:ascii="Times New Roman" w:hAnsi="Times New Roman"/>
          <w:szCs w:val="24"/>
        </w:rPr>
      </w:pPr>
    </w:p>
    <w:p w:rsidR="00F23E7C" w:rsidRPr="003458FD" w:rsidRDefault="00845466" w:rsidP="00A6314F">
      <w:pPr>
        <w:rPr>
          <w:rFonts w:ascii="Times New Roman" w:hAnsi="Times New Roman"/>
          <w:szCs w:val="24"/>
        </w:rPr>
      </w:pPr>
      <w:r>
        <w:rPr>
          <w:rFonts w:ascii="Times New Roman" w:hAnsi="Times New Roman"/>
          <w:szCs w:val="24"/>
        </w:rPr>
        <w:t>C</w:t>
      </w:r>
      <w:r w:rsidR="00050ADA" w:rsidRPr="003458FD">
        <w:rPr>
          <w:rFonts w:ascii="Times New Roman" w:hAnsi="Times New Roman"/>
          <w:szCs w:val="24"/>
        </w:rPr>
        <w:t xml:space="preserve">onsistent with </w:t>
      </w:r>
      <w:r>
        <w:rPr>
          <w:rFonts w:ascii="Times New Roman" w:hAnsi="Times New Roman"/>
          <w:szCs w:val="24"/>
        </w:rPr>
        <w:t>the parties’ joint proposal</w:t>
      </w:r>
      <w:r w:rsidR="00A96FC8">
        <w:rPr>
          <w:rFonts w:ascii="Times New Roman" w:hAnsi="Times New Roman"/>
          <w:szCs w:val="24"/>
        </w:rPr>
        <w:t>, the Company submitt</w:t>
      </w:r>
      <w:r w:rsidR="00050ADA" w:rsidRPr="003458FD">
        <w:rPr>
          <w:rFonts w:ascii="Times New Roman" w:hAnsi="Times New Roman"/>
          <w:szCs w:val="24"/>
        </w:rPr>
        <w:t xml:space="preserve">ed </w:t>
      </w:r>
      <w:r>
        <w:rPr>
          <w:rFonts w:ascii="Times New Roman" w:hAnsi="Times New Roman"/>
          <w:szCs w:val="24"/>
        </w:rPr>
        <w:t xml:space="preserve">compliance filings on May 1, 2013, and May 1, 2014.  In the May 1, 2014 filing, the Company </w:t>
      </w:r>
      <w:r w:rsidR="00050ADA" w:rsidRPr="003458FD">
        <w:rPr>
          <w:rFonts w:ascii="Times New Roman" w:hAnsi="Times New Roman"/>
          <w:szCs w:val="24"/>
        </w:rPr>
        <w:t xml:space="preserve">reported </w:t>
      </w:r>
      <w:r>
        <w:rPr>
          <w:rFonts w:ascii="Times New Roman" w:hAnsi="Times New Roman"/>
          <w:szCs w:val="24"/>
        </w:rPr>
        <w:t xml:space="preserve">an over-credit to customers of </w:t>
      </w:r>
      <w:r w:rsidR="00050ADA" w:rsidRPr="003458FD">
        <w:rPr>
          <w:rFonts w:ascii="Times New Roman" w:hAnsi="Times New Roman"/>
          <w:szCs w:val="24"/>
        </w:rPr>
        <w:t>approximately $0.9 million for the sale of RECs in calendar year 2013.</w:t>
      </w:r>
      <w:r w:rsidR="00A6314F">
        <w:rPr>
          <w:rFonts w:ascii="Times New Roman" w:hAnsi="Times New Roman"/>
          <w:szCs w:val="24"/>
        </w:rPr>
        <w:t xml:space="preserve">  </w:t>
      </w:r>
      <w:r w:rsidR="00F23E7C" w:rsidRPr="003458FD">
        <w:rPr>
          <w:rFonts w:ascii="Times New Roman" w:hAnsi="Times New Roman"/>
          <w:szCs w:val="24"/>
        </w:rPr>
        <w:t xml:space="preserve">The Company did not pursue recovery of the over-credited amounts </w:t>
      </w:r>
      <w:r w:rsidR="00C03F6A">
        <w:rPr>
          <w:rFonts w:ascii="Times New Roman" w:hAnsi="Times New Roman"/>
          <w:szCs w:val="24"/>
        </w:rPr>
        <w:t>in</w:t>
      </w:r>
      <w:r w:rsidR="00F23E7C" w:rsidRPr="003458FD">
        <w:rPr>
          <w:rFonts w:ascii="Times New Roman" w:hAnsi="Times New Roman"/>
          <w:szCs w:val="24"/>
        </w:rPr>
        <w:t xml:space="preserve"> the May 1, 2013 or May 1, 2014 compliance filings due to the ongoing controversy and </w:t>
      </w:r>
      <w:r w:rsidR="00C03F6A">
        <w:rPr>
          <w:rFonts w:ascii="Times New Roman" w:hAnsi="Times New Roman"/>
          <w:szCs w:val="24"/>
        </w:rPr>
        <w:t>appeal</w:t>
      </w:r>
      <w:r w:rsidR="00F23E7C" w:rsidRPr="003458FD">
        <w:rPr>
          <w:rFonts w:ascii="Times New Roman" w:hAnsi="Times New Roman"/>
          <w:szCs w:val="24"/>
        </w:rPr>
        <w:t xml:space="preserve"> of the Commission’s orders.  No party </w:t>
      </w:r>
      <w:r w:rsidR="00A96FC8">
        <w:rPr>
          <w:rFonts w:ascii="Times New Roman" w:hAnsi="Times New Roman"/>
          <w:szCs w:val="24"/>
        </w:rPr>
        <w:t>commented</w:t>
      </w:r>
      <w:r w:rsidR="00F23E7C" w:rsidRPr="003458FD">
        <w:rPr>
          <w:rFonts w:ascii="Times New Roman" w:hAnsi="Times New Roman"/>
          <w:szCs w:val="24"/>
        </w:rPr>
        <w:t xml:space="preserve"> on these filings or requested that a rate adjustment be implemented associated with the over-credited amounts, nor did any party informally raise concerns with the Company. </w:t>
      </w:r>
    </w:p>
    <w:p w:rsidR="00F23E7C" w:rsidRPr="003458FD" w:rsidRDefault="00F23E7C" w:rsidP="00AD47E0">
      <w:pPr>
        <w:widowControl w:val="0"/>
        <w:rPr>
          <w:rFonts w:ascii="Times New Roman" w:hAnsi="Times New Roman"/>
          <w:szCs w:val="24"/>
        </w:rPr>
      </w:pPr>
    </w:p>
    <w:p w:rsidR="00116AA2" w:rsidRPr="003458FD" w:rsidRDefault="00C632B1" w:rsidP="00AD47E0">
      <w:pPr>
        <w:widowControl w:val="0"/>
        <w:rPr>
          <w:rFonts w:ascii="Times New Roman" w:hAnsi="Times New Roman"/>
          <w:szCs w:val="24"/>
        </w:rPr>
      </w:pPr>
      <w:r w:rsidRPr="003458FD">
        <w:rPr>
          <w:rFonts w:ascii="Times New Roman" w:hAnsi="Times New Roman"/>
          <w:szCs w:val="24"/>
        </w:rPr>
        <w:t>The</w:t>
      </w:r>
      <w:r w:rsidR="00C03F6A">
        <w:rPr>
          <w:rFonts w:ascii="Times New Roman" w:hAnsi="Times New Roman"/>
          <w:szCs w:val="24"/>
        </w:rPr>
        <w:t xml:space="preserve"> appeal regarding</w:t>
      </w:r>
      <w:r w:rsidRPr="003458FD">
        <w:rPr>
          <w:rFonts w:ascii="Times New Roman" w:hAnsi="Times New Roman"/>
          <w:szCs w:val="24"/>
        </w:rPr>
        <w:t xml:space="preserve"> historical REC revenues was resolved through a stipulation and one-time bill credit (Schedule 96) to customers totaling $13.0 million</w:t>
      </w:r>
      <w:r w:rsidR="00845466">
        <w:rPr>
          <w:rFonts w:ascii="Times New Roman" w:hAnsi="Times New Roman"/>
          <w:szCs w:val="24"/>
        </w:rPr>
        <w:t>, implemented</w:t>
      </w:r>
      <w:r w:rsidR="00946914" w:rsidRPr="003458FD">
        <w:rPr>
          <w:rFonts w:ascii="Times New Roman" w:hAnsi="Times New Roman"/>
          <w:szCs w:val="24"/>
        </w:rPr>
        <w:t xml:space="preserve"> in June 2014</w:t>
      </w:r>
      <w:r w:rsidRPr="003458FD">
        <w:rPr>
          <w:rFonts w:ascii="Times New Roman" w:hAnsi="Times New Roman"/>
          <w:szCs w:val="24"/>
        </w:rPr>
        <w:t xml:space="preserve">.  </w:t>
      </w:r>
      <w:r w:rsidR="00845466">
        <w:rPr>
          <w:rFonts w:ascii="Times New Roman" w:hAnsi="Times New Roman"/>
          <w:szCs w:val="24"/>
        </w:rPr>
        <w:t xml:space="preserve">The appeal was dismissed by the </w:t>
      </w:r>
      <w:r w:rsidR="00C03F6A">
        <w:rPr>
          <w:rFonts w:ascii="Times New Roman" w:hAnsi="Times New Roman"/>
          <w:szCs w:val="24"/>
        </w:rPr>
        <w:t>Washington State C</w:t>
      </w:r>
      <w:r w:rsidR="00845466">
        <w:rPr>
          <w:rFonts w:ascii="Times New Roman" w:hAnsi="Times New Roman"/>
          <w:szCs w:val="24"/>
        </w:rPr>
        <w:t xml:space="preserve">ourt of </w:t>
      </w:r>
      <w:r w:rsidR="00C03F6A">
        <w:rPr>
          <w:rFonts w:ascii="Times New Roman" w:hAnsi="Times New Roman"/>
          <w:szCs w:val="24"/>
        </w:rPr>
        <w:t>A</w:t>
      </w:r>
      <w:r w:rsidR="00845466">
        <w:rPr>
          <w:rFonts w:ascii="Times New Roman" w:hAnsi="Times New Roman"/>
          <w:szCs w:val="24"/>
        </w:rPr>
        <w:t xml:space="preserve">ppeals in July 2014 and by the Thurston County Superior Court in August 2014.  </w:t>
      </w:r>
      <w:r w:rsidRPr="003458FD">
        <w:rPr>
          <w:rFonts w:ascii="Times New Roman" w:hAnsi="Times New Roman"/>
          <w:szCs w:val="24"/>
        </w:rPr>
        <w:t xml:space="preserve">Now that the </w:t>
      </w:r>
      <w:r w:rsidR="00C03F6A">
        <w:rPr>
          <w:rFonts w:ascii="Times New Roman" w:hAnsi="Times New Roman"/>
          <w:szCs w:val="24"/>
        </w:rPr>
        <w:t>appeal</w:t>
      </w:r>
      <w:r w:rsidRPr="003458FD">
        <w:rPr>
          <w:rFonts w:ascii="Times New Roman" w:hAnsi="Times New Roman"/>
          <w:szCs w:val="24"/>
        </w:rPr>
        <w:t xml:space="preserve"> is resolved, </w:t>
      </w:r>
      <w:r w:rsidR="00EA76C1" w:rsidRPr="003458FD">
        <w:rPr>
          <w:rFonts w:ascii="Times New Roman" w:hAnsi="Times New Roman"/>
          <w:szCs w:val="24"/>
        </w:rPr>
        <w:t xml:space="preserve">the Company </w:t>
      </w:r>
      <w:r w:rsidR="00845466">
        <w:rPr>
          <w:rFonts w:ascii="Times New Roman" w:hAnsi="Times New Roman"/>
          <w:szCs w:val="24"/>
        </w:rPr>
        <w:t xml:space="preserve">requests </w:t>
      </w:r>
      <w:r w:rsidR="00EA76C1" w:rsidRPr="003458FD">
        <w:rPr>
          <w:rFonts w:ascii="Times New Roman" w:hAnsi="Times New Roman"/>
          <w:szCs w:val="24"/>
        </w:rPr>
        <w:t>a rate adjustment to true up the amount in the balancing account</w:t>
      </w:r>
      <w:r w:rsidRPr="003458FD">
        <w:rPr>
          <w:rFonts w:ascii="Times New Roman" w:hAnsi="Times New Roman"/>
          <w:szCs w:val="24"/>
        </w:rPr>
        <w:t xml:space="preserve"> for the post-April 2011</w:t>
      </w:r>
      <w:r w:rsidR="0013363C" w:rsidRPr="003458FD">
        <w:rPr>
          <w:rFonts w:ascii="Times New Roman" w:hAnsi="Times New Roman"/>
          <w:szCs w:val="24"/>
        </w:rPr>
        <w:t xml:space="preserve"> amounts</w:t>
      </w:r>
      <w:r w:rsidR="00EA76C1" w:rsidRPr="003458FD">
        <w:rPr>
          <w:rFonts w:ascii="Times New Roman" w:hAnsi="Times New Roman"/>
          <w:szCs w:val="24"/>
        </w:rPr>
        <w:t xml:space="preserve">.  </w:t>
      </w:r>
      <w:r w:rsidR="00BA7E7E">
        <w:rPr>
          <w:rFonts w:ascii="Times New Roman" w:hAnsi="Times New Roman"/>
          <w:szCs w:val="24"/>
        </w:rPr>
        <w:t xml:space="preserve">Before making this filing, the Company informally notified Commission Staff, Public Counsel, and ICNU of its intent to request recovery of the over-credited amounts.  </w:t>
      </w:r>
    </w:p>
    <w:p w:rsidR="00A83D9E" w:rsidRDefault="00A83D9E" w:rsidP="00AD47E0">
      <w:pPr>
        <w:widowControl w:val="0"/>
        <w:rPr>
          <w:rFonts w:ascii="Times New Roman" w:hAnsi="Times New Roman"/>
          <w:szCs w:val="24"/>
        </w:rPr>
      </w:pPr>
    </w:p>
    <w:p w:rsidR="0026038B" w:rsidRPr="0026038B" w:rsidRDefault="0026038B" w:rsidP="00AD47E0">
      <w:pPr>
        <w:widowControl w:val="0"/>
        <w:rPr>
          <w:rFonts w:ascii="Times New Roman" w:hAnsi="Times New Roman"/>
          <w:b/>
          <w:szCs w:val="24"/>
          <w:u w:val="single"/>
        </w:rPr>
      </w:pPr>
      <w:r w:rsidRPr="0026038B">
        <w:rPr>
          <w:rFonts w:ascii="Times New Roman" w:hAnsi="Times New Roman"/>
          <w:b/>
          <w:szCs w:val="24"/>
          <w:u w:val="single"/>
        </w:rPr>
        <w:t>Calculation of REC Sales Proceeds</w:t>
      </w:r>
    </w:p>
    <w:p w:rsidR="0026038B" w:rsidRPr="003458FD" w:rsidRDefault="0026038B" w:rsidP="00AD47E0">
      <w:pPr>
        <w:widowControl w:val="0"/>
        <w:rPr>
          <w:rFonts w:ascii="Times New Roman" w:hAnsi="Times New Roman"/>
          <w:szCs w:val="24"/>
        </w:rPr>
      </w:pPr>
    </w:p>
    <w:p w:rsidR="00946914" w:rsidRDefault="00BA7E7E" w:rsidP="00AD47E0">
      <w:pPr>
        <w:widowControl w:val="0"/>
        <w:rPr>
          <w:rFonts w:ascii="Times New Roman" w:hAnsi="Times New Roman"/>
          <w:szCs w:val="24"/>
        </w:rPr>
      </w:pPr>
      <w:r>
        <w:rPr>
          <w:rFonts w:ascii="Times New Roman" w:hAnsi="Times New Roman"/>
          <w:szCs w:val="24"/>
        </w:rPr>
        <w:t>Consistent with the calculation of Washington-allocated REC sales proceeds described in the February 28, 2013 joint letter regarding the agreed-upon tracking mechanism, p</w:t>
      </w:r>
      <w:r w:rsidR="00946914" w:rsidRPr="003458FD">
        <w:rPr>
          <w:rFonts w:ascii="Times New Roman" w:hAnsi="Times New Roman"/>
          <w:szCs w:val="24"/>
        </w:rPr>
        <w:t xml:space="preserve">age 1 of </w:t>
      </w:r>
      <w:r w:rsidR="00354D42" w:rsidRPr="003458FD">
        <w:rPr>
          <w:rFonts w:ascii="Times New Roman" w:hAnsi="Times New Roman"/>
          <w:szCs w:val="24"/>
        </w:rPr>
        <w:t>Confidential Attachment D</w:t>
      </w:r>
      <w:r w:rsidR="00A83D9E" w:rsidRPr="003458FD">
        <w:rPr>
          <w:rFonts w:ascii="Times New Roman" w:hAnsi="Times New Roman"/>
          <w:szCs w:val="24"/>
        </w:rPr>
        <w:t xml:space="preserve"> shows an accounting of actual proceeds fr</w:t>
      </w:r>
      <w:r w:rsidR="0026038B">
        <w:rPr>
          <w:rFonts w:ascii="Times New Roman" w:hAnsi="Times New Roman"/>
          <w:szCs w:val="24"/>
        </w:rPr>
        <w:t>om the sale of RECs from April 3</w:t>
      </w:r>
      <w:r w:rsidR="00A83D9E" w:rsidRPr="003458FD">
        <w:rPr>
          <w:rFonts w:ascii="Times New Roman" w:hAnsi="Times New Roman"/>
          <w:szCs w:val="24"/>
        </w:rPr>
        <w:t>, 2011, through December 31, 2013, calculated in compliance with Orders 10 and 11.</w:t>
      </w:r>
      <w:r w:rsidR="00A83D9E" w:rsidRPr="003458FD">
        <w:rPr>
          <w:rStyle w:val="FootnoteReference"/>
          <w:rFonts w:ascii="Times New Roman" w:hAnsi="Times New Roman"/>
          <w:szCs w:val="24"/>
        </w:rPr>
        <w:footnoteReference w:id="16"/>
      </w:r>
      <w:r w:rsidR="00A83D9E" w:rsidRPr="003458FD">
        <w:rPr>
          <w:rFonts w:ascii="Times New Roman" w:hAnsi="Times New Roman"/>
          <w:szCs w:val="24"/>
        </w:rPr>
        <w:t xml:space="preserve">  Page 1 of the attachment shows a summary of the Washington allocation of actual revenues (line 1), the Washington allocation of imputed revenues associated with RECs held for compliance (line 2), an adjustment for Washington’s renewable portfolio standard (RPS) compliance requirements (line 3), the amount of credits passed back to customers through Schedule 95 (line 4), the amount of accumulated interest through December 2013 (line 5), and the accumulated interest through calendar year 2014 and the amortization period (line 6).  Total Washington-allocated revenues are shown on line 7.  </w:t>
      </w:r>
    </w:p>
    <w:p w:rsidR="007F0DD3" w:rsidRPr="003458FD" w:rsidRDefault="007F0DD3" w:rsidP="00AD47E0">
      <w:pPr>
        <w:widowControl w:val="0"/>
        <w:rPr>
          <w:rFonts w:ascii="Times New Roman" w:hAnsi="Times New Roman"/>
          <w:szCs w:val="24"/>
        </w:rPr>
      </w:pPr>
    </w:p>
    <w:p w:rsidR="00946914" w:rsidRDefault="00946914" w:rsidP="00946914">
      <w:pPr>
        <w:rPr>
          <w:rStyle w:val="A4"/>
          <w:rFonts w:ascii="Times New Roman" w:hAnsi="Times New Roman"/>
          <w:sz w:val="24"/>
          <w:szCs w:val="24"/>
        </w:rPr>
      </w:pPr>
      <w:r w:rsidRPr="003458FD">
        <w:rPr>
          <w:rFonts w:ascii="Times New Roman" w:hAnsi="Times New Roman"/>
          <w:szCs w:val="24"/>
        </w:rPr>
        <w:t xml:space="preserve">Pages </w:t>
      </w:r>
      <w:r w:rsidR="007F0DD3">
        <w:rPr>
          <w:rFonts w:ascii="Times New Roman" w:hAnsi="Times New Roman"/>
          <w:szCs w:val="24"/>
        </w:rPr>
        <w:t>2</w:t>
      </w:r>
      <w:r w:rsidRPr="003458FD">
        <w:rPr>
          <w:rFonts w:ascii="Times New Roman" w:hAnsi="Times New Roman"/>
          <w:szCs w:val="24"/>
        </w:rPr>
        <w:t xml:space="preserve"> through </w:t>
      </w:r>
      <w:r w:rsidR="007F0DD3">
        <w:rPr>
          <w:rFonts w:ascii="Times New Roman" w:hAnsi="Times New Roman"/>
          <w:szCs w:val="24"/>
        </w:rPr>
        <w:t>4</w:t>
      </w:r>
      <w:r w:rsidRPr="003458FD">
        <w:rPr>
          <w:rFonts w:ascii="Times New Roman" w:hAnsi="Times New Roman"/>
          <w:szCs w:val="24"/>
        </w:rPr>
        <w:t xml:space="preserve"> show the more detailed calculations that are summarized </w:t>
      </w:r>
      <w:r w:rsidR="007F0DD3">
        <w:rPr>
          <w:rFonts w:ascii="Times New Roman" w:hAnsi="Times New Roman"/>
          <w:szCs w:val="24"/>
        </w:rPr>
        <w:t>o</w:t>
      </w:r>
      <w:r w:rsidRPr="003458FD">
        <w:rPr>
          <w:rFonts w:ascii="Times New Roman" w:hAnsi="Times New Roman"/>
          <w:szCs w:val="24"/>
        </w:rPr>
        <w:t xml:space="preserve">n Page 1.  </w:t>
      </w:r>
      <w:r w:rsidRPr="003458FD">
        <w:rPr>
          <w:rStyle w:val="A4"/>
          <w:rFonts w:ascii="Times New Roman" w:hAnsi="Times New Roman"/>
          <w:sz w:val="24"/>
          <w:szCs w:val="24"/>
        </w:rPr>
        <w:t xml:space="preserve">Lines 1 through 6 show the total revenue from west control area resources.  Lines 10 through 15 show Washington’s allocation of these revenues using the </w:t>
      </w:r>
      <w:r w:rsidR="00A6314F" w:rsidRPr="003458FD">
        <w:rPr>
          <w:rStyle w:val="A4"/>
          <w:rFonts w:ascii="Times New Roman" w:hAnsi="Times New Roman"/>
          <w:sz w:val="24"/>
          <w:szCs w:val="24"/>
        </w:rPr>
        <w:t xml:space="preserve">Control Area Generation West (CAGW) factor </w:t>
      </w:r>
      <w:r w:rsidR="00A6314F">
        <w:rPr>
          <w:rStyle w:val="A4"/>
          <w:rFonts w:ascii="Times New Roman" w:hAnsi="Times New Roman"/>
          <w:sz w:val="24"/>
          <w:szCs w:val="24"/>
        </w:rPr>
        <w:t xml:space="preserve">from the Commission-approved </w:t>
      </w:r>
      <w:r w:rsidRPr="003458FD">
        <w:rPr>
          <w:rStyle w:val="A4"/>
          <w:rFonts w:ascii="Times New Roman" w:hAnsi="Times New Roman"/>
          <w:sz w:val="24"/>
          <w:szCs w:val="24"/>
        </w:rPr>
        <w:t>West Control Area inter-jurisdictional allocation methodology.</w:t>
      </w:r>
    </w:p>
    <w:p w:rsidR="00A6314F" w:rsidRPr="003458FD" w:rsidRDefault="00A6314F" w:rsidP="00946914">
      <w:pPr>
        <w:rPr>
          <w:rStyle w:val="A4"/>
          <w:rFonts w:ascii="Times New Roman" w:hAnsi="Times New Roman"/>
          <w:sz w:val="24"/>
          <w:szCs w:val="24"/>
        </w:rPr>
      </w:pPr>
    </w:p>
    <w:p w:rsidR="00946914" w:rsidRPr="003458FD" w:rsidRDefault="00946914" w:rsidP="00946914">
      <w:pPr>
        <w:rPr>
          <w:rStyle w:val="A4"/>
          <w:rFonts w:ascii="Times New Roman" w:hAnsi="Times New Roman"/>
          <w:sz w:val="24"/>
          <w:szCs w:val="24"/>
        </w:rPr>
      </w:pPr>
      <w:r w:rsidRPr="003458FD">
        <w:rPr>
          <w:rStyle w:val="A4"/>
          <w:rFonts w:ascii="Times New Roman" w:hAnsi="Times New Roman"/>
          <w:sz w:val="24"/>
          <w:szCs w:val="24"/>
        </w:rPr>
        <w:t xml:space="preserve">Lines 17 through 50 reflect the calculation of Washington’s allocation of the value of RECs held for compliance.  These imputation calculations are categorized by renewable generation resource type (wind, small hydro, large hydro, and biomass).  The Company allocates Washington its CAGW share </w:t>
      </w:r>
      <w:r w:rsidR="00A6314F">
        <w:rPr>
          <w:rStyle w:val="A4"/>
          <w:rFonts w:ascii="Times New Roman" w:hAnsi="Times New Roman"/>
          <w:sz w:val="24"/>
          <w:szCs w:val="24"/>
        </w:rPr>
        <w:t>of all RECs held for compliance</w:t>
      </w:r>
      <w:r w:rsidRPr="003458FD">
        <w:rPr>
          <w:rStyle w:val="A4"/>
          <w:rFonts w:ascii="Times New Roman" w:hAnsi="Times New Roman"/>
          <w:sz w:val="24"/>
          <w:szCs w:val="24"/>
        </w:rPr>
        <w:t xml:space="preserve"> and then multiplies that share by an average price based on transactions for that type and vintage of REC.</w:t>
      </w:r>
    </w:p>
    <w:p w:rsidR="00984EDA" w:rsidRPr="003458FD" w:rsidRDefault="00984EDA" w:rsidP="00946914">
      <w:pPr>
        <w:rPr>
          <w:rStyle w:val="A4"/>
          <w:rFonts w:ascii="Times New Roman" w:hAnsi="Times New Roman"/>
          <w:sz w:val="24"/>
          <w:szCs w:val="24"/>
        </w:rPr>
      </w:pPr>
    </w:p>
    <w:p w:rsidR="00946914" w:rsidRPr="003458FD" w:rsidRDefault="00984EDA" w:rsidP="00946914">
      <w:pPr>
        <w:rPr>
          <w:rStyle w:val="A4"/>
          <w:rFonts w:ascii="Times New Roman" w:hAnsi="Times New Roman"/>
          <w:sz w:val="24"/>
          <w:szCs w:val="24"/>
        </w:rPr>
      </w:pPr>
      <w:r w:rsidRPr="003458FD">
        <w:rPr>
          <w:rStyle w:val="A4"/>
          <w:rFonts w:ascii="Times New Roman" w:hAnsi="Times New Roman"/>
          <w:sz w:val="24"/>
          <w:szCs w:val="24"/>
        </w:rPr>
        <w:t xml:space="preserve">Lines </w:t>
      </w:r>
      <w:r w:rsidR="00946914" w:rsidRPr="003458FD">
        <w:rPr>
          <w:rStyle w:val="A4"/>
          <w:rFonts w:ascii="Times New Roman" w:hAnsi="Times New Roman"/>
          <w:sz w:val="24"/>
          <w:szCs w:val="24"/>
        </w:rPr>
        <w:t xml:space="preserve">52 through 55 </w:t>
      </w:r>
      <w:r w:rsidRPr="003458FD">
        <w:rPr>
          <w:rStyle w:val="A4"/>
          <w:rFonts w:ascii="Times New Roman" w:hAnsi="Times New Roman"/>
          <w:sz w:val="24"/>
          <w:szCs w:val="24"/>
        </w:rPr>
        <w:t>reflect</w:t>
      </w:r>
      <w:r w:rsidR="00946914" w:rsidRPr="003458FD">
        <w:rPr>
          <w:rStyle w:val="A4"/>
          <w:rFonts w:ascii="Times New Roman" w:hAnsi="Times New Roman"/>
          <w:sz w:val="24"/>
          <w:szCs w:val="24"/>
        </w:rPr>
        <w:t xml:space="preserve"> an adjustment for Washington’s RPS compliance requirement.  This calculation uses the same average price assumption for wind RECs as used in the revenue imputation calculatio</w:t>
      </w:r>
      <w:r w:rsidRPr="003458FD">
        <w:rPr>
          <w:rStyle w:val="A4"/>
          <w:rFonts w:ascii="Times New Roman" w:hAnsi="Times New Roman"/>
          <w:sz w:val="24"/>
          <w:szCs w:val="24"/>
        </w:rPr>
        <w:t>n for RECs held for compliance</w:t>
      </w:r>
      <w:r w:rsidR="00946914" w:rsidRPr="003458FD">
        <w:rPr>
          <w:rStyle w:val="A4"/>
          <w:rFonts w:ascii="Times New Roman" w:hAnsi="Times New Roman"/>
          <w:sz w:val="24"/>
          <w:szCs w:val="24"/>
        </w:rPr>
        <w:t xml:space="preserve">.  </w:t>
      </w:r>
      <w:r w:rsidR="00C03F6A">
        <w:rPr>
          <w:rStyle w:val="A4"/>
          <w:rFonts w:ascii="Times New Roman" w:hAnsi="Times New Roman"/>
          <w:sz w:val="24"/>
          <w:szCs w:val="24"/>
        </w:rPr>
        <w:t>Total Washington-allocated REC sales proceeds</w:t>
      </w:r>
      <w:r w:rsidR="00946914" w:rsidRPr="003458FD">
        <w:rPr>
          <w:rStyle w:val="A4"/>
          <w:rFonts w:ascii="Times New Roman" w:hAnsi="Times New Roman"/>
          <w:sz w:val="24"/>
          <w:szCs w:val="24"/>
        </w:rPr>
        <w:t>, before interest and credits to customers, are calculated on line 57.</w:t>
      </w:r>
    </w:p>
    <w:p w:rsidR="00946914" w:rsidRPr="003458FD" w:rsidRDefault="00946914" w:rsidP="00946914">
      <w:pPr>
        <w:rPr>
          <w:rStyle w:val="A4"/>
          <w:rFonts w:ascii="Times New Roman" w:hAnsi="Times New Roman"/>
          <w:sz w:val="24"/>
          <w:szCs w:val="24"/>
        </w:rPr>
      </w:pPr>
    </w:p>
    <w:p w:rsidR="00946914" w:rsidRPr="003458FD" w:rsidRDefault="00984EDA" w:rsidP="00946914">
      <w:pPr>
        <w:rPr>
          <w:rStyle w:val="A4"/>
          <w:rFonts w:ascii="Times New Roman" w:hAnsi="Times New Roman"/>
          <w:sz w:val="24"/>
          <w:szCs w:val="24"/>
        </w:rPr>
      </w:pPr>
      <w:r w:rsidRPr="003458FD">
        <w:rPr>
          <w:rStyle w:val="A4"/>
          <w:rFonts w:ascii="Times New Roman" w:hAnsi="Times New Roman"/>
          <w:sz w:val="24"/>
          <w:szCs w:val="24"/>
        </w:rPr>
        <w:t xml:space="preserve">Page </w:t>
      </w:r>
      <w:r w:rsidR="007F0DD3">
        <w:rPr>
          <w:rStyle w:val="A4"/>
          <w:rFonts w:ascii="Times New Roman" w:hAnsi="Times New Roman"/>
          <w:sz w:val="24"/>
          <w:szCs w:val="24"/>
        </w:rPr>
        <w:t>5</w:t>
      </w:r>
      <w:r w:rsidR="00946914" w:rsidRPr="003458FD">
        <w:rPr>
          <w:rStyle w:val="A4"/>
          <w:rFonts w:ascii="Times New Roman" w:hAnsi="Times New Roman"/>
          <w:sz w:val="24"/>
          <w:szCs w:val="24"/>
        </w:rPr>
        <w:t xml:space="preserve"> shows a summary of the Company’s megawatt hours of renewable generation, quantities of RECs sold, quantities of RECs held for compliance, and revenues from sales of RECs for various types of renewable generation (wind, small hydro, large hydro, and biomass) from resources included in the west control area.  Page </w:t>
      </w:r>
      <w:r w:rsidR="007F0DD3">
        <w:rPr>
          <w:rStyle w:val="A4"/>
          <w:rFonts w:ascii="Times New Roman" w:hAnsi="Times New Roman"/>
          <w:sz w:val="24"/>
          <w:szCs w:val="24"/>
        </w:rPr>
        <w:t>6</w:t>
      </w:r>
      <w:r w:rsidR="00946914" w:rsidRPr="003458FD">
        <w:rPr>
          <w:rStyle w:val="A4"/>
          <w:rFonts w:ascii="Times New Roman" w:hAnsi="Times New Roman"/>
          <w:sz w:val="24"/>
          <w:szCs w:val="24"/>
        </w:rPr>
        <w:t xml:space="preserve"> shows the calculation of interest using the Company’s after-tax weighted average cost of capital.  </w:t>
      </w:r>
    </w:p>
    <w:p w:rsidR="003C441C" w:rsidRPr="003458FD" w:rsidRDefault="003C441C"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It is respectfully requested that all formal correspondence and Staff requests regarding this material be addressed to:</w:t>
      </w:r>
    </w:p>
    <w:p w:rsidR="00903EB4" w:rsidRPr="003458FD" w:rsidRDefault="00903EB4" w:rsidP="00AD47E0">
      <w:pPr>
        <w:widowControl w:val="0"/>
        <w:rPr>
          <w:rFonts w:ascii="Times New Roman" w:hAnsi="Times New Roman"/>
          <w:szCs w:val="24"/>
        </w:rPr>
      </w:pPr>
    </w:p>
    <w:p w:rsidR="00903EB4" w:rsidRPr="003458FD" w:rsidRDefault="00903EB4" w:rsidP="003458FD">
      <w:pPr>
        <w:widowControl w:val="0"/>
        <w:tabs>
          <w:tab w:val="left" w:pos="3240"/>
        </w:tabs>
        <w:ind w:left="720"/>
        <w:rPr>
          <w:rFonts w:ascii="Times New Roman" w:hAnsi="Times New Roman"/>
          <w:szCs w:val="24"/>
        </w:rPr>
      </w:pPr>
      <w:r w:rsidRPr="003458FD">
        <w:rPr>
          <w:rFonts w:ascii="Times New Roman" w:hAnsi="Times New Roman"/>
          <w:szCs w:val="24"/>
        </w:rPr>
        <w:t xml:space="preserve">By </w:t>
      </w:r>
      <w:r w:rsidR="003458FD">
        <w:rPr>
          <w:rFonts w:ascii="Times New Roman" w:hAnsi="Times New Roman"/>
          <w:szCs w:val="24"/>
        </w:rPr>
        <w:t>e-m</w:t>
      </w:r>
      <w:r w:rsidRPr="003458FD">
        <w:rPr>
          <w:rFonts w:ascii="Times New Roman" w:hAnsi="Times New Roman"/>
          <w:szCs w:val="24"/>
        </w:rPr>
        <w:t xml:space="preserve">ail (preferred): </w:t>
      </w:r>
      <w:r w:rsidR="003458FD">
        <w:rPr>
          <w:rFonts w:ascii="Times New Roman" w:hAnsi="Times New Roman"/>
          <w:szCs w:val="24"/>
        </w:rPr>
        <w:tab/>
      </w:r>
      <w:hyperlink r:id="rId9" w:history="1">
        <w:r w:rsidRPr="003458FD">
          <w:rPr>
            <w:rStyle w:val="Hyperlink"/>
            <w:rFonts w:ascii="Times New Roman" w:hAnsi="Times New Roman"/>
            <w:szCs w:val="24"/>
          </w:rPr>
          <w:t>datarequest@pacificorp.com</w:t>
        </w:r>
      </w:hyperlink>
    </w:p>
    <w:p w:rsidR="00903EB4" w:rsidRPr="003458FD" w:rsidRDefault="00903EB4" w:rsidP="00AD47E0">
      <w:pPr>
        <w:widowControl w:val="0"/>
        <w:tabs>
          <w:tab w:val="left" w:pos="2880"/>
        </w:tabs>
        <w:ind w:left="720"/>
        <w:rPr>
          <w:rFonts w:ascii="Times New Roman" w:hAnsi="Times New Roman"/>
          <w:szCs w:val="24"/>
        </w:rPr>
      </w:pPr>
    </w:p>
    <w:p w:rsidR="00903EB4" w:rsidRPr="003458FD" w:rsidRDefault="00903EB4" w:rsidP="003458FD">
      <w:pPr>
        <w:widowControl w:val="0"/>
        <w:tabs>
          <w:tab w:val="left" w:pos="3240"/>
        </w:tabs>
        <w:ind w:left="720"/>
        <w:rPr>
          <w:rFonts w:ascii="Times New Roman" w:hAnsi="Times New Roman"/>
          <w:szCs w:val="24"/>
        </w:rPr>
      </w:pPr>
      <w:r w:rsidRPr="003458FD">
        <w:rPr>
          <w:rFonts w:ascii="Times New Roman" w:hAnsi="Times New Roman"/>
          <w:szCs w:val="24"/>
        </w:rPr>
        <w:t xml:space="preserve">By regular mail: </w:t>
      </w:r>
      <w:r w:rsidRPr="003458FD">
        <w:rPr>
          <w:rFonts w:ascii="Times New Roman" w:hAnsi="Times New Roman"/>
          <w:szCs w:val="24"/>
        </w:rPr>
        <w:tab/>
        <w:t>Data Request Response Center</w:t>
      </w:r>
    </w:p>
    <w:p w:rsidR="00903EB4" w:rsidRPr="003458FD" w:rsidRDefault="00B14F56" w:rsidP="003458FD">
      <w:pPr>
        <w:widowControl w:val="0"/>
        <w:tabs>
          <w:tab w:val="left" w:pos="3240"/>
        </w:tabs>
        <w:ind w:left="720"/>
        <w:rPr>
          <w:rFonts w:ascii="Times New Roman" w:hAnsi="Times New Roman"/>
          <w:szCs w:val="24"/>
        </w:rPr>
      </w:pPr>
      <w:r w:rsidRPr="003458FD">
        <w:rPr>
          <w:rFonts w:ascii="Times New Roman" w:hAnsi="Times New Roman"/>
          <w:szCs w:val="24"/>
        </w:rPr>
        <w:tab/>
      </w:r>
      <w:r w:rsidR="00903EB4" w:rsidRPr="003458FD">
        <w:rPr>
          <w:rFonts w:ascii="Times New Roman" w:hAnsi="Times New Roman"/>
          <w:szCs w:val="24"/>
        </w:rPr>
        <w:t>PacifiCorp</w:t>
      </w:r>
    </w:p>
    <w:p w:rsidR="00903EB4" w:rsidRPr="003458FD" w:rsidRDefault="00B14F56" w:rsidP="003458FD">
      <w:pPr>
        <w:widowControl w:val="0"/>
        <w:tabs>
          <w:tab w:val="left" w:pos="3240"/>
        </w:tabs>
        <w:ind w:left="720"/>
        <w:rPr>
          <w:rFonts w:ascii="Times New Roman" w:hAnsi="Times New Roman"/>
          <w:szCs w:val="24"/>
        </w:rPr>
      </w:pPr>
      <w:r w:rsidRPr="003458FD">
        <w:rPr>
          <w:rFonts w:ascii="Times New Roman" w:hAnsi="Times New Roman"/>
          <w:szCs w:val="24"/>
        </w:rPr>
        <w:tab/>
      </w:r>
      <w:r w:rsidR="00903EB4" w:rsidRPr="003458FD">
        <w:rPr>
          <w:rFonts w:ascii="Times New Roman" w:hAnsi="Times New Roman"/>
          <w:szCs w:val="24"/>
        </w:rPr>
        <w:t>825 NE Multnomah</w:t>
      </w:r>
      <w:r w:rsidR="00724396" w:rsidRPr="003458FD">
        <w:rPr>
          <w:rFonts w:ascii="Times New Roman" w:hAnsi="Times New Roman"/>
          <w:szCs w:val="24"/>
        </w:rPr>
        <w:t xml:space="preserve"> Street</w:t>
      </w:r>
      <w:r w:rsidR="00903EB4" w:rsidRPr="003458FD">
        <w:rPr>
          <w:rFonts w:ascii="Times New Roman" w:hAnsi="Times New Roman"/>
          <w:szCs w:val="24"/>
        </w:rPr>
        <w:t>, Suite 2000</w:t>
      </w:r>
    </w:p>
    <w:p w:rsidR="00903EB4" w:rsidRPr="003458FD" w:rsidRDefault="00B14F56" w:rsidP="003458FD">
      <w:pPr>
        <w:widowControl w:val="0"/>
        <w:tabs>
          <w:tab w:val="left" w:pos="3240"/>
        </w:tabs>
        <w:ind w:left="720"/>
        <w:rPr>
          <w:rFonts w:ascii="Times New Roman" w:hAnsi="Times New Roman"/>
          <w:szCs w:val="24"/>
        </w:rPr>
      </w:pPr>
      <w:r w:rsidRPr="003458FD">
        <w:rPr>
          <w:rFonts w:ascii="Times New Roman" w:hAnsi="Times New Roman"/>
          <w:szCs w:val="24"/>
        </w:rPr>
        <w:tab/>
      </w:r>
      <w:r w:rsidR="00903EB4" w:rsidRPr="003458FD">
        <w:rPr>
          <w:rFonts w:ascii="Times New Roman" w:hAnsi="Times New Roman"/>
          <w:szCs w:val="24"/>
        </w:rPr>
        <w:t>Portland, Oregon, 97232</w:t>
      </w:r>
    </w:p>
    <w:p w:rsidR="00FA7843" w:rsidRPr="003458FD" w:rsidRDefault="00FA7843"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 xml:space="preserve">Informal questions should be directed to </w:t>
      </w:r>
      <w:r w:rsidR="00C60801" w:rsidRPr="003458FD">
        <w:rPr>
          <w:rFonts w:ascii="Times New Roman" w:hAnsi="Times New Roman"/>
          <w:szCs w:val="24"/>
        </w:rPr>
        <w:t>Natasha Siores</w:t>
      </w:r>
      <w:r w:rsidR="00724396" w:rsidRPr="003458FD">
        <w:rPr>
          <w:rFonts w:ascii="Times New Roman" w:hAnsi="Times New Roman"/>
          <w:szCs w:val="24"/>
        </w:rPr>
        <w:t>, Director, Regulatory Affairs &amp; Revenue Requirement</w:t>
      </w:r>
      <w:r w:rsidRPr="003458FD">
        <w:rPr>
          <w:rFonts w:ascii="Times New Roman" w:hAnsi="Times New Roman"/>
          <w:szCs w:val="24"/>
        </w:rPr>
        <w:t>, at (503) 813-</w:t>
      </w:r>
      <w:r w:rsidR="00C60801" w:rsidRPr="003458FD">
        <w:rPr>
          <w:rFonts w:ascii="Times New Roman" w:hAnsi="Times New Roman"/>
          <w:szCs w:val="24"/>
        </w:rPr>
        <w:t>6583</w:t>
      </w:r>
      <w:r w:rsidRPr="003458FD">
        <w:rPr>
          <w:rFonts w:ascii="Times New Roman" w:hAnsi="Times New Roman"/>
          <w:szCs w:val="24"/>
        </w:rPr>
        <w:t>.</w:t>
      </w:r>
    </w:p>
    <w:p w:rsidR="00903EB4" w:rsidRPr="003458FD" w:rsidRDefault="00903EB4"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r w:rsidRPr="003458FD">
        <w:rPr>
          <w:rFonts w:ascii="Times New Roman" w:hAnsi="Times New Roman"/>
          <w:szCs w:val="24"/>
        </w:rPr>
        <w:t>Sincerely,</w:t>
      </w:r>
    </w:p>
    <w:p w:rsidR="00903EB4" w:rsidRPr="003458FD" w:rsidRDefault="00903EB4"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p>
    <w:p w:rsidR="00903EB4" w:rsidRPr="003458FD" w:rsidRDefault="00903EB4" w:rsidP="00AD47E0">
      <w:pPr>
        <w:widowControl w:val="0"/>
        <w:rPr>
          <w:rFonts w:ascii="Times New Roman" w:hAnsi="Times New Roman"/>
          <w:szCs w:val="24"/>
        </w:rPr>
      </w:pPr>
    </w:p>
    <w:p w:rsidR="00903EB4" w:rsidRPr="003458FD" w:rsidRDefault="00C60801" w:rsidP="00AD47E0">
      <w:pPr>
        <w:widowControl w:val="0"/>
        <w:rPr>
          <w:rFonts w:ascii="Times New Roman" w:hAnsi="Times New Roman"/>
          <w:szCs w:val="24"/>
        </w:rPr>
      </w:pPr>
      <w:r w:rsidRPr="003458FD">
        <w:rPr>
          <w:rFonts w:ascii="Times New Roman" w:hAnsi="Times New Roman"/>
          <w:szCs w:val="24"/>
        </w:rPr>
        <w:t>R. Bryce Dalley</w:t>
      </w:r>
    </w:p>
    <w:p w:rsidR="00887BBA" w:rsidRPr="003458FD" w:rsidRDefault="00903EB4" w:rsidP="00AD47E0">
      <w:pPr>
        <w:widowControl w:val="0"/>
        <w:rPr>
          <w:rFonts w:ascii="Times New Roman" w:hAnsi="Times New Roman"/>
          <w:szCs w:val="24"/>
        </w:rPr>
      </w:pPr>
      <w:r w:rsidRPr="003458FD">
        <w:rPr>
          <w:rFonts w:ascii="Times New Roman" w:hAnsi="Times New Roman"/>
          <w:szCs w:val="24"/>
        </w:rPr>
        <w:t>Vice President, Regulation</w:t>
      </w:r>
    </w:p>
    <w:p w:rsidR="00EA76C1" w:rsidRPr="003458FD" w:rsidRDefault="00EA76C1" w:rsidP="00AD47E0">
      <w:pPr>
        <w:widowControl w:val="0"/>
        <w:rPr>
          <w:rFonts w:ascii="Times New Roman" w:hAnsi="Times New Roman"/>
          <w:szCs w:val="24"/>
        </w:rPr>
      </w:pPr>
    </w:p>
    <w:p w:rsidR="005E52F0" w:rsidRPr="003458FD" w:rsidRDefault="000C1AAE" w:rsidP="00AD47E0">
      <w:pPr>
        <w:widowControl w:val="0"/>
        <w:rPr>
          <w:rFonts w:ascii="Times New Roman" w:hAnsi="Times New Roman"/>
          <w:szCs w:val="24"/>
        </w:rPr>
      </w:pPr>
      <w:r w:rsidRPr="003458FD">
        <w:rPr>
          <w:rFonts w:ascii="Times New Roman" w:hAnsi="Times New Roman"/>
          <w:szCs w:val="24"/>
        </w:rPr>
        <w:t>Enclosures</w:t>
      </w:r>
    </w:p>
    <w:p w:rsidR="00A65599" w:rsidRPr="003458FD" w:rsidRDefault="00A65599" w:rsidP="00AD47E0">
      <w:pPr>
        <w:widowControl w:val="0"/>
        <w:rPr>
          <w:rFonts w:ascii="Times New Roman" w:hAnsi="Times New Roman"/>
          <w:szCs w:val="24"/>
        </w:rPr>
      </w:pPr>
    </w:p>
    <w:p w:rsidR="00932DA6" w:rsidRPr="003458FD" w:rsidRDefault="00932DA6" w:rsidP="00432970">
      <w:pPr>
        <w:tabs>
          <w:tab w:val="left" w:pos="1080"/>
        </w:tabs>
        <w:rPr>
          <w:rFonts w:ascii="Times New Roman" w:hAnsi="Times New Roman"/>
          <w:szCs w:val="24"/>
        </w:rPr>
      </w:pPr>
      <w:r w:rsidRPr="003458FD">
        <w:rPr>
          <w:rFonts w:ascii="Times New Roman" w:hAnsi="Times New Roman"/>
          <w:szCs w:val="24"/>
        </w:rPr>
        <w:t xml:space="preserve">cc: </w:t>
      </w:r>
      <w:r w:rsidRPr="003458FD">
        <w:rPr>
          <w:rFonts w:ascii="Times New Roman" w:hAnsi="Times New Roman"/>
          <w:szCs w:val="24"/>
        </w:rPr>
        <w:tab/>
      </w:r>
      <w:r w:rsidR="00432970">
        <w:rPr>
          <w:rFonts w:ascii="Times New Roman" w:hAnsi="Times New Roman"/>
          <w:szCs w:val="24"/>
        </w:rPr>
        <w:t>Service List for Docket UE-100749</w:t>
      </w:r>
    </w:p>
    <w:sectPr w:rsidR="00932DA6" w:rsidRPr="003458FD" w:rsidSect="00EC21F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B1" w:rsidRDefault="009E49B1">
      <w:r>
        <w:separator/>
      </w:r>
    </w:p>
  </w:endnote>
  <w:endnote w:type="continuationSeparator" w:id="0">
    <w:p w:rsidR="009E49B1" w:rsidRDefault="009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94" w:rsidRDefault="00543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94" w:rsidRDefault="00543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94" w:rsidRDefault="00543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B1" w:rsidRDefault="009E49B1">
      <w:r>
        <w:separator/>
      </w:r>
    </w:p>
  </w:footnote>
  <w:footnote w:type="continuationSeparator" w:id="0">
    <w:p w:rsidR="009E49B1" w:rsidRDefault="009E49B1">
      <w:r>
        <w:continuationSeparator/>
      </w:r>
    </w:p>
  </w:footnote>
  <w:footnote w:id="1">
    <w:p w:rsidR="001633FC" w:rsidRDefault="001633FC">
      <w:pPr>
        <w:pStyle w:val="FootnoteText"/>
      </w:pPr>
      <w:r>
        <w:rPr>
          <w:rStyle w:val="FootnoteReference"/>
        </w:rPr>
        <w:footnoteRef/>
      </w:r>
      <w:r>
        <w:t xml:space="preserve"> </w:t>
      </w:r>
      <w:r w:rsidR="00BA7E7E">
        <w:rPr>
          <w:i/>
        </w:rPr>
        <w:t>WUTC</w:t>
      </w:r>
      <w:r>
        <w:rPr>
          <w:i/>
        </w:rPr>
        <w:t xml:space="preserve"> v. PacifiCorp, d/b/a </w:t>
      </w:r>
      <w:r w:rsidRPr="001633FC">
        <w:rPr>
          <w:i/>
        </w:rPr>
        <w:t>Pacific Power &amp; Light Co</w:t>
      </w:r>
      <w:r>
        <w:t xml:space="preserve">., </w:t>
      </w:r>
      <w:r w:rsidRPr="001633FC">
        <w:t>Docket</w:t>
      </w:r>
      <w:r>
        <w:t xml:space="preserve"> UE-100749, Order 06, ¶ 204 (Mar. 25, 2011).  </w:t>
      </w:r>
    </w:p>
  </w:footnote>
  <w:footnote w:id="2">
    <w:p w:rsidR="001633FC" w:rsidRDefault="001633FC">
      <w:pPr>
        <w:pStyle w:val="FootnoteText"/>
      </w:pPr>
      <w:r>
        <w:rPr>
          <w:rStyle w:val="FootnoteReference"/>
        </w:rPr>
        <w:footnoteRef/>
      </w:r>
      <w:r>
        <w:t xml:space="preserve"> </w:t>
      </w:r>
      <w:r w:rsidR="00BA7E7E">
        <w:rPr>
          <w:i/>
        </w:rPr>
        <w:t>WUTC</w:t>
      </w:r>
      <w:r>
        <w:rPr>
          <w:i/>
        </w:rPr>
        <w:t xml:space="preserve"> v. PacifiCorp</w:t>
      </w:r>
      <w:r>
        <w:t xml:space="preserve">, </w:t>
      </w:r>
      <w:r w:rsidRPr="001633FC">
        <w:t>Docket</w:t>
      </w:r>
      <w:r>
        <w:t xml:space="preserve"> UE-100749, Order</w:t>
      </w:r>
      <w:r w:rsidR="003458FD">
        <w:t> 15 (Jun. 12, 2014)</w:t>
      </w:r>
      <w:r w:rsidR="00836572">
        <w:t>.</w:t>
      </w:r>
    </w:p>
  </w:footnote>
  <w:footnote w:id="3">
    <w:p w:rsidR="00577F30" w:rsidRDefault="00577F30">
      <w:pPr>
        <w:pStyle w:val="FootnoteText"/>
      </w:pPr>
      <w:r>
        <w:rPr>
          <w:rStyle w:val="FootnoteReference"/>
        </w:rPr>
        <w:footnoteRef/>
      </w:r>
      <w:r>
        <w:t xml:space="preserve"> The </w:t>
      </w:r>
      <w:r w:rsidR="00C03F6A">
        <w:t>appeal</w:t>
      </w:r>
      <w:r>
        <w:t xml:space="preserve"> was resolved through dismissal of the appeal by the </w:t>
      </w:r>
      <w:r w:rsidR="00941CDB">
        <w:t>Washington State C</w:t>
      </w:r>
      <w:r>
        <w:t xml:space="preserve">ourt of </w:t>
      </w:r>
      <w:r w:rsidR="00941CDB">
        <w:t>A</w:t>
      </w:r>
      <w:r>
        <w:t>ppeals on July 14, 2014</w:t>
      </w:r>
      <w:r w:rsidR="00941CDB">
        <w:t xml:space="preserve"> (No. 44591-3-II)</w:t>
      </w:r>
      <w:r>
        <w:t xml:space="preserve"> and by the Thurston County Superior Court </w:t>
      </w:r>
      <w:r w:rsidR="00941CDB">
        <w:t xml:space="preserve">(No. 12-2-02667-7) </w:t>
      </w:r>
      <w:r>
        <w:t>on August 7, 2014.</w:t>
      </w:r>
    </w:p>
  </w:footnote>
  <w:footnote w:id="4">
    <w:p w:rsidR="0026038B" w:rsidRPr="00EC21F7" w:rsidRDefault="0026038B">
      <w:pPr>
        <w:pStyle w:val="FootnoteText"/>
      </w:pPr>
      <w:r>
        <w:rPr>
          <w:rStyle w:val="FootnoteReference"/>
        </w:rPr>
        <w:footnoteRef/>
      </w:r>
      <w:r>
        <w:t xml:space="preserve"> </w:t>
      </w:r>
      <w:r w:rsidR="00EC21F7">
        <w:t xml:space="preserve">For administrative ease, revenues for the entire month of </w:t>
      </w:r>
      <w:r w:rsidR="00EC21F7">
        <w:rPr>
          <w:caps/>
        </w:rPr>
        <w:t>A</w:t>
      </w:r>
      <w:r w:rsidR="00EC21F7">
        <w:t>pril 2011 are reflected in this filing.</w:t>
      </w:r>
    </w:p>
  </w:footnote>
  <w:footnote w:id="5">
    <w:p w:rsidR="00EC21F7" w:rsidRDefault="00EC21F7">
      <w:pPr>
        <w:pStyle w:val="FootnoteText"/>
      </w:pPr>
      <w:r>
        <w:rPr>
          <w:rStyle w:val="FootnoteReference"/>
        </w:rPr>
        <w:footnoteRef/>
      </w:r>
      <w:r>
        <w:t xml:space="preserve"> Order 06, ¶ 203</w:t>
      </w:r>
      <w:r w:rsidR="00432970">
        <w:t>.</w:t>
      </w:r>
    </w:p>
  </w:footnote>
  <w:footnote w:id="6">
    <w:p w:rsidR="00EC21F7" w:rsidRPr="00EC21F7" w:rsidRDefault="00EC21F7">
      <w:pPr>
        <w:pStyle w:val="FootnoteText"/>
      </w:pPr>
      <w:r>
        <w:rPr>
          <w:rStyle w:val="FootnoteReference"/>
        </w:rPr>
        <w:footnoteRef/>
      </w:r>
      <w:r>
        <w:t xml:space="preserve"> </w:t>
      </w:r>
      <w:r>
        <w:rPr>
          <w:i/>
        </w:rPr>
        <w:t>Id.</w:t>
      </w:r>
      <w:r>
        <w:t>, ¶ 204.</w:t>
      </w:r>
    </w:p>
  </w:footnote>
  <w:footnote w:id="7">
    <w:p w:rsidR="00EC21F7" w:rsidRDefault="00EC21F7" w:rsidP="00EC21F7">
      <w:pPr>
        <w:pStyle w:val="FootnoteText"/>
      </w:pPr>
      <w:r>
        <w:rPr>
          <w:rStyle w:val="FootnoteReference"/>
        </w:rPr>
        <w:footnoteRef/>
      </w:r>
      <w:r>
        <w:t xml:space="preserve"> </w:t>
      </w:r>
      <w:r w:rsidR="00BA7E7E">
        <w:rPr>
          <w:i/>
        </w:rPr>
        <w:t>WUTC</w:t>
      </w:r>
      <w:r>
        <w:rPr>
          <w:i/>
        </w:rPr>
        <w:t xml:space="preserve"> v. PacifiCorp,</w:t>
      </w:r>
      <w:r>
        <w:t xml:space="preserve"> </w:t>
      </w:r>
      <w:r w:rsidRPr="001633FC">
        <w:t>Docket</w:t>
      </w:r>
      <w:r>
        <w:t xml:space="preserve"> UE-100749, Compliance Filing Pursuant to Order 06 in Docket UE-100749, Revisions to PacifiCorp’s General Tariffs (Mar. 30, 2011).</w:t>
      </w:r>
    </w:p>
  </w:footnote>
  <w:footnote w:id="8">
    <w:p w:rsidR="00EC21F7" w:rsidRDefault="00EC21F7">
      <w:pPr>
        <w:pStyle w:val="FootnoteText"/>
      </w:pPr>
      <w:r>
        <w:rPr>
          <w:rStyle w:val="FootnoteReference"/>
        </w:rPr>
        <w:footnoteRef/>
      </w:r>
      <w:r>
        <w:t xml:space="preserve"> </w:t>
      </w:r>
      <w:r w:rsidR="00BA7E7E">
        <w:rPr>
          <w:i/>
        </w:rPr>
        <w:t>WUTC</w:t>
      </w:r>
      <w:r>
        <w:rPr>
          <w:i/>
        </w:rPr>
        <w:t xml:space="preserve"> v. PacifiCorp, </w:t>
      </w:r>
      <w:r w:rsidRPr="001633FC">
        <w:t>Docket</w:t>
      </w:r>
      <w:r>
        <w:t xml:space="preserve"> UE-100749</w:t>
      </w:r>
      <w:r w:rsidR="00A96FC8">
        <w:t>, Order </w:t>
      </w:r>
      <w:r>
        <w:t>10, ¶</w:t>
      </w:r>
      <w:r w:rsidR="00334DB2">
        <w:t xml:space="preserve"> 58 (Aug. 23, 2012).</w:t>
      </w:r>
    </w:p>
  </w:footnote>
  <w:footnote w:id="9">
    <w:p w:rsidR="00334DB2" w:rsidRPr="00334DB2" w:rsidRDefault="00334DB2">
      <w:pPr>
        <w:pStyle w:val="FootnoteText"/>
        <w:rPr>
          <w:i/>
        </w:rPr>
      </w:pPr>
      <w:r>
        <w:rPr>
          <w:rStyle w:val="FootnoteReference"/>
        </w:rPr>
        <w:footnoteRef/>
      </w:r>
      <w:r>
        <w:t xml:space="preserve"> </w:t>
      </w:r>
      <w:r>
        <w:rPr>
          <w:i/>
        </w:rPr>
        <w:t xml:space="preserve">Id. </w:t>
      </w:r>
      <w:r w:rsidRPr="00334DB2">
        <w:t xml:space="preserve">¶¶ </w:t>
      </w:r>
      <w:r>
        <w:t xml:space="preserve">57, </w:t>
      </w:r>
      <w:r w:rsidRPr="00334DB2">
        <w:t>60.</w:t>
      </w:r>
    </w:p>
  </w:footnote>
  <w:footnote w:id="10">
    <w:p w:rsidR="00334DB2" w:rsidRDefault="00334DB2">
      <w:pPr>
        <w:pStyle w:val="FootnoteText"/>
      </w:pPr>
      <w:r>
        <w:rPr>
          <w:rStyle w:val="FootnoteReference"/>
        </w:rPr>
        <w:footnoteRef/>
      </w:r>
      <w:r>
        <w:t xml:space="preserve"> </w:t>
      </w:r>
      <w:r w:rsidR="00BA7E7E">
        <w:rPr>
          <w:i/>
        </w:rPr>
        <w:t>WUTC</w:t>
      </w:r>
      <w:r>
        <w:rPr>
          <w:i/>
        </w:rPr>
        <w:t xml:space="preserve"> v. PacifiCorp,</w:t>
      </w:r>
      <w:r>
        <w:t xml:space="preserve"> </w:t>
      </w:r>
      <w:r w:rsidRPr="001633FC">
        <w:t>Docket</w:t>
      </w:r>
      <w:r>
        <w:t xml:space="preserve"> UE-100749, Joint Letter re: Renewable Energy Credit T</w:t>
      </w:r>
      <w:r w:rsidR="00BA7E7E">
        <w:t>racking Mechanism (Feb. </w:t>
      </w:r>
      <w:r>
        <w:t>28, 2014).</w:t>
      </w:r>
    </w:p>
  </w:footnote>
  <w:footnote w:id="11">
    <w:p w:rsidR="00A6314F" w:rsidRDefault="00A6314F" w:rsidP="00A6314F">
      <w:pPr>
        <w:pStyle w:val="FootnoteText"/>
      </w:pPr>
      <w:r>
        <w:rPr>
          <w:rStyle w:val="FootnoteReference"/>
        </w:rPr>
        <w:footnoteRef/>
      </w:r>
      <w:r>
        <w:t xml:space="preserve"> In a later filing, Commission Staff, Public Counsel, and ICNU affirmed that they “agree with the calculation of REC revenues the Company supplied in its February 28, Compliance Filing.”  </w:t>
      </w:r>
      <w:r w:rsidR="00941CDB">
        <w:rPr>
          <w:i/>
        </w:rPr>
        <w:t>WUTC</w:t>
      </w:r>
      <w:r>
        <w:rPr>
          <w:i/>
        </w:rPr>
        <w:t xml:space="preserve"> v. PacifiCorp, </w:t>
      </w:r>
      <w:r w:rsidRPr="001633FC">
        <w:t>Docket</w:t>
      </w:r>
      <w:r>
        <w:t xml:space="preserve"> UE-100749, Joint Response on Behalf of Commission Staff, Public Counsel and ICNU to the Commission’s Notice Providing Opportunity to File in Compliance with Orders 10 and 11, ¶ 2 (Mar. 22, 2013).</w:t>
      </w:r>
    </w:p>
  </w:footnote>
  <w:footnote w:id="12">
    <w:p w:rsidR="00334DB2" w:rsidRDefault="00334DB2">
      <w:pPr>
        <w:pStyle w:val="FootnoteText"/>
      </w:pPr>
      <w:r>
        <w:rPr>
          <w:rStyle w:val="FootnoteReference"/>
        </w:rPr>
        <w:footnoteRef/>
      </w:r>
      <w:r>
        <w:t xml:space="preserve"> </w:t>
      </w:r>
      <w:r>
        <w:rPr>
          <w:i/>
        </w:rPr>
        <w:t xml:space="preserve">See </w:t>
      </w:r>
      <w:r w:rsidR="00BA7E7E">
        <w:rPr>
          <w:i/>
        </w:rPr>
        <w:t>WUTC</w:t>
      </w:r>
      <w:r>
        <w:rPr>
          <w:i/>
        </w:rPr>
        <w:t xml:space="preserve"> v. PacifiCorp,</w:t>
      </w:r>
      <w:r>
        <w:t xml:space="preserve"> </w:t>
      </w:r>
      <w:r w:rsidRPr="001633FC">
        <w:t>Docket</w:t>
      </w:r>
      <w:r>
        <w:t xml:space="preserve"> UE-100749, Notice of Extension of Deadline for Compliance Filing (Jan. 23, 2014).</w:t>
      </w:r>
    </w:p>
  </w:footnote>
  <w:footnote w:id="13">
    <w:p w:rsidR="00334DB2" w:rsidRPr="00334DB2" w:rsidRDefault="00334DB2">
      <w:pPr>
        <w:pStyle w:val="FootnoteText"/>
        <w:rPr>
          <w:i/>
        </w:rPr>
      </w:pPr>
      <w:r>
        <w:rPr>
          <w:rStyle w:val="FootnoteReference"/>
        </w:rPr>
        <w:footnoteRef/>
      </w:r>
      <w:r>
        <w:t xml:space="preserve"> </w:t>
      </w:r>
      <w:r w:rsidR="00BA7E7E">
        <w:rPr>
          <w:i/>
        </w:rPr>
        <w:t>WUTC</w:t>
      </w:r>
      <w:r>
        <w:rPr>
          <w:i/>
        </w:rPr>
        <w:t xml:space="preserve"> v. PacifiCor</w:t>
      </w:r>
      <w:r w:rsidR="00BA7E7E">
        <w:rPr>
          <w:i/>
        </w:rPr>
        <w:t>p</w:t>
      </w:r>
      <w:r>
        <w:t xml:space="preserve">, </w:t>
      </w:r>
      <w:r w:rsidRPr="001633FC">
        <w:t>Docket</w:t>
      </w:r>
      <w:r>
        <w:t xml:space="preserve"> UE-100749, Order</w:t>
      </w:r>
      <w:r w:rsidR="00A96FC8">
        <w:t> </w:t>
      </w:r>
      <w:r>
        <w:t>13</w:t>
      </w:r>
      <w:r w:rsidR="00A96FC8">
        <w:t>, ¶ 8</w:t>
      </w:r>
      <w:r>
        <w:rPr>
          <w:i/>
        </w:rPr>
        <w:t>.</w:t>
      </w:r>
    </w:p>
  </w:footnote>
  <w:footnote w:id="14">
    <w:p w:rsidR="00A96FC8" w:rsidRPr="00A96FC8" w:rsidRDefault="00A96FC8">
      <w:pPr>
        <w:pStyle w:val="FootnoteText"/>
      </w:pPr>
      <w:r>
        <w:rPr>
          <w:rStyle w:val="FootnoteReference"/>
        </w:rPr>
        <w:footnoteRef/>
      </w:r>
      <w:r>
        <w:t xml:space="preserve"> </w:t>
      </w:r>
      <w:r>
        <w:rPr>
          <w:i/>
        </w:rPr>
        <w:t>See id.</w:t>
      </w:r>
      <w:r>
        <w:t xml:space="preserve"> ¶ 3.</w:t>
      </w:r>
    </w:p>
  </w:footnote>
  <w:footnote w:id="15">
    <w:p w:rsidR="00BA7E7E" w:rsidRPr="00BA7E7E" w:rsidRDefault="00BA7E7E">
      <w:pPr>
        <w:pStyle w:val="FootnoteText"/>
      </w:pPr>
      <w:r>
        <w:rPr>
          <w:rStyle w:val="FootnoteReference"/>
        </w:rPr>
        <w:footnoteRef/>
      </w:r>
      <w:r>
        <w:t xml:space="preserve"> No party disputed the over-credit.  </w:t>
      </w:r>
      <w:r>
        <w:rPr>
          <w:i/>
        </w:rPr>
        <w:t xml:space="preserve">See </w:t>
      </w:r>
      <w:r w:rsidRPr="00BA7E7E">
        <w:t xml:space="preserve">Order 13, </w:t>
      </w:r>
      <w:r>
        <w:t>¶ 6 (“</w:t>
      </w:r>
      <w:r w:rsidRPr="00BA7E7E">
        <w:t xml:space="preserve">No party disputes that PacifiCorp is over-crediting its customers under the current Schedule 95 or that reducing those credits to zero cents per kilowatt hour is reasonable in light of those over-credits and the REC sales proceeds the Company anticipates receiving in 2013.  The Commission agrees and authorizes PacifiCorp to revise Schedule </w:t>
      </w:r>
      <w:r>
        <w:t>95 as the Company has proposed.”).</w:t>
      </w:r>
    </w:p>
  </w:footnote>
  <w:footnote w:id="16">
    <w:p w:rsidR="00A83D9E" w:rsidRDefault="00A83D9E">
      <w:pPr>
        <w:pStyle w:val="FootnoteText"/>
      </w:pPr>
      <w:r>
        <w:rPr>
          <w:rStyle w:val="FootnoteReference"/>
        </w:rPr>
        <w:footnoteRef/>
      </w:r>
      <w:r>
        <w:t xml:space="preserve"> </w:t>
      </w:r>
      <w:r w:rsidR="00F14D10">
        <w:t xml:space="preserve">The Company designates Attachment D as confidential under the </w:t>
      </w:r>
      <w:r>
        <w:t xml:space="preserve">protective order in </w:t>
      </w:r>
      <w:r w:rsidR="00941CDB">
        <w:t>D</w:t>
      </w:r>
      <w:r>
        <w:t>ocket</w:t>
      </w:r>
      <w:r w:rsidR="00941CDB">
        <w:t xml:space="preserve"> UE-100749 (</w:t>
      </w:r>
      <w:r w:rsidR="00F14D10">
        <w:t>Order </w:t>
      </w:r>
      <w:r>
        <w:t>03</w:t>
      </w:r>
      <w:r w:rsidR="00F14D10">
        <w:t>)</w:t>
      </w:r>
      <w:r w:rsidR="00941CD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94" w:rsidRDefault="00543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0" w:rsidRDefault="00AD47E0">
    <w:pPr>
      <w:pStyle w:val="Header"/>
    </w:pPr>
    <w:r>
      <w:t>Washington Utilities and Transportation Commission</w:t>
    </w:r>
  </w:p>
  <w:p w:rsidR="00AD47E0" w:rsidRDefault="003458FD">
    <w:pPr>
      <w:pStyle w:val="Header"/>
    </w:pPr>
    <w:r>
      <w:t>October 3</w:t>
    </w:r>
    <w:r w:rsidR="00AD47E0">
      <w:t>, 2014</w:t>
    </w:r>
  </w:p>
  <w:p w:rsidR="00AD47E0" w:rsidRDefault="00AD47E0">
    <w:pPr>
      <w:pStyle w:val="Header"/>
      <w:rPr>
        <w:noProof/>
      </w:rPr>
    </w:pPr>
    <w:r>
      <w:t xml:space="preserve">Page </w:t>
    </w:r>
    <w:r>
      <w:fldChar w:fldCharType="begin"/>
    </w:r>
    <w:r>
      <w:instrText xml:space="preserve"> PAGE   \* MERGEFORMAT </w:instrText>
    </w:r>
    <w:r>
      <w:fldChar w:fldCharType="separate"/>
    </w:r>
    <w:r w:rsidR="00543194">
      <w:rPr>
        <w:noProof/>
      </w:rPr>
      <w:t>2</w:t>
    </w:r>
    <w:r>
      <w:rPr>
        <w:noProof/>
      </w:rPr>
      <w:fldChar w:fldCharType="end"/>
    </w:r>
  </w:p>
  <w:p w:rsidR="00AD47E0" w:rsidRDefault="00AD4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94" w:rsidRDefault="00543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D26"/>
    <w:multiLevelType w:val="hybridMultilevel"/>
    <w:tmpl w:val="99EEED16"/>
    <w:lvl w:ilvl="0" w:tplc="C7B88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4EB9"/>
    <w:multiLevelType w:val="hybridMultilevel"/>
    <w:tmpl w:val="CF06D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54742F"/>
    <w:multiLevelType w:val="hybridMultilevel"/>
    <w:tmpl w:val="D1009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5368"/>
    <w:multiLevelType w:val="hybridMultilevel"/>
    <w:tmpl w:val="086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8E7"/>
    <w:multiLevelType w:val="hybridMultilevel"/>
    <w:tmpl w:val="7DEE837C"/>
    <w:lvl w:ilvl="0" w:tplc="EFC2655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F14C46"/>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B003E2B"/>
    <w:multiLevelType w:val="hybridMultilevel"/>
    <w:tmpl w:val="86A4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C92BD8"/>
    <w:multiLevelType w:val="hybridMultilevel"/>
    <w:tmpl w:val="4DFE5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57716B"/>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B591273"/>
    <w:multiLevelType w:val="hybridMultilevel"/>
    <w:tmpl w:val="12FEEF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BD10C0"/>
    <w:multiLevelType w:val="hybridMultilevel"/>
    <w:tmpl w:val="68866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9"/>
  </w:num>
  <w:num w:numId="6">
    <w:abstractNumId w:val="8"/>
  </w:num>
  <w:num w:numId="7">
    <w:abstractNumId w:val="7"/>
  </w:num>
  <w:num w:numId="8">
    <w:abstractNumId w:val="2"/>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03A61"/>
    <w:rsid w:val="00004480"/>
    <w:rsid w:val="00007FC3"/>
    <w:rsid w:val="00011506"/>
    <w:rsid w:val="00017F9F"/>
    <w:rsid w:val="000270C4"/>
    <w:rsid w:val="00030E36"/>
    <w:rsid w:val="00036689"/>
    <w:rsid w:val="00050ADA"/>
    <w:rsid w:val="0005279F"/>
    <w:rsid w:val="00056627"/>
    <w:rsid w:val="00056D1F"/>
    <w:rsid w:val="00057816"/>
    <w:rsid w:val="00061CEC"/>
    <w:rsid w:val="000659B6"/>
    <w:rsid w:val="0007033A"/>
    <w:rsid w:val="00072650"/>
    <w:rsid w:val="000766C1"/>
    <w:rsid w:val="00084D8F"/>
    <w:rsid w:val="00085898"/>
    <w:rsid w:val="00085E32"/>
    <w:rsid w:val="00087756"/>
    <w:rsid w:val="00087AAA"/>
    <w:rsid w:val="0009202D"/>
    <w:rsid w:val="000A3D57"/>
    <w:rsid w:val="000A68FC"/>
    <w:rsid w:val="000A713B"/>
    <w:rsid w:val="000B1CC4"/>
    <w:rsid w:val="000B3D76"/>
    <w:rsid w:val="000B54A3"/>
    <w:rsid w:val="000C1AAE"/>
    <w:rsid w:val="000C28D1"/>
    <w:rsid w:val="000E32DD"/>
    <w:rsid w:val="000E55FE"/>
    <w:rsid w:val="00101381"/>
    <w:rsid w:val="00105F60"/>
    <w:rsid w:val="00110E04"/>
    <w:rsid w:val="00113CD6"/>
    <w:rsid w:val="00114181"/>
    <w:rsid w:val="00116AA2"/>
    <w:rsid w:val="00126399"/>
    <w:rsid w:val="001274C3"/>
    <w:rsid w:val="0013363C"/>
    <w:rsid w:val="0013492C"/>
    <w:rsid w:val="00135368"/>
    <w:rsid w:val="0013574D"/>
    <w:rsid w:val="001371EB"/>
    <w:rsid w:val="00147F9B"/>
    <w:rsid w:val="00150340"/>
    <w:rsid w:val="00152D61"/>
    <w:rsid w:val="00153917"/>
    <w:rsid w:val="001566A3"/>
    <w:rsid w:val="001633FC"/>
    <w:rsid w:val="00164AE5"/>
    <w:rsid w:val="0017013A"/>
    <w:rsid w:val="00171D58"/>
    <w:rsid w:val="001739F2"/>
    <w:rsid w:val="00174681"/>
    <w:rsid w:val="001776FE"/>
    <w:rsid w:val="0018160D"/>
    <w:rsid w:val="00182649"/>
    <w:rsid w:val="00187734"/>
    <w:rsid w:val="00187E7D"/>
    <w:rsid w:val="00190399"/>
    <w:rsid w:val="0019723D"/>
    <w:rsid w:val="001A569E"/>
    <w:rsid w:val="001A6D29"/>
    <w:rsid w:val="001B03E4"/>
    <w:rsid w:val="001C0656"/>
    <w:rsid w:val="001C0658"/>
    <w:rsid w:val="001C1CE4"/>
    <w:rsid w:val="001C4F08"/>
    <w:rsid w:val="001D3E07"/>
    <w:rsid w:val="001F13AB"/>
    <w:rsid w:val="001F44E1"/>
    <w:rsid w:val="001F7A8D"/>
    <w:rsid w:val="00201CF8"/>
    <w:rsid w:val="00212385"/>
    <w:rsid w:val="00213706"/>
    <w:rsid w:val="002159D4"/>
    <w:rsid w:val="00221605"/>
    <w:rsid w:val="00222828"/>
    <w:rsid w:val="002300B6"/>
    <w:rsid w:val="00241207"/>
    <w:rsid w:val="00241BD6"/>
    <w:rsid w:val="002543B3"/>
    <w:rsid w:val="00257D6F"/>
    <w:rsid w:val="0026038B"/>
    <w:rsid w:val="0026224C"/>
    <w:rsid w:val="00263C50"/>
    <w:rsid w:val="00263E25"/>
    <w:rsid w:val="00266C7C"/>
    <w:rsid w:val="00271DC9"/>
    <w:rsid w:val="00272EF8"/>
    <w:rsid w:val="0028518A"/>
    <w:rsid w:val="00286A3A"/>
    <w:rsid w:val="00292C20"/>
    <w:rsid w:val="00295F21"/>
    <w:rsid w:val="002A0C5A"/>
    <w:rsid w:val="002A1058"/>
    <w:rsid w:val="002A360E"/>
    <w:rsid w:val="002A5E8B"/>
    <w:rsid w:val="002A6132"/>
    <w:rsid w:val="002B0985"/>
    <w:rsid w:val="002C2FED"/>
    <w:rsid w:val="002C3AE8"/>
    <w:rsid w:val="002C6F28"/>
    <w:rsid w:val="002F0607"/>
    <w:rsid w:val="002F1C73"/>
    <w:rsid w:val="002F3BBD"/>
    <w:rsid w:val="002F7DC7"/>
    <w:rsid w:val="00303A83"/>
    <w:rsid w:val="003050F4"/>
    <w:rsid w:val="00313781"/>
    <w:rsid w:val="003161FD"/>
    <w:rsid w:val="0032470E"/>
    <w:rsid w:val="00324AEA"/>
    <w:rsid w:val="003315CF"/>
    <w:rsid w:val="00334B13"/>
    <w:rsid w:val="00334DB2"/>
    <w:rsid w:val="003458FD"/>
    <w:rsid w:val="00354D42"/>
    <w:rsid w:val="00364FD4"/>
    <w:rsid w:val="0037095A"/>
    <w:rsid w:val="00374B72"/>
    <w:rsid w:val="00375BD2"/>
    <w:rsid w:val="00376402"/>
    <w:rsid w:val="00380020"/>
    <w:rsid w:val="00385D37"/>
    <w:rsid w:val="003866F4"/>
    <w:rsid w:val="00396920"/>
    <w:rsid w:val="003A2290"/>
    <w:rsid w:val="003A3B5F"/>
    <w:rsid w:val="003B47A1"/>
    <w:rsid w:val="003B653E"/>
    <w:rsid w:val="003C1E5F"/>
    <w:rsid w:val="003C2C28"/>
    <w:rsid w:val="003C441C"/>
    <w:rsid w:val="003C5CA0"/>
    <w:rsid w:val="003C71C5"/>
    <w:rsid w:val="003D16E9"/>
    <w:rsid w:val="003D494D"/>
    <w:rsid w:val="003D7B39"/>
    <w:rsid w:val="003E03C1"/>
    <w:rsid w:val="003E767B"/>
    <w:rsid w:val="003F1C4F"/>
    <w:rsid w:val="003F29D8"/>
    <w:rsid w:val="003F499B"/>
    <w:rsid w:val="003F755E"/>
    <w:rsid w:val="00402017"/>
    <w:rsid w:val="004049AB"/>
    <w:rsid w:val="004118A7"/>
    <w:rsid w:val="00413AD5"/>
    <w:rsid w:val="00414902"/>
    <w:rsid w:val="00417116"/>
    <w:rsid w:val="00421A00"/>
    <w:rsid w:val="0042644C"/>
    <w:rsid w:val="00427C5F"/>
    <w:rsid w:val="00432970"/>
    <w:rsid w:val="00440F71"/>
    <w:rsid w:val="004448BF"/>
    <w:rsid w:val="00447FE1"/>
    <w:rsid w:val="0045201D"/>
    <w:rsid w:val="00466D9E"/>
    <w:rsid w:val="0047071F"/>
    <w:rsid w:val="00476820"/>
    <w:rsid w:val="00480D5E"/>
    <w:rsid w:val="004944D5"/>
    <w:rsid w:val="004A041E"/>
    <w:rsid w:val="004A177A"/>
    <w:rsid w:val="004A239E"/>
    <w:rsid w:val="004A4DCE"/>
    <w:rsid w:val="004B45E6"/>
    <w:rsid w:val="004B57B4"/>
    <w:rsid w:val="004E0574"/>
    <w:rsid w:val="004E4410"/>
    <w:rsid w:val="004F4400"/>
    <w:rsid w:val="004F6F06"/>
    <w:rsid w:val="005243CC"/>
    <w:rsid w:val="00531535"/>
    <w:rsid w:val="005362F0"/>
    <w:rsid w:val="00537AFD"/>
    <w:rsid w:val="005417D6"/>
    <w:rsid w:val="00543194"/>
    <w:rsid w:val="005442CC"/>
    <w:rsid w:val="00544BCF"/>
    <w:rsid w:val="00544F11"/>
    <w:rsid w:val="005473E0"/>
    <w:rsid w:val="00556AC1"/>
    <w:rsid w:val="00564C8C"/>
    <w:rsid w:val="00573336"/>
    <w:rsid w:val="00573382"/>
    <w:rsid w:val="00577F30"/>
    <w:rsid w:val="00581ABA"/>
    <w:rsid w:val="00590CF8"/>
    <w:rsid w:val="00592401"/>
    <w:rsid w:val="00593B89"/>
    <w:rsid w:val="00596A1D"/>
    <w:rsid w:val="00596D32"/>
    <w:rsid w:val="005A0315"/>
    <w:rsid w:val="005A1483"/>
    <w:rsid w:val="005A56B9"/>
    <w:rsid w:val="005B305B"/>
    <w:rsid w:val="005B3F19"/>
    <w:rsid w:val="005D20B8"/>
    <w:rsid w:val="005D5697"/>
    <w:rsid w:val="005E191D"/>
    <w:rsid w:val="005E248F"/>
    <w:rsid w:val="005E52F0"/>
    <w:rsid w:val="005E6B6D"/>
    <w:rsid w:val="005F1CD0"/>
    <w:rsid w:val="005F52F4"/>
    <w:rsid w:val="005F59F4"/>
    <w:rsid w:val="005F5B03"/>
    <w:rsid w:val="005F7C51"/>
    <w:rsid w:val="006024A7"/>
    <w:rsid w:val="0061719E"/>
    <w:rsid w:val="0062175F"/>
    <w:rsid w:val="00626705"/>
    <w:rsid w:val="006340D4"/>
    <w:rsid w:val="00640025"/>
    <w:rsid w:val="00641E03"/>
    <w:rsid w:val="0066095F"/>
    <w:rsid w:val="00672D33"/>
    <w:rsid w:val="00691FE8"/>
    <w:rsid w:val="006924BA"/>
    <w:rsid w:val="00697C99"/>
    <w:rsid w:val="006A62E0"/>
    <w:rsid w:val="006B2CF5"/>
    <w:rsid w:val="006C57BF"/>
    <w:rsid w:val="006C5DAF"/>
    <w:rsid w:val="006D5CEC"/>
    <w:rsid w:val="006E39C7"/>
    <w:rsid w:val="006E43FD"/>
    <w:rsid w:val="006F0DC2"/>
    <w:rsid w:val="006F4BF3"/>
    <w:rsid w:val="006F75BE"/>
    <w:rsid w:val="007001C2"/>
    <w:rsid w:val="007047FA"/>
    <w:rsid w:val="00710DFC"/>
    <w:rsid w:val="00711DDB"/>
    <w:rsid w:val="0071214A"/>
    <w:rsid w:val="007174C9"/>
    <w:rsid w:val="00720F05"/>
    <w:rsid w:val="00721DB0"/>
    <w:rsid w:val="00724396"/>
    <w:rsid w:val="0074316D"/>
    <w:rsid w:val="007647D8"/>
    <w:rsid w:val="007652CF"/>
    <w:rsid w:val="007702E8"/>
    <w:rsid w:val="00781B71"/>
    <w:rsid w:val="00783646"/>
    <w:rsid w:val="007911EE"/>
    <w:rsid w:val="007925C5"/>
    <w:rsid w:val="00795E66"/>
    <w:rsid w:val="007A45D1"/>
    <w:rsid w:val="007B048B"/>
    <w:rsid w:val="007B0BA7"/>
    <w:rsid w:val="007B1C57"/>
    <w:rsid w:val="007B2F7B"/>
    <w:rsid w:val="007B35C8"/>
    <w:rsid w:val="007B5293"/>
    <w:rsid w:val="007C0755"/>
    <w:rsid w:val="007C5D91"/>
    <w:rsid w:val="007C76EF"/>
    <w:rsid w:val="007D3530"/>
    <w:rsid w:val="007D5239"/>
    <w:rsid w:val="007F0DD3"/>
    <w:rsid w:val="007F275F"/>
    <w:rsid w:val="007F45EA"/>
    <w:rsid w:val="008033CA"/>
    <w:rsid w:val="0080773B"/>
    <w:rsid w:val="008138B1"/>
    <w:rsid w:val="00830BCC"/>
    <w:rsid w:val="00833A34"/>
    <w:rsid w:val="00836572"/>
    <w:rsid w:val="00842AE7"/>
    <w:rsid w:val="00845466"/>
    <w:rsid w:val="008457F1"/>
    <w:rsid w:val="00860220"/>
    <w:rsid w:val="00863C2F"/>
    <w:rsid w:val="0087667A"/>
    <w:rsid w:val="008768A2"/>
    <w:rsid w:val="00886C60"/>
    <w:rsid w:val="00887BBA"/>
    <w:rsid w:val="00891E96"/>
    <w:rsid w:val="00892FA3"/>
    <w:rsid w:val="008932ED"/>
    <w:rsid w:val="008953AC"/>
    <w:rsid w:val="0089790F"/>
    <w:rsid w:val="0089792F"/>
    <w:rsid w:val="008B07AC"/>
    <w:rsid w:val="008B0D2B"/>
    <w:rsid w:val="008B3E11"/>
    <w:rsid w:val="008B3EB1"/>
    <w:rsid w:val="008D785D"/>
    <w:rsid w:val="008D78BE"/>
    <w:rsid w:val="008E11A7"/>
    <w:rsid w:val="008E57C2"/>
    <w:rsid w:val="00902993"/>
    <w:rsid w:val="00903EB4"/>
    <w:rsid w:val="00904BEB"/>
    <w:rsid w:val="00911484"/>
    <w:rsid w:val="009117AF"/>
    <w:rsid w:val="00913A63"/>
    <w:rsid w:val="00916479"/>
    <w:rsid w:val="009171FA"/>
    <w:rsid w:val="00920CA4"/>
    <w:rsid w:val="00927D47"/>
    <w:rsid w:val="00932DA6"/>
    <w:rsid w:val="00934D66"/>
    <w:rsid w:val="00941A75"/>
    <w:rsid w:val="00941CDB"/>
    <w:rsid w:val="00946914"/>
    <w:rsid w:val="009471BD"/>
    <w:rsid w:val="009474BB"/>
    <w:rsid w:val="009645C6"/>
    <w:rsid w:val="00964B1B"/>
    <w:rsid w:val="00974B0E"/>
    <w:rsid w:val="009767C7"/>
    <w:rsid w:val="00976E1E"/>
    <w:rsid w:val="00984EDA"/>
    <w:rsid w:val="00987BA1"/>
    <w:rsid w:val="009925E1"/>
    <w:rsid w:val="00992631"/>
    <w:rsid w:val="009957C0"/>
    <w:rsid w:val="009A2C40"/>
    <w:rsid w:val="009A6936"/>
    <w:rsid w:val="009B1096"/>
    <w:rsid w:val="009B10B1"/>
    <w:rsid w:val="009C2704"/>
    <w:rsid w:val="009D022E"/>
    <w:rsid w:val="009D6550"/>
    <w:rsid w:val="009E49B1"/>
    <w:rsid w:val="009E5DC7"/>
    <w:rsid w:val="009F577A"/>
    <w:rsid w:val="009F6B01"/>
    <w:rsid w:val="00A15891"/>
    <w:rsid w:val="00A16291"/>
    <w:rsid w:val="00A30DD4"/>
    <w:rsid w:val="00A31143"/>
    <w:rsid w:val="00A316EF"/>
    <w:rsid w:val="00A33834"/>
    <w:rsid w:val="00A44103"/>
    <w:rsid w:val="00A52A12"/>
    <w:rsid w:val="00A6314F"/>
    <w:rsid w:val="00A63516"/>
    <w:rsid w:val="00A65599"/>
    <w:rsid w:val="00A657C5"/>
    <w:rsid w:val="00A669C4"/>
    <w:rsid w:val="00A671EA"/>
    <w:rsid w:val="00A67AC8"/>
    <w:rsid w:val="00A74907"/>
    <w:rsid w:val="00A80876"/>
    <w:rsid w:val="00A83D9E"/>
    <w:rsid w:val="00A84EB6"/>
    <w:rsid w:val="00A856EB"/>
    <w:rsid w:val="00A96FC8"/>
    <w:rsid w:val="00AA6E24"/>
    <w:rsid w:val="00AB5494"/>
    <w:rsid w:val="00AC1216"/>
    <w:rsid w:val="00AC4A2E"/>
    <w:rsid w:val="00AD47E0"/>
    <w:rsid w:val="00AE04C0"/>
    <w:rsid w:val="00AE13C3"/>
    <w:rsid w:val="00AF72D5"/>
    <w:rsid w:val="00B02994"/>
    <w:rsid w:val="00B05C0C"/>
    <w:rsid w:val="00B07C4D"/>
    <w:rsid w:val="00B14F56"/>
    <w:rsid w:val="00B20D71"/>
    <w:rsid w:val="00B2397E"/>
    <w:rsid w:val="00B25D72"/>
    <w:rsid w:val="00B34925"/>
    <w:rsid w:val="00B34BDC"/>
    <w:rsid w:val="00B358CC"/>
    <w:rsid w:val="00B35E66"/>
    <w:rsid w:val="00B35F27"/>
    <w:rsid w:val="00B40198"/>
    <w:rsid w:val="00B409EB"/>
    <w:rsid w:val="00B41699"/>
    <w:rsid w:val="00B42268"/>
    <w:rsid w:val="00B45318"/>
    <w:rsid w:val="00B639FC"/>
    <w:rsid w:val="00B7307E"/>
    <w:rsid w:val="00B80348"/>
    <w:rsid w:val="00B82AB5"/>
    <w:rsid w:val="00B858A7"/>
    <w:rsid w:val="00B85ED0"/>
    <w:rsid w:val="00B923B7"/>
    <w:rsid w:val="00B971AA"/>
    <w:rsid w:val="00BA3955"/>
    <w:rsid w:val="00BA4050"/>
    <w:rsid w:val="00BA7E7E"/>
    <w:rsid w:val="00BB290E"/>
    <w:rsid w:val="00BB3275"/>
    <w:rsid w:val="00BC6D67"/>
    <w:rsid w:val="00BD19D9"/>
    <w:rsid w:val="00BD75D6"/>
    <w:rsid w:val="00BE0A16"/>
    <w:rsid w:val="00BE15E3"/>
    <w:rsid w:val="00BE3940"/>
    <w:rsid w:val="00BE418D"/>
    <w:rsid w:val="00BE49E0"/>
    <w:rsid w:val="00BE4A30"/>
    <w:rsid w:val="00BE6F69"/>
    <w:rsid w:val="00BF01C3"/>
    <w:rsid w:val="00C00B3D"/>
    <w:rsid w:val="00C03F6A"/>
    <w:rsid w:val="00C12D26"/>
    <w:rsid w:val="00C136D6"/>
    <w:rsid w:val="00C13BBF"/>
    <w:rsid w:val="00C15263"/>
    <w:rsid w:val="00C168E5"/>
    <w:rsid w:val="00C23F13"/>
    <w:rsid w:val="00C270DD"/>
    <w:rsid w:val="00C277D4"/>
    <w:rsid w:val="00C27D42"/>
    <w:rsid w:val="00C3072D"/>
    <w:rsid w:val="00C3437D"/>
    <w:rsid w:val="00C406BC"/>
    <w:rsid w:val="00C417F2"/>
    <w:rsid w:val="00C4734C"/>
    <w:rsid w:val="00C47AAE"/>
    <w:rsid w:val="00C52165"/>
    <w:rsid w:val="00C60801"/>
    <w:rsid w:val="00C61104"/>
    <w:rsid w:val="00C632B1"/>
    <w:rsid w:val="00C6535C"/>
    <w:rsid w:val="00C71A1E"/>
    <w:rsid w:val="00C748E9"/>
    <w:rsid w:val="00C74C8E"/>
    <w:rsid w:val="00C77DC6"/>
    <w:rsid w:val="00C86054"/>
    <w:rsid w:val="00C93BB4"/>
    <w:rsid w:val="00C9624F"/>
    <w:rsid w:val="00C9681A"/>
    <w:rsid w:val="00C96E64"/>
    <w:rsid w:val="00CA5680"/>
    <w:rsid w:val="00CB0564"/>
    <w:rsid w:val="00CB7912"/>
    <w:rsid w:val="00CC324F"/>
    <w:rsid w:val="00CC5093"/>
    <w:rsid w:val="00CC539E"/>
    <w:rsid w:val="00CD792B"/>
    <w:rsid w:val="00CE1243"/>
    <w:rsid w:val="00CE1CC5"/>
    <w:rsid w:val="00CE2F44"/>
    <w:rsid w:val="00CF0812"/>
    <w:rsid w:val="00D01C29"/>
    <w:rsid w:val="00D06F01"/>
    <w:rsid w:val="00D110F9"/>
    <w:rsid w:val="00D1339B"/>
    <w:rsid w:val="00D164B8"/>
    <w:rsid w:val="00D25B73"/>
    <w:rsid w:val="00D265A3"/>
    <w:rsid w:val="00D27CDC"/>
    <w:rsid w:val="00D41A3E"/>
    <w:rsid w:val="00D46079"/>
    <w:rsid w:val="00D50D88"/>
    <w:rsid w:val="00D54509"/>
    <w:rsid w:val="00D745B8"/>
    <w:rsid w:val="00D75E47"/>
    <w:rsid w:val="00D81F4B"/>
    <w:rsid w:val="00D86AA4"/>
    <w:rsid w:val="00DA224F"/>
    <w:rsid w:val="00DA5274"/>
    <w:rsid w:val="00DB0227"/>
    <w:rsid w:val="00DC1284"/>
    <w:rsid w:val="00DC7D03"/>
    <w:rsid w:val="00DD041C"/>
    <w:rsid w:val="00DD0BD7"/>
    <w:rsid w:val="00DD50CC"/>
    <w:rsid w:val="00DD7F7B"/>
    <w:rsid w:val="00DE71D0"/>
    <w:rsid w:val="00E03761"/>
    <w:rsid w:val="00E07D34"/>
    <w:rsid w:val="00E15A26"/>
    <w:rsid w:val="00E2216E"/>
    <w:rsid w:val="00E33869"/>
    <w:rsid w:val="00E34B08"/>
    <w:rsid w:val="00E37291"/>
    <w:rsid w:val="00E4016F"/>
    <w:rsid w:val="00E42A99"/>
    <w:rsid w:val="00E43769"/>
    <w:rsid w:val="00E43962"/>
    <w:rsid w:val="00E44C06"/>
    <w:rsid w:val="00E4609E"/>
    <w:rsid w:val="00E5748B"/>
    <w:rsid w:val="00E624C3"/>
    <w:rsid w:val="00E6787D"/>
    <w:rsid w:val="00E71528"/>
    <w:rsid w:val="00E77605"/>
    <w:rsid w:val="00E830E3"/>
    <w:rsid w:val="00E83B14"/>
    <w:rsid w:val="00E87FBD"/>
    <w:rsid w:val="00E90513"/>
    <w:rsid w:val="00E9283C"/>
    <w:rsid w:val="00E94875"/>
    <w:rsid w:val="00EA19A2"/>
    <w:rsid w:val="00EA3336"/>
    <w:rsid w:val="00EA750C"/>
    <w:rsid w:val="00EA76C1"/>
    <w:rsid w:val="00EB051D"/>
    <w:rsid w:val="00EC21F7"/>
    <w:rsid w:val="00EC4835"/>
    <w:rsid w:val="00EC604B"/>
    <w:rsid w:val="00ED3E8C"/>
    <w:rsid w:val="00ED4168"/>
    <w:rsid w:val="00EE1827"/>
    <w:rsid w:val="00EE3517"/>
    <w:rsid w:val="00EE5B8D"/>
    <w:rsid w:val="00F01682"/>
    <w:rsid w:val="00F01A41"/>
    <w:rsid w:val="00F0274D"/>
    <w:rsid w:val="00F14339"/>
    <w:rsid w:val="00F1435E"/>
    <w:rsid w:val="00F148BC"/>
    <w:rsid w:val="00F14D10"/>
    <w:rsid w:val="00F15B6B"/>
    <w:rsid w:val="00F22731"/>
    <w:rsid w:val="00F23E7C"/>
    <w:rsid w:val="00F335AB"/>
    <w:rsid w:val="00F5189C"/>
    <w:rsid w:val="00F518BB"/>
    <w:rsid w:val="00F531ED"/>
    <w:rsid w:val="00F6210F"/>
    <w:rsid w:val="00F8053D"/>
    <w:rsid w:val="00F86053"/>
    <w:rsid w:val="00F862C8"/>
    <w:rsid w:val="00F864EA"/>
    <w:rsid w:val="00F912D8"/>
    <w:rsid w:val="00F91F60"/>
    <w:rsid w:val="00F9598B"/>
    <w:rsid w:val="00FA7843"/>
    <w:rsid w:val="00FB1069"/>
    <w:rsid w:val="00FC7404"/>
    <w:rsid w:val="00FD12BE"/>
    <w:rsid w:val="00FF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1853">
      <w:bodyDiv w:val="1"/>
      <w:marLeft w:val="0"/>
      <w:marRight w:val="0"/>
      <w:marTop w:val="0"/>
      <w:marBottom w:val="0"/>
      <w:divBdr>
        <w:top w:val="none" w:sz="0" w:space="0" w:color="auto"/>
        <w:left w:val="none" w:sz="0" w:space="0" w:color="auto"/>
        <w:bottom w:val="none" w:sz="0" w:space="0" w:color="auto"/>
        <w:right w:val="none" w:sz="0" w:space="0" w:color="auto"/>
      </w:divBdr>
    </w:div>
    <w:div w:id="161239041">
      <w:bodyDiv w:val="1"/>
      <w:marLeft w:val="0"/>
      <w:marRight w:val="0"/>
      <w:marTop w:val="0"/>
      <w:marBottom w:val="0"/>
      <w:divBdr>
        <w:top w:val="none" w:sz="0" w:space="0" w:color="auto"/>
        <w:left w:val="none" w:sz="0" w:space="0" w:color="auto"/>
        <w:bottom w:val="none" w:sz="0" w:space="0" w:color="auto"/>
        <w:right w:val="none" w:sz="0" w:space="0" w:color="auto"/>
      </w:divBdr>
    </w:div>
    <w:div w:id="247080044">
      <w:bodyDiv w:val="1"/>
      <w:marLeft w:val="0"/>
      <w:marRight w:val="0"/>
      <w:marTop w:val="0"/>
      <w:marBottom w:val="0"/>
      <w:divBdr>
        <w:top w:val="none" w:sz="0" w:space="0" w:color="auto"/>
        <w:left w:val="none" w:sz="0" w:space="0" w:color="auto"/>
        <w:bottom w:val="none" w:sz="0" w:space="0" w:color="auto"/>
        <w:right w:val="none" w:sz="0" w:space="0" w:color="auto"/>
      </w:divBdr>
    </w:div>
    <w:div w:id="617446782">
      <w:bodyDiv w:val="1"/>
      <w:marLeft w:val="0"/>
      <w:marRight w:val="0"/>
      <w:marTop w:val="0"/>
      <w:marBottom w:val="0"/>
      <w:divBdr>
        <w:top w:val="none" w:sz="0" w:space="0" w:color="auto"/>
        <w:left w:val="none" w:sz="0" w:space="0" w:color="auto"/>
        <w:bottom w:val="none" w:sz="0" w:space="0" w:color="auto"/>
        <w:right w:val="none" w:sz="0" w:space="0" w:color="auto"/>
      </w:divBdr>
    </w:div>
    <w:div w:id="694233772">
      <w:bodyDiv w:val="1"/>
      <w:marLeft w:val="0"/>
      <w:marRight w:val="0"/>
      <w:marTop w:val="0"/>
      <w:marBottom w:val="0"/>
      <w:divBdr>
        <w:top w:val="none" w:sz="0" w:space="0" w:color="auto"/>
        <w:left w:val="none" w:sz="0" w:space="0" w:color="auto"/>
        <w:bottom w:val="none" w:sz="0" w:space="0" w:color="auto"/>
        <w:right w:val="none" w:sz="0" w:space="0" w:color="auto"/>
      </w:divBdr>
      <w:divsChild>
        <w:div w:id="1759473166">
          <w:marLeft w:val="0"/>
          <w:marRight w:val="0"/>
          <w:marTop w:val="0"/>
          <w:marBottom w:val="0"/>
          <w:divBdr>
            <w:top w:val="none" w:sz="0" w:space="0" w:color="auto"/>
            <w:left w:val="none" w:sz="0" w:space="0" w:color="auto"/>
            <w:bottom w:val="none" w:sz="0" w:space="0" w:color="auto"/>
            <w:right w:val="none" w:sz="0" w:space="0" w:color="auto"/>
          </w:divBdr>
        </w:div>
      </w:divsChild>
    </w:div>
    <w:div w:id="947009081">
      <w:bodyDiv w:val="1"/>
      <w:marLeft w:val="0"/>
      <w:marRight w:val="0"/>
      <w:marTop w:val="0"/>
      <w:marBottom w:val="0"/>
      <w:divBdr>
        <w:top w:val="none" w:sz="0" w:space="0" w:color="auto"/>
        <w:left w:val="none" w:sz="0" w:space="0" w:color="auto"/>
        <w:bottom w:val="none" w:sz="0" w:space="0" w:color="auto"/>
        <w:right w:val="none" w:sz="0" w:space="0" w:color="auto"/>
      </w:divBdr>
    </w:div>
    <w:div w:id="1298991111">
      <w:bodyDiv w:val="1"/>
      <w:marLeft w:val="0"/>
      <w:marRight w:val="0"/>
      <w:marTop w:val="0"/>
      <w:marBottom w:val="0"/>
      <w:divBdr>
        <w:top w:val="none" w:sz="0" w:space="0" w:color="auto"/>
        <w:left w:val="none" w:sz="0" w:space="0" w:color="auto"/>
        <w:bottom w:val="none" w:sz="0" w:space="0" w:color="auto"/>
        <w:right w:val="none" w:sz="0" w:space="0" w:color="auto"/>
      </w:divBdr>
    </w:div>
    <w:div w:id="1922332218">
      <w:bodyDiv w:val="1"/>
      <w:marLeft w:val="0"/>
      <w:marRight w:val="0"/>
      <w:marTop w:val="0"/>
      <w:marBottom w:val="0"/>
      <w:divBdr>
        <w:top w:val="none" w:sz="0" w:space="0" w:color="auto"/>
        <w:left w:val="none" w:sz="0" w:space="0" w:color="auto"/>
        <w:bottom w:val="none" w:sz="0" w:space="0" w:color="auto"/>
        <w:right w:val="none" w:sz="0" w:space="0" w:color="auto"/>
      </w:divBdr>
    </w:div>
    <w:div w:id="1924222093">
      <w:bodyDiv w:val="1"/>
      <w:marLeft w:val="0"/>
      <w:marRight w:val="0"/>
      <w:marTop w:val="0"/>
      <w:marBottom w:val="0"/>
      <w:divBdr>
        <w:top w:val="none" w:sz="0" w:space="0" w:color="auto"/>
        <w:left w:val="none" w:sz="0" w:space="0" w:color="auto"/>
        <w:bottom w:val="none" w:sz="0" w:space="0" w:color="auto"/>
        <w:right w:val="none" w:sz="0" w:space="0" w:color="auto"/>
      </w:divBdr>
    </w:div>
    <w:div w:id="20602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FDE5C-6BD9-49F3-9683-5650085112D3}"/>
</file>

<file path=customXml/itemProps2.xml><?xml version="1.0" encoding="utf-8"?>
<ds:datastoreItem xmlns:ds="http://schemas.openxmlformats.org/officeDocument/2006/customXml" ds:itemID="{B9B2D7A3-C1CE-4EBD-B3CF-4355784BB155}"/>
</file>

<file path=customXml/itemProps3.xml><?xml version="1.0" encoding="utf-8"?>
<ds:datastoreItem xmlns:ds="http://schemas.openxmlformats.org/officeDocument/2006/customXml" ds:itemID="{2C6B6BA2-ACF6-4AC7-92E3-49C5E14D746F}"/>
</file>

<file path=customXml/itemProps4.xml><?xml version="1.0" encoding="utf-8"?>
<ds:datastoreItem xmlns:ds="http://schemas.openxmlformats.org/officeDocument/2006/customXml" ds:itemID="{2381E3AF-8C7D-4BFE-AAC7-B7207F02FAD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7111</Characters>
  <Application>Microsoft Office Word</Application>
  <DocSecurity>0</DocSecurity>
  <Lines>59</Lines>
  <Paragraphs>16</Paragraphs>
  <ScaleCrop>false</ScaleCrop>
  <Company/>
  <LinksUpToDate>false</LinksUpToDate>
  <CharactersWithSpaces>8344</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3080258</vt:i4>
      </vt:variant>
      <vt:variant>
        <vt:i4>3</vt:i4>
      </vt:variant>
      <vt:variant>
        <vt:i4>0</vt:i4>
      </vt:variant>
      <vt:variant>
        <vt:i4>5</vt:i4>
      </vt:variant>
      <vt:variant>
        <vt:lpwstr>mailto:natalie.hocken@pacificorp.com</vt:lpwstr>
      </vt:variant>
      <vt:variant>
        <vt:lpwstr/>
      </vt:variant>
      <vt:variant>
        <vt:i4>3342362</vt:i4>
      </vt:variant>
      <vt:variant>
        <vt:i4>0</vt:i4>
      </vt:variant>
      <vt:variant>
        <vt:i4>0</vt:i4>
      </vt:variant>
      <vt:variant>
        <vt:i4>5</vt:i4>
      </vt:variant>
      <vt:variant>
        <vt:lpwstr>mailto:washingtondockets@pacificorp.com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2014-10-03T22:04:00Z</dcterms:created>
  <dcterms:modified xsi:type="dcterms:W3CDTF">2014-10-03T22:04:00Z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