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C64B2" w14:textId="77777777" w:rsidR="002C705E" w:rsidRPr="002D45DD" w:rsidRDefault="00CD302C">
      <w:pPr>
        <w:pStyle w:val="Heading4"/>
      </w:pPr>
      <w:bookmarkStart w:id="0" w:name="_GoBack"/>
      <w:bookmarkEnd w:id="0"/>
      <w:r w:rsidRPr="002D45DD">
        <w:t>Agenda Date:</w:t>
      </w:r>
      <w:r w:rsidRPr="002D45DD">
        <w:tab/>
      </w:r>
      <w:r w:rsidRPr="002D45DD">
        <w:tab/>
      </w:r>
      <w:r w:rsidR="009159F1">
        <w:t>May 9, 2013</w:t>
      </w:r>
    </w:p>
    <w:p w14:paraId="7EDC64B3" w14:textId="0520E840" w:rsidR="002C705E" w:rsidRPr="002D45DD" w:rsidRDefault="002C705E">
      <w:pPr>
        <w:pStyle w:val="Heading4"/>
        <w:rPr>
          <w:b/>
        </w:rPr>
      </w:pPr>
      <w:r w:rsidRPr="002D45DD">
        <w:t>Item Number:</w:t>
      </w:r>
      <w:r w:rsidRPr="002D45DD">
        <w:tab/>
      </w:r>
      <w:r w:rsidRPr="002D45DD">
        <w:tab/>
      </w:r>
      <w:r w:rsidR="00553DAB">
        <w:t>A</w:t>
      </w:r>
      <w:r w:rsidR="00F72665">
        <w:t>2</w:t>
      </w:r>
    </w:p>
    <w:p w14:paraId="7EDC64B4" w14:textId="77777777" w:rsidR="002C705E" w:rsidRPr="002D45DD" w:rsidRDefault="002C705E">
      <w:pPr>
        <w:rPr>
          <w:sz w:val="24"/>
        </w:rPr>
      </w:pPr>
    </w:p>
    <w:p w14:paraId="7EDC64B5" w14:textId="77777777" w:rsidR="00CD302C" w:rsidRPr="002D45DD" w:rsidRDefault="00B22FF4">
      <w:pPr>
        <w:tabs>
          <w:tab w:val="left" w:pos="-1440"/>
        </w:tabs>
        <w:ind w:left="1440" w:hanging="1440"/>
        <w:rPr>
          <w:b/>
          <w:sz w:val="24"/>
        </w:rPr>
      </w:pPr>
      <w:r>
        <w:rPr>
          <w:b/>
          <w:sz w:val="24"/>
        </w:rPr>
        <w:t>Docket: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C705E" w:rsidRPr="002D45DD">
        <w:rPr>
          <w:b/>
          <w:sz w:val="24"/>
        </w:rPr>
        <w:t>U</w:t>
      </w:r>
      <w:r w:rsidR="009159F1">
        <w:rPr>
          <w:b/>
          <w:sz w:val="24"/>
        </w:rPr>
        <w:t>E</w:t>
      </w:r>
      <w:r w:rsidR="002C705E" w:rsidRPr="002D45DD">
        <w:rPr>
          <w:b/>
          <w:sz w:val="24"/>
        </w:rPr>
        <w:t>-</w:t>
      </w:r>
      <w:r w:rsidR="00DF4366">
        <w:rPr>
          <w:b/>
          <w:sz w:val="24"/>
        </w:rPr>
        <w:t>1</w:t>
      </w:r>
      <w:r w:rsidR="009159F1">
        <w:rPr>
          <w:b/>
          <w:sz w:val="24"/>
        </w:rPr>
        <w:t>30617</w:t>
      </w:r>
    </w:p>
    <w:p w14:paraId="7EDC64B6" w14:textId="77777777" w:rsidR="002C705E" w:rsidRDefault="002C705E" w:rsidP="002D45DD">
      <w:pPr>
        <w:tabs>
          <w:tab w:val="left" w:pos="-1440"/>
        </w:tabs>
        <w:rPr>
          <w:sz w:val="24"/>
        </w:rPr>
      </w:pPr>
      <w:r w:rsidRPr="002D45DD">
        <w:rPr>
          <w:sz w:val="24"/>
        </w:rPr>
        <w:t>Company:</w:t>
      </w:r>
      <w:r w:rsidRPr="002D45DD">
        <w:rPr>
          <w:sz w:val="24"/>
        </w:rPr>
        <w:tab/>
      </w:r>
      <w:r w:rsidRPr="002D45DD">
        <w:rPr>
          <w:sz w:val="24"/>
        </w:rPr>
        <w:tab/>
      </w:r>
      <w:r w:rsidR="009159F1">
        <w:rPr>
          <w:sz w:val="24"/>
        </w:rPr>
        <w:t>Puget Sound Energy, Inc.</w:t>
      </w:r>
    </w:p>
    <w:p w14:paraId="7EDC64B7" w14:textId="77777777" w:rsidR="00B34F76" w:rsidRPr="002D45DD" w:rsidRDefault="00B34F76" w:rsidP="002D45DD">
      <w:pPr>
        <w:tabs>
          <w:tab w:val="left" w:pos="-1440"/>
        </w:tabs>
        <w:rPr>
          <w:sz w:val="24"/>
        </w:rPr>
      </w:pPr>
    </w:p>
    <w:p w14:paraId="7EDC64B8" w14:textId="77777777" w:rsidR="00882F39" w:rsidRDefault="00882F39">
      <w:pPr>
        <w:tabs>
          <w:tab w:val="left" w:pos="-1440"/>
        </w:tabs>
        <w:ind w:left="1440" w:hanging="1440"/>
        <w:rPr>
          <w:sz w:val="24"/>
        </w:rPr>
      </w:pPr>
      <w:r w:rsidRPr="002C57FF">
        <w:rPr>
          <w:sz w:val="24"/>
          <w:u w:val="single"/>
        </w:rPr>
        <w:t>Staff:</w:t>
      </w:r>
      <w:r>
        <w:rPr>
          <w:sz w:val="24"/>
        </w:rPr>
        <w:tab/>
      </w:r>
      <w:r>
        <w:rPr>
          <w:sz w:val="24"/>
        </w:rPr>
        <w:tab/>
        <w:t>Christopher Mickelson, Regulatory Analyst</w:t>
      </w:r>
    </w:p>
    <w:p w14:paraId="7EDC64B9" w14:textId="77777777" w:rsidR="002C705E" w:rsidRDefault="00882F39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159F1">
        <w:rPr>
          <w:sz w:val="24"/>
        </w:rPr>
        <w:t>Alan Buckley</w:t>
      </w:r>
      <w:r w:rsidR="002C705E" w:rsidRPr="002D45DD">
        <w:rPr>
          <w:sz w:val="24"/>
        </w:rPr>
        <w:t xml:space="preserve">, Regulatory </w:t>
      </w:r>
      <w:r w:rsidR="008C14BE">
        <w:rPr>
          <w:sz w:val="24"/>
        </w:rPr>
        <w:t>Consultant</w:t>
      </w:r>
    </w:p>
    <w:p w14:paraId="7EDC64BA" w14:textId="77777777" w:rsidR="00E23DC3" w:rsidRDefault="00E23DC3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159F1">
        <w:rPr>
          <w:sz w:val="24"/>
        </w:rPr>
        <w:t>David Gomez</w:t>
      </w:r>
      <w:r w:rsidRPr="00E23DC3">
        <w:rPr>
          <w:sz w:val="24"/>
        </w:rPr>
        <w:t xml:space="preserve">, </w:t>
      </w:r>
      <w:r w:rsidR="008C14BE">
        <w:rPr>
          <w:sz w:val="24"/>
        </w:rPr>
        <w:t>Assistant Power Supply Manager</w:t>
      </w:r>
    </w:p>
    <w:p w14:paraId="7EDC64BB" w14:textId="77777777" w:rsidR="009159F1" w:rsidRPr="002D45DD" w:rsidRDefault="009159F1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David Nightingale, </w:t>
      </w:r>
      <w:r w:rsidR="008C14BE">
        <w:rPr>
          <w:sz w:val="24"/>
        </w:rPr>
        <w:t>Senior Regulatory Engineer</w:t>
      </w:r>
    </w:p>
    <w:p w14:paraId="7EDC64BC" w14:textId="77777777" w:rsidR="002C705E" w:rsidRPr="002D45DD" w:rsidRDefault="002C705E">
      <w:pPr>
        <w:pStyle w:val="Heading4"/>
      </w:pPr>
      <w:r w:rsidRPr="002D45DD">
        <w:tab/>
      </w:r>
      <w:r w:rsidRPr="002D45DD">
        <w:tab/>
      </w:r>
      <w:r w:rsidRPr="002D45DD">
        <w:tab/>
      </w:r>
      <w:r w:rsidRPr="002D45DD">
        <w:tab/>
      </w:r>
    </w:p>
    <w:p w14:paraId="7EDC64BD" w14:textId="77777777" w:rsidR="002C705E" w:rsidRPr="002D45DD" w:rsidRDefault="002C705E">
      <w:pPr>
        <w:pStyle w:val="Heading1"/>
        <w:ind w:left="0" w:firstLine="0"/>
      </w:pPr>
      <w:r w:rsidRPr="002D45DD">
        <w:rPr>
          <w:b/>
          <w:u w:val="single"/>
        </w:rPr>
        <w:t>Recommendation</w:t>
      </w:r>
    </w:p>
    <w:p w14:paraId="7EDC64BE" w14:textId="77777777" w:rsidR="002C705E" w:rsidRPr="002D45DD" w:rsidRDefault="002C705E">
      <w:pPr>
        <w:rPr>
          <w:sz w:val="24"/>
        </w:rPr>
      </w:pPr>
    </w:p>
    <w:p w14:paraId="7EDC64BF" w14:textId="77777777" w:rsidR="002C705E" w:rsidRPr="00416E3F" w:rsidRDefault="00416E3F">
      <w:pPr>
        <w:pStyle w:val="BodyText"/>
        <w:rPr>
          <w:color w:val="000000"/>
        </w:rPr>
      </w:pPr>
      <w:r w:rsidRPr="00454142">
        <w:rPr>
          <w:color w:val="000000"/>
        </w:rPr>
        <w:t xml:space="preserve">Issue a </w:t>
      </w:r>
      <w:r w:rsidR="00FF5611">
        <w:rPr>
          <w:color w:val="000000"/>
        </w:rPr>
        <w:t>c</w:t>
      </w:r>
      <w:r w:rsidRPr="00454142">
        <w:rPr>
          <w:color w:val="000000"/>
        </w:rPr>
        <w:t xml:space="preserve">omplaint and </w:t>
      </w:r>
      <w:r w:rsidR="00FF5611">
        <w:rPr>
          <w:color w:val="000000"/>
        </w:rPr>
        <w:t>o</w:t>
      </w:r>
      <w:r w:rsidRPr="00454142">
        <w:rPr>
          <w:color w:val="000000"/>
        </w:rPr>
        <w:t xml:space="preserve">rder </w:t>
      </w:r>
      <w:r w:rsidR="00FF5611">
        <w:rPr>
          <w:color w:val="000000"/>
        </w:rPr>
        <w:t>s</w:t>
      </w:r>
      <w:r w:rsidRPr="00454142">
        <w:rPr>
          <w:color w:val="000000"/>
        </w:rPr>
        <w:t xml:space="preserve">uspending the </w:t>
      </w:r>
      <w:r w:rsidR="00FF5611">
        <w:rPr>
          <w:color w:val="000000"/>
        </w:rPr>
        <w:t>t</w:t>
      </w:r>
      <w:r w:rsidRPr="00454142">
        <w:rPr>
          <w:color w:val="000000"/>
        </w:rPr>
        <w:t xml:space="preserve">ariff </w:t>
      </w:r>
      <w:r w:rsidR="00FF5611">
        <w:rPr>
          <w:color w:val="000000"/>
        </w:rPr>
        <w:t>r</w:t>
      </w:r>
      <w:r w:rsidRPr="00454142">
        <w:rPr>
          <w:color w:val="000000"/>
        </w:rPr>
        <w:t xml:space="preserve">evisions filed by </w:t>
      </w:r>
      <w:r w:rsidR="00F37B84">
        <w:rPr>
          <w:color w:val="000000"/>
        </w:rPr>
        <w:t>Puget Sound Energy, Inc., and set the matter for hearing.</w:t>
      </w:r>
    </w:p>
    <w:p w14:paraId="7EDC64C0" w14:textId="77777777" w:rsidR="00387244" w:rsidRPr="00387244" w:rsidRDefault="00387244" w:rsidP="00387244">
      <w:pPr>
        <w:rPr>
          <w:sz w:val="24"/>
        </w:rPr>
      </w:pPr>
    </w:p>
    <w:p w14:paraId="7EDC64C1" w14:textId="77777777" w:rsidR="002C705E" w:rsidRPr="002D45DD" w:rsidRDefault="002C57FF">
      <w:pPr>
        <w:rPr>
          <w:b/>
          <w:sz w:val="24"/>
        </w:rPr>
      </w:pPr>
      <w:r>
        <w:rPr>
          <w:b/>
          <w:sz w:val="24"/>
          <w:u w:val="single"/>
        </w:rPr>
        <w:t>Discussion</w:t>
      </w:r>
    </w:p>
    <w:p w14:paraId="7EDC64C2" w14:textId="77777777" w:rsidR="002C705E" w:rsidRPr="002D45DD" w:rsidRDefault="002C705E">
      <w:pPr>
        <w:rPr>
          <w:sz w:val="24"/>
        </w:rPr>
      </w:pPr>
    </w:p>
    <w:p w14:paraId="7EDC64C3" w14:textId="0C932889" w:rsidR="003E10F1" w:rsidRDefault="002765FA" w:rsidP="006026F0">
      <w:pPr>
        <w:rPr>
          <w:sz w:val="24"/>
        </w:rPr>
      </w:pPr>
      <w:r w:rsidRPr="002765FA">
        <w:rPr>
          <w:sz w:val="24"/>
        </w:rPr>
        <w:t xml:space="preserve">On </w:t>
      </w:r>
      <w:r>
        <w:rPr>
          <w:sz w:val="24"/>
        </w:rPr>
        <w:t>April 25</w:t>
      </w:r>
      <w:r w:rsidRPr="002765FA">
        <w:rPr>
          <w:sz w:val="24"/>
        </w:rPr>
        <w:t>, 20</w:t>
      </w:r>
      <w:r>
        <w:rPr>
          <w:sz w:val="24"/>
        </w:rPr>
        <w:t>13</w:t>
      </w:r>
      <w:r w:rsidRPr="002765FA">
        <w:rPr>
          <w:sz w:val="24"/>
        </w:rPr>
        <w:t xml:space="preserve">, Puget Sound Energy, Inc., (PSE or </w:t>
      </w:r>
      <w:r w:rsidR="00F462F0">
        <w:rPr>
          <w:sz w:val="24"/>
        </w:rPr>
        <w:t>c</w:t>
      </w:r>
      <w:r w:rsidRPr="002765FA">
        <w:rPr>
          <w:sz w:val="24"/>
        </w:rPr>
        <w:t>ompany) filed with the Washington Utilities and Transportation Commission (</w:t>
      </w:r>
      <w:r w:rsidR="00F462F0">
        <w:rPr>
          <w:sz w:val="24"/>
        </w:rPr>
        <w:t>c</w:t>
      </w:r>
      <w:r w:rsidRPr="002765FA">
        <w:rPr>
          <w:sz w:val="24"/>
        </w:rPr>
        <w:t>ommission) revisions to its currently effective Tariff WN U-60, as listed</w:t>
      </w:r>
      <w:r w:rsidR="00387244">
        <w:rPr>
          <w:sz w:val="24"/>
        </w:rPr>
        <w:t xml:space="preserve"> </w:t>
      </w:r>
      <w:r w:rsidRPr="002765FA">
        <w:rPr>
          <w:sz w:val="24"/>
        </w:rPr>
        <w:t xml:space="preserve">in the appendix attached to this </w:t>
      </w:r>
      <w:r w:rsidR="00387244">
        <w:rPr>
          <w:sz w:val="24"/>
        </w:rPr>
        <w:t>Memo</w:t>
      </w:r>
      <w:r w:rsidR="00F462F0">
        <w:rPr>
          <w:sz w:val="24"/>
        </w:rPr>
        <w:t xml:space="preserve">. </w:t>
      </w:r>
      <w:r w:rsidRPr="002765FA">
        <w:rPr>
          <w:sz w:val="24"/>
        </w:rPr>
        <w:t xml:space="preserve">The stated effective date of the revised tariff sheets is </w:t>
      </w:r>
      <w:r>
        <w:rPr>
          <w:sz w:val="24"/>
        </w:rPr>
        <w:t>May 26, 2013</w:t>
      </w:r>
      <w:r w:rsidR="003E10F1">
        <w:rPr>
          <w:sz w:val="24"/>
        </w:rPr>
        <w:t>.</w:t>
      </w:r>
    </w:p>
    <w:p w14:paraId="7EDC64C4" w14:textId="77777777" w:rsidR="003E10F1" w:rsidRDefault="003E10F1" w:rsidP="006026F0">
      <w:pPr>
        <w:rPr>
          <w:sz w:val="24"/>
        </w:rPr>
      </w:pPr>
    </w:p>
    <w:p w14:paraId="7EDC64C5" w14:textId="4CC438BB" w:rsidR="000030CA" w:rsidRDefault="00387244" w:rsidP="006026F0">
      <w:pPr>
        <w:rPr>
          <w:sz w:val="24"/>
        </w:rPr>
      </w:pPr>
      <w:r w:rsidRPr="002765FA">
        <w:rPr>
          <w:sz w:val="24"/>
        </w:rPr>
        <w:t xml:space="preserve">This power cost only rate case (PCORC) filing is authorized by the Settlement Stipulation approved by the </w:t>
      </w:r>
      <w:r w:rsidR="00F462F0">
        <w:rPr>
          <w:sz w:val="24"/>
        </w:rPr>
        <w:t>c</w:t>
      </w:r>
      <w:r w:rsidRPr="002765FA">
        <w:rPr>
          <w:sz w:val="24"/>
        </w:rPr>
        <w:t>ommission in Dockets UE-011570 and UG-011571.</w:t>
      </w:r>
      <w:r w:rsidR="00F462F0">
        <w:rPr>
          <w:sz w:val="24"/>
        </w:rPr>
        <w:t xml:space="preserve"> </w:t>
      </w:r>
      <w:r w:rsidR="002765FA" w:rsidRPr="002765FA">
        <w:rPr>
          <w:sz w:val="24"/>
        </w:rPr>
        <w:t xml:space="preserve">This filing is a proposal by PSE to </w:t>
      </w:r>
      <w:r w:rsidR="002765FA">
        <w:rPr>
          <w:sz w:val="24"/>
        </w:rPr>
        <w:t xml:space="preserve">adjust the </w:t>
      </w:r>
      <w:r w:rsidR="000030CA">
        <w:rPr>
          <w:sz w:val="24"/>
        </w:rPr>
        <w:t>p</w:t>
      </w:r>
      <w:r w:rsidR="002765FA">
        <w:rPr>
          <w:sz w:val="24"/>
        </w:rPr>
        <w:t xml:space="preserve">ower </w:t>
      </w:r>
      <w:r w:rsidR="000030CA">
        <w:rPr>
          <w:sz w:val="24"/>
        </w:rPr>
        <w:t>cost baseline r</w:t>
      </w:r>
      <w:r w:rsidR="002765FA">
        <w:rPr>
          <w:sz w:val="24"/>
        </w:rPr>
        <w:t xml:space="preserve">ate </w:t>
      </w:r>
      <w:r w:rsidR="000030CA">
        <w:rPr>
          <w:sz w:val="24"/>
        </w:rPr>
        <w:t>that is currently embedded in the PSE’s electric rates established in the most recent general rate case.</w:t>
      </w:r>
      <w:r w:rsidR="00F462F0">
        <w:rPr>
          <w:sz w:val="24"/>
        </w:rPr>
        <w:t xml:space="preserve"> </w:t>
      </w:r>
      <w:r w:rsidR="00E0058F">
        <w:rPr>
          <w:sz w:val="24"/>
        </w:rPr>
        <w:t xml:space="preserve">The </w:t>
      </w:r>
      <w:r w:rsidR="00F462F0">
        <w:rPr>
          <w:sz w:val="24"/>
        </w:rPr>
        <w:t>c</w:t>
      </w:r>
      <w:r w:rsidR="00E0058F">
        <w:rPr>
          <w:sz w:val="24"/>
        </w:rPr>
        <w:t>ompany proposes using projected normalized power costs for the proposed rate year for this PCORC: the 12-month period beginning November 1, 2013.</w:t>
      </w:r>
    </w:p>
    <w:p w14:paraId="7EDC64C6" w14:textId="77777777" w:rsidR="000030CA" w:rsidRDefault="000030CA" w:rsidP="006026F0">
      <w:pPr>
        <w:rPr>
          <w:sz w:val="24"/>
        </w:rPr>
      </w:pPr>
    </w:p>
    <w:p w14:paraId="7EDC64C7" w14:textId="1CB645A0" w:rsidR="003E10F1" w:rsidRDefault="003E10F1" w:rsidP="006026F0">
      <w:pPr>
        <w:rPr>
          <w:sz w:val="24"/>
        </w:rPr>
      </w:pPr>
      <w:r>
        <w:rPr>
          <w:sz w:val="24"/>
        </w:rPr>
        <w:t xml:space="preserve">PSE also filed a motion along with this PCORC filing, requesting that the </w:t>
      </w:r>
      <w:r w:rsidR="00F462F0">
        <w:rPr>
          <w:sz w:val="24"/>
        </w:rPr>
        <w:t>c</w:t>
      </w:r>
      <w:r>
        <w:rPr>
          <w:sz w:val="24"/>
        </w:rPr>
        <w:t>ommission issue a protective order with h</w:t>
      </w:r>
      <w:r w:rsidR="00F462F0">
        <w:rPr>
          <w:sz w:val="24"/>
        </w:rPr>
        <w:t xml:space="preserve">ighly confidential provisions. </w:t>
      </w:r>
      <w:r>
        <w:rPr>
          <w:sz w:val="24"/>
        </w:rPr>
        <w:t xml:space="preserve">The </w:t>
      </w:r>
      <w:r w:rsidR="00F462F0">
        <w:rPr>
          <w:sz w:val="24"/>
        </w:rPr>
        <w:t>c</w:t>
      </w:r>
      <w:r>
        <w:rPr>
          <w:sz w:val="24"/>
        </w:rPr>
        <w:t>ompany has marked several pages “confidential” or “highly confidential”; some of the documents designated as “confidential” relate to a transaction that is currently pending will no longer require “confidential” treatment once the transaction is executed.</w:t>
      </w:r>
    </w:p>
    <w:p w14:paraId="7EDC64C8" w14:textId="77777777" w:rsidR="003E10F1" w:rsidRDefault="003E10F1" w:rsidP="006026F0">
      <w:pPr>
        <w:rPr>
          <w:sz w:val="24"/>
        </w:rPr>
      </w:pPr>
    </w:p>
    <w:p w14:paraId="7EDC64C9" w14:textId="0311CA84" w:rsidR="00E0058F" w:rsidRDefault="00E0058F" w:rsidP="006026F0">
      <w:pPr>
        <w:rPr>
          <w:sz w:val="24"/>
        </w:rPr>
      </w:pPr>
      <w:r>
        <w:rPr>
          <w:sz w:val="24"/>
        </w:rPr>
        <w:t xml:space="preserve">PSE is requesting an extension of time to file its general rate case following the completion of this PCORC; this extension would coincide with the “stay-out” period PSE has agreed to in the Multiparty Settlement Agreement currently pending before the </w:t>
      </w:r>
      <w:r w:rsidR="00F462F0">
        <w:rPr>
          <w:sz w:val="24"/>
        </w:rPr>
        <w:t>c</w:t>
      </w:r>
      <w:r>
        <w:rPr>
          <w:sz w:val="24"/>
        </w:rPr>
        <w:t>ommission in Dockets Nos. UE-121373, UE-121697, UG-121705, UE-130137, and UG-130138.</w:t>
      </w:r>
    </w:p>
    <w:p w14:paraId="7EDC64CA" w14:textId="77777777" w:rsidR="00E0058F" w:rsidRDefault="00E0058F" w:rsidP="006026F0">
      <w:pPr>
        <w:rPr>
          <w:sz w:val="24"/>
        </w:rPr>
      </w:pPr>
    </w:p>
    <w:p w14:paraId="7EDC64CB" w14:textId="26CAD02F" w:rsidR="00E0058F" w:rsidRDefault="00E0058F" w:rsidP="006026F0">
      <w:pPr>
        <w:rPr>
          <w:sz w:val="24"/>
        </w:rPr>
      </w:pPr>
      <w:r>
        <w:rPr>
          <w:sz w:val="24"/>
        </w:rPr>
        <w:t xml:space="preserve">In addition, on April 23, 2013, PSE filed a Petition for an Order Authorizing Accounting Treatment Related to </w:t>
      </w:r>
      <w:r w:rsidR="0005242A">
        <w:rPr>
          <w:sz w:val="24"/>
        </w:rPr>
        <w:t>Payments</w:t>
      </w:r>
      <w:r>
        <w:rPr>
          <w:sz w:val="24"/>
        </w:rPr>
        <w:t xml:space="preserve"> for Major Maintenance Activities related to the</w:t>
      </w:r>
      <w:r w:rsidR="00F462F0">
        <w:rPr>
          <w:sz w:val="24"/>
        </w:rPr>
        <w:t xml:space="preserve"> Mint Farm generating station. </w:t>
      </w:r>
      <w:r>
        <w:rPr>
          <w:sz w:val="24"/>
        </w:rPr>
        <w:t>The recovery of the amortized expense associated with this major maintenance event in the rate year in this proceeding, as discussed in more detail in the testimony in this docket.</w:t>
      </w:r>
    </w:p>
    <w:p w14:paraId="7EDC64CC" w14:textId="77777777" w:rsidR="00E0058F" w:rsidRDefault="00E0058F" w:rsidP="006026F0">
      <w:pPr>
        <w:rPr>
          <w:sz w:val="24"/>
        </w:rPr>
      </w:pPr>
    </w:p>
    <w:p w14:paraId="7EDC64CD" w14:textId="2F0BE1EC" w:rsidR="00F37B84" w:rsidRDefault="002765FA" w:rsidP="002765FA">
      <w:pPr>
        <w:rPr>
          <w:sz w:val="24"/>
        </w:rPr>
      </w:pPr>
      <w:r w:rsidRPr="002765FA">
        <w:rPr>
          <w:sz w:val="24"/>
        </w:rPr>
        <w:lastRenderedPageBreak/>
        <w:t xml:space="preserve">With this filing, the </w:t>
      </w:r>
      <w:r w:rsidR="00F462F0">
        <w:rPr>
          <w:sz w:val="24"/>
        </w:rPr>
        <w:t>c</w:t>
      </w:r>
      <w:r w:rsidRPr="002765FA">
        <w:rPr>
          <w:sz w:val="24"/>
        </w:rPr>
        <w:t xml:space="preserve">ompany requests a </w:t>
      </w:r>
      <w:r>
        <w:rPr>
          <w:sz w:val="24"/>
        </w:rPr>
        <w:t>de</w:t>
      </w:r>
      <w:r w:rsidRPr="002765FA">
        <w:rPr>
          <w:sz w:val="24"/>
        </w:rPr>
        <w:t>crease in electric rates of $6</w:t>
      </w:r>
      <w:r>
        <w:rPr>
          <w:sz w:val="24"/>
        </w:rPr>
        <w:t>16</w:t>
      </w:r>
      <w:r w:rsidRPr="002765FA">
        <w:rPr>
          <w:sz w:val="24"/>
        </w:rPr>
        <w:t>,</w:t>
      </w:r>
      <w:r>
        <w:rPr>
          <w:sz w:val="24"/>
        </w:rPr>
        <w:t>833</w:t>
      </w:r>
      <w:r w:rsidRPr="002765FA">
        <w:rPr>
          <w:sz w:val="24"/>
        </w:rPr>
        <w:t xml:space="preserve"> or </w:t>
      </w:r>
      <w:r>
        <w:rPr>
          <w:sz w:val="24"/>
        </w:rPr>
        <w:t>0.0</w:t>
      </w:r>
      <w:r w:rsidRPr="002765FA">
        <w:rPr>
          <w:sz w:val="24"/>
        </w:rPr>
        <w:t>3 percent</w:t>
      </w:r>
      <w:r w:rsidR="006026F0">
        <w:rPr>
          <w:sz w:val="24"/>
        </w:rPr>
        <w:t>.</w:t>
      </w:r>
      <w:r w:rsidR="000030CA">
        <w:rPr>
          <w:sz w:val="24"/>
        </w:rPr>
        <w:t xml:space="preserve">  </w:t>
      </w:r>
      <w:r w:rsidR="00F37B84" w:rsidRPr="00F37B84">
        <w:rPr>
          <w:sz w:val="24"/>
        </w:rPr>
        <w:t xml:space="preserve">The average </w:t>
      </w:r>
      <w:r w:rsidR="000030CA">
        <w:rPr>
          <w:sz w:val="24"/>
        </w:rPr>
        <w:t xml:space="preserve">electric </w:t>
      </w:r>
      <w:r w:rsidR="00F37B84" w:rsidRPr="00F37B84">
        <w:rPr>
          <w:sz w:val="24"/>
        </w:rPr>
        <w:t xml:space="preserve">residential customer using </w:t>
      </w:r>
      <w:r w:rsidR="000030CA">
        <w:rPr>
          <w:sz w:val="24"/>
        </w:rPr>
        <w:t xml:space="preserve">1,000 kWh </w:t>
      </w:r>
      <w:r w:rsidR="00F37B84" w:rsidRPr="00F37B84">
        <w:rPr>
          <w:sz w:val="24"/>
        </w:rPr>
        <w:t xml:space="preserve">would see a </w:t>
      </w:r>
      <w:r w:rsidR="000030CA">
        <w:rPr>
          <w:sz w:val="24"/>
        </w:rPr>
        <w:t>de</w:t>
      </w:r>
      <w:r w:rsidR="00F37B84" w:rsidRPr="00F37B84">
        <w:rPr>
          <w:sz w:val="24"/>
        </w:rPr>
        <w:t xml:space="preserve">crease of </w:t>
      </w:r>
      <w:r w:rsidR="000030CA">
        <w:rPr>
          <w:sz w:val="24"/>
        </w:rPr>
        <w:t>0.03</w:t>
      </w:r>
      <w:r w:rsidR="00F37B84" w:rsidRPr="00F37B84">
        <w:rPr>
          <w:sz w:val="24"/>
        </w:rPr>
        <w:t xml:space="preserve"> percent</w:t>
      </w:r>
      <w:r w:rsidR="003E10F1">
        <w:rPr>
          <w:sz w:val="24"/>
        </w:rPr>
        <w:t xml:space="preserve">, </w:t>
      </w:r>
      <w:r w:rsidR="00F37B84" w:rsidRPr="00F37B84">
        <w:rPr>
          <w:sz w:val="24"/>
        </w:rPr>
        <w:t>or $</w:t>
      </w:r>
      <w:r w:rsidR="000030CA">
        <w:rPr>
          <w:sz w:val="24"/>
        </w:rPr>
        <w:t>0.03</w:t>
      </w:r>
      <w:r w:rsidR="00F37B84" w:rsidRPr="00F37B84">
        <w:rPr>
          <w:sz w:val="24"/>
        </w:rPr>
        <w:t xml:space="preserve"> per month for the proposed base rate change.</w:t>
      </w:r>
    </w:p>
    <w:p w14:paraId="7EDC64CE" w14:textId="77777777" w:rsidR="00F37B84" w:rsidRPr="002765FA" w:rsidRDefault="00F37B84" w:rsidP="002765FA">
      <w:pPr>
        <w:rPr>
          <w:sz w:val="24"/>
        </w:rPr>
      </w:pPr>
    </w:p>
    <w:p w14:paraId="7EDC64CF" w14:textId="5FDA1D90" w:rsidR="00387244" w:rsidRPr="00387244" w:rsidRDefault="003E10F1" w:rsidP="00387244">
      <w:pPr>
        <w:widowControl/>
        <w:autoSpaceDE/>
        <w:autoSpaceDN/>
        <w:adjustRightInd/>
        <w:spacing w:line="264" w:lineRule="auto"/>
        <w:rPr>
          <w:sz w:val="24"/>
        </w:rPr>
      </w:pPr>
      <w:r>
        <w:rPr>
          <w:sz w:val="24"/>
        </w:rPr>
        <w:t>Staff f</w:t>
      </w:r>
      <w:r w:rsidR="00387244" w:rsidRPr="00387244">
        <w:rPr>
          <w:sz w:val="24"/>
        </w:rPr>
        <w:t xml:space="preserve">inds that the filing would </w:t>
      </w:r>
      <w:r>
        <w:rPr>
          <w:sz w:val="24"/>
        </w:rPr>
        <w:t xml:space="preserve">adjust </w:t>
      </w:r>
      <w:r w:rsidR="00387244" w:rsidRPr="00387244">
        <w:rPr>
          <w:sz w:val="24"/>
        </w:rPr>
        <w:t>charges and rates for service provided by PSE</w:t>
      </w:r>
      <w:r w:rsidR="00F462F0">
        <w:rPr>
          <w:sz w:val="24"/>
        </w:rPr>
        <w:t>.</w:t>
      </w:r>
      <w:r>
        <w:rPr>
          <w:sz w:val="24"/>
        </w:rPr>
        <w:t xml:space="preserve"> B</w:t>
      </w:r>
      <w:r w:rsidR="00387244" w:rsidRPr="00387244">
        <w:rPr>
          <w:sz w:val="24"/>
        </w:rPr>
        <w:t xml:space="preserve">ecause these </w:t>
      </w:r>
      <w:r w:rsidR="00E0058F">
        <w:rPr>
          <w:sz w:val="24"/>
        </w:rPr>
        <w:t>adjustments</w:t>
      </w:r>
      <w:r w:rsidR="00DE1C95">
        <w:rPr>
          <w:sz w:val="24"/>
        </w:rPr>
        <w:t xml:space="preserve"> may be insufficient, </w:t>
      </w:r>
      <w:r w:rsidR="00387244" w:rsidRPr="00387244">
        <w:rPr>
          <w:sz w:val="24"/>
        </w:rPr>
        <w:t>the rights and interests of the public</w:t>
      </w:r>
      <w:r w:rsidR="00DE1C95" w:rsidRPr="00DE1C95">
        <w:rPr>
          <w:sz w:val="24"/>
        </w:rPr>
        <w:t xml:space="preserve"> </w:t>
      </w:r>
      <w:r w:rsidR="00DE1C95" w:rsidRPr="00387244">
        <w:rPr>
          <w:sz w:val="24"/>
        </w:rPr>
        <w:t>m</w:t>
      </w:r>
      <w:r w:rsidR="00DE1C95">
        <w:rPr>
          <w:sz w:val="24"/>
        </w:rPr>
        <w:t>ay be</w:t>
      </w:r>
      <w:r w:rsidR="00DE1C95" w:rsidRPr="00387244">
        <w:rPr>
          <w:sz w:val="24"/>
        </w:rPr>
        <w:t xml:space="preserve"> </w:t>
      </w:r>
      <w:r w:rsidR="00DE1C95">
        <w:rPr>
          <w:sz w:val="24"/>
        </w:rPr>
        <w:t>adverse</w:t>
      </w:r>
      <w:r w:rsidR="00DE1C95" w:rsidRPr="00387244">
        <w:rPr>
          <w:sz w:val="24"/>
        </w:rPr>
        <w:t>ly affect</w:t>
      </w:r>
      <w:r w:rsidR="00DE1C95">
        <w:rPr>
          <w:sz w:val="24"/>
        </w:rPr>
        <w:t>ed.</w:t>
      </w:r>
      <w:r w:rsidR="00DE1C95">
        <w:rPr>
          <w:rStyle w:val="CommentReference"/>
        </w:rPr>
        <w:t xml:space="preserve"> </w:t>
      </w:r>
      <w:r w:rsidR="0005242A">
        <w:rPr>
          <w:sz w:val="24"/>
        </w:rPr>
        <w:t xml:space="preserve"> </w:t>
      </w:r>
      <w:r w:rsidR="00DE1C95">
        <w:rPr>
          <w:sz w:val="24"/>
        </w:rPr>
        <w:t xml:space="preserve"> A</w:t>
      </w:r>
      <w:r w:rsidR="0005242A">
        <w:rPr>
          <w:sz w:val="24"/>
        </w:rPr>
        <w:t>dditional analysis is needed</w:t>
      </w:r>
      <w:r w:rsidR="00DE1C95">
        <w:rPr>
          <w:sz w:val="24"/>
        </w:rPr>
        <w:t>.</w:t>
      </w:r>
      <w:r w:rsidR="0005242A">
        <w:rPr>
          <w:sz w:val="24"/>
        </w:rPr>
        <w:t xml:space="preserve"> </w:t>
      </w:r>
      <w:r w:rsidR="00DE1C95">
        <w:rPr>
          <w:sz w:val="24"/>
        </w:rPr>
        <w:t>T</w:t>
      </w:r>
      <w:r w:rsidR="0005242A">
        <w:rPr>
          <w:sz w:val="24"/>
        </w:rPr>
        <w:t>herefore,</w:t>
      </w:r>
      <w:r w:rsidR="00387244" w:rsidRPr="00387244">
        <w:rPr>
          <w:sz w:val="24"/>
        </w:rPr>
        <w:t xml:space="preserve"> PSE has not demonstrated that the </w:t>
      </w:r>
      <w:r w:rsidR="00E0058F">
        <w:rPr>
          <w:sz w:val="24"/>
        </w:rPr>
        <w:t>adjustments</w:t>
      </w:r>
      <w:r w:rsidR="00387244" w:rsidRPr="00387244">
        <w:rPr>
          <w:sz w:val="24"/>
        </w:rPr>
        <w:t xml:space="preserve"> would result in rates that are fair, just and reasonable</w:t>
      </w:r>
      <w:r w:rsidR="00F462F0">
        <w:rPr>
          <w:sz w:val="24"/>
        </w:rPr>
        <w:t xml:space="preserve">. </w:t>
      </w:r>
      <w:r w:rsidR="00DE1C95">
        <w:rPr>
          <w:sz w:val="24"/>
        </w:rPr>
        <w:t>S</w:t>
      </w:r>
      <w:r>
        <w:rPr>
          <w:sz w:val="24"/>
        </w:rPr>
        <w:t xml:space="preserve">taff </w:t>
      </w:r>
      <w:r w:rsidR="008074D2">
        <w:rPr>
          <w:sz w:val="24"/>
        </w:rPr>
        <w:t xml:space="preserve">recommends </w:t>
      </w:r>
      <w:r>
        <w:rPr>
          <w:sz w:val="24"/>
        </w:rPr>
        <w:t xml:space="preserve">that </w:t>
      </w:r>
      <w:r w:rsidR="00387244" w:rsidRPr="00387244">
        <w:rPr>
          <w:sz w:val="24"/>
        </w:rPr>
        <w:t xml:space="preserve">the </w:t>
      </w:r>
      <w:r w:rsidR="00F462F0">
        <w:rPr>
          <w:sz w:val="24"/>
        </w:rPr>
        <w:t>c</w:t>
      </w:r>
      <w:r w:rsidR="00387244" w:rsidRPr="00387244">
        <w:rPr>
          <w:sz w:val="24"/>
        </w:rPr>
        <w:t xml:space="preserve">ommission suspend the tariff filing and </w:t>
      </w:r>
      <w:r w:rsidR="008074D2">
        <w:rPr>
          <w:sz w:val="24"/>
        </w:rPr>
        <w:t>set the matter for</w:t>
      </w:r>
      <w:r w:rsidR="00387244" w:rsidRPr="00387244">
        <w:rPr>
          <w:sz w:val="24"/>
        </w:rPr>
        <w:t xml:space="preserve"> hearing to determine whether the proposed </w:t>
      </w:r>
      <w:r>
        <w:rPr>
          <w:sz w:val="24"/>
        </w:rPr>
        <w:t>de</w:t>
      </w:r>
      <w:r w:rsidR="00387244" w:rsidRPr="00387244">
        <w:rPr>
          <w:sz w:val="24"/>
        </w:rPr>
        <w:t>creases are fair, just and reasonable.</w:t>
      </w:r>
    </w:p>
    <w:p w14:paraId="7EDC64D0" w14:textId="77777777" w:rsidR="00553DAB" w:rsidRPr="00387244" w:rsidRDefault="00553DAB" w:rsidP="00D83682">
      <w:pPr>
        <w:rPr>
          <w:sz w:val="24"/>
        </w:rPr>
      </w:pPr>
    </w:p>
    <w:p w14:paraId="7EDC64D1" w14:textId="77777777" w:rsidR="002C705E" w:rsidRDefault="002C705E" w:rsidP="00D83682">
      <w:pPr>
        <w:rPr>
          <w:b/>
          <w:sz w:val="24"/>
          <w:u w:val="single"/>
        </w:rPr>
      </w:pPr>
      <w:r w:rsidRPr="0098417C">
        <w:rPr>
          <w:b/>
          <w:sz w:val="24"/>
          <w:u w:val="single"/>
        </w:rPr>
        <w:t>Conclusion</w:t>
      </w:r>
    </w:p>
    <w:p w14:paraId="7EDC64D2" w14:textId="77777777" w:rsidR="00D83682" w:rsidRPr="002D45DD" w:rsidRDefault="00D83682" w:rsidP="00D83682">
      <w:pPr>
        <w:rPr>
          <w:sz w:val="24"/>
        </w:rPr>
      </w:pPr>
    </w:p>
    <w:p w14:paraId="7EDC64D3" w14:textId="77777777" w:rsidR="00387244" w:rsidRPr="003E10F1" w:rsidRDefault="003E10F1" w:rsidP="00387244">
      <w:pPr>
        <w:rPr>
          <w:sz w:val="24"/>
        </w:rPr>
      </w:pPr>
      <w:r w:rsidRPr="003E10F1">
        <w:rPr>
          <w:sz w:val="24"/>
        </w:rPr>
        <w:t>Issue a complaint and order suspending the tariff revisions filed by Puget Sound Energy, Inc., and set the matter for hearing.</w:t>
      </w:r>
      <w:r w:rsidR="00387244" w:rsidRPr="003E10F1">
        <w:rPr>
          <w:sz w:val="24"/>
        </w:rPr>
        <w:br w:type="page"/>
      </w:r>
    </w:p>
    <w:p w14:paraId="7EDC64D4" w14:textId="77777777" w:rsidR="00387244" w:rsidRPr="00387244" w:rsidRDefault="00387244" w:rsidP="00387244">
      <w:pPr>
        <w:jc w:val="center"/>
        <w:rPr>
          <w:b/>
          <w:sz w:val="24"/>
        </w:rPr>
      </w:pPr>
      <w:r w:rsidRPr="00387244">
        <w:rPr>
          <w:b/>
          <w:sz w:val="24"/>
        </w:rPr>
        <w:lastRenderedPageBreak/>
        <w:t>Appendix</w:t>
      </w:r>
    </w:p>
    <w:p w14:paraId="7EDC64D5" w14:textId="77777777" w:rsidR="00387244" w:rsidRDefault="00387244" w:rsidP="00387244">
      <w:pPr>
        <w:rPr>
          <w:sz w:val="24"/>
        </w:rPr>
      </w:pPr>
    </w:p>
    <w:p w14:paraId="7EDC64D6" w14:textId="77777777" w:rsidR="00387244" w:rsidRPr="00387244" w:rsidRDefault="00387244" w:rsidP="00387244">
      <w:pPr>
        <w:rPr>
          <w:sz w:val="24"/>
          <w:u w:val="single"/>
        </w:rPr>
      </w:pPr>
      <w:r w:rsidRPr="00387244">
        <w:rPr>
          <w:sz w:val="24"/>
          <w:u w:val="single"/>
        </w:rPr>
        <w:t>WN U-60</w:t>
      </w:r>
      <w:r w:rsidR="0008388F">
        <w:rPr>
          <w:sz w:val="24"/>
          <w:u w:val="single"/>
        </w:rPr>
        <w:t>, Tariff G – (Electric Tariff):</w:t>
      </w:r>
    </w:p>
    <w:p w14:paraId="7EDC64D7" w14:textId="77777777" w:rsidR="00387244" w:rsidRDefault="00387244" w:rsidP="00387244">
      <w:pPr>
        <w:rPr>
          <w:sz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33"/>
        <w:gridCol w:w="5043"/>
      </w:tblGrid>
      <w:tr w:rsidR="0008388F" w:rsidRPr="007A087F" w14:paraId="7EDC64DA" w14:textId="77777777" w:rsidTr="0008388F">
        <w:tc>
          <w:tcPr>
            <w:tcW w:w="2367" w:type="pct"/>
            <w:tcBorders>
              <w:bottom w:val="single" w:sz="6" w:space="0" w:color="auto"/>
            </w:tcBorders>
          </w:tcPr>
          <w:p w14:paraId="7EDC64D8" w14:textId="77777777" w:rsidR="0008388F" w:rsidRPr="007A087F" w:rsidRDefault="0008388F" w:rsidP="0008388F">
            <w:pPr>
              <w:pStyle w:val="plain"/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  <w:r>
              <w:rPr>
                <w:sz w:val="25"/>
                <w:szCs w:val="25"/>
                <w:vertAlign w:val="superscript"/>
              </w:rPr>
              <w:t>nd</w:t>
            </w:r>
            <w:r>
              <w:rPr>
                <w:sz w:val="25"/>
                <w:szCs w:val="25"/>
              </w:rPr>
              <w:t xml:space="preserve"> Revision of Sheet No. 95</w:t>
            </w:r>
          </w:p>
        </w:tc>
        <w:tc>
          <w:tcPr>
            <w:tcW w:w="2633" w:type="pct"/>
          </w:tcPr>
          <w:p w14:paraId="7EDC64D9" w14:textId="77777777" w:rsidR="0008388F" w:rsidRPr="007A087F" w:rsidRDefault="0008388F" w:rsidP="00FF5611">
            <w:pPr>
              <w:pStyle w:val="plain"/>
              <w:spacing w:line="264" w:lineRule="auto"/>
              <w:rPr>
                <w:sz w:val="25"/>
                <w:szCs w:val="25"/>
              </w:rPr>
            </w:pPr>
            <w:r w:rsidRPr="00FA4E7C">
              <w:rPr>
                <w:sz w:val="25"/>
                <w:szCs w:val="25"/>
              </w:rPr>
              <w:t>Schedule 95 Power Cost Adjustment Clause</w:t>
            </w:r>
          </w:p>
        </w:tc>
      </w:tr>
      <w:tr w:rsidR="0008388F" w:rsidRPr="007A087F" w14:paraId="7EDC64DD" w14:textId="77777777" w:rsidTr="0008388F">
        <w:tc>
          <w:tcPr>
            <w:tcW w:w="2367" w:type="pct"/>
            <w:tcBorders>
              <w:bottom w:val="single" w:sz="6" w:space="0" w:color="auto"/>
            </w:tcBorders>
          </w:tcPr>
          <w:p w14:paraId="7EDC64DB" w14:textId="77777777" w:rsidR="0008388F" w:rsidRPr="007A087F" w:rsidRDefault="0008388F" w:rsidP="0008388F">
            <w:pPr>
              <w:pStyle w:val="plain"/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Pr="00FA4E7C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Revision of Sheet No. 95-a</w:t>
            </w:r>
          </w:p>
        </w:tc>
        <w:tc>
          <w:tcPr>
            <w:tcW w:w="2633" w:type="pct"/>
          </w:tcPr>
          <w:p w14:paraId="7EDC64DC" w14:textId="77777777" w:rsidR="0008388F" w:rsidRPr="007A087F" w:rsidRDefault="0008388F" w:rsidP="00FF5611">
            <w:pPr>
              <w:pStyle w:val="Header"/>
              <w:spacing w:line="264" w:lineRule="auto"/>
              <w:rPr>
                <w:sz w:val="25"/>
                <w:szCs w:val="25"/>
              </w:rPr>
            </w:pPr>
            <w:r w:rsidRPr="00FA4E7C">
              <w:rPr>
                <w:sz w:val="25"/>
                <w:szCs w:val="25"/>
              </w:rPr>
              <w:t>Power Cost Adjustment Clause (Continued)</w:t>
            </w:r>
          </w:p>
        </w:tc>
      </w:tr>
      <w:tr w:rsidR="0008388F" w:rsidRPr="007A087F" w14:paraId="7EDC64E0" w14:textId="77777777" w:rsidTr="0008388F">
        <w:tc>
          <w:tcPr>
            <w:tcW w:w="2367" w:type="pct"/>
            <w:tcBorders>
              <w:bottom w:val="single" w:sz="6" w:space="0" w:color="auto"/>
            </w:tcBorders>
          </w:tcPr>
          <w:p w14:paraId="7EDC64DE" w14:textId="77777777" w:rsidR="0008388F" w:rsidRPr="007A087F" w:rsidRDefault="0008388F" w:rsidP="0008388F">
            <w:pPr>
              <w:pStyle w:val="plain"/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Pr="00FA4E7C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Revision of Sheet No. 95-b</w:t>
            </w:r>
          </w:p>
        </w:tc>
        <w:tc>
          <w:tcPr>
            <w:tcW w:w="2633" w:type="pct"/>
          </w:tcPr>
          <w:p w14:paraId="7EDC64DF" w14:textId="77777777" w:rsidR="0008388F" w:rsidRPr="007A087F" w:rsidRDefault="0008388F" w:rsidP="00FF5611">
            <w:pPr>
              <w:pStyle w:val="Header"/>
              <w:spacing w:line="264" w:lineRule="auto"/>
              <w:rPr>
                <w:sz w:val="25"/>
                <w:szCs w:val="25"/>
              </w:rPr>
            </w:pPr>
            <w:r w:rsidRPr="00FA4E7C">
              <w:rPr>
                <w:sz w:val="25"/>
                <w:szCs w:val="25"/>
              </w:rPr>
              <w:t>Power Cost Adjustment Clause (Continued)</w:t>
            </w:r>
          </w:p>
        </w:tc>
      </w:tr>
      <w:tr w:rsidR="0008388F" w:rsidRPr="007A087F" w14:paraId="7EDC64E3" w14:textId="77777777" w:rsidTr="0008388F">
        <w:tc>
          <w:tcPr>
            <w:tcW w:w="2367" w:type="pct"/>
            <w:tcBorders>
              <w:bottom w:val="single" w:sz="6" w:space="0" w:color="auto"/>
            </w:tcBorders>
          </w:tcPr>
          <w:p w14:paraId="7EDC64E1" w14:textId="77777777" w:rsidR="0008388F" w:rsidRPr="007A087F" w:rsidRDefault="0008388F" w:rsidP="0008388F">
            <w:pPr>
              <w:pStyle w:val="plain"/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Pr="00FA4E7C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Revision of Sheet No. 95-c</w:t>
            </w:r>
          </w:p>
        </w:tc>
        <w:tc>
          <w:tcPr>
            <w:tcW w:w="2633" w:type="pct"/>
          </w:tcPr>
          <w:p w14:paraId="7EDC64E2" w14:textId="77777777" w:rsidR="0008388F" w:rsidRPr="007A087F" w:rsidRDefault="0008388F" w:rsidP="00FF5611">
            <w:pPr>
              <w:pStyle w:val="Header"/>
              <w:spacing w:line="264" w:lineRule="auto"/>
              <w:rPr>
                <w:sz w:val="25"/>
                <w:szCs w:val="25"/>
              </w:rPr>
            </w:pPr>
            <w:r w:rsidRPr="00FA4E7C">
              <w:rPr>
                <w:sz w:val="25"/>
                <w:szCs w:val="25"/>
              </w:rPr>
              <w:t>Power Cost Adjustment Clause (Continued)</w:t>
            </w:r>
          </w:p>
        </w:tc>
      </w:tr>
      <w:tr w:rsidR="0008388F" w:rsidRPr="007A087F" w14:paraId="7EDC64E6" w14:textId="77777777" w:rsidTr="0008388F">
        <w:tc>
          <w:tcPr>
            <w:tcW w:w="2367" w:type="pct"/>
            <w:tcBorders>
              <w:bottom w:val="single" w:sz="6" w:space="0" w:color="auto"/>
            </w:tcBorders>
          </w:tcPr>
          <w:p w14:paraId="7EDC64E4" w14:textId="77777777" w:rsidR="0008388F" w:rsidRPr="007A087F" w:rsidRDefault="0008388F" w:rsidP="0008388F">
            <w:pPr>
              <w:pStyle w:val="plain"/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Revision of Sheet No. 95-c.1</w:t>
            </w:r>
          </w:p>
        </w:tc>
        <w:tc>
          <w:tcPr>
            <w:tcW w:w="2633" w:type="pct"/>
          </w:tcPr>
          <w:p w14:paraId="7EDC64E5" w14:textId="77777777" w:rsidR="0008388F" w:rsidRPr="007A087F" w:rsidRDefault="0008388F" w:rsidP="00C163AA">
            <w:pPr>
              <w:pStyle w:val="Header"/>
              <w:spacing w:line="264" w:lineRule="auto"/>
              <w:rPr>
                <w:sz w:val="25"/>
                <w:szCs w:val="25"/>
              </w:rPr>
            </w:pPr>
            <w:r w:rsidRPr="00FA4E7C">
              <w:rPr>
                <w:sz w:val="25"/>
                <w:szCs w:val="25"/>
              </w:rPr>
              <w:t>Power Cost Adjustment Clause (Continued)</w:t>
            </w:r>
          </w:p>
        </w:tc>
      </w:tr>
      <w:tr w:rsidR="0008388F" w:rsidRPr="007A087F" w14:paraId="7EDC64E9" w14:textId="77777777" w:rsidTr="0008388F">
        <w:tc>
          <w:tcPr>
            <w:tcW w:w="2367" w:type="pct"/>
            <w:tcBorders>
              <w:bottom w:val="single" w:sz="6" w:space="0" w:color="auto"/>
            </w:tcBorders>
          </w:tcPr>
          <w:p w14:paraId="7EDC64E7" w14:textId="77777777" w:rsidR="0008388F" w:rsidRPr="007A087F" w:rsidRDefault="0008388F" w:rsidP="0008388F">
            <w:pPr>
              <w:pStyle w:val="plain"/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Original Revision of Sheet No. 95-c.2</w:t>
            </w:r>
          </w:p>
        </w:tc>
        <w:tc>
          <w:tcPr>
            <w:tcW w:w="2633" w:type="pct"/>
          </w:tcPr>
          <w:p w14:paraId="7EDC64E8" w14:textId="77777777" w:rsidR="0008388F" w:rsidRPr="007A087F" w:rsidRDefault="0008388F" w:rsidP="00C163AA">
            <w:pPr>
              <w:pStyle w:val="Header"/>
              <w:spacing w:line="264" w:lineRule="auto"/>
              <w:rPr>
                <w:sz w:val="25"/>
                <w:szCs w:val="25"/>
              </w:rPr>
            </w:pPr>
            <w:r w:rsidRPr="00FA4E7C">
              <w:rPr>
                <w:sz w:val="25"/>
                <w:szCs w:val="25"/>
              </w:rPr>
              <w:t>Power Cost Adjustment Clause (Continued)</w:t>
            </w:r>
          </w:p>
        </w:tc>
      </w:tr>
      <w:tr w:rsidR="0008388F" w:rsidRPr="007A087F" w14:paraId="7EDC64EC" w14:textId="77777777" w:rsidTr="0008388F">
        <w:tc>
          <w:tcPr>
            <w:tcW w:w="2367" w:type="pct"/>
            <w:tcBorders>
              <w:bottom w:val="single" w:sz="6" w:space="0" w:color="auto"/>
            </w:tcBorders>
          </w:tcPr>
          <w:p w14:paraId="7EDC64EA" w14:textId="77777777" w:rsidR="0008388F" w:rsidRPr="007A087F" w:rsidRDefault="0008388F" w:rsidP="0008388F">
            <w:pPr>
              <w:pStyle w:val="plain"/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Pr="00FA4E7C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Revision of Sheet No. 95-d</w:t>
            </w:r>
          </w:p>
        </w:tc>
        <w:tc>
          <w:tcPr>
            <w:tcW w:w="2633" w:type="pct"/>
          </w:tcPr>
          <w:p w14:paraId="7EDC64EB" w14:textId="77777777" w:rsidR="0008388F" w:rsidRPr="007A087F" w:rsidRDefault="0008388F" w:rsidP="00FF5611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spacing w:line="264" w:lineRule="auto"/>
              <w:rPr>
                <w:sz w:val="25"/>
                <w:szCs w:val="25"/>
              </w:rPr>
            </w:pPr>
            <w:r w:rsidRPr="00FA4E7C">
              <w:rPr>
                <w:sz w:val="25"/>
                <w:szCs w:val="25"/>
              </w:rPr>
              <w:t>Power Cost Adjustment Clause (Continued)</w:t>
            </w:r>
          </w:p>
        </w:tc>
      </w:tr>
      <w:tr w:rsidR="0008388F" w:rsidRPr="007A087F" w14:paraId="7EDC64EF" w14:textId="77777777" w:rsidTr="0008388F">
        <w:tc>
          <w:tcPr>
            <w:tcW w:w="2367" w:type="pct"/>
            <w:tcBorders>
              <w:bottom w:val="single" w:sz="4" w:space="0" w:color="auto"/>
            </w:tcBorders>
          </w:tcPr>
          <w:p w14:paraId="7EDC64ED" w14:textId="77777777" w:rsidR="0008388F" w:rsidRDefault="0008388F" w:rsidP="0008388F">
            <w:pPr>
              <w:pStyle w:val="plain"/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Pr="00FA4E7C">
              <w:rPr>
                <w:sz w:val="25"/>
                <w:szCs w:val="25"/>
                <w:vertAlign w:val="superscript"/>
              </w:rPr>
              <w:t>th</w:t>
            </w:r>
            <w:r>
              <w:rPr>
                <w:sz w:val="25"/>
                <w:szCs w:val="25"/>
              </w:rPr>
              <w:t xml:space="preserve"> Revision of Sheet No. 95-e</w:t>
            </w:r>
          </w:p>
        </w:tc>
        <w:tc>
          <w:tcPr>
            <w:tcW w:w="2633" w:type="pct"/>
          </w:tcPr>
          <w:p w14:paraId="7EDC64EE" w14:textId="77777777" w:rsidR="0008388F" w:rsidRPr="00FA4E7C" w:rsidRDefault="0008388F" w:rsidP="00FF5611">
            <w:pPr>
              <w:pStyle w:val="Header"/>
              <w:tabs>
                <w:tab w:val="clear" w:pos="4320"/>
                <w:tab w:val="clear" w:pos="8640"/>
                <w:tab w:val="left" w:pos="1152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  <w:tab w:val="left" w:pos="9216"/>
              </w:tabs>
              <w:spacing w:line="264" w:lineRule="auto"/>
              <w:rPr>
                <w:sz w:val="25"/>
                <w:szCs w:val="25"/>
              </w:rPr>
            </w:pPr>
            <w:r w:rsidRPr="00FA4E7C">
              <w:rPr>
                <w:sz w:val="25"/>
                <w:szCs w:val="25"/>
              </w:rPr>
              <w:t>Power Cost Adjustment Clause (Continued)</w:t>
            </w:r>
          </w:p>
        </w:tc>
      </w:tr>
    </w:tbl>
    <w:p w14:paraId="7EDC64F0" w14:textId="77777777" w:rsidR="002C57FF" w:rsidRDefault="002C57FF" w:rsidP="002C57FF">
      <w:pPr>
        <w:pStyle w:val="BodyText"/>
      </w:pPr>
    </w:p>
    <w:sectPr w:rsidR="002C57FF" w:rsidSect="00095391">
      <w:headerReference w:type="default" r:id="rId12"/>
      <w:endnotePr>
        <w:numFmt w:val="decimal"/>
      </w:endnotePr>
      <w:type w:val="continuous"/>
      <w:pgSz w:w="12240" w:h="15840"/>
      <w:pgMar w:top="1440" w:right="1440" w:bottom="1296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C64F3" w14:textId="77777777" w:rsidR="0005242A" w:rsidRDefault="0005242A">
      <w:r>
        <w:separator/>
      </w:r>
    </w:p>
  </w:endnote>
  <w:endnote w:type="continuationSeparator" w:id="0">
    <w:p w14:paraId="7EDC64F4" w14:textId="77777777" w:rsidR="0005242A" w:rsidRDefault="0005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C64F1" w14:textId="77777777" w:rsidR="0005242A" w:rsidRDefault="0005242A">
      <w:r>
        <w:separator/>
      </w:r>
    </w:p>
  </w:footnote>
  <w:footnote w:type="continuationSeparator" w:id="0">
    <w:p w14:paraId="7EDC64F2" w14:textId="77777777" w:rsidR="0005242A" w:rsidRDefault="00052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C64F5" w14:textId="77777777" w:rsidR="0005242A" w:rsidRDefault="0005242A">
    <w:r w:rsidRPr="002D45DD">
      <w:rPr>
        <w:szCs w:val="20"/>
      </w:rPr>
      <w:t>Docket U</w:t>
    </w:r>
    <w:r>
      <w:rPr>
        <w:szCs w:val="20"/>
      </w:rPr>
      <w:t>E</w:t>
    </w:r>
    <w:r w:rsidRPr="002D45DD">
      <w:rPr>
        <w:szCs w:val="20"/>
      </w:rPr>
      <w:t>-</w:t>
    </w:r>
    <w:r>
      <w:rPr>
        <w:szCs w:val="20"/>
      </w:rPr>
      <w:t>130617</w:t>
    </w:r>
  </w:p>
  <w:p w14:paraId="7EDC64F6" w14:textId="77777777" w:rsidR="0005242A" w:rsidRPr="002D45DD" w:rsidRDefault="0005242A">
    <w:pPr>
      <w:rPr>
        <w:szCs w:val="20"/>
      </w:rPr>
    </w:pPr>
    <w:r>
      <w:rPr>
        <w:szCs w:val="20"/>
      </w:rPr>
      <w:t>May 9, 2013</w:t>
    </w:r>
  </w:p>
  <w:p w14:paraId="7EDC64F7" w14:textId="77777777" w:rsidR="0005242A" w:rsidRPr="002D45DD" w:rsidRDefault="0005242A">
    <w:pPr>
      <w:rPr>
        <w:szCs w:val="20"/>
      </w:rPr>
    </w:pPr>
    <w:r w:rsidRPr="002D45DD">
      <w:rPr>
        <w:szCs w:val="20"/>
      </w:rPr>
      <w:t xml:space="preserve">Page </w:t>
    </w:r>
    <w:r w:rsidRPr="002D45DD">
      <w:rPr>
        <w:szCs w:val="20"/>
      </w:rPr>
      <w:fldChar w:fldCharType="begin"/>
    </w:r>
    <w:r w:rsidRPr="002D45DD">
      <w:rPr>
        <w:szCs w:val="20"/>
      </w:rPr>
      <w:instrText xml:space="preserve">PAGE </w:instrText>
    </w:r>
    <w:r w:rsidRPr="002D45DD">
      <w:rPr>
        <w:szCs w:val="20"/>
      </w:rPr>
      <w:fldChar w:fldCharType="separate"/>
    </w:r>
    <w:r w:rsidR="00A64F44">
      <w:rPr>
        <w:noProof/>
        <w:szCs w:val="20"/>
      </w:rPr>
      <w:t>3</w:t>
    </w:r>
    <w:r w:rsidRPr="002D45DD">
      <w:rPr>
        <w:szCs w:val="20"/>
      </w:rPr>
      <w:fldChar w:fldCharType="end"/>
    </w:r>
  </w:p>
  <w:p w14:paraId="7EDC64F8" w14:textId="77777777" w:rsidR="0005242A" w:rsidRDefault="0005242A">
    <w:pPr>
      <w:spacing w:line="240" w:lineRule="exact"/>
      <w:rPr>
        <w:rFonts w:ascii="Palatino Linotype" w:hAnsi="Palatino Linotype"/>
        <w:szCs w:val="20"/>
      </w:rPr>
    </w:pPr>
  </w:p>
  <w:p w14:paraId="03DE047E" w14:textId="77777777" w:rsidR="00F72665" w:rsidRPr="009C3E35" w:rsidRDefault="00F72665">
    <w:pPr>
      <w:spacing w:line="240" w:lineRule="exact"/>
      <w:rPr>
        <w:rFonts w:ascii="Palatino Linotype" w:hAnsi="Palatino Linotype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D2CDE"/>
    <w:multiLevelType w:val="hybridMultilevel"/>
    <w:tmpl w:val="F0C8D820"/>
    <w:lvl w:ilvl="0" w:tplc="9E000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8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EE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80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60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26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32A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AD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DA7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2C"/>
    <w:rsid w:val="000030CA"/>
    <w:rsid w:val="00013A19"/>
    <w:rsid w:val="00022D0E"/>
    <w:rsid w:val="00036B1B"/>
    <w:rsid w:val="00036DB4"/>
    <w:rsid w:val="00043D92"/>
    <w:rsid w:val="00050666"/>
    <w:rsid w:val="0005242A"/>
    <w:rsid w:val="000631FB"/>
    <w:rsid w:val="00074D93"/>
    <w:rsid w:val="00082DC3"/>
    <w:rsid w:val="0008388F"/>
    <w:rsid w:val="00090A2A"/>
    <w:rsid w:val="00091FE1"/>
    <w:rsid w:val="00094D39"/>
    <w:rsid w:val="00095391"/>
    <w:rsid w:val="000A5740"/>
    <w:rsid w:val="000C647B"/>
    <w:rsid w:val="000D28CF"/>
    <w:rsid w:val="000D32C5"/>
    <w:rsid w:val="000D670E"/>
    <w:rsid w:val="000D7C36"/>
    <w:rsid w:val="000F219D"/>
    <w:rsid w:val="000F394A"/>
    <w:rsid w:val="000F75FA"/>
    <w:rsid w:val="0010256E"/>
    <w:rsid w:val="001208A1"/>
    <w:rsid w:val="001247BE"/>
    <w:rsid w:val="001271DD"/>
    <w:rsid w:val="00133653"/>
    <w:rsid w:val="00140DF6"/>
    <w:rsid w:val="00145CBD"/>
    <w:rsid w:val="00146B0C"/>
    <w:rsid w:val="00147D58"/>
    <w:rsid w:val="00174219"/>
    <w:rsid w:val="0018252A"/>
    <w:rsid w:val="001830B9"/>
    <w:rsid w:val="001976CF"/>
    <w:rsid w:val="001A0B56"/>
    <w:rsid w:val="001B31DB"/>
    <w:rsid w:val="001B3ECA"/>
    <w:rsid w:val="001B5101"/>
    <w:rsid w:val="001C4080"/>
    <w:rsid w:val="001D66CD"/>
    <w:rsid w:val="001E0FAD"/>
    <w:rsid w:val="001E1CDD"/>
    <w:rsid w:val="001E41EB"/>
    <w:rsid w:val="0020018D"/>
    <w:rsid w:val="00201F49"/>
    <w:rsid w:val="00206318"/>
    <w:rsid w:val="00206C52"/>
    <w:rsid w:val="00212F26"/>
    <w:rsid w:val="00213C5B"/>
    <w:rsid w:val="002153C4"/>
    <w:rsid w:val="002435BD"/>
    <w:rsid w:val="00252301"/>
    <w:rsid w:val="00253DDD"/>
    <w:rsid w:val="0026559B"/>
    <w:rsid w:val="0027484E"/>
    <w:rsid w:val="002765FA"/>
    <w:rsid w:val="00292332"/>
    <w:rsid w:val="002A3613"/>
    <w:rsid w:val="002B05B8"/>
    <w:rsid w:val="002B3898"/>
    <w:rsid w:val="002B3CA4"/>
    <w:rsid w:val="002C57FF"/>
    <w:rsid w:val="002C59D9"/>
    <w:rsid w:val="002C5CC8"/>
    <w:rsid w:val="002C705E"/>
    <w:rsid w:val="002C7A12"/>
    <w:rsid w:val="002D105E"/>
    <w:rsid w:val="002D45DD"/>
    <w:rsid w:val="002F454B"/>
    <w:rsid w:val="0030053B"/>
    <w:rsid w:val="003018AA"/>
    <w:rsid w:val="00305707"/>
    <w:rsid w:val="00310FCE"/>
    <w:rsid w:val="00311439"/>
    <w:rsid w:val="00324EA1"/>
    <w:rsid w:val="0034649A"/>
    <w:rsid w:val="00352F08"/>
    <w:rsid w:val="00357190"/>
    <w:rsid w:val="00360D62"/>
    <w:rsid w:val="00361993"/>
    <w:rsid w:val="00364F16"/>
    <w:rsid w:val="00375367"/>
    <w:rsid w:val="0038200F"/>
    <w:rsid w:val="0038313E"/>
    <w:rsid w:val="00387244"/>
    <w:rsid w:val="003914D3"/>
    <w:rsid w:val="003A0C2D"/>
    <w:rsid w:val="003A2E67"/>
    <w:rsid w:val="003A7738"/>
    <w:rsid w:val="003B168B"/>
    <w:rsid w:val="003B2268"/>
    <w:rsid w:val="003C26A9"/>
    <w:rsid w:val="003C368E"/>
    <w:rsid w:val="003E10F1"/>
    <w:rsid w:val="003E173D"/>
    <w:rsid w:val="003E6316"/>
    <w:rsid w:val="003F2724"/>
    <w:rsid w:val="0040190A"/>
    <w:rsid w:val="004120DB"/>
    <w:rsid w:val="0041322B"/>
    <w:rsid w:val="00416E3F"/>
    <w:rsid w:val="004216DE"/>
    <w:rsid w:val="004271A8"/>
    <w:rsid w:val="00434ABD"/>
    <w:rsid w:val="00455A78"/>
    <w:rsid w:val="00463027"/>
    <w:rsid w:val="004763B4"/>
    <w:rsid w:val="004849AE"/>
    <w:rsid w:val="00493E6B"/>
    <w:rsid w:val="00494682"/>
    <w:rsid w:val="004B0CDD"/>
    <w:rsid w:val="004B1E1D"/>
    <w:rsid w:val="004B4F04"/>
    <w:rsid w:val="004B5ED8"/>
    <w:rsid w:val="004C1AA4"/>
    <w:rsid w:val="004C2C5A"/>
    <w:rsid w:val="004C77C3"/>
    <w:rsid w:val="004D05A0"/>
    <w:rsid w:val="004D62C3"/>
    <w:rsid w:val="004D6C3C"/>
    <w:rsid w:val="004D77B8"/>
    <w:rsid w:val="004F0265"/>
    <w:rsid w:val="004F29CE"/>
    <w:rsid w:val="00507A75"/>
    <w:rsid w:val="0051022A"/>
    <w:rsid w:val="005130EB"/>
    <w:rsid w:val="005135AB"/>
    <w:rsid w:val="00522FAF"/>
    <w:rsid w:val="00523D24"/>
    <w:rsid w:val="0052581E"/>
    <w:rsid w:val="00537D1D"/>
    <w:rsid w:val="005411F4"/>
    <w:rsid w:val="0054362A"/>
    <w:rsid w:val="0054455B"/>
    <w:rsid w:val="005479F1"/>
    <w:rsid w:val="0055085C"/>
    <w:rsid w:val="00553DAB"/>
    <w:rsid w:val="00556BC6"/>
    <w:rsid w:val="00562427"/>
    <w:rsid w:val="00562D16"/>
    <w:rsid w:val="005763E6"/>
    <w:rsid w:val="00581D42"/>
    <w:rsid w:val="005874F7"/>
    <w:rsid w:val="0059382A"/>
    <w:rsid w:val="00597B8C"/>
    <w:rsid w:val="005A6437"/>
    <w:rsid w:val="005B22C3"/>
    <w:rsid w:val="005B6D34"/>
    <w:rsid w:val="005B7276"/>
    <w:rsid w:val="005B7946"/>
    <w:rsid w:val="005C4AA7"/>
    <w:rsid w:val="005C670E"/>
    <w:rsid w:val="005D2217"/>
    <w:rsid w:val="005E0D92"/>
    <w:rsid w:val="005E1E13"/>
    <w:rsid w:val="005F2B52"/>
    <w:rsid w:val="006026F0"/>
    <w:rsid w:val="0060442E"/>
    <w:rsid w:val="00615C2F"/>
    <w:rsid w:val="0062668A"/>
    <w:rsid w:val="00626832"/>
    <w:rsid w:val="00627B67"/>
    <w:rsid w:val="00640EE6"/>
    <w:rsid w:val="00647760"/>
    <w:rsid w:val="00655961"/>
    <w:rsid w:val="00670EBD"/>
    <w:rsid w:val="0067472C"/>
    <w:rsid w:val="0067560B"/>
    <w:rsid w:val="006831B8"/>
    <w:rsid w:val="00684BE3"/>
    <w:rsid w:val="0068606E"/>
    <w:rsid w:val="00697817"/>
    <w:rsid w:val="006B423D"/>
    <w:rsid w:val="006C3D15"/>
    <w:rsid w:val="006C431B"/>
    <w:rsid w:val="006C5020"/>
    <w:rsid w:val="006D1D41"/>
    <w:rsid w:val="006E33E2"/>
    <w:rsid w:val="006E5777"/>
    <w:rsid w:val="006F3BA3"/>
    <w:rsid w:val="00701731"/>
    <w:rsid w:val="007051D4"/>
    <w:rsid w:val="00706E38"/>
    <w:rsid w:val="00742A7C"/>
    <w:rsid w:val="007472D2"/>
    <w:rsid w:val="00754B4C"/>
    <w:rsid w:val="00762AC1"/>
    <w:rsid w:val="0076508A"/>
    <w:rsid w:val="0077019A"/>
    <w:rsid w:val="00772B63"/>
    <w:rsid w:val="0077628D"/>
    <w:rsid w:val="00776738"/>
    <w:rsid w:val="00781BA2"/>
    <w:rsid w:val="007948AC"/>
    <w:rsid w:val="007A32D7"/>
    <w:rsid w:val="007B030A"/>
    <w:rsid w:val="007C252E"/>
    <w:rsid w:val="007C3631"/>
    <w:rsid w:val="007C40CF"/>
    <w:rsid w:val="007F6CA6"/>
    <w:rsid w:val="00803971"/>
    <w:rsid w:val="00803F75"/>
    <w:rsid w:val="008074D2"/>
    <w:rsid w:val="00814700"/>
    <w:rsid w:val="0082227B"/>
    <w:rsid w:val="0083154E"/>
    <w:rsid w:val="008330F2"/>
    <w:rsid w:val="00835C44"/>
    <w:rsid w:val="00846563"/>
    <w:rsid w:val="00850475"/>
    <w:rsid w:val="00852E05"/>
    <w:rsid w:val="008541DC"/>
    <w:rsid w:val="00860068"/>
    <w:rsid w:val="00860451"/>
    <w:rsid w:val="00860C12"/>
    <w:rsid w:val="008749FD"/>
    <w:rsid w:val="00876899"/>
    <w:rsid w:val="0088274F"/>
    <w:rsid w:val="00882F39"/>
    <w:rsid w:val="008864FD"/>
    <w:rsid w:val="008935E6"/>
    <w:rsid w:val="00893E92"/>
    <w:rsid w:val="008A22B1"/>
    <w:rsid w:val="008B3C0A"/>
    <w:rsid w:val="008C0B0D"/>
    <w:rsid w:val="008C14BE"/>
    <w:rsid w:val="008C24A3"/>
    <w:rsid w:val="008C50D0"/>
    <w:rsid w:val="008E6E4F"/>
    <w:rsid w:val="009003ED"/>
    <w:rsid w:val="00900B8C"/>
    <w:rsid w:val="009022AB"/>
    <w:rsid w:val="009159F1"/>
    <w:rsid w:val="00916158"/>
    <w:rsid w:val="00930926"/>
    <w:rsid w:val="00935165"/>
    <w:rsid w:val="0094075E"/>
    <w:rsid w:val="00950062"/>
    <w:rsid w:val="00955E02"/>
    <w:rsid w:val="00957ADB"/>
    <w:rsid w:val="00963497"/>
    <w:rsid w:val="00965E2B"/>
    <w:rsid w:val="009665B9"/>
    <w:rsid w:val="00972E4A"/>
    <w:rsid w:val="0098417C"/>
    <w:rsid w:val="00997226"/>
    <w:rsid w:val="009A0CB1"/>
    <w:rsid w:val="009A3E23"/>
    <w:rsid w:val="009A523B"/>
    <w:rsid w:val="009A6698"/>
    <w:rsid w:val="009C3E35"/>
    <w:rsid w:val="009C402F"/>
    <w:rsid w:val="009C5876"/>
    <w:rsid w:val="009D54F0"/>
    <w:rsid w:val="009D7A6C"/>
    <w:rsid w:val="009E2C3C"/>
    <w:rsid w:val="009F211D"/>
    <w:rsid w:val="00A047B3"/>
    <w:rsid w:val="00A114FC"/>
    <w:rsid w:val="00A2537B"/>
    <w:rsid w:val="00A40610"/>
    <w:rsid w:val="00A44CFF"/>
    <w:rsid w:val="00A50BDE"/>
    <w:rsid w:val="00A61555"/>
    <w:rsid w:val="00A6275F"/>
    <w:rsid w:val="00A64966"/>
    <w:rsid w:val="00A64F44"/>
    <w:rsid w:val="00A66959"/>
    <w:rsid w:val="00A712F7"/>
    <w:rsid w:val="00A73AC4"/>
    <w:rsid w:val="00A871B1"/>
    <w:rsid w:val="00AA5D39"/>
    <w:rsid w:val="00AB5C6F"/>
    <w:rsid w:val="00AC0FCE"/>
    <w:rsid w:val="00AE292F"/>
    <w:rsid w:val="00AE6CF3"/>
    <w:rsid w:val="00AF398D"/>
    <w:rsid w:val="00AF74E1"/>
    <w:rsid w:val="00B12E05"/>
    <w:rsid w:val="00B14579"/>
    <w:rsid w:val="00B150F5"/>
    <w:rsid w:val="00B15E55"/>
    <w:rsid w:val="00B21361"/>
    <w:rsid w:val="00B22FF4"/>
    <w:rsid w:val="00B251C1"/>
    <w:rsid w:val="00B26DDB"/>
    <w:rsid w:val="00B317BB"/>
    <w:rsid w:val="00B34F76"/>
    <w:rsid w:val="00B36A9B"/>
    <w:rsid w:val="00B415EF"/>
    <w:rsid w:val="00B448BB"/>
    <w:rsid w:val="00B4502A"/>
    <w:rsid w:val="00B4640B"/>
    <w:rsid w:val="00B50A41"/>
    <w:rsid w:val="00B50CC4"/>
    <w:rsid w:val="00B77A94"/>
    <w:rsid w:val="00B934E8"/>
    <w:rsid w:val="00BB23F9"/>
    <w:rsid w:val="00BC0A4F"/>
    <w:rsid w:val="00BC2AFD"/>
    <w:rsid w:val="00BC3CE4"/>
    <w:rsid w:val="00BD1BC8"/>
    <w:rsid w:val="00BE115C"/>
    <w:rsid w:val="00BE4AA7"/>
    <w:rsid w:val="00BE6FA7"/>
    <w:rsid w:val="00C07CB0"/>
    <w:rsid w:val="00C163AA"/>
    <w:rsid w:val="00C17B19"/>
    <w:rsid w:val="00C20B8F"/>
    <w:rsid w:val="00C22C60"/>
    <w:rsid w:val="00C264FF"/>
    <w:rsid w:val="00C34D32"/>
    <w:rsid w:val="00C37BE9"/>
    <w:rsid w:val="00C4155A"/>
    <w:rsid w:val="00C54B41"/>
    <w:rsid w:val="00C57F33"/>
    <w:rsid w:val="00C6723A"/>
    <w:rsid w:val="00C70056"/>
    <w:rsid w:val="00C702D6"/>
    <w:rsid w:val="00C71B4E"/>
    <w:rsid w:val="00C954DC"/>
    <w:rsid w:val="00CA6823"/>
    <w:rsid w:val="00CB36A8"/>
    <w:rsid w:val="00CB43F5"/>
    <w:rsid w:val="00CB4B07"/>
    <w:rsid w:val="00CB74F0"/>
    <w:rsid w:val="00CC51DA"/>
    <w:rsid w:val="00CC5718"/>
    <w:rsid w:val="00CD302C"/>
    <w:rsid w:val="00CD30B0"/>
    <w:rsid w:val="00CD6484"/>
    <w:rsid w:val="00CE01CC"/>
    <w:rsid w:val="00CF1CD1"/>
    <w:rsid w:val="00CF453C"/>
    <w:rsid w:val="00D04C37"/>
    <w:rsid w:val="00D149F1"/>
    <w:rsid w:val="00D24448"/>
    <w:rsid w:val="00D253DB"/>
    <w:rsid w:val="00D339F7"/>
    <w:rsid w:val="00D36DA8"/>
    <w:rsid w:val="00D56133"/>
    <w:rsid w:val="00D56730"/>
    <w:rsid w:val="00D64BA1"/>
    <w:rsid w:val="00D67C26"/>
    <w:rsid w:val="00D778B9"/>
    <w:rsid w:val="00D77C30"/>
    <w:rsid w:val="00D82C1B"/>
    <w:rsid w:val="00D83682"/>
    <w:rsid w:val="00D936EE"/>
    <w:rsid w:val="00D93BD4"/>
    <w:rsid w:val="00D9403E"/>
    <w:rsid w:val="00D95FBE"/>
    <w:rsid w:val="00D97778"/>
    <w:rsid w:val="00DB3E6E"/>
    <w:rsid w:val="00DB6FAB"/>
    <w:rsid w:val="00DB708E"/>
    <w:rsid w:val="00DB742E"/>
    <w:rsid w:val="00DD48B7"/>
    <w:rsid w:val="00DD711D"/>
    <w:rsid w:val="00DE1C95"/>
    <w:rsid w:val="00DE31A6"/>
    <w:rsid w:val="00DE4997"/>
    <w:rsid w:val="00DE5EFA"/>
    <w:rsid w:val="00DE67B7"/>
    <w:rsid w:val="00DF4366"/>
    <w:rsid w:val="00DF4EC9"/>
    <w:rsid w:val="00DF7F6A"/>
    <w:rsid w:val="00E0058F"/>
    <w:rsid w:val="00E017C9"/>
    <w:rsid w:val="00E12FBD"/>
    <w:rsid w:val="00E15D08"/>
    <w:rsid w:val="00E2129B"/>
    <w:rsid w:val="00E23DC3"/>
    <w:rsid w:val="00E33A32"/>
    <w:rsid w:val="00E34164"/>
    <w:rsid w:val="00E45E04"/>
    <w:rsid w:val="00E52EE0"/>
    <w:rsid w:val="00E578A7"/>
    <w:rsid w:val="00E61430"/>
    <w:rsid w:val="00E75394"/>
    <w:rsid w:val="00E84BE7"/>
    <w:rsid w:val="00E87A97"/>
    <w:rsid w:val="00E9515D"/>
    <w:rsid w:val="00E95E86"/>
    <w:rsid w:val="00EA38D7"/>
    <w:rsid w:val="00EA4CFA"/>
    <w:rsid w:val="00EB04BB"/>
    <w:rsid w:val="00EB0FE6"/>
    <w:rsid w:val="00EB278D"/>
    <w:rsid w:val="00ED082F"/>
    <w:rsid w:val="00EE1406"/>
    <w:rsid w:val="00EE2813"/>
    <w:rsid w:val="00EE5614"/>
    <w:rsid w:val="00EF0B07"/>
    <w:rsid w:val="00EF6412"/>
    <w:rsid w:val="00F04A8A"/>
    <w:rsid w:val="00F16D90"/>
    <w:rsid w:val="00F2617F"/>
    <w:rsid w:val="00F26509"/>
    <w:rsid w:val="00F36293"/>
    <w:rsid w:val="00F37B84"/>
    <w:rsid w:val="00F42BC2"/>
    <w:rsid w:val="00F462F0"/>
    <w:rsid w:val="00F56F75"/>
    <w:rsid w:val="00F62EEA"/>
    <w:rsid w:val="00F70E42"/>
    <w:rsid w:val="00F72665"/>
    <w:rsid w:val="00F74F36"/>
    <w:rsid w:val="00F8285A"/>
    <w:rsid w:val="00F85EB2"/>
    <w:rsid w:val="00F94920"/>
    <w:rsid w:val="00FA097A"/>
    <w:rsid w:val="00FA2F37"/>
    <w:rsid w:val="00FA3D0D"/>
    <w:rsid w:val="00FA4696"/>
    <w:rsid w:val="00FA4FD8"/>
    <w:rsid w:val="00FA6964"/>
    <w:rsid w:val="00FB569E"/>
    <w:rsid w:val="00FC2698"/>
    <w:rsid w:val="00FC50F4"/>
    <w:rsid w:val="00FD14ED"/>
    <w:rsid w:val="00FD2C6C"/>
    <w:rsid w:val="00FE1FCE"/>
    <w:rsid w:val="00FE3305"/>
    <w:rsid w:val="00FE3337"/>
    <w:rsid w:val="00FE3580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EDC6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left="1440" w:firstLine="14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4320" w:hanging="43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left="1440" w:hanging="14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5760" w:hanging="28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spacing w:line="240" w:lineRule="atLeast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widowControl/>
      <w:spacing w:line="240" w:lineRule="atLeast"/>
      <w:ind w:right="-90"/>
      <w:outlineLvl w:val="6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D302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E5614"/>
    <w:pPr>
      <w:shd w:val="clear" w:color="auto" w:fill="000080"/>
    </w:pPr>
    <w:rPr>
      <w:rFonts w:ascii="Tahoma" w:hAnsi="Tahoma" w:cs="Tahoma"/>
      <w:szCs w:val="20"/>
    </w:rPr>
  </w:style>
  <w:style w:type="paragraph" w:styleId="FootnoteText">
    <w:name w:val="footnote text"/>
    <w:basedOn w:val="Normal"/>
    <w:link w:val="FootnoteTextChar"/>
    <w:rsid w:val="00AE292F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E292F"/>
  </w:style>
  <w:style w:type="paragraph" w:customStyle="1" w:styleId="plain">
    <w:name w:val="plain"/>
    <w:basedOn w:val="Normal"/>
    <w:rsid w:val="00387244"/>
    <w:pPr>
      <w:widowControl/>
      <w:autoSpaceDE/>
      <w:autoSpaceDN/>
      <w:adjustRightInd/>
      <w:spacing w:line="240" w:lineRule="atLeast"/>
    </w:pPr>
    <w:rPr>
      <w:sz w:val="26"/>
      <w:szCs w:val="20"/>
    </w:rPr>
  </w:style>
  <w:style w:type="character" w:styleId="CommentReference">
    <w:name w:val="annotation reference"/>
    <w:basedOn w:val="DefaultParagraphFont"/>
    <w:rsid w:val="008600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006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60068"/>
  </w:style>
  <w:style w:type="paragraph" w:styleId="CommentSubject">
    <w:name w:val="annotation subject"/>
    <w:basedOn w:val="CommentText"/>
    <w:next w:val="CommentText"/>
    <w:link w:val="CommentSubjectChar"/>
    <w:rsid w:val="00860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00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left="1440" w:firstLine="144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4320" w:hanging="43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left="1440" w:hanging="14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5760" w:hanging="28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spacing w:line="240" w:lineRule="atLeast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widowControl/>
      <w:spacing w:line="240" w:lineRule="atLeast"/>
      <w:ind w:right="-90"/>
      <w:outlineLvl w:val="6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D302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E5614"/>
    <w:pPr>
      <w:shd w:val="clear" w:color="auto" w:fill="000080"/>
    </w:pPr>
    <w:rPr>
      <w:rFonts w:ascii="Tahoma" w:hAnsi="Tahoma" w:cs="Tahoma"/>
      <w:szCs w:val="20"/>
    </w:rPr>
  </w:style>
  <w:style w:type="paragraph" w:styleId="FootnoteText">
    <w:name w:val="footnote text"/>
    <w:basedOn w:val="Normal"/>
    <w:link w:val="FootnoteTextChar"/>
    <w:rsid w:val="00AE292F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E292F"/>
  </w:style>
  <w:style w:type="paragraph" w:customStyle="1" w:styleId="plain">
    <w:name w:val="plain"/>
    <w:basedOn w:val="Normal"/>
    <w:rsid w:val="00387244"/>
    <w:pPr>
      <w:widowControl/>
      <w:autoSpaceDE/>
      <w:autoSpaceDN/>
      <w:adjustRightInd/>
      <w:spacing w:line="240" w:lineRule="atLeast"/>
    </w:pPr>
    <w:rPr>
      <w:sz w:val="26"/>
      <w:szCs w:val="20"/>
    </w:rPr>
  </w:style>
  <w:style w:type="character" w:styleId="CommentReference">
    <w:name w:val="annotation reference"/>
    <w:basedOn w:val="DefaultParagraphFont"/>
    <w:rsid w:val="008600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006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60068"/>
  </w:style>
  <w:style w:type="paragraph" w:styleId="CommentSubject">
    <w:name w:val="annotation subject"/>
    <w:basedOn w:val="CommentText"/>
    <w:next w:val="CommentText"/>
    <w:link w:val="CommentSubjectChar"/>
    <w:rsid w:val="00860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0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2013-04-25T07:00:00+00:00</OpenedDate>
    <Date1 xmlns="dc463f71-b30c-4ab2-9473-d307f9d35888">2013-05-09T07:00:00+00:00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130617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C83C83ECB19D4DB5F4F888CFD68042" ma:contentTypeVersion="135" ma:contentTypeDescription="" ma:contentTypeScope="" ma:versionID="f9a628cbf326db48f4ee322a25a2e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F1CAD-F7E4-4D70-8705-35FF1890A2F7}"/>
</file>

<file path=customXml/itemProps2.xml><?xml version="1.0" encoding="utf-8"?>
<ds:datastoreItem xmlns:ds="http://schemas.openxmlformats.org/officeDocument/2006/customXml" ds:itemID="{79BCFCE0-D821-457E-901C-485B5B16A600}"/>
</file>

<file path=customXml/itemProps3.xml><?xml version="1.0" encoding="utf-8"?>
<ds:datastoreItem xmlns:ds="http://schemas.openxmlformats.org/officeDocument/2006/customXml" ds:itemID="{9A1A8798-D039-4CB2-BC82-6906FEF78FA3}"/>
</file>

<file path=customXml/itemProps4.xml><?xml version="1.0" encoding="utf-8"?>
<ds:datastoreItem xmlns:ds="http://schemas.openxmlformats.org/officeDocument/2006/customXml" ds:itemID="{F8BB1937-7A23-4530-8BF2-85B65F4D657B}"/>
</file>

<file path=customXml/itemProps5.xml><?xml version="1.0" encoding="utf-8"?>
<ds:datastoreItem xmlns:ds="http://schemas.openxmlformats.org/officeDocument/2006/customXml" ds:itemID="{446E5B8F-808B-4B34-9958-86CDCBADBC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UE-130617 Memo</vt:lpstr>
    </vt:vector>
  </TitlesOfParts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UE-130617 Memo</dc:title>
  <dc:creator/>
  <cp:lastModifiedBy/>
  <cp:revision>1</cp:revision>
  <dcterms:created xsi:type="dcterms:W3CDTF">2013-05-06T21:04:00Z</dcterms:created>
  <dcterms:modified xsi:type="dcterms:W3CDTF">2013-05-06T21:04:00Z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0x0101006E56B4D1795A2E4DB2F0B01679ED314A0007C83C83ECB19D4DB5F4F888CFD68042</vt:lpwstr>
  </property>
  <property fmtid="{D5CDD505-2E9C-101B-9397-08002B2CF9AE}" pid="3" name="_docset_NoMedatataSyncRequired">
    <vt:lpwstr>False</vt:lpwstr>
  </property>
</Properties>
</file>