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D3D" w:rsidRPr="00FD7D3D" w:rsidRDefault="00FD7D3D" w:rsidP="00FD7D3D">
      <w:pPr>
        <w:tabs>
          <w:tab w:val="clear" w:pos="-1440"/>
        </w:tabs>
        <w:spacing w:line="240" w:lineRule="auto"/>
        <w:ind w:left="5760" w:firstLine="0"/>
        <w:rPr>
          <w:rFonts w:eastAsia="Calibri"/>
          <w:b/>
        </w:rPr>
      </w:pPr>
      <w:r w:rsidRPr="00FD7D3D">
        <w:rPr>
          <w:rFonts w:eastAsia="Calibri"/>
          <w:b/>
        </w:rPr>
        <w:t>Exhibit No. ___T (</w:t>
      </w:r>
      <w:r w:rsidR="002D5F96">
        <w:rPr>
          <w:rFonts w:eastAsia="Calibri"/>
          <w:b/>
        </w:rPr>
        <w:t>DJR-1</w:t>
      </w:r>
      <w:r w:rsidRPr="00FD7D3D">
        <w:rPr>
          <w:rFonts w:eastAsia="Calibri"/>
          <w:b/>
        </w:rPr>
        <w:t>T)</w:t>
      </w:r>
    </w:p>
    <w:p w:rsidR="00FD7D3D" w:rsidRPr="00FD7D3D" w:rsidRDefault="002D5F96" w:rsidP="00FD7D3D">
      <w:pPr>
        <w:tabs>
          <w:tab w:val="clear" w:pos="-1440"/>
        </w:tabs>
        <w:spacing w:line="240" w:lineRule="auto"/>
        <w:ind w:left="5760" w:firstLine="0"/>
        <w:rPr>
          <w:rFonts w:eastAsia="Calibri"/>
          <w:b/>
        </w:rPr>
      </w:pPr>
      <w:r>
        <w:rPr>
          <w:rFonts w:eastAsia="Calibri"/>
          <w:b/>
        </w:rPr>
        <w:t>Dockets UE-121697/</w:t>
      </w:r>
      <w:proofErr w:type="spellStart"/>
      <w:r>
        <w:rPr>
          <w:rFonts w:eastAsia="Calibri"/>
          <w:b/>
        </w:rPr>
        <w:t>UG</w:t>
      </w:r>
      <w:proofErr w:type="spellEnd"/>
      <w:r>
        <w:rPr>
          <w:rFonts w:eastAsia="Calibri"/>
          <w:b/>
        </w:rPr>
        <w:t>-121705</w:t>
      </w:r>
    </w:p>
    <w:p w:rsidR="00FD7D3D" w:rsidRPr="00FD7D3D" w:rsidRDefault="00FD7D3D" w:rsidP="00FD7D3D">
      <w:pPr>
        <w:tabs>
          <w:tab w:val="clear" w:pos="-1440"/>
        </w:tabs>
        <w:spacing w:line="240" w:lineRule="auto"/>
        <w:ind w:left="5760" w:firstLine="0"/>
        <w:rPr>
          <w:rFonts w:eastAsia="Calibri"/>
          <w:b/>
        </w:rPr>
      </w:pPr>
      <w:r w:rsidRPr="00FD7D3D">
        <w:rPr>
          <w:rFonts w:eastAsia="Calibri"/>
          <w:b/>
        </w:rPr>
        <w:t xml:space="preserve">Witness:  </w:t>
      </w:r>
      <w:r w:rsidR="008B3C99">
        <w:rPr>
          <w:rFonts w:eastAsia="Calibri"/>
          <w:b/>
        </w:rPr>
        <w:t xml:space="preserve">Deborah J. Reynolds </w:t>
      </w:r>
      <w:bookmarkStart w:id="0" w:name="_GoBack"/>
      <w:bookmarkEnd w:id="0"/>
      <w:r w:rsidRPr="00FD7D3D">
        <w:rPr>
          <w:rFonts w:eastAsia="Calibri"/>
          <w:b/>
        </w:rPr>
        <w:t xml:space="preserve"> </w:t>
      </w:r>
    </w:p>
    <w:p w:rsidR="00FD7D3D" w:rsidRPr="00FD7D3D" w:rsidRDefault="00FD7D3D" w:rsidP="00FD7D3D">
      <w:pPr>
        <w:widowControl w:val="0"/>
        <w:tabs>
          <w:tab w:val="clear" w:pos="-1440"/>
          <w:tab w:val="center" w:pos="4680"/>
        </w:tabs>
        <w:autoSpaceDE w:val="0"/>
        <w:autoSpaceDN w:val="0"/>
        <w:adjustRightInd w:val="0"/>
        <w:spacing w:line="240" w:lineRule="auto"/>
        <w:ind w:left="0" w:right="-108" w:hanging="180"/>
        <w:jc w:val="both"/>
        <w:rPr>
          <w:b/>
        </w:rPr>
      </w:pPr>
    </w:p>
    <w:p w:rsidR="00FD7D3D" w:rsidRPr="00FD7D3D" w:rsidRDefault="00FD7D3D" w:rsidP="00FD7D3D">
      <w:pPr>
        <w:widowControl w:val="0"/>
        <w:tabs>
          <w:tab w:val="clear" w:pos="-1440"/>
          <w:tab w:val="center" w:pos="4680"/>
        </w:tabs>
        <w:autoSpaceDE w:val="0"/>
        <w:autoSpaceDN w:val="0"/>
        <w:adjustRightInd w:val="0"/>
        <w:spacing w:line="240" w:lineRule="auto"/>
        <w:ind w:left="0" w:right="-108" w:hanging="180"/>
        <w:jc w:val="both"/>
        <w:rPr>
          <w:b/>
        </w:rPr>
      </w:pPr>
    </w:p>
    <w:p w:rsidR="00FD7D3D" w:rsidRPr="00FD7D3D" w:rsidRDefault="00FD7D3D" w:rsidP="00FD7D3D">
      <w:pPr>
        <w:pStyle w:val="Header"/>
        <w:rPr>
          <w:b/>
        </w:rPr>
      </w:pPr>
      <w:r w:rsidRPr="00FD7D3D">
        <w:rPr>
          <w:b/>
        </w:rPr>
        <w:t>BEFORE THE WASHINGTON UTILITIES AND TRANSPORTATION COMMISSION</w:t>
      </w:r>
    </w:p>
    <w:p w:rsidR="00FD7D3D" w:rsidRPr="00FD7D3D" w:rsidRDefault="00FD7D3D" w:rsidP="00FD7D3D">
      <w:pPr>
        <w:pStyle w:val="Header"/>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D7D3D" w:rsidRPr="00FD7D3D" w:rsidTr="008D648D">
        <w:tc>
          <w:tcPr>
            <w:tcW w:w="4590" w:type="dxa"/>
            <w:tcBorders>
              <w:top w:val="single" w:sz="6" w:space="0" w:color="FFFFFF"/>
              <w:left w:val="single" w:sz="6" w:space="0" w:color="FFFFFF"/>
              <w:bottom w:val="single" w:sz="7" w:space="0" w:color="000000"/>
              <w:right w:val="single" w:sz="6" w:space="0" w:color="FFFFFF"/>
            </w:tcBorders>
          </w:tcPr>
          <w:p w:rsidR="00FD7D3D" w:rsidRPr="00FD7D3D" w:rsidRDefault="00FD7D3D" w:rsidP="00FD7D3D">
            <w:pPr>
              <w:pStyle w:val="Header"/>
              <w:ind w:left="0" w:firstLine="0"/>
              <w:rPr>
                <w:b/>
              </w:rPr>
            </w:pPr>
            <w:r w:rsidRPr="00FD7D3D">
              <w:rPr>
                <w:b/>
              </w:rPr>
              <w:t xml:space="preserve">In the Matter of the Petition of </w:t>
            </w:r>
          </w:p>
          <w:p w:rsidR="00FD7D3D" w:rsidRPr="00FD7D3D" w:rsidRDefault="00FD7D3D" w:rsidP="00FD7D3D">
            <w:pPr>
              <w:pStyle w:val="Header"/>
              <w:ind w:left="0" w:firstLine="0"/>
              <w:rPr>
                <w:b/>
              </w:rPr>
            </w:pPr>
          </w:p>
          <w:p w:rsidR="00FD7D3D" w:rsidRPr="00FD7D3D" w:rsidRDefault="00FD7D3D" w:rsidP="00FD7D3D">
            <w:pPr>
              <w:pStyle w:val="Header"/>
              <w:ind w:left="0" w:firstLine="0"/>
              <w:rPr>
                <w:b/>
              </w:rPr>
            </w:pPr>
            <w:r w:rsidRPr="00FD7D3D">
              <w:rPr>
                <w:b/>
              </w:rPr>
              <w:t xml:space="preserve">PUGET SOUND ENERGY, INC. and NW ENERGY COALITION </w:t>
            </w:r>
          </w:p>
          <w:p w:rsidR="00FD7D3D" w:rsidRPr="00FD7D3D" w:rsidRDefault="00FD7D3D" w:rsidP="00FD7D3D">
            <w:pPr>
              <w:pStyle w:val="Header"/>
              <w:ind w:left="0" w:firstLine="0"/>
              <w:rPr>
                <w:b/>
              </w:rPr>
            </w:pPr>
          </w:p>
          <w:p w:rsidR="00FD7D3D" w:rsidRPr="00FD7D3D" w:rsidRDefault="00FD7D3D" w:rsidP="00FD7D3D">
            <w:pPr>
              <w:pStyle w:val="Header"/>
              <w:ind w:left="0" w:firstLine="0"/>
              <w:rPr>
                <w:b/>
              </w:rPr>
            </w:pPr>
            <w:r w:rsidRPr="00FD7D3D">
              <w:rPr>
                <w:b/>
              </w:rPr>
              <w:t>For an Order Authorizing PSE to Implement Electric and Natural Gas Decoupling Mechanisms and to Record Accounting Entries Associated with the Mechanisms.</w:t>
            </w:r>
          </w:p>
          <w:p w:rsidR="00FD7D3D" w:rsidRPr="00FD7D3D" w:rsidRDefault="00FD7D3D" w:rsidP="00FD7D3D">
            <w:pPr>
              <w:pStyle w:val="Header"/>
              <w:ind w:left="0" w:firstLine="0"/>
              <w:rPr>
                <w:b/>
              </w:rPr>
            </w:pPr>
          </w:p>
        </w:tc>
        <w:tc>
          <w:tcPr>
            <w:tcW w:w="4590" w:type="dxa"/>
            <w:tcBorders>
              <w:top w:val="single" w:sz="6" w:space="0" w:color="FFFFFF"/>
              <w:left w:val="single" w:sz="7" w:space="0" w:color="000000"/>
              <w:bottom w:val="single" w:sz="6" w:space="0" w:color="FFFFFF"/>
              <w:right w:val="single" w:sz="6" w:space="0" w:color="FFFFFF"/>
            </w:tcBorders>
          </w:tcPr>
          <w:p w:rsidR="00FD7D3D" w:rsidRPr="00FD7D3D" w:rsidRDefault="00FD7D3D" w:rsidP="00FD7D3D">
            <w:pPr>
              <w:pStyle w:val="Header"/>
              <w:ind w:left="416" w:firstLine="0"/>
              <w:rPr>
                <w:b/>
              </w:rPr>
            </w:pPr>
            <w:r w:rsidRPr="00FD7D3D">
              <w:rPr>
                <w:b/>
              </w:rPr>
              <w:t>DOCKET UE-121697</w:t>
            </w:r>
            <w:r w:rsidR="002D5F96">
              <w:rPr>
                <w:b/>
              </w:rPr>
              <w:t>/</w:t>
            </w:r>
            <w:proofErr w:type="spellStart"/>
            <w:r w:rsidR="002D5F96">
              <w:rPr>
                <w:b/>
              </w:rPr>
              <w:t>UG</w:t>
            </w:r>
            <w:proofErr w:type="spellEnd"/>
            <w:r w:rsidR="002D5F96">
              <w:rPr>
                <w:b/>
              </w:rPr>
              <w:t>-121705</w:t>
            </w:r>
          </w:p>
          <w:p w:rsidR="00FD7D3D" w:rsidRPr="00FD7D3D" w:rsidRDefault="00FD7D3D" w:rsidP="00FD7D3D">
            <w:pPr>
              <w:pStyle w:val="Header"/>
              <w:ind w:left="416" w:firstLine="0"/>
              <w:rPr>
                <w:b/>
              </w:rPr>
            </w:pPr>
          </w:p>
          <w:p w:rsidR="00FD7D3D" w:rsidRPr="00FD7D3D" w:rsidRDefault="00FD7D3D" w:rsidP="00FD7D3D">
            <w:pPr>
              <w:pStyle w:val="BodyTextIndent2"/>
              <w:spacing w:after="0" w:line="240" w:lineRule="auto"/>
              <w:ind w:left="416" w:firstLine="0"/>
              <w:rPr>
                <w:b/>
              </w:rPr>
            </w:pPr>
          </w:p>
        </w:tc>
      </w:tr>
    </w:tbl>
    <w:p w:rsidR="00FD7D3D" w:rsidRPr="00FD7D3D" w:rsidRDefault="00FD7D3D" w:rsidP="00FD7D3D">
      <w:pPr>
        <w:pStyle w:val="Header"/>
        <w:rPr>
          <w:b/>
        </w:rPr>
      </w:pPr>
    </w:p>
    <w:p w:rsidR="00FD7D3D" w:rsidRPr="00FD7D3D" w:rsidRDefault="00FD7D3D" w:rsidP="00FD7D3D">
      <w:pPr>
        <w:widowControl w:val="0"/>
        <w:tabs>
          <w:tab w:val="clear" w:pos="-1440"/>
        </w:tabs>
        <w:autoSpaceDE w:val="0"/>
        <w:autoSpaceDN w:val="0"/>
        <w:adjustRightInd w:val="0"/>
        <w:spacing w:line="240" w:lineRule="auto"/>
        <w:ind w:left="0" w:firstLine="0"/>
        <w:jc w:val="both"/>
        <w:rPr>
          <w:b/>
        </w:rPr>
      </w:pPr>
    </w:p>
    <w:p w:rsidR="00FD7D3D" w:rsidRPr="00FD7D3D" w:rsidRDefault="00FD7D3D" w:rsidP="00FD7D3D">
      <w:pPr>
        <w:tabs>
          <w:tab w:val="clear" w:pos="-1440"/>
          <w:tab w:val="center" w:pos="4680"/>
        </w:tabs>
        <w:spacing w:line="240" w:lineRule="auto"/>
        <w:ind w:left="0" w:firstLine="0"/>
        <w:jc w:val="center"/>
        <w:rPr>
          <w:rFonts w:eastAsia="Calibri"/>
          <w:b/>
          <w:bCs/>
        </w:rPr>
      </w:pPr>
      <w:r w:rsidRPr="00FD7D3D">
        <w:rPr>
          <w:rFonts w:eastAsia="Calibri"/>
          <w:b/>
          <w:bCs/>
        </w:rPr>
        <w:t>TESTIMONY OF</w:t>
      </w:r>
    </w:p>
    <w:p w:rsidR="00FD7D3D" w:rsidRPr="00FD7D3D" w:rsidRDefault="00FD7D3D" w:rsidP="00FD7D3D">
      <w:pPr>
        <w:tabs>
          <w:tab w:val="clear" w:pos="-1440"/>
        </w:tabs>
        <w:spacing w:line="240" w:lineRule="auto"/>
        <w:ind w:left="0" w:firstLine="0"/>
        <w:jc w:val="center"/>
        <w:rPr>
          <w:rFonts w:eastAsia="Calibri"/>
          <w:b/>
          <w:bCs/>
        </w:rPr>
      </w:pPr>
    </w:p>
    <w:p w:rsidR="00FD7D3D" w:rsidRPr="00FD7D3D" w:rsidRDefault="00FD7D3D" w:rsidP="00FD7D3D">
      <w:pPr>
        <w:tabs>
          <w:tab w:val="clear" w:pos="-1440"/>
          <w:tab w:val="center" w:pos="4680"/>
        </w:tabs>
        <w:spacing w:line="240" w:lineRule="auto"/>
        <w:ind w:left="0" w:firstLine="0"/>
        <w:jc w:val="center"/>
        <w:rPr>
          <w:rFonts w:eastAsia="Calibri"/>
          <w:b/>
          <w:bCs/>
        </w:rPr>
      </w:pPr>
      <w:r>
        <w:rPr>
          <w:rFonts w:eastAsia="Calibri"/>
          <w:b/>
          <w:bCs/>
        </w:rPr>
        <w:t xml:space="preserve">Deborah J. Reynolds </w:t>
      </w:r>
    </w:p>
    <w:p w:rsidR="00FD7D3D" w:rsidRPr="00FD7D3D" w:rsidRDefault="00FD7D3D" w:rsidP="00FD7D3D">
      <w:pPr>
        <w:tabs>
          <w:tab w:val="clear" w:pos="-1440"/>
          <w:tab w:val="center" w:pos="4680"/>
        </w:tabs>
        <w:spacing w:line="240" w:lineRule="auto"/>
        <w:ind w:left="0" w:firstLine="0"/>
        <w:jc w:val="center"/>
        <w:rPr>
          <w:rFonts w:eastAsia="Calibri"/>
          <w:b/>
          <w:bCs/>
        </w:rPr>
      </w:pPr>
    </w:p>
    <w:p w:rsidR="00FD7D3D" w:rsidRPr="00FD7D3D" w:rsidRDefault="00FD7D3D" w:rsidP="00FD7D3D">
      <w:pPr>
        <w:tabs>
          <w:tab w:val="clear" w:pos="-1440"/>
          <w:tab w:val="center" w:pos="4680"/>
        </w:tabs>
        <w:spacing w:line="240" w:lineRule="auto"/>
        <w:ind w:left="0" w:firstLine="0"/>
        <w:jc w:val="center"/>
        <w:rPr>
          <w:rFonts w:eastAsia="Calibri"/>
          <w:b/>
          <w:bCs/>
        </w:rPr>
      </w:pPr>
      <w:r w:rsidRPr="00FD7D3D">
        <w:rPr>
          <w:rFonts w:eastAsia="Calibri"/>
          <w:b/>
          <w:bCs/>
        </w:rPr>
        <w:t>STAFF OF</w:t>
      </w:r>
    </w:p>
    <w:p w:rsidR="00FD7D3D" w:rsidRPr="00FD7D3D" w:rsidRDefault="00FD7D3D" w:rsidP="00FD7D3D">
      <w:pPr>
        <w:tabs>
          <w:tab w:val="clear" w:pos="-1440"/>
          <w:tab w:val="center" w:pos="4680"/>
        </w:tabs>
        <w:spacing w:line="240" w:lineRule="auto"/>
        <w:ind w:left="0" w:firstLine="0"/>
        <w:jc w:val="center"/>
        <w:rPr>
          <w:rFonts w:eastAsia="Calibri"/>
          <w:b/>
          <w:bCs/>
        </w:rPr>
      </w:pPr>
      <w:smartTag w:uri="urn:schemas-microsoft-com:office:smarttags" w:element="place">
        <w:smartTag w:uri="urn:schemas-microsoft-com:office:smarttags" w:element="State">
          <w:r w:rsidRPr="00FD7D3D">
            <w:rPr>
              <w:rFonts w:eastAsia="Calibri"/>
              <w:b/>
              <w:bCs/>
            </w:rPr>
            <w:t>WASHINGTON</w:t>
          </w:r>
        </w:smartTag>
      </w:smartTag>
      <w:r w:rsidRPr="00FD7D3D">
        <w:rPr>
          <w:rFonts w:eastAsia="Calibri"/>
          <w:b/>
          <w:bCs/>
        </w:rPr>
        <w:t xml:space="preserve"> UTILITIES AND</w:t>
      </w:r>
    </w:p>
    <w:p w:rsidR="00FD7D3D" w:rsidRPr="00FD7D3D" w:rsidRDefault="00FD7D3D" w:rsidP="00FD7D3D">
      <w:pPr>
        <w:tabs>
          <w:tab w:val="clear" w:pos="-1440"/>
          <w:tab w:val="center" w:pos="4680"/>
        </w:tabs>
        <w:spacing w:line="240" w:lineRule="auto"/>
        <w:ind w:left="0" w:firstLine="0"/>
        <w:jc w:val="center"/>
        <w:rPr>
          <w:rFonts w:eastAsia="Calibri"/>
          <w:b/>
          <w:bCs/>
        </w:rPr>
      </w:pPr>
      <w:r w:rsidRPr="00FD7D3D">
        <w:rPr>
          <w:rFonts w:eastAsia="Calibri"/>
          <w:b/>
          <w:bCs/>
        </w:rPr>
        <w:t>TRANSPORTATION COMMISSION</w:t>
      </w:r>
    </w:p>
    <w:p w:rsidR="00FD7D3D" w:rsidRPr="00FD7D3D" w:rsidRDefault="00FD7D3D" w:rsidP="00FD7D3D">
      <w:pPr>
        <w:tabs>
          <w:tab w:val="clear" w:pos="-1440"/>
        </w:tabs>
        <w:spacing w:line="240" w:lineRule="auto"/>
        <w:ind w:left="0" w:firstLine="0"/>
        <w:jc w:val="center"/>
        <w:rPr>
          <w:rFonts w:eastAsia="Calibri"/>
          <w:b/>
          <w:bCs/>
        </w:rPr>
      </w:pPr>
    </w:p>
    <w:p w:rsidR="00FD7D3D" w:rsidRPr="00FD7D3D" w:rsidRDefault="00FD7D3D" w:rsidP="00FD7D3D">
      <w:pPr>
        <w:tabs>
          <w:tab w:val="clear" w:pos="-1440"/>
        </w:tabs>
        <w:spacing w:line="240" w:lineRule="auto"/>
        <w:ind w:left="0" w:firstLine="0"/>
        <w:rPr>
          <w:rFonts w:eastAsia="Calibri"/>
          <w:b/>
          <w:bCs/>
        </w:rPr>
      </w:pPr>
    </w:p>
    <w:p w:rsidR="00FD7D3D" w:rsidRPr="00FD7D3D" w:rsidRDefault="00FD7D3D" w:rsidP="00FD7D3D">
      <w:pPr>
        <w:tabs>
          <w:tab w:val="clear" w:pos="-1440"/>
        </w:tabs>
        <w:spacing w:line="240" w:lineRule="auto"/>
        <w:ind w:left="0" w:firstLine="0"/>
        <w:rPr>
          <w:rFonts w:eastAsia="Calibri"/>
          <w:b/>
          <w:bCs/>
        </w:rPr>
      </w:pPr>
    </w:p>
    <w:p w:rsidR="00FD7D3D" w:rsidRPr="00FD7D3D" w:rsidRDefault="00FD7D3D" w:rsidP="00FD7D3D">
      <w:pPr>
        <w:tabs>
          <w:tab w:val="clear" w:pos="-1440"/>
        </w:tabs>
        <w:spacing w:line="240" w:lineRule="auto"/>
        <w:ind w:left="0" w:firstLine="0"/>
        <w:jc w:val="center"/>
        <w:rPr>
          <w:rFonts w:eastAsia="Calibri"/>
          <w:b/>
          <w:bCs/>
        </w:rPr>
      </w:pPr>
      <w:r>
        <w:rPr>
          <w:rFonts w:eastAsia="Calibri"/>
          <w:b/>
          <w:bCs/>
        </w:rPr>
        <w:t>March 4, 2013</w:t>
      </w:r>
    </w:p>
    <w:p w:rsidR="00FD7D3D" w:rsidRPr="00FD7D3D" w:rsidRDefault="00FD7D3D" w:rsidP="00FD7D3D">
      <w:pPr>
        <w:tabs>
          <w:tab w:val="clear" w:pos="-1440"/>
        </w:tabs>
        <w:spacing w:line="240" w:lineRule="auto"/>
        <w:ind w:left="0" w:firstLine="0"/>
        <w:rPr>
          <w:rFonts w:eastAsia="Calibri"/>
        </w:rPr>
      </w:pPr>
    </w:p>
    <w:p w:rsidR="00FD7D3D" w:rsidRDefault="00FD7D3D" w:rsidP="00FD7D3D">
      <w:pPr>
        <w:pStyle w:val="TOC1"/>
        <w:ind w:firstLine="0"/>
        <w:jc w:val="left"/>
      </w:pPr>
    </w:p>
    <w:p w:rsidR="00FD7D3D" w:rsidRDefault="00FD7D3D" w:rsidP="00FD7D3D"/>
    <w:p w:rsidR="00FD7D3D" w:rsidRPr="00FD7D3D" w:rsidRDefault="00FD7D3D" w:rsidP="00FD7D3D">
      <w:pPr>
        <w:sectPr w:rsidR="00FD7D3D" w:rsidRPr="00FD7D3D" w:rsidSect="00FD7D3D">
          <w:footerReference w:type="default" r:id="rId10"/>
          <w:pgSz w:w="12240" w:h="15840"/>
          <w:pgMar w:top="1440" w:right="1440" w:bottom="1440" w:left="1440" w:header="720" w:footer="720" w:gutter="0"/>
          <w:cols w:space="720"/>
          <w:titlePg/>
          <w:docGrid w:linePitch="360"/>
        </w:sectPr>
      </w:pPr>
    </w:p>
    <w:p w:rsidR="000704BF" w:rsidRPr="00FD7D3D" w:rsidRDefault="000704BF" w:rsidP="00FD7D3D">
      <w:pPr>
        <w:pStyle w:val="TOC1"/>
        <w:tabs>
          <w:tab w:val="clear" w:pos="440"/>
          <w:tab w:val="left" w:pos="630"/>
        </w:tabs>
        <w:spacing w:after="240" w:line="240" w:lineRule="auto"/>
        <w:ind w:left="634" w:hanging="634"/>
        <w:rPr>
          <w:b/>
        </w:rPr>
      </w:pPr>
      <w:r w:rsidRPr="00FD7D3D">
        <w:rPr>
          <w:b/>
        </w:rPr>
        <w:lastRenderedPageBreak/>
        <w:t>TABLE OF CONTENTS</w:t>
      </w:r>
    </w:p>
    <w:p w:rsidR="006B1D9D" w:rsidRDefault="000704BF" w:rsidP="00FD7D3D">
      <w:pPr>
        <w:pStyle w:val="TOC1"/>
        <w:tabs>
          <w:tab w:val="clear" w:pos="440"/>
          <w:tab w:val="left" w:pos="630"/>
        </w:tabs>
        <w:spacing w:after="240" w:line="240" w:lineRule="auto"/>
        <w:ind w:left="634" w:hanging="634"/>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349312833" w:history="1">
        <w:r w:rsidR="006B1D9D" w:rsidRPr="00A143A3">
          <w:rPr>
            <w:rStyle w:val="Hyperlink"/>
            <w:noProof/>
          </w:rPr>
          <w:t>I.</w:t>
        </w:r>
        <w:r w:rsidR="006B1D9D">
          <w:rPr>
            <w:rFonts w:asciiTheme="minorHAnsi" w:eastAsiaTheme="minorEastAsia" w:hAnsiTheme="minorHAnsi" w:cstheme="minorBidi"/>
            <w:noProof/>
            <w:sz w:val="22"/>
            <w:szCs w:val="22"/>
          </w:rPr>
          <w:tab/>
        </w:r>
        <w:r w:rsidR="006B1D9D" w:rsidRPr="00A143A3">
          <w:rPr>
            <w:rStyle w:val="Hyperlink"/>
            <w:noProof/>
          </w:rPr>
          <w:t>INTRODUCTION AND PURPOSE OF TESTIMONY</w:t>
        </w:r>
        <w:r w:rsidR="006B1D9D">
          <w:rPr>
            <w:noProof/>
            <w:webHidden/>
          </w:rPr>
          <w:tab/>
        </w:r>
        <w:r w:rsidR="006B1D9D">
          <w:rPr>
            <w:noProof/>
            <w:webHidden/>
          </w:rPr>
          <w:fldChar w:fldCharType="begin"/>
        </w:r>
        <w:r w:rsidR="006B1D9D">
          <w:rPr>
            <w:noProof/>
            <w:webHidden/>
          </w:rPr>
          <w:instrText xml:space="preserve"> PAGEREF _Toc349312833 \h </w:instrText>
        </w:r>
        <w:r w:rsidR="006B1D9D">
          <w:rPr>
            <w:noProof/>
            <w:webHidden/>
          </w:rPr>
        </w:r>
        <w:r w:rsidR="006B1D9D">
          <w:rPr>
            <w:noProof/>
            <w:webHidden/>
          </w:rPr>
          <w:fldChar w:fldCharType="separate"/>
        </w:r>
        <w:r w:rsidR="004C506A">
          <w:rPr>
            <w:noProof/>
            <w:webHidden/>
          </w:rPr>
          <w:t>1</w:t>
        </w:r>
        <w:r w:rsidR="006B1D9D">
          <w:rPr>
            <w:noProof/>
            <w:webHidden/>
          </w:rPr>
          <w:fldChar w:fldCharType="end"/>
        </w:r>
      </w:hyperlink>
    </w:p>
    <w:p w:rsidR="006B1D9D" w:rsidRDefault="004C506A" w:rsidP="00FD7D3D">
      <w:pPr>
        <w:pStyle w:val="TOC1"/>
        <w:tabs>
          <w:tab w:val="clear" w:pos="440"/>
          <w:tab w:val="left" w:pos="630"/>
        </w:tabs>
        <w:spacing w:after="240" w:line="240" w:lineRule="auto"/>
        <w:ind w:left="634" w:hanging="634"/>
        <w:rPr>
          <w:rFonts w:asciiTheme="minorHAnsi" w:eastAsiaTheme="minorEastAsia" w:hAnsiTheme="minorHAnsi" w:cstheme="minorBidi"/>
          <w:noProof/>
          <w:sz w:val="22"/>
          <w:szCs w:val="22"/>
        </w:rPr>
      </w:pPr>
      <w:hyperlink w:anchor="_Toc349312834" w:history="1">
        <w:r w:rsidR="006B1D9D" w:rsidRPr="00A143A3">
          <w:rPr>
            <w:rStyle w:val="Hyperlink"/>
            <w:noProof/>
          </w:rPr>
          <w:t>II.</w:t>
        </w:r>
        <w:r w:rsidR="006B1D9D">
          <w:rPr>
            <w:rFonts w:asciiTheme="minorHAnsi" w:eastAsiaTheme="minorEastAsia" w:hAnsiTheme="minorHAnsi" w:cstheme="minorBidi"/>
            <w:noProof/>
            <w:sz w:val="22"/>
            <w:szCs w:val="22"/>
          </w:rPr>
          <w:tab/>
        </w:r>
        <w:r w:rsidR="006B1D9D" w:rsidRPr="00A143A3">
          <w:rPr>
            <w:rStyle w:val="Hyperlink"/>
            <w:noProof/>
          </w:rPr>
          <w:t>THE REVISED PETITION’S DECOUPLING PROPOSALS</w:t>
        </w:r>
        <w:r w:rsidR="006B1D9D">
          <w:rPr>
            <w:noProof/>
            <w:webHidden/>
          </w:rPr>
          <w:tab/>
        </w:r>
        <w:r w:rsidR="006B1D9D">
          <w:rPr>
            <w:noProof/>
            <w:webHidden/>
          </w:rPr>
          <w:fldChar w:fldCharType="begin"/>
        </w:r>
        <w:r w:rsidR="006B1D9D">
          <w:rPr>
            <w:noProof/>
            <w:webHidden/>
          </w:rPr>
          <w:instrText xml:space="preserve"> PAGEREF _Toc349312834 \h </w:instrText>
        </w:r>
        <w:r w:rsidR="006B1D9D">
          <w:rPr>
            <w:noProof/>
            <w:webHidden/>
          </w:rPr>
        </w:r>
        <w:r w:rsidR="006B1D9D">
          <w:rPr>
            <w:noProof/>
            <w:webHidden/>
          </w:rPr>
          <w:fldChar w:fldCharType="separate"/>
        </w:r>
        <w:r>
          <w:rPr>
            <w:noProof/>
            <w:webHidden/>
          </w:rPr>
          <w:t>5</w:t>
        </w:r>
        <w:r w:rsidR="006B1D9D">
          <w:rPr>
            <w:noProof/>
            <w:webHidden/>
          </w:rPr>
          <w:fldChar w:fldCharType="end"/>
        </w:r>
      </w:hyperlink>
    </w:p>
    <w:p w:rsidR="006B1D9D" w:rsidRDefault="004C506A" w:rsidP="00D65A16">
      <w:pPr>
        <w:pStyle w:val="TOC2"/>
        <w:rPr>
          <w:rFonts w:asciiTheme="minorHAnsi" w:eastAsiaTheme="minorEastAsia" w:hAnsiTheme="minorHAnsi" w:cstheme="minorBidi"/>
          <w:noProof/>
          <w:sz w:val="22"/>
          <w:szCs w:val="22"/>
        </w:rPr>
      </w:pPr>
      <w:hyperlink w:anchor="_Toc349312835" w:history="1">
        <w:r w:rsidR="006B1D9D" w:rsidRPr="00A143A3">
          <w:rPr>
            <w:rStyle w:val="Hyperlink"/>
            <w:noProof/>
          </w:rPr>
          <w:t>A.</w:t>
        </w:r>
        <w:r w:rsidR="006B1D9D">
          <w:rPr>
            <w:rFonts w:asciiTheme="minorHAnsi" w:eastAsiaTheme="minorEastAsia" w:hAnsiTheme="minorHAnsi" w:cstheme="minorBidi"/>
            <w:noProof/>
            <w:sz w:val="22"/>
            <w:szCs w:val="22"/>
          </w:rPr>
          <w:tab/>
        </w:r>
        <w:r w:rsidR="006B1D9D" w:rsidRPr="00A143A3">
          <w:rPr>
            <w:rStyle w:val="Hyperlink"/>
            <w:noProof/>
          </w:rPr>
          <w:t>The Revised Petition is Applied to All Customer Classes</w:t>
        </w:r>
        <w:r w:rsidR="006B1D9D">
          <w:rPr>
            <w:noProof/>
            <w:webHidden/>
          </w:rPr>
          <w:tab/>
        </w:r>
        <w:r w:rsidR="006B1D9D">
          <w:rPr>
            <w:noProof/>
            <w:webHidden/>
          </w:rPr>
          <w:fldChar w:fldCharType="begin"/>
        </w:r>
        <w:r w:rsidR="006B1D9D">
          <w:rPr>
            <w:noProof/>
            <w:webHidden/>
          </w:rPr>
          <w:instrText xml:space="preserve"> PAGEREF _Toc349312835 \h </w:instrText>
        </w:r>
        <w:r w:rsidR="006B1D9D">
          <w:rPr>
            <w:noProof/>
            <w:webHidden/>
          </w:rPr>
        </w:r>
        <w:r w:rsidR="006B1D9D">
          <w:rPr>
            <w:noProof/>
            <w:webHidden/>
          </w:rPr>
          <w:fldChar w:fldCharType="separate"/>
        </w:r>
        <w:r>
          <w:rPr>
            <w:noProof/>
            <w:webHidden/>
          </w:rPr>
          <w:t>6</w:t>
        </w:r>
        <w:r w:rsidR="006B1D9D">
          <w:rPr>
            <w:noProof/>
            <w:webHidden/>
          </w:rPr>
          <w:fldChar w:fldCharType="end"/>
        </w:r>
      </w:hyperlink>
    </w:p>
    <w:p w:rsidR="006B1D9D" w:rsidRDefault="004C506A" w:rsidP="00D65A16">
      <w:pPr>
        <w:pStyle w:val="TOC2"/>
        <w:rPr>
          <w:rFonts w:asciiTheme="minorHAnsi" w:eastAsiaTheme="minorEastAsia" w:hAnsiTheme="minorHAnsi" w:cstheme="minorBidi"/>
          <w:noProof/>
          <w:sz w:val="22"/>
          <w:szCs w:val="22"/>
        </w:rPr>
      </w:pPr>
      <w:hyperlink w:anchor="_Toc349312836" w:history="1">
        <w:r w:rsidR="006B1D9D" w:rsidRPr="00A143A3">
          <w:rPr>
            <w:rStyle w:val="Hyperlink"/>
            <w:noProof/>
          </w:rPr>
          <w:t>B.</w:t>
        </w:r>
        <w:r w:rsidR="006B1D9D">
          <w:rPr>
            <w:rFonts w:asciiTheme="minorHAnsi" w:eastAsiaTheme="minorEastAsia" w:hAnsiTheme="minorHAnsi" w:cstheme="minorBidi"/>
            <w:noProof/>
            <w:sz w:val="22"/>
            <w:szCs w:val="22"/>
          </w:rPr>
          <w:tab/>
        </w:r>
        <w:r w:rsidR="006B1D9D" w:rsidRPr="00A143A3">
          <w:rPr>
            <w:rStyle w:val="Hyperlink"/>
            <w:noProof/>
          </w:rPr>
          <w:t>The Revised Petition Delays the Impact of Decoupling on the Rate of Return</w:t>
        </w:r>
        <w:r w:rsidR="006B1D9D">
          <w:rPr>
            <w:noProof/>
            <w:webHidden/>
          </w:rPr>
          <w:tab/>
        </w:r>
        <w:r w:rsidR="006B1D9D">
          <w:rPr>
            <w:noProof/>
            <w:webHidden/>
          </w:rPr>
          <w:fldChar w:fldCharType="begin"/>
        </w:r>
        <w:r w:rsidR="006B1D9D">
          <w:rPr>
            <w:noProof/>
            <w:webHidden/>
          </w:rPr>
          <w:instrText xml:space="preserve"> PAGEREF _Toc349312836 \h </w:instrText>
        </w:r>
        <w:r w:rsidR="006B1D9D">
          <w:rPr>
            <w:noProof/>
            <w:webHidden/>
          </w:rPr>
        </w:r>
        <w:r w:rsidR="006B1D9D">
          <w:rPr>
            <w:noProof/>
            <w:webHidden/>
          </w:rPr>
          <w:fldChar w:fldCharType="separate"/>
        </w:r>
        <w:r>
          <w:rPr>
            <w:noProof/>
            <w:webHidden/>
          </w:rPr>
          <w:t>8</w:t>
        </w:r>
        <w:r w:rsidR="006B1D9D">
          <w:rPr>
            <w:noProof/>
            <w:webHidden/>
          </w:rPr>
          <w:fldChar w:fldCharType="end"/>
        </w:r>
      </w:hyperlink>
    </w:p>
    <w:p w:rsidR="006B1D9D" w:rsidRDefault="004C506A" w:rsidP="00D65A16">
      <w:pPr>
        <w:pStyle w:val="TOC2"/>
        <w:rPr>
          <w:rFonts w:asciiTheme="minorHAnsi" w:eastAsiaTheme="minorEastAsia" w:hAnsiTheme="minorHAnsi" w:cstheme="minorBidi"/>
          <w:noProof/>
          <w:sz w:val="22"/>
          <w:szCs w:val="22"/>
        </w:rPr>
      </w:pPr>
      <w:hyperlink w:anchor="_Toc349312837" w:history="1">
        <w:r w:rsidR="006B1D9D" w:rsidRPr="00A143A3">
          <w:rPr>
            <w:rStyle w:val="Hyperlink"/>
            <w:noProof/>
          </w:rPr>
          <w:t>C.</w:t>
        </w:r>
        <w:r w:rsidR="006B1D9D">
          <w:rPr>
            <w:rFonts w:asciiTheme="minorHAnsi" w:eastAsiaTheme="minorEastAsia" w:hAnsiTheme="minorHAnsi" w:cstheme="minorBidi"/>
            <w:noProof/>
            <w:sz w:val="22"/>
            <w:szCs w:val="22"/>
          </w:rPr>
          <w:tab/>
        </w:r>
        <w:r w:rsidR="006B1D9D" w:rsidRPr="00A143A3">
          <w:rPr>
            <w:rStyle w:val="Hyperlink"/>
            <w:noProof/>
          </w:rPr>
          <w:t>The Revised Petition Includes an Appropriate Alternative to Conditioning Recovery on Conservation Achievement</w:t>
        </w:r>
        <w:r w:rsidR="006B1D9D">
          <w:rPr>
            <w:noProof/>
            <w:webHidden/>
          </w:rPr>
          <w:tab/>
        </w:r>
        <w:r w:rsidR="006B1D9D">
          <w:rPr>
            <w:noProof/>
            <w:webHidden/>
          </w:rPr>
          <w:fldChar w:fldCharType="begin"/>
        </w:r>
        <w:r w:rsidR="006B1D9D">
          <w:rPr>
            <w:noProof/>
            <w:webHidden/>
          </w:rPr>
          <w:instrText xml:space="preserve"> PAGEREF _Toc349312837 \h </w:instrText>
        </w:r>
        <w:r w:rsidR="006B1D9D">
          <w:rPr>
            <w:noProof/>
            <w:webHidden/>
          </w:rPr>
        </w:r>
        <w:r w:rsidR="006B1D9D">
          <w:rPr>
            <w:noProof/>
            <w:webHidden/>
          </w:rPr>
          <w:fldChar w:fldCharType="separate"/>
        </w:r>
        <w:r>
          <w:rPr>
            <w:noProof/>
            <w:webHidden/>
          </w:rPr>
          <w:t>10</w:t>
        </w:r>
        <w:r w:rsidR="006B1D9D">
          <w:rPr>
            <w:noProof/>
            <w:webHidden/>
          </w:rPr>
          <w:fldChar w:fldCharType="end"/>
        </w:r>
      </w:hyperlink>
    </w:p>
    <w:p w:rsidR="006B1D9D" w:rsidRDefault="004C506A" w:rsidP="00D65A16">
      <w:pPr>
        <w:pStyle w:val="TOC2"/>
        <w:rPr>
          <w:rFonts w:asciiTheme="minorHAnsi" w:eastAsiaTheme="minorEastAsia" w:hAnsiTheme="minorHAnsi" w:cstheme="minorBidi"/>
          <w:noProof/>
          <w:sz w:val="22"/>
          <w:szCs w:val="22"/>
        </w:rPr>
      </w:pPr>
      <w:hyperlink w:anchor="_Toc349312838" w:history="1">
        <w:r w:rsidR="006B1D9D" w:rsidRPr="00A143A3">
          <w:rPr>
            <w:rStyle w:val="Hyperlink"/>
            <w:noProof/>
          </w:rPr>
          <w:t>D.</w:t>
        </w:r>
        <w:r w:rsidR="006B1D9D">
          <w:rPr>
            <w:rFonts w:asciiTheme="minorHAnsi" w:eastAsiaTheme="minorEastAsia" w:hAnsiTheme="minorHAnsi" w:cstheme="minorBidi"/>
            <w:noProof/>
            <w:sz w:val="22"/>
            <w:szCs w:val="22"/>
          </w:rPr>
          <w:tab/>
        </w:r>
        <w:r w:rsidR="006B1D9D" w:rsidRPr="00A143A3">
          <w:rPr>
            <w:rStyle w:val="Hyperlink"/>
            <w:noProof/>
          </w:rPr>
          <w:t>The Revised Petition Addresses Comparable Conservation Benefits to Low-Income Customers</w:t>
        </w:r>
        <w:r w:rsidR="006B1D9D">
          <w:rPr>
            <w:noProof/>
            <w:webHidden/>
          </w:rPr>
          <w:tab/>
        </w:r>
        <w:r w:rsidR="006B1D9D">
          <w:rPr>
            <w:noProof/>
            <w:webHidden/>
          </w:rPr>
          <w:fldChar w:fldCharType="begin"/>
        </w:r>
        <w:r w:rsidR="006B1D9D">
          <w:rPr>
            <w:noProof/>
            <w:webHidden/>
          </w:rPr>
          <w:instrText xml:space="preserve"> PAGEREF _Toc349312838 \h </w:instrText>
        </w:r>
        <w:r w:rsidR="006B1D9D">
          <w:rPr>
            <w:noProof/>
            <w:webHidden/>
          </w:rPr>
        </w:r>
        <w:r w:rsidR="006B1D9D">
          <w:rPr>
            <w:noProof/>
            <w:webHidden/>
          </w:rPr>
          <w:fldChar w:fldCharType="separate"/>
        </w:r>
        <w:r>
          <w:rPr>
            <w:noProof/>
            <w:webHidden/>
          </w:rPr>
          <w:t>12</w:t>
        </w:r>
        <w:r w:rsidR="006B1D9D">
          <w:rPr>
            <w:noProof/>
            <w:webHidden/>
          </w:rPr>
          <w:fldChar w:fldCharType="end"/>
        </w:r>
      </w:hyperlink>
    </w:p>
    <w:p w:rsidR="006B1D9D" w:rsidRDefault="004C506A" w:rsidP="00D65A16">
      <w:pPr>
        <w:pStyle w:val="TOC2"/>
        <w:rPr>
          <w:rFonts w:asciiTheme="minorHAnsi" w:eastAsiaTheme="minorEastAsia" w:hAnsiTheme="minorHAnsi" w:cstheme="minorBidi"/>
          <w:noProof/>
          <w:sz w:val="22"/>
          <w:szCs w:val="22"/>
        </w:rPr>
      </w:pPr>
      <w:hyperlink w:anchor="_Toc349312839" w:history="1">
        <w:r w:rsidR="006B1D9D" w:rsidRPr="00A143A3">
          <w:rPr>
            <w:rStyle w:val="Hyperlink"/>
            <w:noProof/>
          </w:rPr>
          <w:t>E.</w:t>
        </w:r>
        <w:r w:rsidR="006B1D9D">
          <w:rPr>
            <w:rFonts w:asciiTheme="minorHAnsi" w:eastAsiaTheme="minorEastAsia" w:hAnsiTheme="minorHAnsi" w:cstheme="minorBidi"/>
            <w:noProof/>
            <w:sz w:val="22"/>
            <w:szCs w:val="22"/>
          </w:rPr>
          <w:tab/>
        </w:r>
        <w:r w:rsidR="006B1D9D" w:rsidRPr="00A143A3">
          <w:rPr>
            <w:rStyle w:val="Hyperlink"/>
            <w:noProof/>
          </w:rPr>
          <w:t>The Revised Petition Describes Incremental Conservation</w:t>
        </w:r>
        <w:r w:rsidR="006B1D9D">
          <w:rPr>
            <w:noProof/>
            <w:webHidden/>
          </w:rPr>
          <w:tab/>
        </w:r>
        <w:r w:rsidR="006B1D9D">
          <w:rPr>
            <w:noProof/>
            <w:webHidden/>
          </w:rPr>
          <w:fldChar w:fldCharType="begin"/>
        </w:r>
        <w:r w:rsidR="006B1D9D">
          <w:rPr>
            <w:noProof/>
            <w:webHidden/>
          </w:rPr>
          <w:instrText xml:space="preserve"> PAGEREF _Toc349312839 \h </w:instrText>
        </w:r>
        <w:r w:rsidR="006B1D9D">
          <w:rPr>
            <w:noProof/>
            <w:webHidden/>
          </w:rPr>
        </w:r>
        <w:r w:rsidR="006B1D9D">
          <w:rPr>
            <w:noProof/>
            <w:webHidden/>
          </w:rPr>
          <w:fldChar w:fldCharType="separate"/>
        </w:r>
        <w:r>
          <w:rPr>
            <w:noProof/>
            <w:webHidden/>
          </w:rPr>
          <w:t>13</w:t>
        </w:r>
        <w:r w:rsidR="006B1D9D">
          <w:rPr>
            <w:noProof/>
            <w:webHidden/>
          </w:rPr>
          <w:fldChar w:fldCharType="end"/>
        </w:r>
      </w:hyperlink>
    </w:p>
    <w:p w:rsidR="006B1D9D" w:rsidRDefault="004C506A" w:rsidP="00D65A16">
      <w:pPr>
        <w:pStyle w:val="TOC2"/>
        <w:rPr>
          <w:rFonts w:asciiTheme="minorHAnsi" w:eastAsiaTheme="minorEastAsia" w:hAnsiTheme="minorHAnsi" w:cstheme="minorBidi"/>
          <w:noProof/>
          <w:sz w:val="22"/>
          <w:szCs w:val="22"/>
        </w:rPr>
      </w:pPr>
      <w:hyperlink w:anchor="_Toc349312840" w:history="1">
        <w:r w:rsidR="006B1D9D" w:rsidRPr="00A143A3">
          <w:rPr>
            <w:rStyle w:val="Hyperlink"/>
            <w:noProof/>
          </w:rPr>
          <w:t>F.</w:t>
        </w:r>
        <w:r w:rsidR="006B1D9D">
          <w:rPr>
            <w:rFonts w:asciiTheme="minorHAnsi" w:eastAsiaTheme="minorEastAsia" w:hAnsiTheme="minorHAnsi" w:cstheme="minorBidi"/>
            <w:noProof/>
            <w:sz w:val="22"/>
            <w:szCs w:val="22"/>
          </w:rPr>
          <w:tab/>
        </w:r>
        <w:r w:rsidR="006B1D9D" w:rsidRPr="00A143A3">
          <w:rPr>
            <w:rStyle w:val="Hyperlink"/>
            <w:noProof/>
          </w:rPr>
          <w:t>The Revised Petition Does Not Change the Accounting for the Net Benefits of Off-System Sales and Costs Avoided Due to the Utility’s Conservation Efforts</w:t>
        </w:r>
        <w:r w:rsidR="006B1D9D">
          <w:rPr>
            <w:noProof/>
            <w:webHidden/>
          </w:rPr>
          <w:tab/>
        </w:r>
        <w:r w:rsidR="006B1D9D">
          <w:rPr>
            <w:noProof/>
            <w:webHidden/>
          </w:rPr>
          <w:fldChar w:fldCharType="begin"/>
        </w:r>
        <w:r w:rsidR="006B1D9D">
          <w:rPr>
            <w:noProof/>
            <w:webHidden/>
          </w:rPr>
          <w:instrText xml:space="preserve"> PAGEREF _Toc349312840 \h </w:instrText>
        </w:r>
        <w:r w:rsidR="006B1D9D">
          <w:rPr>
            <w:noProof/>
            <w:webHidden/>
          </w:rPr>
        </w:r>
        <w:r w:rsidR="006B1D9D">
          <w:rPr>
            <w:noProof/>
            <w:webHidden/>
          </w:rPr>
          <w:fldChar w:fldCharType="separate"/>
        </w:r>
        <w:r>
          <w:rPr>
            <w:noProof/>
            <w:webHidden/>
          </w:rPr>
          <w:t>14</w:t>
        </w:r>
        <w:r w:rsidR="006B1D9D">
          <w:rPr>
            <w:noProof/>
            <w:webHidden/>
          </w:rPr>
          <w:fldChar w:fldCharType="end"/>
        </w:r>
      </w:hyperlink>
    </w:p>
    <w:p w:rsidR="006B1D9D" w:rsidRDefault="004C506A" w:rsidP="00FD7D3D">
      <w:pPr>
        <w:pStyle w:val="TOC1"/>
        <w:tabs>
          <w:tab w:val="clear" w:pos="440"/>
          <w:tab w:val="left" w:pos="630"/>
        </w:tabs>
        <w:spacing w:after="240" w:line="240" w:lineRule="auto"/>
        <w:ind w:left="634" w:hanging="634"/>
        <w:rPr>
          <w:rFonts w:asciiTheme="minorHAnsi" w:eastAsiaTheme="minorEastAsia" w:hAnsiTheme="minorHAnsi" w:cstheme="minorBidi"/>
          <w:noProof/>
          <w:sz w:val="22"/>
          <w:szCs w:val="22"/>
        </w:rPr>
      </w:pPr>
      <w:hyperlink w:anchor="_Toc349312841" w:history="1">
        <w:r w:rsidR="006B1D9D" w:rsidRPr="00A143A3">
          <w:rPr>
            <w:rStyle w:val="Hyperlink"/>
            <w:noProof/>
          </w:rPr>
          <w:t>III.</w:t>
        </w:r>
        <w:r w:rsidR="006B1D9D">
          <w:rPr>
            <w:rFonts w:asciiTheme="minorHAnsi" w:eastAsiaTheme="minorEastAsia" w:hAnsiTheme="minorHAnsi" w:cstheme="minorBidi"/>
            <w:noProof/>
            <w:sz w:val="22"/>
            <w:szCs w:val="22"/>
          </w:rPr>
          <w:tab/>
        </w:r>
        <w:r w:rsidR="006B1D9D" w:rsidRPr="00A143A3">
          <w:rPr>
            <w:rStyle w:val="Hyperlink"/>
            <w:noProof/>
          </w:rPr>
          <w:t>CONCLUSION</w:t>
        </w:r>
        <w:r w:rsidR="006B1D9D">
          <w:rPr>
            <w:noProof/>
            <w:webHidden/>
          </w:rPr>
          <w:tab/>
        </w:r>
        <w:r w:rsidR="006B1D9D">
          <w:rPr>
            <w:noProof/>
            <w:webHidden/>
          </w:rPr>
          <w:fldChar w:fldCharType="begin"/>
        </w:r>
        <w:r w:rsidR="006B1D9D">
          <w:rPr>
            <w:noProof/>
            <w:webHidden/>
          </w:rPr>
          <w:instrText xml:space="preserve"> PAGEREF _Toc349312841 \h </w:instrText>
        </w:r>
        <w:r w:rsidR="006B1D9D">
          <w:rPr>
            <w:noProof/>
            <w:webHidden/>
          </w:rPr>
        </w:r>
        <w:r w:rsidR="006B1D9D">
          <w:rPr>
            <w:noProof/>
            <w:webHidden/>
          </w:rPr>
          <w:fldChar w:fldCharType="separate"/>
        </w:r>
        <w:r>
          <w:rPr>
            <w:noProof/>
            <w:webHidden/>
          </w:rPr>
          <w:t>17</w:t>
        </w:r>
        <w:r w:rsidR="006B1D9D">
          <w:rPr>
            <w:noProof/>
            <w:webHidden/>
          </w:rPr>
          <w:fldChar w:fldCharType="end"/>
        </w:r>
      </w:hyperlink>
    </w:p>
    <w:p w:rsidR="000704BF" w:rsidRDefault="000704BF" w:rsidP="00FD7D3D">
      <w:pPr>
        <w:tabs>
          <w:tab w:val="left" w:pos="630"/>
        </w:tabs>
        <w:spacing w:after="240" w:line="240" w:lineRule="auto"/>
        <w:ind w:left="634" w:hanging="634"/>
        <w:jc w:val="center"/>
      </w:pPr>
      <w:r>
        <w:fldChar w:fldCharType="end"/>
      </w:r>
    </w:p>
    <w:p w:rsidR="00FD7D3D" w:rsidRDefault="00FD7D3D" w:rsidP="000704BF">
      <w:pPr>
        <w:sectPr w:rsidR="00FD7D3D" w:rsidSect="00FD7D3D">
          <w:footerReference w:type="default" r:id="rId11"/>
          <w:pgSz w:w="12240" w:h="15840"/>
          <w:pgMar w:top="1440" w:right="1440" w:bottom="1440" w:left="1440" w:header="720" w:footer="720" w:gutter="0"/>
          <w:pgNumType w:fmt="lowerRoman" w:start="1"/>
          <w:cols w:space="720"/>
          <w:docGrid w:linePitch="360"/>
        </w:sectPr>
      </w:pPr>
    </w:p>
    <w:p w:rsidR="00CD54E2" w:rsidRPr="002F09C6" w:rsidRDefault="00CD54E2" w:rsidP="00EE2EF5">
      <w:pPr>
        <w:pStyle w:val="Heading1"/>
      </w:pPr>
      <w:bookmarkStart w:id="1" w:name="_Toc349312833"/>
      <w:bookmarkStart w:id="2" w:name="_Toc349055634"/>
      <w:r w:rsidRPr="002F09C6">
        <w:lastRenderedPageBreak/>
        <w:t>INTRODUCTION AND PURPOSE OF TESTIMONY</w:t>
      </w:r>
      <w:bookmarkEnd w:id="1"/>
      <w:bookmarkEnd w:id="2"/>
    </w:p>
    <w:p w:rsidR="002F09C6" w:rsidRPr="002F09C6" w:rsidRDefault="002F09C6" w:rsidP="002F09C6"/>
    <w:p w:rsidR="00CD54E2" w:rsidRPr="00CD54E2" w:rsidRDefault="00CD54E2" w:rsidP="00C411A1">
      <w:pPr>
        <w:pStyle w:val="Heading3"/>
      </w:pPr>
      <w:r w:rsidRPr="00CD54E2">
        <w:t>Q.</w:t>
      </w:r>
      <w:r w:rsidRPr="00CD54E2">
        <w:tab/>
        <w:t>Please state your na</w:t>
      </w:r>
      <w:r>
        <w:t>me</w:t>
      </w:r>
      <w:r w:rsidR="00D71236">
        <w:t xml:space="preserve"> and</w:t>
      </w:r>
      <w:r>
        <w:t xml:space="preserve"> </w:t>
      </w:r>
      <w:r w:rsidRPr="00CD54E2">
        <w:t>business address.</w:t>
      </w:r>
    </w:p>
    <w:p w:rsidR="00CD54E2" w:rsidRDefault="00CD54E2" w:rsidP="00CD54E2">
      <w:r>
        <w:t>A.</w:t>
      </w:r>
      <w:r>
        <w:tab/>
        <w:t xml:space="preserve">My name is Deborah </w:t>
      </w:r>
      <w:r w:rsidR="00EC45FD">
        <w:t>J</w:t>
      </w:r>
      <w:r>
        <w:t xml:space="preserve">. Reynolds.  My business address is the Richard Hemstad Building, 1300 S. Evergreen Park Dr. </w:t>
      </w:r>
      <w:r w:rsidR="00D71236">
        <w:t>SW, Olympia, Washington 98504.</w:t>
      </w:r>
    </w:p>
    <w:p w:rsidR="00CD54E2" w:rsidRDefault="00CD54E2" w:rsidP="00CD54E2"/>
    <w:p w:rsidR="00225BAA" w:rsidRDefault="00225BAA" w:rsidP="00225BAA">
      <w:pPr>
        <w:pStyle w:val="Heading3"/>
      </w:pPr>
      <w:r>
        <w:t>Q.</w:t>
      </w:r>
      <w:r>
        <w:tab/>
        <w:t>By whom are you employed and in what capacity?</w:t>
      </w:r>
    </w:p>
    <w:p w:rsidR="00225BAA" w:rsidRDefault="00225BAA" w:rsidP="00225BAA">
      <w:r>
        <w:t>A.</w:t>
      </w:r>
      <w:r>
        <w:tab/>
        <w:t xml:space="preserve">I am employed by the Washington Utilities and Transportation Commission (“Commission”) as </w:t>
      </w:r>
      <w:r w:rsidR="00D71236">
        <w:t>the Assistant Director of Conservation and Energy Planning in</w:t>
      </w:r>
      <w:r>
        <w:t xml:space="preserve"> the Regulatory Services Division.  My employment at the Commission began in 1999.</w:t>
      </w:r>
    </w:p>
    <w:p w:rsidR="00225BAA" w:rsidRDefault="00225BAA" w:rsidP="00225BAA"/>
    <w:p w:rsidR="00225BAA" w:rsidRDefault="00225BAA" w:rsidP="00225BAA">
      <w:pPr>
        <w:pStyle w:val="Heading3"/>
      </w:pPr>
      <w:r>
        <w:t>Q.</w:t>
      </w:r>
      <w:r>
        <w:tab/>
        <w:t>Please describe your education and your professional qualifications</w:t>
      </w:r>
      <w:r w:rsidR="00C06F24">
        <w:t>.</w:t>
      </w:r>
    </w:p>
    <w:p w:rsidR="00225BAA" w:rsidRDefault="00225BAA" w:rsidP="00225BAA">
      <w:r>
        <w:t>A.</w:t>
      </w:r>
      <w:r>
        <w:tab/>
        <w:t>I have a Bachelor of Science degree in General Studies emphasizing ecology and statistics and a Master of Regional Planning degree, both from Washington State University.  I attended the National Association of Regulatory Utility Commissioners’ Annual Regulatory Studies Program in August 2004, the New Mexico State University’s rate case basics workshop in May 2008, Electric Utility Consultants, Inc.’s cost of service and rate design workshops in August 2008, the International Energy Program Evaluation Conference and training in August 2009, as well as a number of other utility related seminars, conferences, and training opportunities.</w:t>
      </w:r>
    </w:p>
    <w:p w:rsidR="00225BAA" w:rsidRDefault="00225BAA" w:rsidP="00225BAA">
      <w:r>
        <w:tab/>
      </w:r>
      <w:r>
        <w:tab/>
        <w:t xml:space="preserve">As </w:t>
      </w:r>
      <w:r w:rsidR="00513CE9">
        <w:t>the Assistant Director of Conservation and Energy Planning</w:t>
      </w:r>
      <w:r>
        <w:t xml:space="preserve">, I am responsible primarily for </w:t>
      </w:r>
      <w:r w:rsidR="00513CE9">
        <w:t xml:space="preserve">the oversight of </w:t>
      </w:r>
      <w:r w:rsidR="00D2160C">
        <w:t>Commission</w:t>
      </w:r>
      <w:r w:rsidR="00513CE9">
        <w:t xml:space="preserve"> </w:t>
      </w:r>
      <w:r w:rsidR="00D2160C">
        <w:t>Staff</w:t>
      </w:r>
      <w:r w:rsidR="00513CE9">
        <w:t xml:space="preserve"> members </w:t>
      </w:r>
      <w:r>
        <w:t xml:space="preserve">reviewing and evaluating conservation programs, </w:t>
      </w:r>
      <w:r w:rsidR="00513CE9">
        <w:t xml:space="preserve">participating in </w:t>
      </w:r>
      <w:r>
        <w:t>conservation</w:t>
      </w:r>
      <w:r w:rsidR="00513CE9">
        <w:t xml:space="preserve"> and</w:t>
      </w:r>
      <w:r>
        <w:t xml:space="preserve"> resource planning, </w:t>
      </w:r>
      <w:r w:rsidR="00513CE9">
        <w:t xml:space="preserve">and issues </w:t>
      </w:r>
      <w:r w:rsidR="00513CE9">
        <w:lastRenderedPageBreak/>
        <w:t xml:space="preserve">like </w:t>
      </w:r>
      <w:r>
        <w:t xml:space="preserve">decoupling, reliability, service quality, low-income issues, and other analyses in general rate case and tariff filings of electric and natural gas utilities regulated by the Commission.  I also provide technical assistance to companies on energy regulatory matters.  </w:t>
      </w:r>
    </w:p>
    <w:p w:rsidR="00225BAA" w:rsidRDefault="00225BAA" w:rsidP="00225BAA">
      <w:r>
        <w:tab/>
      </w:r>
      <w:r>
        <w:tab/>
        <w:t xml:space="preserve">I have participated in the development of Commission rules and examined utility reports for compliance with Commission regulations.  I have also presented Staff recommendations at numerous open public meetings.  </w:t>
      </w:r>
      <w:r w:rsidR="00513CE9">
        <w:t xml:space="preserve">I have filed Staff comments on conservation target filings in Dockets UE-100170/UE-100176/UE-100177.  </w:t>
      </w:r>
      <w:r>
        <w:t>I have filed testimony on decoupling in general rate case</w:t>
      </w:r>
      <w:r w:rsidR="00D71236">
        <w:t>s for Avista</w:t>
      </w:r>
      <w:r w:rsidR="00756F2C">
        <w:t xml:space="preserve"> Corporation (Avista)</w:t>
      </w:r>
      <w:r w:rsidR="00D71236">
        <w:t xml:space="preserve"> and Puget Sound Energy</w:t>
      </w:r>
      <w:r w:rsidR="00756F2C">
        <w:t>, Inc. (PSE)</w:t>
      </w:r>
      <w:r w:rsidR="00D71236">
        <w:t xml:space="preserve"> under</w:t>
      </w:r>
      <w:r w:rsidR="00513CE9">
        <w:t xml:space="preserve"> consolidated</w:t>
      </w:r>
      <w:r>
        <w:t xml:space="preserve"> Docket</w:t>
      </w:r>
      <w:r w:rsidR="00D71236">
        <w:t>s</w:t>
      </w:r>
      <w:r>
        <w:t xml:space="preserve"> UE-090134</w:t>
      </w:r>
      <w:r w:rsidR="00D71236">
        <w:t>/</w:t>
      </w:r>
      <w:r>
        <w:t>UE-090135</w:t>
      </w:r>
      <w:r w:rsidR="00D71236">
        <w:t>/</w:t>
      </w:r>
      <w:r>
        <w:t>UG-060518</w:t>
      </w:r>
      <w:r w:rsidR="00D71236">
        <w:t>,</w:t>
      </w:r>
      <w:r w:rsidR="00513CE9">
        <w:t xml:space="preserve"> consolidated Dockets</w:t>
      </w:r>
      <w:r w:rsidR="00756F2C">
        <w:t xml:space="preserve"> UE-110876/UG-110877/UE-120436/UG-120437</w:t>
      </w:r>
      <w:r>
        <w:t>,</w:t>
      </w:r>
      <w:r w:rsidR="00D71236">
        <w:t xml:space="preserve"> and</w:t>
      </w:r>
      <w:r w:rsidR="00513CE9">
        <w:t xml:space="preserve"> consolidated Dockets</w:t>
      </w:r>
      <w:r w:rsidR="00D71236">
        <w:t xml:space="preserve"> UE-111048/UG-111049.</w:t>
      </w:r>
      <w:r w:rsidR="00756F2C">
        <w:t xml:space="preserve">  </w:t>
      </w:r>
      <w:r w:rsidR="00513CE9">
        <w:t xml:space="preserve">I am responsible for the preparation of the response to the Commission’s bench request on decoupling in the most recent general rate cases for Avista and PSE. </w:t>
      </w:r>
      <w:r w:rsidR="00D71236">
        <w:t xml:space="preserve">I have filed testimony on low-income issues in </w:t>
      </w:r>
      <w:r w:rsidR="00513CE9">
        <w:t xml:space="preserve">the most recent </w:t>
      </w:r>
      <w:r w:rsidR="00D71236">
        <w:t>general rate case</w:t>
      </w:r>
      <w:r w:rsidR="00756F2C">
        <w:t>s</w:t>
      </w:r>
      <w:r w:rsidR="00513CE9">
        <w:t xml:space="preserve"> mentioned above</w:t>
      </w:r>
      <w:r w:rsidR="00756F2C">
        <w:t xml:space="preserve"> for Avista</w:t>
      </w:r>
      <w:r w:rsidR="00513CE9">
        <w:t xml:space="preserve"> and</w:t>
      </w:r>
      <w:r w:rsidR="00756F2C">
        <w:t xml:space="preserve"> PSE, and</w:t>
      </w:r>
      <w:r w:rsidR="00513CE9">
        <w:t xml:space="preserve"> for</w:t>
      </w:r>
      <w:r w:rsidR="00756F2C">
        <w:t xml:space="preserve"> Pacific Power and Light Company d/b/a PacifiCorp under</w:t>
      </w:r>
      <w:r w:rsidR="00513CE9">
        <w:t xml:space="preserve"> Docket</w:t>
      </w:r>
      <w:r w:rsidR="00D71236">
        <w:t xml:space="preserve"> </w:t>
      </w:r>
      <w:r w:rsidR="00756F2C">
        <w:t>UE-111190</w:t>
      </w:r>
      <w:r w:rsidR="00D71236">
        <w:t>.</w:t>
      </w:r>
      <w:r w:rsidR="00FD7D3D">
        <w:tab/>
      </w:r>
    </w:p>
    <w:p w:rsidR="00225BAA" w:rsidRDefault="00225BAA" w:rsidP="00225BAA"/>
    <w:p w:rsidR="00CD54E2" w:rsidRPr="008E585B" w:rsidRDefault="00CD54E2" w:rsidP="00CB7FAC">
      <w:pPr>
        <w:pStyle w:val="Heading3"/>
      </w:pPr>
      <w:r w:rsidRPr="008E585B">
        <w:t>Q.</w:t>
      </w:r>
      <w:r w:rsidRPr="008E585B">
        <w:tab/>
        <w:t>What is the purpose of your testimony in this proceeding?</w:t>
      </w:r>
    </w:p>
    <w:p w:rsidR="00CD54E2" w:rsidRPr="00D058C3" w:rsidRDefault="00CD54E2" w:rsidP="00CD54E2">
      <w:r>
        <w:t>A.</w:t>
      </w:r>
      <w:r>
        <w:tab/>
        <w:t xml:space="preserve">My testimony </w:t>
      </w:r>
      <w:r w:rsidR="00513CE9">
        <w:t xml:space="preserve">supports the revised </w:t>
      </w:r>
      <w:r w:rsidR="00AE5C80">
        <w:t xml:space="preserve">joint </w:t>
      </w:r>
      <w:r w:rsidR="00513CE9">
        <w:t>petition</w:t>
      </w:r>
      <w:r w:rsidR="0019670C">
        <w:t xml:space="preserve"> filed </w:t>
      </w:r>
      <w:r w:rsidR="00027E52">
        <w:t xml:space="preserve">March 1, 2013, </w:t>
      </w:r>
      <w:r w:rsidR="00AE5C80">
        <w:t>to implement</w:t>
      </w:r>
      <w:r w:rsidR="00196BBF">
        <w:t xml:space="preserve"> a rate plan, </w:t>
      </w:r>
      <w:r w:rsidR="00AE5C80">
        <w:t xml:space="preserve">electric and natural gas </w:t>
      </w:r>
      <w:r>
        <w:t xml:space="preserve">decoupling </w:t>
      </w:r>
      <w:r w:rsidR="00AE5C80">
        <w:t>mechanisms</w:t>
      </w:r>
      <w:r w:rsidR="00196BBF">
        <w:t>,</w:t>
      </w:r>
      <w:r w:rsidR="00AE5C80">
        <w:t xml:space="preserve"> and to record accounting entries associated with the mechanisms</w:t>
      </w:r>
      <w:r w:rsidR="008221D6">
        <w:t xml:space="preserve"> (revised petition)</w:t>
      </w:r>
      <w:r w:rsidR="00513CE9">
        <w:t>.</w:t>
      </w:r>
      <w:r w:rsidR="00027E52">
        <w:rPr>
          <w:rStyle w:val="FootnoteReference"/>
        </w:rPr>
        <w:footnoteReference w:id="2"/>
      </w:r>
      <w:r w:rsidR="00AE5C80">
        <w:t xml:space="preserve">  PSE and the NW Energy Coalition </w:t>
      </w:r>
      <w:r w:rsidR="00AE5C80">
        <w:lastRenderedPageBreak/>
        <w:t xml:space="preserve">(Coalition) originally filed a joint proposal on October 25, 2012.  As described in the testimony of Mr. Piliaris, Commission </w:t>
      </w:r>
      <w:r w:rsidR="00D2160C">
        <w:t>Staff</w:t>
      </w:r>
      <w:r w:rsidR="00AE5C80">
        <w:t xml:space="preserve"> members and the company discussed the proposals informally</w:t>
      </w:r>
      <w:r w:rsidR="0019670C">
        <w:t xml:space="preserve"> and found broad areas of agreement.</w:t>
      </w:r>
      <w:r w:rsidR="0019670C">
        <w:rPr>
          <w:rStyle w:val="FootnoteReference"/>
        </w:rPr>
        <w:footnoteReference w:id="3"/>
      </w:r>
      <w:r w:rsidR="0019670C">
        <w:t xml:space="preserve">  This agreement is enabled by the Commission’s final Order 08 in PSE’s most recent general rate case, which </w:t>
      </w:r>
      <w:r w:rsidR="002458E7">
        <w:t>provided guidance on</w:t>
      </w:r>
      <w:r w:rsidR="0019670C">
        <w:t xml:space="preserve"> the approach to consideration of the </w:t>
      </w:r>
      <w:r w:rsidR="002458E7">
        <w:t>Commission’s D</w:t>
      </w:r>
      <w:r w:rsidR="0050325B">
        <w:t xml:space="preserve">ecoupling </w:t>
      </w:r>
      <w:r w:rsidR="002458E7">
        <w:t>P</w:t>
      </w:r>
      <w:r w:rsidR="0019670C">
        <w:t xml:space="preserve">olicy </w:t>
      </w:r>
      <w:r w:rsidR="002458E7">
        <w:t>S</w:t>
      </w:r>
      <w:r w:rsidR="0019670C">
        <w:t>tatement</w:t>
      </w:r>
      <w:r w:rsidR="00AE5C80">
        <w:t>.</w:t>
      </w:r>
      <w:r w:rsidR="00F528B4">
        <w:rPr>
          <w:rStyle w:val="FootnoteReference"/>
        </w:rPr>
        <w:footnoteReference w:id="4"/>
      </w:r>
      <w:r w:rsidR="0050325B" w:rsidRPr="0050325B">
        <w:rPr>
          <w:vertAlign w:val="superscript"/>
        </w:rPr>
        <w:t>,</w:t>
      </w:r>
      <w:r w:rsidR="0050325B">
        <w:rPr>
          <w:rStyle w:val="FootnoteReference"/>
        </w:rPr>
        <w:t xml:space="preserve"> </w:t>
      </w:r>
      <w:r w:rsidR="0050325B">
        <w:rPr>
          <w:rStyle w:val="FootnoteReference"/>
        </w:rPr>
        <w:footnoteReference w:id="5"/>
      </w:r>
      <w:r w:rsidR="00D058C3">
        <w:rPr>
          <w:rStyle w:val="FootnoteReference"/>
        </w:rPr>
        <w:t xml:space="preserve">  </w:t>
      </w:r>
      <w:r w:rsidR="00D058C3">
        <w:rPr>
          <w:rStyle w:val="FootnoteReference"/>
          <w:vertAlign w:val="baseline"/>
        </w:rPr>
        <w:t>This testimony responds to the Commission’s guidance, and reconciles it with my previous testimony on decoupling.</w:t>
      </w:r>
      <w:r w:rsidR="00F3577F">
        <w:rPr>
          <w:rStyle w:val="FootnoteReference"/>
        </w:rPr>
        <w:footnoteReference w:id="6"/>
      </w:r>
    </w:p>
    <w:p w:rsidR="008E585B" w:rsidRDefault="008E585B" w:rsidP="00CD54E2"/>
    <w:p w:rsidR="008E585B" w:rsidRPr="008E585B" w:rsidRDefault="008E585B" w:rsidP="00CB7FAC">
      <w:pPr>
        <w:pStyle w:val="Heading3"/>
      </w:pPr>
      <w:r w:rsidRPr="008E585B">
        <w:t>Q.</w:t>
      </w:r>
      <w:r w:rsidRPr="008E585B">
        <w:tab/>
        <w:t xml:space="preserve">Please </w:t>
      </w:r>
      <w:r w:rsidR="00551BF6">
        <w:t>reconcile</w:t>
      </w:r>
      <w:r w:rsidRPr="008E585B">
        <w:t xml:space="preserve"> </w:t>
      </w:r>
      <w:r w:rsidR="002F09C6">
        <w:t>Staff’s</w:t>
      </w:r>
      <w:r w:rsidRPr="008E585B">
        <w:t xml:space="preserve"> </w:t>
      </w:r>
      <w:r w:rsidR="00551BF6">
        <w:t xml:space="preserve">support of the revised </w:t>
      </w:r>
      <w:r w:rsidR="008221D6">
        <w:t xml:space="preserve">petition </w:t>
      </w:r>
      <w:r w:rsidR="00551BF6">
        <w:t>with its testimony</w:t>
      </w:r>
      <w:r w:rsidR="00187C1A">
        <w:t xml:space="preserve"> about attrition</w:t>
      </w:r>
      <w:r w:rsidR="00551BF6">
        <w:t xml:space="preserve"> in the previous general rate case in response</w:t>
      </w:r>
      <w:r w:rsidRPr="008E585B">
        <w:t xml:space="preserve"> to </w:t>
      </w:r>
      <w:r w:rsidR="0091684B">
        <w:t xml:space="preserve">the Coalition’s </w:t>
      </w:r>
      <w:r w:rsidR="00324C26">
        <w:t xml:space="preserve">previous </w:t>
      </w:r>
      <w:r w:rsidRPr="008E585B">
        <w:t>decoupling proposal.</w:t>
      </w:r>
    </w:p>
    <w:p w:rsidR="00D2160C" w:rsidRDefault="008E585B" w:rsidP="00CD54E2">
      <w:r>
        <w:t xml:space="preserve">A. </w:t>
      </w:r>
      <w:r>
        <w:tab/>
      </w:r>
      <w:r w:rsidR="0091684B">
        <w:t xml:space="preserve">In its previous general rate case, </w:t>
      </w:r>
      <w:r w:rsidR="002F09C6">
        <w:t>PSE allege</w:t>
      </w:r>
      <w:r w:rsidR="0091684B">
        <w:t>d</w:t>
      </w:r>
      <w:r w:rsidR="002F09C6">
        <w:t xml:space="preserve"> that it </w:t>
      </w:r>
      <w:r w:rsidR="0091684B">
        <w:t>wa</w:t>
      </w:r>
      <w:r w:rsidR="002F09C6">
        <w:t xml:space="preserve">s experiencing attrition </w:t>
      </w:r>
      <w:r w:rsidR="0091684B">
        <w:t>due to growth in expenses that we</w:t>
      </w:r>
      <w:r w:rsidR="00D2160C">
        <w:t>re out</w:t>
      </w:r>
      <w:r w:rsidR="002F09C6">
        <w:t xml:space="preserve">pacing growth in revenue.  A </w:t>
      </w:r>
      <w:r w:rsidR="0091684B">
        <w:t xml:space="preserve">basic full </w:t>
      </w:r>
      <w:r w:rsidR="002F09C6">
        <w:t xml:space="preserve">decoupling mechanism </w:t>
      </w:r>
      <w:r w:rsidR="0091684B">
        <w:t>would</w:t>
      </w:r>
      <w:r w:rsidR="002F09C6">
        <w:t xml:space="preserve"> not address that phenomenon.</w:t>
      </w:r>
      <w:r w:rsidR="002F09C6">
        <w:rPr>
          <w:rStyle w:val="FootnoteReference"/>
        </w:rPr>
        <w:footnoteReference w:id="7"/>
      </w:r>
      <w:r w:rsidR="002F09C6">
        <w:t xml:space="preserve">  Staff recommend</w:t>
      </w:r>
      <w:r w:rsidR="0091684B">
        <w:t>ed</w:t>
      </w:r>
      <w:r w:rsidR="002F09C6">
        <w:t xml:space="preserve"> </w:t>
      </w:r>
      <w:r w:rsidR="00783A39">
        <w:t xml:space="preserve">the company file </w:t>
      </w:r>
      <w:r w:rsidR="002F09C6">
        <w:t xml:space="preserve">an attrition </w:t>
      </w:r>
      <w:r w:rsidR="00783A39">
        <w:t>study</w:t>
      </w:r>
      <w:r w:rsidR="002F09C6">
        <w:t xml:space="preserve"> as the best way to deal with this issue.</w:t>
      </w:r>
      <w:r w:rsidR="002F09C6">
        <w:rPr>
          <w:rStyle w:val="FootnoteReference"/>
        </w:rPr>
        <w:footnoteReference w:id="8"/>
      </w:r>
      <w:r w:rsidR="002F09C6">
        <w:t xml:space="preserve">  </w:t>
      </w:r>
      <w:r w:rsidR="00783A39">
        <w:t>The Commission made no attrition adjustment since there was no attrition study in the record.</w:t>
      </w:r>
      <w:r w:rsidR="00783A39">
        <w:rPr>
          <w:rStyle w:val="FootnoteReference"/>
        </w:rPr>
        <w:footnoteReference w:id="9"/>
      </w:r>
      <w:r w:rsidR="00783A39">
        <w:t xml:space="preserve">  </w:t>
      </w:r>
      <w:r w:rsidR="0091684B">
        <w:t>However, the Commission’s final order</w:t>
      </w:r>
      <w:r w:rsidR="002A516F">
        <w:t xml:space="preserve"> 08 “emphasize</w:t>
      </w:r>
      <w:r w:rsidR="00854D9F">
        <w:t>[</w:t>
      </w:r>
      <w:r w:rsidR="00783A39">
        <w:t>d</w:t>
      </w:r>
      <w:r w:rsidR="00854D9F">
        <w:t>]</w:t>
      </w:r>
      <w:r w:rsidR="002A516F">
        <w:t xml:space="preserve"> that the Commission remains open to, and will consider fairly, specific proposals supported by adequate evidence showing them to </w:t>
      </w:r>
      <w:r w:rsidR="002A516F">
        <w:lastRenderedPageBreak/>
        <w:t>be an appropriate response to PSE’s economic and financial circumstances including, if demonstrated, under earnings due to attrition.”</w:t>
      </w:r>
      <w:r w:rsidR="002A516F">
        <w:rPr>
          <w:rStyle w:val="FootnoteReference"/>
        </w:rPr>
        <w:footnoteReference w:id="10"/>
      </w:r>
      <w:r w:rsidR="002A516F">
        <w:t xml:space="preserve"> </w:t>
      </w:r>
      <w:r w:rsidR="0091684B">
        <w:t xml:space="preserve"> </w:t>
      </w:r>
    </w:p>
    <w:p w:rsidR="002A516F" w:rsidRDefault="00D2160C" w:rsidP="00CD54E2">
      <w:r>
        <w:tab/>
      </w:r>
      <w:r>
        <w:tab/>
      </w:r>
      <w:r w:rsidR="002A516F">
        <w:t xml:space="preserve">The revised </w:t>
      </w:r>
      <w:r w:rsidR="00324C26">
        <w:t xml:space="preserve">petition </w:t>
      </w:r>
      <w:r w:rsidR="002A516F">
        <w:t xml:space="preserve">contains </w:t>
      </w:r>
      <w:r w:rsidR="00196BBF">
        <w:t>a rate plan</w:t>
      </w:r>
      <w:r w:rsidR="002A516F">
        <w:t xml:space="preserve"> in the form of a K-Factor</w:t>
      </w:r>
      <w:r>
        <w:t xml:space="preserve">, </w:t>
      </w:r>
      <w:r w:rsidR="00E8185A">
        <w:t xml:space="preserve">implemented as </w:t>
      </w:r>
      <w:r>
        <w:t>a fixed-percentage increase</w:t>
      </w:r>
      <w:r w:rsidR="00457394">
        <w:t xml:space="preserve"> applied only to non-power costs, which are about </w:t>
      </w:r>
      <w:r w:rsidR="001C1BDC">
        <w:t>one-third</w:t>
      </w:r>
      <w:r w:rsidR="00457394">
        <w:t xml:space="preserve"> of the company’s </w:t>
      </w:r>
      <w:r w:rsidR="00E8185A">
        <w:t xml:space="preserve">total </w:t>
      </w:r>
      <w:r w:rsidR="00457394">
        <w:t>costs</w:t>
      </w:r>
      <w:r w:rsidR="002A516F">
        <w:t>.</w:t>
      </w:r>
      <w:r>
        <w:t xml:space="preserve">  </w:t>
      </w:r>
      <w:r w:rsidR="002A516F">
        <w:t xml:space="preserve">The evidence supporting the K-Factor is found in Ms. Barnard’s testimony.  Staff is comfortable with </w:t>
      </w:r>
      <w:r w:rsidR="00854D9F">
        <w:t>the</w:t>
      </w:r>
      <w:r w:rsidR="002A516F">
        <w:t xml:space="preserve"> K-Factor </w:t>
      </w:r>
      <w:r w:rsidR="00854D9F">
        <w:t xml:space="preserve">because it </w:t>
      </w:r>
      <w:r w:rsidR="00457394">
        <w:t xml:space="preserve">is limited to non-power costs, </w:t>
      </w:r>
      <w:r w:rsidR="00DE6604">
        <w:t xml:space="preserve">addresses attrition, and </w:t>
      </w:r>
      <w:r w:rsidR="002A516F">
        <w:t xml:space="preserve">is completely reset in the next general rate case, which must be filed </w:t>
      </w:r>
      <w:r w:rsidR="002458E7">
        <w:t xml:space="preserve">no </w:t>
      </w:r>
      <w:r w:rsidR="008C4406">
        <w:t>sooner than April 1, 2015</w:t>
      </w:r>
      <w:r>
        <w:t>,</w:t>
      </w:r>
      <w:r w:rsidR="009958A9">
        <w:t xml:space="preserve"> and no </w:t>
      </w:r>
      <w:r w:rsidR="002458E7">
        <w:t>later than April 1, 2016</w:t>
      </w:r>
      <w:r w:rsidR="002A516F">
        <w:t>.  This means it will be in place for a limited period of time, thus limiting its possible impacts.</w:t>
      </w:r>
      <w:r w:rsidR="00E8428A">
        <w:t xml:space="preserve">  The three percent soft cap on rate increases compared to total revenue</w:t>
      </w:r>
      <w:r w:rsidR="00E8428A" w:rsidRPr="00E8428A">
        <w:t xml:space="preserve"> </w:t>
      </w:r>
      <w:r w:rsidR="00E8428A">
        <w:t>under the revised petition, which addresses both increases due to the underlying decoupling mechanisms and those increases due to the operation of the K-Factor, provides additional rate payer protection</w:t>
      </w:r>
      <w:r w:rsidR="00457394">
        <w:t>, ensuring that rate increases will be relatively small</w:t>
      </w:r>
      <w:r w:rsidR="00E8428A">
        <w:t>.</w:t>
      </w:r>
    </w:p>
    <w:p w:rsidR="002A516F" w:rsidRDefault="002A516F" w:rsidP="00CD54E2"/>
    <w:p w:rsidR="00187C1A" w:rsidRPr="008E585B" w:rsidRDefault="00187C1A" w:rsidP="00187C1A">
      <w:pPr>
        <w:pStyle w:val="Heading3"/>
      </w:pPr>
      <w:r w:rsidRPr="008E585B">
        <w:t>Q.</w:t>
      </w:r>
      <w:r w:rsidRPr="008E585B">
        <w:tab/>
        <w:t xml:space="preserve">Please </w:t>
      </w:r>
      <w:r>
        <w:t>reconcile</w:t>
      </w:r>
      <w:r w:rsidRPr="008E585B">
        <w:t xml:space="preserve"> </w:t>
      </w:r>
      <w:r>
        <w:t>Staff’s</w:t>
      </w:r>
      <w:r w:rsidRPr="008E585B">
        <w:t xml:space="preserve"> </w:t>
      </w:r>
      <w:r>
        <w:t xml:space="preserve">support of the revised </w:t>
      </w:r>
      <w:r w:rsidR="00DE6604">
        <w:t xml:space="preserve">petition </w:t>
      </w:r>
      <w:r>
        <w:t xml:space="preserve">with its testimony </w:t>
      </w:r>
      <w:r w:rsidR="0009032E">
        <w:t xml:space="preserve">from the previous general rate case </w:t>
      </w:r>
      <w:r>
        <w:t xml:space="preserve">about </w:t>
      </w:r>
      <w:r w:rsidR="0009032E">
        <w:t xml:space="preserve">the Coalition’s </w:t>
      </w:r>
      <w:r w:rsidR="0009032E" w:rsidRPr="008E585B">
        <w:t>decoupling proposal</w:t>
      </w:r>
      <w:r w:rsidR="0009032E">
        <w:t xml:space="preserve"> and its inconsistency with </w:t>
      </w:r>
      <w:r>
        <w:t>the Decoupling Policy Statement</w:t>
      </w:r>
      <w:r w:rsidRPr="008E585B">
        <w:t>.</w:t>
      </w:r>
    </w:p>
    <w:p w:rsidR="008E585B" w:rsidRDefault="00187C1A" w:rsidP="00CD54E2">
      <w:r>
        <w:t>A.</w:t>
      </w:r>
      <w:r>
        <w:tab/>
        <w:t xml:space="preserve">Staff </w:t>
      </w:r>
      <w:r w:rsidR="002458E7">
        <w:t xml:space="preserve">previously </w:t>
      </w:r>
      <w:r>
        <w:t>testified that the</w:t>
      </w:r>
      <w:r w:rsidR="008E585B">
        <w:t xml:space="preserve"> Commission should reject </w:t>
      </w:r>
      <w:r>
        <w:t>the Coalition’s</w:t>
      </w:r>
      <w:r w:rsidR="008E585B">
        <w:t xml:space="preserve"> decoupling proposal</w:t>
      </w:r>
      <w:r w:rsidR="0076172D">
        <w:t xml:space="preserve"> because it </w:t>
      </w:r>
      <w:r>
        <w:t>did</w:t>
      </w:r>
      <w:r w:rsidR="00446C14">
        <w:t xml:space="preserve"> not comply with the Commission’s </w:t>
      </w:r>
      <w:r w:rsidR="008308F1">
        <w:t xml:space="preserve">Decoupling </w:t>
      </w:r>
      <w:r w:rsidR="00446C14">
        <w:t>Policy Statement.</w:t>
      </w:r>
      <w:r w:rsidR="008308F1" w:rsidRPr="008308F1">
        <w:t xml:space="preserve"> </w:t>
      </w:r>
      <w:r w:rsidR="008308F1">
        <w:t xml:space="preserve"> </w:t>
      </w:r>
      <w:r w:rsidR="00DE6604">
        <w:t xml:space="preserve">However, in </w:t>
      </w:r>
      <w:r w:rsidR="002458E7">
        <w:t xml:space="preserve">Order 08, the Commission said the Coalition’s proposal in the previous rate case was “consistent in intent and general design” with the Commission’s Decoupling </w:t>
      </w:r>
      <w:r w:rsidR="002458E7">
        <w:lastRenderedPageBreak/>
        <w:t>Policy Statement.</w:t>
      </w:r>
      <w:r w:rsidR="002458E7">
        <w:rPr>
          <w:rStyle w:val="FootnoteReference"/>
        </w:rPr>
        <w:footnoteReference w:id="11"/>
      </w:r>
      <w:r w:rsidR="002458E7">
        <w:t xml:space="preserve">  In light of this comment, Staff found it necessary to reevaluate its </w:t>
      </w:r>
      <w:r w:rsidR="00126D51">
        <w:t xml:space="preserve">previous </w:t>
      </w:r>
      <w:r w:rsidR="002458E7">
        <w:t xml:space="preserve">testimony.  Staff addresses each of the points raised in its previous testimony below.  </w:t>
      </w:r>
      <w:r w:rsidR="00107D73">
        <w:t>Staff concludes that the</w:t>
      </w:r>
      <w:r w:rsidR="002458E7">
        <w:t xml:space="preserve"> </w:t>
      </w:r>
      <w:r w:rsidR="00DE6604">
        <w:t xml:space="preserve">revised petition </w:t>
      </w:r>
      <w:r w:rsidR="007F3527">
        <w:t>is consistent</w:t>
      </w:r>
      <w:r w:rsidR="00DE6604">
        <w:t xml:space="preserve"> with the Decoupling Policy Statement</w:t>
      </w:r>
      <w:r w:rsidR="007F3527">
        <w:t xml:space="preserve"> in</w:t>
      </w:r>
      <w:r w:rsidR="002458E7">
        <w:t xml:space="preserve"> intent and </w:t>
      </w:r>
      <w:r w:rsidR="007F3527">
        <w:t>general design, and should be accepted.</w:t>
      </w:r>
    </w:p>
    <w:p w:rsidR="00CD54E2" w:rsidRPr="00CD54E2" w:rsidRDefault="00CD54E2" w:rsidP="008D6153">
      <w:pPr>
        <w:pStyle w:val="FootnoteText"/>
        <w:spacing w:line="480" w:lineRule="auto"/>
      </w:pPr>
    </w:p>
    <w:p w:rsidR="00617FB7" w:rsidRPr="002F09C6" w:rsidRDefault="00F528B4" w:rsidP="008D6153">
      <w:pPr>
        <w:pStyle w:val="Heading1"/>
      </w:pPr>
      <w:bookmarkStart w:id="3" w:name="_Toc349312834"/>
      <w:bookmarkStart w:id="4" w:name="_Toc349055635"/>
      <w:r w:rsidRPr="00EE2EF5">
        <w:t>THE</w:t>
      </w:r>
      <w:r>
        <w:t xml:space="preserve"> REVISED</w:t>
      </w:r>
      <w:r w:rsidR="0019670C">
        <w:t xml:space="preserve"> </w:t>
      </w:r>
      <w:r w:rsidR="008221D6">
        <w:t xml:space="preserve">PETITION’S </w:t>
      </w:r>
      <w:r w:rsidR="00617FB7" w:rsidRPr="002F09C6">
        <w:t>DECOUPLING PROPOSAL</w:t>
      </w:r>
      <w:r w:rsidR="008221D6">
        <w:t>S</w:t>
      </w:r>
      <w:bookmarkEnd w:id="3"/>
      <w:bookmarkEnd w:id="4"/>
    </w:p>
    <w:p w:rsidR="009E549A" w:rsidRPr="001206C9" w:rsidRDefault="009E549A" w:rsidP="008D6153"/>
    <w:p w:rsidR="009E549A" w:rsidRDefault="00617FB7" w:rsidP="001206C9">
      <w:pPr>
        <w:pStyle w:val="Heading3"/>
      </w:pPr>
      <w:r>
        <w:t>Q.</w:t>
      </w:r>
      <w:r>
        <w:tab/>
        <w:t xml:space="preserve">Please generally describe </w:t>
      </w:r>
      <w:r w:rsidR="0019670C">
        <w:t>the revised</w:t>
      </w:r>
      <w:r>
        <w:t xml:space="preserve"> </w:t>
      </w:r>
      <w:r w:rsidR="008221D6">
        <w:t xml:space="preserve">petition’s </w:t>
      </w:r>
      <w:r>
        <w:t>decoupling proposal</w:t>
      </w:r>
      <w:r w:rsidR="008221D6">
        <w:t>s</w:t>
      </w:r>
      <w:r>
        <w:t xml:space="preserve">.  </w:t>
      </w:r>
    </w:p>
    <w:p w:rsidR="0076172D" w:rsidRDefault="00617FB7" w:rsidP="00617FB7">
      <w:r>
        <w:t>A.</w:t>
      </w:r>
      <w:r>
        <w:tab/>
      </w:r>
      <w:r w:rsidR="0019670C">
        <w:t xml:space="preserve">The </w:t>
      </w:r>
      <w:r w:rsidR="00324C26">
        <w:t xml:space="preserve">revised petition </w:t>
      </w:r>
      <w:r w:rsidR="001E2290">
        <w:t>proposes</w:t>
      </w:r>
      <w:r>
        <w:t xml:space="preserve"> full </w:t>
      </w:r>
      <w:r w:rsidR="008221D6">
        <w:t xml:space="preserve">electric and natural gas </w:t>
      </w:r>
      <w:r>
        <w:t>decoupling mechanism</w:t>
      </w:r>
      <w:r w:rsidR="008221D6">
        <w:t>s</w:t>
      </w:r>
      <w:r>
        <w:t xml:space="preserve"> for PSE.  </w:t>
      </w:r>
      <w:r w:rsidR="00446C14">
        <w:t>PSE’s revenues would be based upon a revenue</w:t>
      </w:r>
      <w:r w:rsidR="00213C95">
        <w:t>-</w:t>
      </w:r>
      <w:r w:rsidR="00446C14">
        <w:t>per</w:t>
      </w:r>
      <w:r w:rsidR="00213C95">
        <w:t>-</w:t>
      </w:r>
      <w:r w:rsidR="00446C14">
        <w:t xml:space="preserve">customer (“RPC”) </w:t>
      </w:r>
      <w:r w:rsidR="0076172D">
        <w:t xml:space="preserve">value </w:t>
      </w:r>
      <w:r w:rsidR="00446C14">
        <w:t xml:space="preserve">for </w:t>
      </w:r>
      <w:r>
        <w:t xml:space="preserve">residential customers and </w:t>
      </w:r>
      <w:r w:rsidR="00F83AD8">
        <w:t>a combined</w:t>
      </w:r>
      <w:r>
        <w:t xml:space="preserve"> group of </w:t>
      </w:r>
      <w:r w:rsidR="00F83AD8">
        <w:t xml:space="preserve">commercial </w:t>
      </w:r>
      <w:r>
        <w:t>customers</w:t>
      </w:r>
      <w:r w:rsidR="0076172D">
        <w:t>.</w:t>
      </w:r>
      <w:r w:rsidR="00446C14">
        <w:rPr>
          <w:rStyle w:val="FootnoteReference"/>
        </w:rPr>
        <w:footnoteReference w:id="12"/>
      </w:r>
      <w:r w:rsidR="00446C14">
        <w:t xml:space="preserve">  Each group </w:t>
      </w:r>
      <w:r>
        <w:t xml:space="preserve">would have separate </w:t>
      </w:r>
      <w:r w:rsidR="002366EF">
        <w:t>RPC</w:t>
      </w:r>
      <w:r>
        <w:t xml:space="preserve"> </w:t>
      </w:r>
      <w:r w:rsidR="0076172D">
        <w:t>amounts</w:t>
      </w:r>
      <w:r w:rsidR="00D03083">
        <w:t xml:space="preserve"> based on delivery revenues only.</w:t>
      </w:r>
    </w:p>
    <w:p w:rsidR="0076172D" w:rsidRDefault="0076172D" w:rsidP="00617FB7">
      <w:r>
        <w:tab/>
      </w:r>
      <w:r>
        <w:tab/>
        <w:t xml:space="preserve">The </w:t>
      </w:r>
      <w:r w:rsidR="00CD65BB">
        <w:t xml:space="preserve">revised petition </w:t>
      </w:r>
      <w:r>
        <w:t>guarantee</w:t>
      </w:r>
      <w:r w:rsidR="00D03083">
        <w:t>s</w:t>
      </w:r>
      <w:r>
        <w:t xml:space="preserve"> </w:t>
      </w:r>
      <w:r w:rsidR="00E8185A">
        <w:t xml:space="preserve">that </w:t>
      </w:r>
      <w:r w:rsidR="00617FB7">
        <w:t xml:space="preserve">PSE </w:t>
      </w:r>
      <w:r w:rsidR="00D03083">
        <w:t xml:space="preserve">will </w:t>
      </w:r>
      <w:r w:rsidR="00617FB7">
        <w:t xml:space="preserve">recover </w:t>
      </w:r>
      <w:r w:rsidR="00D03083">
        <w:t xml:space="preserve">the </w:t>
      </w:r>
      <w:r w:rsidR="00EC1433">
        <w:t xml:space="preserve">allowed </w:t>
      </w:r>
      <w:r w:rsidR="00D03083">
        <w:t xml:space="preserve">revenues </w:t>
      </w:r>
      <w:r w:rsidR="00EC1433">
        <w:t xml:space="preserve">(as </w:t>
      </w:r>
      <w:r w:rsidR="00D03083">
        <w:t>generated by multiplying the</w:t>
      </w:r>
      <w:r w:rsidR="00617FB7">
        <w:t xml:space="preserve"> </w:t>
      </w:r>
      <w:r w:rsidR="004161DE">
        <w:t xml:space="preserve">RPC </w:t>
      </w:r>
      <w:r w:rsidR="00EC1433">
        <w:t>by the</w:t>
      </w:r>
      <w:r w:rsidR="00D03083">
        <w:t xml:space="preserve"> actual customers</w:t>
      </w:r>
      <w:r w:rsidR="00EC1433">
        <w:t>)</w:t>
      </w:r>
      <w:r w:rsidR="00D03083">
        <w:t xml:space="preserve"> </w:t>
      </w:r>
      <w:r w:rsidR="00EC1433">
        <w:t xml:space="preserve">in a given calendar year.  Sales of kilowatt-hours </w:t>
      </w:r>
      <w:r w:rsidR="008221D6">
        <w:t>or therms</w:t>
      </w:r>
      <w:r w:rsidR="00EC1433">
        <w:t xml:space="preserve"> at the volumetric rates will occur as usual.  The difference between the</w:t>
      </w:r>
      <w:r w:rsidR="00126D51">
        <w:t xml:space="preserve"> allowed</w:t>
      </w:r>
      <w:r w:rsidR="00EC1433">
        <w:t xml:space="preserve"> RPC revenues and the cash </w:t>
      </w:r>
      <w:r w:rsidR="00126D51">
        <w:t>collected through</w:t>
      </w:r>
      <w:r w:rsidR="00EC1433">
        <w:t xml:space="preserve"> sales is</w:t>
      </w:r>
      <w:r>
        <w:t xml:space="preserve"> deferred </w:t>
      </w:r>
      <w:r w:rsidR="00EC1433">
        <w:t>for refunds or collections in the succeeding year.</w:t>
      </w:r>
      <w:r w:rsidR="00617FB7">
        <w:t xml:space="preserve">  The true-ups</w:t>
      </w:r>
      <w:r>
        <w:t xml:space="preserve"> of actual</w:t>
      </w:r>
      <w:r w:rsidR="00EC1433">
        <w:t xml:space="preserve"> sales</w:t>
      </w:r>
      <w:r>
        <w:t xml:space="preserve"> revenue to the </w:t>
      </w:r>
      <w:r w:rsidR="00EC1433">
        <w:t xml:space="preserve">allowed </w:t>
      </w:r>
      <w:r w:rsidR="002F09C6">
        <w:t xml:space="preserve">RPC </w:t>
      </w:r>
      <w:r>
        <w:t>level would occur annually</w:t>
      </w:r>
      <w:r w:rsidR="00617FB7">
        <w:t xml:space="preserve">, subject to a three percent rate increase </w:t>
      </w:r>
      <w:r w:rsidR="0009032E">
        <w:t xml:space="preserve">soft </w:t>
      </w:r>
      <w:r w:rsidR="00617FB7">
        <w:t>cap</w:t>
      </w:r>
      <w:r w:rsidR="007F3527">
        <w:t xml:space="preserve"> and an earnings test</w:t>
      </w:r>
      <w:r w:rsidR="00617FB7">
        <w:t xml:space="preserve">.  </w:t>
      </w:r>
      <w:r w:rsidR="004D4224">
        <w:t>The</w:t>
      </w:r>
      <w:r w:rsidR="00B50FCE">
        <w:t xml:space="preserve"> three percent</w:t>
      </w:r>
      <w:r w:rsidR="004D4224">
        <w:t xml:space="preserve"> soft cap means that each year, the deferred balance for each rate group must be compared to</w:t>
      </w:r>
      <w:r w:rsidR="00B50FCE">
        <w:t xml:space="preserve"> </w:t>
      </w:r>
      <w:r w:rsidR="004D4224">
        <w:t xml:space="preserve">the </w:t>
      </w:r>
      <w:r w:rsidR="00B50FCE">
        <w:t xml:space="preserve">total </w:t>
      </w:r>
      <w:r w:rsidR="00CD65BB">
        <w:t>revenue</w:t>
      </w:r>
      <w:r w:rsidR="004D4224">
        <w:t xml:space="preserve"> of the rate group, and any amount over three percent must be carried forward for</w:t>
      </w:r>
      <w:r w:rsidR="00617FB7">
        <w:t xml:space="preserve"> recover</w:t>
      </w:r>
      <w:r w:rsidR="004D4224">
        <w:t>y</w:t>
      </w:r>
      <w:r w:rsidR="00617FB7">
        <w:t xml:space="preserve"> in later </w:t>
      </w:r>
      <w:r w:rsidR="004D4224">
        <w:lastRenderedPageBreak/>
        <w:t>years</w:t>
      </w:r>
      <w:r w:rsidR="00617FB7">
        <w:t xml:space="preserve">.  </w:t>
      </w:r>
      <w:r w:rsidR="00B50FCE">
        <w:t>The earnings test adds 25 basis points to the allowed rate of return, and returns half of any over-earnings above that rate of return to customers</w:t>
      </w:r>
      <w:r w:rsidR="00750051">
        <w:t xml:space="preserve"> each year</w:t>
      </w:r>
      <w:r w:rsidR="00B50FCE">
        <w:t xml:space="preserve">. </w:t>
      </w:r>
    </w:p>
    <w:p w:rsidR="00617FB7" w:rsidRDefault="0076172D" w:rsidP="00617FB7">
      <w:r>
        <w:tab/>
      </w:r>
      <w:r>
        <w:tab/>
      </w:r>
      <w:r w:rsidR="0019670C">
        <w:t xml:space="preserve">The </w:t>
      </w:r>
      <w:r w:rsidR="001E2290">
        <w:t xml:space="preserve">revised petition </w:t>
      </w:r>
      <w:r w:rsidR="00446C14">
        <w:t>propose</w:t>
      </w:r>
      <w:r w:rsidR="001E2290">
        <w:t>s</w:t>
      </w:r>
      <w:r w:rsidR="00446C14">
        <w:t xml:space="preserve"> that the</w:t>
      </w:r>
      <w:r w:rsidR="00617FB7">
        <w:t xml:space="preserve"> mechanism</w:t>
      </w:r>
      <w:r w:rsidR="00CD65BB">
        <w:t>s</w:t>
      </w:r>
      <w:r w:rsidR="00617FB7">
        <w:t xml:space="preserve"> </w:t>
      </w:r>
      <w:r w:rsidR="00446C14">
        <w:t xml:space="preserve">run </w:t>
      </w:r>
      <w:r w:rsidR="006C43F4">
        <w:t xml:space="preserve">until the conclusion of the next general rate case, which must be filed no </w:t>
      </w:r>
      <w:r w:rsidR="008C4406">
        <w:t xml:space="preserve">sooner than April 1, 2015 and no </w:t>
      </w:r>
      <w:r w:rsidR="006C43F4">
        <w:t>later than April 1, 2016.  The filing will include an</w:t>
      </w:r>
      <w:r w:rsidR="00446C14">
        <w:t xml:space="preserve"> evaluation </w:t>
      </w:r>
      <w:r w:rsidR="00617FB7">
        <w:t xml:space="preserve">by an independent contractor.  </w:t>
      </w:r>
      <w:r w:rsidR="008C3E2A">
        <w:t xml:space="preserve">Finally, the </w:t>
      </w:r>
      <w:r w:rsidR="00CD65BB">
        <w:t>revised petition</w:t>
      </w:r>
      <w:r w:rsidR="004D4224">
        <w:t xml:space="preserve"> proposes a five percent increase in electric conservation achievement, participation in a gas market transformation project, and</w:t>
      </w:r>
      <w:r w:rsidR="008C3E2A">
        <w:t xml:space="preserve"> </w:t>
      </w:r>
      <w:r w:rsidR="006C43F4">
        <w:t>relies on</w:t>
      </w:r>
      <w:r w:rsidR="008C3E2A">
        <w:t xml:space="preserve"> annual reports</w:t>
      </w:r>
      <w:r w:rsidR="006C43F4">
        <w:t xml:space="preserve"> filed </w:t>
      </w:r>
      <w:r w:rsidR="00C06F24">
        <w:t xml:space="preserve">by PSE </w:t>
      </w:r>
      <w:r w:rsidR="006C43F4">
        <w:t>under existing requirements</w:t>
      </w:r>
      <w:r w:rsidR="008C3E2A">
        <w:t xml:space="preserve"> </w:t>
      </w:r>
      <w:r w:rsidR="006C43F4">
        <w:t xml:space="preserve">to </w:t>
      </w:r>
      <w:r w:rsidR="008C3E2A">
        <w:t>describ</w:t>
      </w:r>
      <w:r w:rsidR="006C43F4">
        <w:t>e</w:t>
      </w:r>
      <w:r w:rsidR="00617FB7">
        <w:t xml:space="preserve"> its progress</w:t>
      </w:r>
      <w:r w:rsidR="00213C95">
        <w:t xml:space="preserve"> toward</w:t>
      </w:r>
      <w:r w:rsidR="00617FB7">
        <w:t xml:space="preserve"> </w:t>
      </w:r>
      <w:r w:rsidR="006C43F4">
        <w:t xml:space="preserve">its increased </w:t>
      </w:r>
      <w:r w:rsidR="00617FB7">
        <w:t>conservation targets.</w:t>
      </w:r>
      <w:r w:rsidR="003B3D07">
        <w:rPr>
          <w:rStyle w:val="FootnoteReference"/>
        </w:rPr>
        <w:footnoteReference w:id="13"/>
      </w:r>
    </w:p>
    <w:p w:rsidR="00617FB7" w:rsidRDefault="00617FB7" w:rsidP="008D6153"/>
    <w:p w:rsidR="00617FB7" w:rsidRPr="007E150E" w:rsidRDefault="00F528B4" w:rsidP="008D6153">
      <w:pPr>
        <w:pStyle w:val="Heading2"/>
        <w:numPr>
          <w:ilvl w:val="0"/>
          <w:numId w:val="14"/>
        </w:numPr>
        <w:spacing w:line="480" w:lineRule="auto"/>
        <w:ind w:left="0" w:firstLine="0"/>
        <w:jc w:val="left"/>
      </w:pPr>
      <w:bookmarkStart w:id="5" w:name="_Toc349312835"/>
      <w:bookmarkStart w:id="6" w:name="_Toc349055636"/>
      <w:r>
        <w:t xml:space="preserve">The </w:t>
      </w:r>
      <w:r w:rsidR="00CD65BB">
        <w:t>Revised Petition</w:t>
      </w:r>
      <w:r w:rsidR="00CD65BB" w:rsidRPr="007E150E">
        <w:t xml:space="preserve"> </w:t>
      </w:r>
      <w:r w:rsidR="00A979BD" w:rsidRPr="007E150E">
        <w:t>is Applied to</w:t>
      </w:r>
      <w:r w:rsidR="002F0871">
        <w:t xml:space="preserve"> All </w:t>
      </w:r>
      <w:r w:rsidR="00617FB7" w:rsidRPr="007E150E">
        <w:t>Customer Classes</w:t>
      </w:r>
      <w:bookmarkEnd w:id="5"/>
      <w:bookmarkEnd w:id="6"/>
    </w:p>
    <w:p w:rsidR="002B2E41" w:rsidRDefault="002B2E41" w:rsidP="008D6153"/>
    <w:p w:rsidR="009E549A" w:rsidRDefault="00617FB7" w:rsidP="00441E00">
      <w:pPr>
        <w:pStyle w:val="Heading3"/>
      </w:pPr>
      <w:r>
        <w:t>Q.</w:t>
      </w:r>
      <w:r>
        <w:tab/>
      </w:r>
      <w:r w:rsidR="00EF0C1F">
        <w:t xml:space="preserve">How does the </w:t>
      </w:r>
      <w:r w:rsidR="00516E1D">
        <w:t xml:space="preserve">Decoupling Policy Statement </w:t>
      </w:r>
      <w:r w:rsidR="00EF0C1F">
        <w:t xml:space="preserve">address the </w:t>
      </w:r>
      <w:r>
        <w:t xml:space="preserve">application of </w:t>
      </w:r>
      <w:r w:rsidR="002B2E41">
        <w:t xml:space="preserve">full </w:t>
      </w:r>
      <w:r>
        <w:t>decoupling</w:t>
      </w:r>
      <w:r w:rsidR="00EF0C1F">
        <w:t xml:space="preserve"> </w:t>
      </w:r>
      <w:r>
        <w:t>to customer classes?</w:t>
      </w:r>
    </w:p>
    <w:p w:rsidR="009E549A" w:rsidRDefault="00617FB7" w:rsidP="00441E00">
      <w:r>
        <w:t>A.</w:t>
      </w:r>
      <w:r>
        <w:tab/>
      </w:r>
      <w:r w:rsidR="007E150E">
        <w:t>The Commission states that a</w:t>
      </w:r>
      <w:r>
        <w:t xml:space="preserve"> full decoupling mechanism </w:t>
      </w:r>
      <w:r w:rsidR="00812039">
        <w:t xml:space="preserve">should </w:t>
      </w:r>
      <w:r>
        <w:t>include all customer classes, unless it would be lawful or consistent with “the public interest” to do otherwise:</w:t>
      </w:r>
    </w:p>
    <w:p w:rsidR="00617FB7" w:rsidRDefault="00617FB7" w:rsidP="00617FB7">
      <w:pPr>
        <w:spacing w:line="240" w:lineRule="auto"/>
        <w:ind w:left="1440"/>
      </w:pPr>
      <w:r>
        <w:rPr>
          <w:i/>
        </w:rPr>
        <w:tab/>
      </w:r>
      <w:r w:rsidRPr="0012757E">
        <w:rPr>
          <w:i/>
        </w:rPr>
        <w:t>Application to Customer Classes.</w:t>
      </w:r>
      <w:r w:rsidR="00E07C71" w:rsidRPr="00441E00">
        <w:t xml:space="preserve">  </w:t>
      </w:r>
      <w:r>
        <w:t xml:space="preserve">Generally, a full decoupling proposal should cover all customer classes. However, where in the public interest and not unlawfully discriminatory or preferential, the Commission will consider a proposal that would apply to fewer than all customer classes. </w:t>
      </w:r>
      <w:r>
        <w:rPr>
          <w:rStyle w:val="FootnoteReference"/>
        </w:rPr>
        <w:footnoteReference w:id="14"/>
      </w:r>
    </w:p>
    <w:p w:rsidR="009E549A" w:rsidRPr="00441E00" w:rsidRDefault="009E549A" w:rsidP="00BF620B"/>
    <w:p w:rsidR="009E549A" w:rsidRDefault="00617FB7" w:rsidP="00CD6EEA">
      <w:pPr>
        <w:pStyle w:val="Heading3"/>
        <w:keepNext/>
      </w:pPr>
      <w:r>
        <w:lastRenderedPageBreak/>
        <w:t>Q.</w:t>
      </w:r>
      <w:r>
        <w:tab/>
      </w:r>
      <w:r w:rsidR="00457394">
        <w:t>Does Staff have any concerns about implementing the</w:t>
      </w:r>
      <w:r>
        <w:t xml:space="preserve"> Commission’s </w:t>
      </w:r>
      <w:r w:rsidR="00EF0C1F">
        <w:t>policy</w:t>
      </w:r>
      <w:r>
        <w:t>?</w:t>
      </w:r>
    </w:p>
    <w:p w:rsidR="009E549A" w:rsidRDefault="00617FB7" w:rsidP="00441E00">
      <w:r>
        <w:t>A.</w:t>
      </w:r>
      <w:r>
        <w:tab/>
      </w:r>
      <w:r w:rsidR="00457394">
        <w:t>No</w:t>
      </w:r>
      <w:r>
        <w:t xml:space="preserve">.  The discrimination and preference statutes are part of </w:t>
      </w:r>
      <w:r w:rsidR="00CC141D">
        <w:t xml:space="preserve">the </w:t>
      </w:r>
      <w:r>
        <w:t>Commission</w:t>
      </w:r>
      <w:r w:rsidR="005A01C5">
        <w:t>’s overall</w:t>
      </w:r>
      <w:r>
        <w:t xml:space="preserve"> regulation of </w:t>
      </w:r>
      <w:r w:rsidR="00BF620B">
        <w:t>utilities</w:t>
      </w:r>
      <w:r w:rsidR="00CB7FAC">
        <w:t xml:space="preserve">; </w:t>
      </w:r>
      <w:r w:rsidR="004D4224">
        <w:t>however,</w:t>
      </w:r>
      <w:r w:rsidR="007E150E">
        <w:t xml:space="preserve"> </w:t>
      </w:r>
      <w:r>
        <w:t>there may be circumstances where excluding a customer class would satisfy those statutes and also be in the “public interest”.</w:t>
      </w:r>
    </w:p>
    <w:p w:rsidR="00617FB7" w:rsidRDefault="00617FB7" w:rsidP="00617FB7"/>
    <w:p w:rsidR="009E549A" w:rsidRDefault="00617FB7" w:rsidP="00441E00">
      <w:pPr>
        <w:pStyle w:val="Heading3"/>
      </w:pPr>
      <w:r>
        <w:t>Q.</w:t>
      </w:r>
      <w:r>
        <w:tab/>
      </w:r>
      <w:r w:rsidR="002F0871">
        <w:t xml:space="preserve">Which customer classes </w:t>
      </w:r>
      <w:r w:rsidR="00F528B4">
        <w:t>are</w:t>
      </w:r>
      <w:r w:rsidR="002F0871">
        <w:t xml:space="preserve"> </w:t>
      </w:r>
      <w:r w:rsidR="007F3527">
        <w:t xml:space="preserve">included in </w:t>
      </w:r>
      <w:r w:rsidR="00F528B4">
        <w:t>the</w:t>
      </w:r>
      <w:r w:rsidR="007E150E">
        <w:t xml:space="preserve"> </w:t>
      </w:r>
      <w:r w:rsidR="00CD65BB">
        <w:t>revised petition</w:t>
      </w:r>
      <w:r>
        <w:t>?</w:t>
      </w:r>
      <w:r w:rsidR="00516C71">
        <w:t xml:space="preserve">  </w:t>
      </w:r>
    </w:p>
    <w:p w:rsidR="009E549A" w:rsidRDefault="00617FB7" w:rsidP="007F3527">
      <w:r>
        <w:t>A.</w:t>
      </w:r>
      <w:r>
        <w:tab/>
      </w:r>
      <w:r w:rsidR="0019670C">
        <w:t xml:space="preserve">The </w:t>
      </w:r>
      <w:r w:rsidR="00324C26">
        <w:t xml:space="preserve">revised petition </w:t>
      </w:r>
      <w:r w:rsidR="007F3527">
        <w:t>includes all customers</w:t>
      </w:r>
      <w:r w:rsidR="00457394">
        <w:t xml:space="preserve"> in the application of the K-Factor</w:t>
      </w:r>
      <w:r w:rsidR="00963632">
        <w:t xml:space="preserve"> rate plan except for gas special contract customers</w:t>
      </w:r>
      <w:r w:rsidR="007F3527">
        <w:t>.</w:t>
      </w:r>
      <w:r>
        <w:t xml:space="preserve"> </w:t>
      </w:r>
      <w:r w:rsidR="00457394">
        <w:t xml:space="preserve"> Electric lighting</w:t>
      </w:r>
      <w:r w:rsidR="00107D73">
        <w:t xml:space="preserve"> customers served under Schedules 51 through 59,</w:t>
      </w:r>
      <w:r w:rsidR="00457394">
        <w:t xml:space="preserve"> </w:t>
      </w:r>
      <w:r w:rsidR="00107D73">
        <w:t>electric retail</w:t>
      </w:r>
      <w:r w:rsidR="00457394">
        <w:t xml:space="preserve"> wheeling customers</w:t>
      </w:r>
      <w:r w:rsidR="00107D73">
        <w:t>,</w:t>
      </w:r>
      <w:r w:rsidR="00457394">
        <w:t xml:space="preserve"> and gas </w:t>
      </w:r>
      <w:r w:rsidR="00AF1E66">
        <w:t>lighting and</w:t>
      </w:r>
      <w:r w:rsidR="00107D73">
        <w:t xml:space="preserve"> rental </w:t>
      </w:r>
      <w:r w:rsidR="00457394">
        <w:t xml:space="preserve">customers already have rate designs that remove the </w:t>
      </w:r>
      <w:r w:rsidR="007E634F">
        <w:t xml:space="preserve">vast </w:t>
      </w:r>
      <w:r w:rsidR="006B0CC6">
        <w:t>majority</w:t>
      </w:r>
      <w:r w:rsidR="007E634F">
        <w:t xml:space="preserve"> of </w:t>
      </w:r>
      <w:r w:rsidR="00457394">
        <w:t>non-power costs from their</w:t>
      </w:r>
      <w:r w:rsidR="00750051">
        <w:t xml:space="preserve"> </w:t>
      </w:r>
      <w:r w:rsidR="007E634F">
        <w:t>state-</w:t>
      </w:r>
      <w:r w:rsidR="006B0CC6">
        <w:t>jurisdictional</w:t>
      </w:r>
      <w:r w:rsidR="007E634F">
        <w:t xml:space="preserve"> base</w:t>
      </w:r>
      <w:r w:rsidR="00457394">
        <w:t xml:space="preserve"> variable rates</w:t>
      </w:r>
      <w:r w:rsidR="00750051">
        <w:t>, so they do not need to be otherwise included in the underlying decoupling mechanisms.</w:t>
      </w:r>
      <w:r w:rsidR="00750051">
        <w:rPr>
          <w:rStyle w:val="FootnoteReference"/>
        </w:rPr>
        <w:footnoteReference w:id="15"/>
      </w:r>
      <w:r w:rsidR="00AF1E66">
        <w:t xml:space="preserve">  Rates for gas special contract customers are governed by their contracts and are also excluded from the revised petition.</w:t>
      </w:r>
      <w:r w:rsidR="00963632">
        <w:rPr>
          <w:rStyle w:val="FootnoteReference"/>
        </w:rPr>
        <w:footnoteReference w:id="16"/>
      </w:r>
      <w:r w:rsidR="00963632">
        <w:t xml:space="preserve">  </w:t>
      </w:r>
      <w:r w:rsidR="002B0EC4">
        <w:t xml:space="preserve">Cost-of-service treatment </w:t>
      </w:r>
      <w:r w:rsidR="00963632">
        <w:t xml:space="preserve">for </w:t>
      </w:r>
      <w:r w:rsidR="002B0EC4">
        <w:t>gas special contract</w:t>
      </w:r>
      <w:r w:rsidR="00963632">
        <w:t xml:space="preserve"> customers will be </w:t>
      </w:r>
      <w:r w:rsidR="002B0EC4">
        <w:t>addressed</w:t>
      </w:r>
      <w:r w:rsidR="00963632">
        <w:t xml:space="preserve"> during the next general rate case to ensure that these customers do not unduly benefit from the new system.</w:t>
      </w:r>
    </w:p>
    <w:p w:rsidR="00617FB7" w:rsidRDefault="00617FB7" w:rsidP="00617FB7"/>
    <w:p w:rsidR="00750051" w:rsidRDefault="00750051" w:rsidP="00750051">
      <w:pPr>
        <w:pStyle w:val="Heading3"/>
      </w:pPr>
      <w:r>
        <w:t>Q.</w:t>
      </w:r>
      <w:r>
        <w:tab/>
        <w:t>What do you conclude about the revised petition?</w:t>
      </w:r>
    </w:p>
    <w:p w:rsidR="00750051" w:rsidRDefault="00750051" w:rsidP="00617FB7">
      <w:r>
        <w:t>A.</w:t>
      </w:r>
      <w:r>
        <w:tab/>
        <w:t>The revised petition appropriately includes all customers in the application of the K-Factor</w:t>
      </w:r>
      <w:r w:rsidR="002B0EC4">
        <w:t xml:space="preserve"> rate plan</w:t>
      </w:r>
      <w:r>
        <w:t xml:space="preserve">, appropriately excludes those customer classes whose existing rate </w:t>
      </w:r>
      <w:r>
        <w:lastRenderedPageBreak/>
        <w:t>designs render decoupling moot</w:t>
      </w:r>
      <w:r w:rsidR="001762C1">
        <w:t>, and appropriately leaves cost-of-service issues for the next general rate case</w:t>
      </w:r>
      <w:r>
        <w:t>.</w:t>
      </w:r>
    </w:p>
    <w:p w:rsidR="00750051" w:rsidRDefault="00750051" w:rsidP="00617FB7"/>
    <w:p w:rsidR="006A122C" w:rsidRDefault="00F528B4" w:rsidP="00CD6EEA">
      <w:pPr>
        <w:pStyle w:val="Heading2"/>
        <w:numPr>
          <w:ilvl w:val="0"/>
          <w:numId w:val="14"/>
        </w:numPr>
        <w:spacing w:line="480" w:lineRule="auto"/>
        <w:ind w:left="0" w:firstLine="0"/>
        <w:jc w:val="left"/>
      </w:pPr>
      <w:bookmarkStart w:id="7" w:name="_Toc349312836"/>
      <w:bookmarkStart w:id="8" w:name="_Toc349055637"/>
      <w:r>
        <w:t xml:space="preserve">The </w:t>
      </w:r>
      <w:r w:rsidR="00324C26">
        <w:t xml:space="preserve">Revised Petition </w:t>
      </w:r>
      <w:r w:rsidR="007F3527">
        <w:t>Delays</w:t>
      </w:r>
      <w:r w:rsidR="00617FB7">
        <w:t xml:space="preserve"> </w:t>
      </w:r>
      <w:r w:rsidR="005B37A2">
        <w:t xml:space="preserve">the </w:t>
      </w:r>
      <w:r w:rsidR="00617FB7">
        <w:t xml:space="preserve">Impact </w:t>
      </w:r>
      <w:r w:rsidR="005B37A2">
        <w:t xml:space="preserve">of Decoupling </w:t>
      </w:r>
      <w:r w:rsidR="00617FB7">
        <w:t>on the Rate of Return</w:t>
      </w:r>
      <w:bookmarkEnd w:id="7"/>
      <w:bookmarkEnd w:id="8"/>
    </w:p>
    <w:p w:rsidR="00CD6EEA" w:rsidRPr="00CD6EEA" w:rsidRDefault="00CD6EEA" w:rsidP="00CD6EEA"/>
    <w:p w:rsidR="009E549A" w:rsidRDefault="00617FB7" w:rsidP="00441E00">
      <w:pPr>
        <w:pStyle w:val="Heading3"/>
      </w:pPr>
      <w:r>
        <w:t>Q.</w:t>
      </w:r>
      <w:r>
        <w:tab/>
        <w:t xml:space="preserve">What </w:t>
      </w:r>
      <w:r w:rsidR="00812039">
        <w:t xml:space="preserve">does </w:t>
      </w:r>
      <w:r>
        <w:t xml:space="preserve">the </w:t>
      </w:r>
      <w:r w:rsidR="008308F1">
        <w:t>Decoupling Policy Statement</w:t>
      </w:r>
      <w:r w:rsidR="00812039">
        <w:t xml:space="preserve"> </w:t>
      </w:r>
      <w:r w:rsidR="008308F1">
        <w:t xml:space="preserve">say </w:t>
      </w:r>
      <w:r w:rsidR="00812039">
        <w:t>with respect to</w:t>
      </w:r>
      <w:r>
        <w:t xml:space="preserve"> the impact of full decoupling on </w:t>
      </w:r>
      <w:r w:rsidR="00CC141D">
        <w:t>a</w:t>
      </w:r>
      <w:r>
        <w:t xml:space="preserve"> utility’s cost of capital?</w:t>
      </w:r>
    </w:p>
    <w:p w:rsidR="00617FB7" w:rsidRDefault="00617FB7">
      <w:r>
        <w:t>A.</w:t>
      </w:r>
      <w:r>
        <w:tab/>
        <w:t>The Commission contemplates</w:t>
      </w:r>
      <w:r w:rsidR="004D4224">
        <w:t xml:space="preserve"> that</w:t>
      </w:r>
      <w:r>
        <w:t xml:space="preserve"> full decoupling will reduce </w:t>
      </w:r>
      <w:r w:rsidR="008F305C">
        <w:t xml:space="preserve">the </w:t>
      </w:r>
      <w:r>
        <w:t>utility’s cost of capital:</w:t>
      </w:r>
    </w:p>
    <w:p w:rsidR="00617FB7" w:rsidRDefault="00617FB7" w:rsidP="00640822">
      <w:pPr>
        <w:spacing w:line="240" w:lineRule="auto"/>
        <w:ind w:left="1440"/>
      </w:pPr>
      <w:r>
        <w:tab/>
        <w:t>By reducing the risk of volatility of revenue based on customer usage, both up and down, such a mechanism can serve to reduce risk to the company, and therefore to investors, which in turn should benefit customers by reducing a company’s debt and equity costs.  This reduction in costs would flow through to ratepayers in the form of rates that would be lower than they otherwise would be, as the rates would be set to reflect the assumption of more risk by ratepayers.</w:t>
      </w:r>
      <w:r>
        <w:rPr>
          <w:rStyle w:val="FootnoteReference"/>
        </w:rPr>
        <w:footnoteReference w:id="17"/>
      </w:r>
      <w:r w:rsidR="00CD6EEA">
        <w:t xml:space="preserve"> </w:t>
      </w:r>
    </w:p>
    <w:p w:rsidR="00CD6EEA" w:rsidRDefault="00CD6EEA" w:rsidP="00CD6EEA">
      <w:pPr>
        <w:spacing w:line="240" w:lineRule="auto"/>
      </w:pPr>
    </w:p>
    <w:p w:rsidR="00617FB7" w:rsidRDefault="00617FB7">
      <w:r>
        <w:tab/>
      </w:r>
      <w:r>
        <w:tab/>
        <w:t>The Commission specifically requires a full decoupling mechanism proposal to evaluate its impact on the return on equity:</w:t>
      </w:r>
    </w:p>
    <w:p w:rsidR="009E549A" w:rsidRDefault="00617FB7" w:rsidP="00441E00">
      <w:pPr>
        <w:spacing w:line="240" w:lineRule="auto"/>
        <w:ind w:left="1440"/>
      </w:pPr>
      <w:r>
        <w:tab/>
      </w:r>
      <w:r w:rsidRPr="00771642">
        <w:rPr>
          <w:i/>
        </w:rPr>
        <w:t>Impact on Rate of Return.</w:t>
      </w:r>
      <w:r w:rsidR="00E07C71" w:rsidRPr="00441E00">
        <w:t xml:space="preserve"> </w:t>
      </w:r>
      <w:r>
        <w:t xml:space="preserve"> Evidence evaluating the impact of the proposal on risk to investors and ratepayers and its effect on the utility's ROE.</w:t>
      </w:r>
      <w:r>
        <w:rPr>
          <w:rStyle w:val="FootnoteReference"/>
        </w:rPr>
        <w:footnoteReference w:id="18"/>
      </w:r>
    </w:p>
    <w:p w:rsidR="009E549A" w:rsidRDefault="009E549A" w:rsidP="00441E00">
      <w:pPr>
        <w:pStyle w:val="BodyTextIndent"/>
      </w:pPr>
    </w:p>
    <w:p w:rsidR="009E549A" w:rsidRDefault="00617FB7" w:rsidP="00441E00">
      <w:pPr>
        <w:pStyle w:val="Heading3"/>
      </w:pPr>
      <w:r>
        <w:t>Q.</w:t>
      </w:r>
      <w:r>
        <w:tab/>
      </w:r>
      <w:r w:rsidR="006A19AB">
        <w:t xml:space="preserve">Does </w:t>
      </w:r>
      <w:r w:rsidR="00D2160C">
        <w:t>Staff</w:t>
      </w:r>
      <w:r w:rsidR="006A19AB">
        <w:t xml:space="preserve"> have any concerns about implementing this</w:t>
      </w:r>
      <w:r>
        <w:t xml:space="preserve"> policy?</w:t>
      </w:r>
    </w:p>
    <w:p w:rsidR="009E549A" w:rsidRDefault="00617FB7" w:rsidP="00640822">
      <w:r>
        <w:t>A.</w:t>
      </w:r>
      <w:r>
        <w:tab/>
      </w:r>
      <w:r w:rsidR="008A797D">
        <w:t>Staff is only concerned about the timing of implementing this policy</w:t>
      </w:r>
      <w:r>
        <w:t xml:space="preserve">.  Full decoupling </w:t>
      </w:r>
      <w:r w:rsidR="00BA358C">
        <w:t xml:space="preserve">should </w:t>
      </w:r>
      <w:r>
        <w:t xml:space="preserve">reduce substantially the utility’s </w:t>
      </w:r>
      <w:r w:rsidR="006911E2">
        <w:t xml:space="preserve">revenue </w:t>
      </w:r>
      <w:r>
        <w:t>risk</w:t>
      </w:r>
      <w:r w:rsidR="005B37A2">
        <w:t xml:space="preserve"> by</w:t>
      </w:r>
      <w:r w:rsidR="006911E2">
        <w:t xml:space="preserve"> guaranteeing a specific amount of revenue per customer regardless of typical causes of fluctuation in revenue related to weather</w:t>
      </w:r>
      <w:r w:rsidR="00E45A13">
        <w:t>, economic</w:t>
      </w:r>
      <w:r w:rsidR="00CC141D">
        <w:t xml:space="preserve"> conditions</w:t>
      </w:r>
      <w:r w:rsidR="00E45A13">
        <w:t>, or any other</w:t>
      </w:r>
      <w:r w:rsidR="006911E2">
        <w:t xml:space="preserve"> condition</w:t>
      </w:r>
      <w:r>
        <w:t xml:space="preserve">.  </w:t>
      </w:r>
      <w:r w:rsidR="006A122C">
        <w:t>Reduced</w:t>
      </w:r>
      <w:r w:rsidR="00812039">
        <w:t xml:space="preserve"> revenue volatility </w:t>
      </w:r>
      <w:r w:rsidR="006A19AB">
        <w:lastRenderedPageBreak/>
        <w:t>reduces risk,</w:t>
      </w:r>
      <w:r>
        <w:t xml:space="preserve"> </w:t>
      </w:r>
      <w:r w:rsidR="006A19AB">
        <w:t xml:space="preserve">which </w:t>
      </w:r>
      <w:r>
        <w:t xml:space="preserve">should translate into lower capital costs, </w:t>
      </w:r>
      <w:r w:rsidR="00812039">
        <w:t>either as a</w:t>
      </w:r>
      <w:r>
        <w:t xml:space="preserve"> lower </w:t>
      </w:r>
      <w:r w:rsidR="00812039">
        <w:t>required return</w:t>
      </w:r>
      <w:r>
        <w:t xml:space="preserve"> </w:t>
      </w:r>
      <w:r w:rsidR="00812039">
        <w:t>on equity or the</w:t>
      </w:r>
      <w:r>
        <w:t xml:space="preserve"> need for less equity in the utility’s capital structure.</w:t>
      </w:r>
    </w:p>
    <w:p w:rsidR="009E549A" w:rsidRPr="00441E00" w:rsidRDefault="009E549A" w:rsidP="00112E75"/>
    <w:p w:rsidR="009E549A" w:rsidRDefault="00617FB7" w:rsidP="00441E00">
      <w:pPr>
        <w:pStyle w:val="Heading3"/>
      </w:pPr>
      <w:r>
        <w:t>Q.</w:t>
      </w:r>
      <w:r>
        <w:tab/>
        <w:t xml:space="preserve">Does </w:t>
      </w:r>
      <w:r w:rsidR="00F528B4">
        <w:t xml:space="preserve">the </w:t>
      </w:r>
      <w:r w:rsidR="00BA358C">
        <w:t xml:space="preserve">revised </w:t>
      </w:r>
      <w:r w:rsidR="00F528B4">
        <w:t>petition</w:t>
      </w:r>
      <w:r w:rsidR="00640822">
        <w:t xml:space="preserve"> </w:t>
      </w:r>
      <w:r w:rsidR="00BA358C">
        <w:t>anticipate</w:t>
      </w:r>
      <w:r>
        <w:t xml:space="preserve"> any reduction to PSE’s </w:t>
      </w:r>
      <w:r w:rsidR="000F700D">
        <w:t>return on equity</w:t>
      </w:r>
      <w:r>
        <w:t xml:space="preserve"> due to full decoupling</w:t>
      </w:r>
      <w:r w:rsidR="00B010C0">
        <w:t xml:space="preserve"> at this time</w:t>
      </w:r>
      <w:r>
        <w:t>?</w:t>
      </w:r>
    </w:p>
    <w:p w:rsidR="004F46F8" w:rsidRDefault="00617FB7" w:rsidP="00441E00">
      <w:r>
        <w:t>A.</w:t>
      </w:r>
      <w:r>
        <w:tab/>
      </w:r>
      <w:r w:rsidR="00B010C0">
        <w:t>No</w:t>
      </w:r>
      <w:r>
        <w:t xml:space="preserve">.  </w:t>
      </w:r>
      <w:r w:rsidR="00D058C3">
        <w:t>Staff strongly believes that adjustments to return on equity or to capital structure are only appropriate within a general rate case</w:t>
      </w:r>
      <w:r w:rsidR="00707411">
        <w:t>, where the C</w:t>
      </w:r>
      <w:r w:rsidR="00B010C0">
        <w:t>ommission can look at all offsetting factors</w:t>
      </w:r>
      <w:r w:rsidR="00D058C3">
        <w:t>.</w:t>
      </w:r>
      <w:r w:rsidR="00B010C0">
        <w:t xml:space="preserve">  As mentioned above, the Commission said the Coalition’s </w:t>
      </w:r>
      <w:r w:rsidR="00F71908">
        <w:t xml:space="preserve">decoupling </w:t>
      </w:r>
      <w:r w:rsidR="00B010C0">
        <w:t>proposal in the previous rate case was “consistent in intent and general design” with the Commission’s Decoupling Policy Statement</w:t>
      </w:r>
      <w:r w:rsidR="00F71908">
        <w:t>, and that PSE’s opposition to full decoupling militated strongly against accepting the Coalition’s decoupling proposal regardless of the merit the Commission might find on a close examination of its details</w:t>
      </w:r>
      <w:r w:rsidR="00B010C0">
        <w:t>.</w:t>
      </w:r>
      <w:r w:rsidR="00B010C0">
        <w:rPr>
          <w:rStyle w:val="FootnoteReference"/>
        </w:rPr>
        <w:footnoteReference w:id="19"/>
      </w:r>
      <w:r w:rsidR="00B010C0">
        <w:t xml:space="preserve">  </w:t>
      </w:r>
      <w:r w:rsidR="00D058C3">
        <w:t>In addition</w:t>
      </w:r>
      <w:r w:rsidR="00BA358C">
        <w:t xml:space="preserve">, </w:t>
      </w:r>
      <w:r w:rsidR="00F71908">
        <w:t>the Commission reiterated that it “remains open to proposals for a full decoupling mechanism, even to one that may vary somewhat from what is described in [its Decoupling Policy Statement]”.</w:t>
      </w:r>
      <w:r w:rsidR="00F71908">
        <w:rPr>
          <w:rStyle w:val="FootnoteReference"/>
        </w:rPr>
        <w:footnoteReference w:id="20"/>
      </w:r>
      <w:r w:rsidR="00F71908">
        <w:t xml:space="preserve">  </w:t>
      </w:r>
    </w:p>
    <w:p w:rsidR="009E549A" w:rsidRDefault="004F46F8" w:rsidP="00441E00">
      <w:r>
        <w:tab/>
      </w:r>
      <w:r>
        <w:tab/>
        <w:t xml:space="preserve">Staff notes that </w:t>
      </w:r>
      <w:r w:rsidR="00BA358C">
        <w:t>PSE’s allowed return</w:t>
      </w:r>
      <w:r w:rsidR="006A19AB">
        <w:t xml:space="preserve"> on equity</w:t>
      </w:r>
      <w:r w:rsidR="00BA358C">
        <w:t xml:space="preserve"> was reduced from </w:t>
      </w:r>
      <w:r w:rsidR="00D725EC">
        <w:t>10</w:t>
      </w:r>
      <w:r w:rsidR="00BA358C">
        <w:t xml:space="preserve">.1 percent to </w:t>
      </w:r>
      <w:r w:rsidR="00D725EC">
        <w:t>9</w:t>
      </w:r>
      <w:r w:rsidR="00BA358C">
        <w:t>.8 percent at the end of the most recent rate case</w:t>
      </w:r>
      <w:r w:rsidR="00D058C3">
        <w:t>, although not due to decoupling</w:t>
      </w:r>
      <w:r w:rsidR="00BA358C">
        <w:t>.</w:t>
      </w:r>
      <w:r w:rsidR="00BA358C">
        <w:rPr>
          <w:rStyle w:val="FootnoteReference"/>
        </w:rPr>
        <w:footnoteReference w:id="21"/>
      </w:r>
      <w:r w:rsidRPr="004F46F8">
        <w:rPr>
          <w:vertAlign w:val="superscript"/>
        </w:rPr>
        <w:t>,</w:t>
      </w:r>
      <w:r>
        <w:t xml:space="preserve"> </w:t>
      </w:r>
      <w:r>
        <w:rPr>
          <w:rStyle w:val="FootnoteReference"/>
        </w:rPr>
        <w:footnoteReference w:id="22"/>
      </w:r>
      <w:r w:rsidR="00BA358C">
        <w:t xml:space="preserve">  </w:t>
      </w:r>
      <w:r w:rsidR="00D725EC">
        <w:t>This</w:t>
      </w:r>
      <w:r w:rsidR="00D058C3">
        <w:t xml:space="preserve"> recent</w:t>
      </w:r>
      <w:r w:rsidR="00D725EC">
        <w:t xml:space="preserve"> reduction</w:t>
      </w:r>
      <w:r w:rsidR="00D058C3">
        <w:t xml:space="preserve"> in the overall rate of return</w:t>
      </w:r>
      <w:r w:rsidR="00D725EC">
        <w:t xml:space="preserve">, </w:t>
      </w:r>
      <w:r>
        <w:t xml:space="preserve">when combined with </w:t>
      </w:r>
      <w:r w:rsidR="005551BC">
        <w:t xml:space="preserve">the Commission’s </w:t>
      </w:r>
      <w:r>
        <w:t xml:space="preserve">discussion of the previous decoupling proposal and its </w:t>
      </w:r>
      <w:r w:rsidR="00D725EC">
        <w:t xml:space="preserve">discussion of expedited rate filings, which urged parties to come forward with proposals that would reduce the </w:t>
      </w:r>
      <w:r w:rsidR="00D725EC">
        <w:lastRenderedPageBreak/>
        <w:t xml:space="preserve">frequency of general rate cases, seems to support acceptance of an </w:t>
      </w:r>
      <w:r w:rsidR="000F700D">
        <w:t>allowed</w:t>
      </w:r>
      <w:r w:rsidR="00D725EC">
        <w:t xml:space="preserve"> rate of return over multiple years.</w:t>
      </w:r>
      <w:r w:rsidR="00D725EC">
        <w:rPr>
          <w:rStyle w:val="FootnoteReference"/>
        </w:rPr>
        <w:footnoteReference w:id="23"/>
      </w:r>
      <w:r w:rsidR="00D725EC">
        <w:t xml:space="preserve">  </w:t>
      </w:r>
      <w:r w:rsidR="00BA358C">
        <w:t xml:space="preserve">Staff </w:t>
      </w:r>
      <w:r w:rsidR="00815DD5">
        <w:t xml:space="preserve">also </w:t>
      </w:r>
      <w:r w:rsidR="00BA358C">
        <w:t>recognizes that a decoupling mechanism is yet another tool that would help the Commission avoid annual rate cases.  In any event, the next general rate case,</w:t>
      </w:r>
      <w:r w:rsidR="007F3527">
        <w:t xml:space="preserve"> as described in the </w:t>
      </w:r>
      <w:r w:rsidR="00324C26">
        <w:t>revised petition</w:t>
      </w:r>
      <w:r w:rsidR="007F3527">
        <w:t>,</w:t>
      </w:r>
      <w:r w:rsidR="00BA358C">
        <w:t xml:space="preserve"> </w:t>
      </w:r>
      <w:r w:rsidR="000F700D">
        <w:t>is the right time to adjust the return on equity or the capital structure to reflect the effects of the joint petition</w:t>
      </w:r>
      <w:r w:rsidR="00617FB7">
        <w:t xml:space="preserve">.  </w:t>
      </w:r>
    </w:p>
    <w:p w:rsidR="008A797D" w:rsidRDefault="008A797D" w:rsidP="00BA358C"/>
    <w:p w:rsidR="00815DD5" w:rsidRPr="00A27A3A" w:rsidRDefault="00815DD5" w:rsidP="008A797D">
      <w:pPr>
        <w:pStyle w:val="Heading3"/>
      </w:pPr>
      <w:r w:rsidRPr="00A27A3A">
        <w:t>Q.</w:t>
      </w:r>
      <w:r w:rsidRPr="00A27A3A">
        <w:tab/>
      </w:r>
      <w:r w:rsidR="002F2479" w:rsidRPr="00A27A3A">
        <w:t xml:space="preserve">Does the </w:t>
      </w:r>
      <w:r w:rsidR="00324C26">
        <w:t>revised petition</w:t>
      </w:r>
      <w:r w:rsidR="002F2479" w:rsidRPr="00A27A3A">
        <w:t xml:space="preserve"> include any customer protection</w:t>
      </w:r>
      <w:r w:rsidR="008A797D">
        <w:t>s</w:t>
      </w:r>
      <w:r w:rsidR="002F2479" w:rsidRPr="00A27A3A">
        <w:t xml:space="preserve"> in the event PSE does exceed its allowed rate of return?</w:t>
      </w:r>
    </w:p>
    <w:p w:rsidR="002F2479" w:rsidRDefault="002F2479" w:rsidP="00BA358C">
      <w:r>
        <w:t>A.</w:t>
      </w:r>
      <w:r>
        <w:tab/>
        <w:t xml:space="preserve">Yes.  In the event the Company earns </w:t>
      </w:r>
      <w:r w:rsidR="008A797D">
        <w:t>more than</w:t>
      </w:r>
      <w:r>
        <w:t xml:space="preserve"> 25 basis points </w:t>
      </w:r>
      <w:r w:rsidR="008A797D">
        <w:t xml:space="preserve">over </w:t>
      </w:r>
      <w:r>
        <w:t xml:space="preserve">its allowed rate of return, </w:t>
      </w:r>
      <w:r w:rsidR="008A797D">
        <w:t xml:space="preserve">half of </w:t>
      </w:r>
      <w:r>
        <w:t>the excess will be deferred and returned to customers.  With the rate of return at 7.8 percent, PSE may earn up to 8.05</w:t>
      </w:r>
      <w:r w:rsidR="0009032E">
        <w:t xml:space="preserve"> percent</w:t>
      </w:r>
      <w:r>
        <w:t xml:space="preserve"> before excess </w:t>
      </w:r>
      <w:r w:rsidR="00A27A3A">
        <w:t>earnings will be returned to customers.  PSE does not propose a commensurate floor to address under</w:t>
      </w:r>
      <w:r w:rsidR="008A797D">
        <w:t>-</w:t>
      </w:r>
      <w:r w:rsidR="00A27A3A">
        <w:t>earnings</w:t>
      </w:r>
      <w:r w:rsidR="008A797D">
        <w:t>, which retains the regulatory principle that PSE has only an opportunity to earn its rate of return, not a guarantee</w:t>
      </w:r>
      <w:r w:rsidR="00A27A3A">
        <w:t>.</w:t>
      </w:r>
    </w:p>
    <w:p w:rsidR="000547EC" w:rsidRPr="00945865" w:rsidRDefault="000547EC" w:rsidP="00D65A16"/>
    <w:p w:rsidR="00617FB7" w:rsidRPr="00AD1DF5" w:rsidRDefault="0019670C" w:rsidP="00CD6EEA">
      <w:pPr>
        <w:pStyle w:val="Heading2"/>
        <w:numPr>
          <w:ilvl w:val="0"/>
          <w:numId w:val="14"/>
        </w:numPr>
        <w:ind w:left="720" w:hanging="720"/>
        <w:jc w:val="left"/>
      </w:pPr>
      <w:bookmarkStart w:id="9" w:name="_Toc349312837"/>
      <w:bookmarkStart w:id="10" w:name="_Toc349055638"/>
      <w:r>
        <w:t xml:space="preserve">The </w:t>
      </w:r>
      <w:r w:rsidR="00440769">
        <w:t>Revised Petition</w:t>
      </w:r>
      <w:r w:rsidR="00440769" w:rsidRPr="00AD1DF5">
        <w:t xml:space="preserve"> </w:t>
      </w:r>
      <w:r w:rsidR="00D2160C">
        <w:t>Includes an Appropriate Alternative to</w:t>
      </w:r>
      <w:r w:rsidR="00617FB7" w:rsidRPr="00AD1DF5">
        <w:t xml:space="preserve"> Condition</w:t>
      </w:r>
      <w:r w:rsidR="00D2160C">
        <w:t>ing</w:t>
      </w:r>
      <w:r w:rsidR="00617FB7" w:rsidRPr="00AD1DF5">
        <w:t xml:space="preserve"> Recovery on Conservation Achievement</w:t>
      </w:r>
      <w:bookmarkEnd w:id="9"/>
      <w:bookmarkEnd w:id="10"/>
    </w:p>
    <w:p w:rsidR="002353CA" w:rsidRDefault="002353CA" w:rsidP="00AA0A52"/>
    <w:p w:rsidR="009E549A" w:rsidRDefault="00617FB7" w:rsidP="00530B98">
      <w:pPr>
        <w:pStyle w:val="Heading3"/>
      </w:pPr>
      <w:r>
        <w:t>Q.</w:t>
      </w:r>
      <w:r>
        <w:tab/>
        <w:t>What is the Commission’s policy regarding meeting conservation targets and revenue per customer recovery by a utility under a decoupling mechanism?</w:t>
      </w:r>
    </w:p>
    <w:p w:rsidR="00617FB7" w:rsidRPr="004F1235" w:rsidRDefault="00617FB7">
      <w:r>
        <w:t>A.</w:t>
      </w:r>
      <w:r>
        <w:tab/>
      </w:r>
      <w:r w:rsidR="007F60F1">
        <w:t>It is</w:t>
      </w:r>
      <w:r w:rsidR="00A30810">
        <w:t xml:space="preserve"> essential that the decoupled utility meet its conservation targets: </w:t>
      </w:r>
      <w:r w:rsidR="002F725A">
        <w:t xml:space="preserve"> </w:t>
      </w:r>
      <w:r>
        <w:t xml:space="preserve">“Revenue recovery by the company under the mechanism will be conditioned upon a utility’s level of </w:t>
      </w:r>
      <w:r>
        <w:lastRenderedPageBreak/>
        <w:t>achievement with respect to its conservation target.”</w:t>
      </w:r>
      <w:r>
        <w:rPr>
          <w:rStyle w:val="FootnoteReference"/>
        </w:rPr>
        <w:footnoteReference w:id="24"/>
      </w:r>
      <w:r>
        <w:t xml:space="preserve">  </w:t>
      </w:r>
      <w:r w:rsidRPr="004F1235">
        <w:t>Later</w:t>
      </w:r>
      <w:r w:rsidR="00A30810">
        <w:t xml:space="preserve"> in the Decoupling Policy Statement, </w:t>
      </w:r>
      <w:r w:rsidRPr="004F1235">
        <w:t xml:space="preserve">in </w:t>
      </w:r>
      <w:r w:rsidR="00A30810">
        <w:t xml:space="preserve">the </w:t>
      </w:r>
      <w:r w:rsidRPr="004F1235">
        <w:t>discussion about direct conservation incentives, the Commission explains further</w:t>
      </w:r>
      <w:r w:rsidR="00A30810">
        <w:t>:</w:t>
      </w:r>
    </w:p>
    <w:p w:rsidR="00617FB7" w:rsidRDefault="00617FB7" w:rsidP="00617FB7">
      <w:pPr>
        <w:spacing w:line="240" w:lineRule="auto"/>
        <w:ind w:left="1440"/>
      </w:pPr>
      <w:r>
        <w:tab/>
      </w:r>
      <w:r w:rsidRPr="004F1235">
        <w:t xml:space="preserve">However, the </w:t>
      </w:r>
      <w:r w:rsidR="00AD059E">
        <w:t xml:space="preserve">[Energy Independence Act, or ] </w:t>
      </w:r>
      <w:r w:rsidRPr="004F1235">
        <w:t xml:space="preserve">EIA, in RCW 19.285.060(4), provides us with the express authority to provide such incentives: </w:t>
      </w:r>
      <w:r>
        <w:t xml:space="preserve">  </w:t>
      </w:r>
      <w:r w:rsidRPr="004F1235">
        <w:t xml:space="preserve">“The </w:t>
      </w:r>
      <w:r w:rsidR="00D2160C">
        <w:t>Commission</w:t>
      </w:r>
      <w:r w:rsidRPr="004F1235">
        <w:t xml:space="preserve"> … may consider providing positive incentives for an investor-owned utility to exceed the targets established in RCW 19.285.040.”  We do not read this provision to permit us to provide incentives to acquire conservation that is not cost-effective.  Rather, we read this to suggest that, between the biennial conservation targets designed to determine what cost-effective conservation can be required, the electric utility may be able to acquire additional conservation as technology is improved, federal or other matching funds become available, or for other reasons that were not known at the time of the setting of the target.</w:t>
      </w:r>
      <w:r w:rsidRPr="004F1235">
        <w:rPr>
          <w:vertAlign w:val="superscript"/>
        </w:rPr>
        <w:footnoteReference w:id="25"/>
      </w:r>
      <w:r w:rsidRPr="004F1235">
        <w:t xml:space="preserve">  </w:t>
      </w:r>
    </w:p>
    <w:p w:rsidR="00617FB7" w:rsidRDefault="00617FB7" w:rsidP="00617FB7"/>
    <w:p w:rsidR="009E549A" w:rsidRDefault="00617FB7" w:rsidP="00530B98">
      <w:pPr>
        <w:pStyle w:val="Heading3"/>
      </w:pPr>
      <w:r>
        <w:t>Q.</w:t>
      </w:r>
      <w:r>
        <w:tab/>
      </w:r>
      <w:r w:rsidR="00530B98">
        <w:t xml:space="preserve">Can </w:t>
      </w:r>
      <w:r>
        <w:t xml:space="preserve">this policy </w:t>
      </w:r>
      <w:r w:rsidR="00530B98">
        <w:t>be practically applied</w:t>
      </w:r>
      <w:r>
        <w:t>?</w:t>
      </w:r>
    </w:p>
    <w:p w:rsidR="00617FB7" w:rsidRPr="004F1235" w:rsidRDefault="00617FB7">
      <w:r>
        <w:t>A.</w:t>
      </w:r>
      <w:r>
        <w:tab/>
        <w:t xml:space="preserve">Yes.  Staff’s </w:t>
      </w:r>
      <w:r w:rsidR="002F725A">
        <w:t>r</w:t>
      </w:r>
      <w:r>
        <w:t xml:space="preserve">esponse to </w:t>
      </w:r>
      <w:r w:rsidR="002F725A">
        <w:t xml:space="preserve">the decoupling </w:t>
      </w:r>
      <w:r w:rsidR="008A797D">
        <w:t>bench r</w:t>
      </w:r>
      <w:r>
        <w:t xml:space="preserve">equest </w:t>
      </w:r>
      <w:r w:rsidR="00A30810">
        <w:t xml:space="preserve">identifies </w:t>
      </w:r>
      <w:r>
        <w:t xml:space="preserve">a </w:t>
      </w:r>
      <w:r w:rsidR="00126D51">
        <w:t xml:space="preserve">conservation test </w:t>
      </w:r>
      <w:r>
        <w:t xml:space="preserve">that </w:t>
      </w:r>
      <w:r w:rsidR="00A30810">
        <w:t xml:space="preserve">would </w:t>
      </w:r>
      <w:r>
        <w:t>implement this policy</w:t>
      </w:r>
      <w:r w:rsidRPr="004F1235">
        <w:t>.</w:t>
      </w:r>
      <w:r w:rsidR="00471AFC">
        <w:rPr>
          <w:rStyle w:val="FootnoteReference"/>
        </w:rPr>
        <w:footnoteReference w:id="26"/>
      </w:r>
      <w:r w:rsidRPr="004F1235">
        <w:t xml:space="preserve">  </w:t>
      </w:r>
    </w:p>
    <w:p w:rsidR="00617FB7" w:rsidRDefault="00617FB7" w:rsidP="00617FB7"/>
    <w:p w:rsidR="009E549A" w:rsidRDefault="00617FB7" w:rsidP="00530B98">
      <w:pPr>
        <w:pStyle w:val="Heading3"/>
      </w:pPr>
      <w:r>
        <w:t>Q.</w:t>
      </w:r>
      <w:r>
        <w:tab/>
        <w:t xml:space="preserve">Does </w:t>
      </w:r>
      <w:r w:rsidR="00F528B4">
        <w:t>the</w:t>
      </w:r>
      <w:r>
        <w:t xml:space="preserve"> </w:t>
      </w:r>
      <w:r w:rsidR="00324C26">
        <w:t xml:space="preserve">revised petition </w:t>
      </w:r>
      <w:r>
        <w:t>condition</w:t>
      </w:r>
      <w:r w:rsidR="00A30810">
        <w:t xml:space="preserve"> PSE’s revenue recovery under decoupling with achieving </w:t>
      </w:r>
      <w:r w:rsidR="00857518">
        <w:t xml:space="preserve">the Company’s </w:t>
      </w:r>
      <w:r w:rsidR="00A30810">
        <w:t>conservation targets</w:t>
      </w:r>
      <w:r>
        <w:t>?</w:t>
      </w:r>
    </w:p>
    <w:p w:rsidR="003B01D4" w:rsidRPr="003B01D4" w:rsidRDefault="00617FB7" w:rsidP="00617FB7">
      <w:r w:rsidRPr="003B01D4">
        <w:t>A.</w:t>
      </w:r>
      <w:r w:rsidRPr="003B01D4">
        <w:tab/>
        <w:t>No.</w:t>
      </w:r>
      <w:r w:rsidR="00945865" w:rsidRPr="003B01D4">
        <w:t xml:space="preserve">  </w:t>
      </w:r>
      <w:r w:rsidR="00332A0C">
        <w:t>As</w:t>
      </w:r>
      <w:r w:rsidR="00835C85">
        <w:t xml:space="preserve"> an alternative, </w:t>
      </w:r>
      <w:r w:rsidR="00332A0C">
        <w:t xml:space="preserve">the revised petition offers to include </w:t>
      </w:r>
      <w:r w:rsidR="00A27A3A">
        <w:t>a</w:t>
      </w:r>
      <w:r w:rsidR="00332A0C">
        <w:t>ny</w:t>
      </w:r>
      <w:r w:rsidR="00A27A3A">
        <w:t xml:space="preserve"> shortfall</w:t>
      </w:r>
      <w:r w:rsidR="00835C85">
        <w:t xml:space="preserve"> in </w:t>
      </w:r>
      <w:r w:rsidR="00A27A3A">
        <w:t>meeting</w:t>
      </w:r>
      <w:r w:rsidR="00126D51">
        <w:t xml:space="preserve"> </w:t>
      </w:r>
      <w:r w:rsidR="00126D51" w:rsidRPr="00332A0C">
        <w:rPr>
          <w:i/>
        </w:rPr>
        <w:t>increased</w:t>
      </w:r>
      <w:r w:rsidR="00A27A3A">
        <w:t xml:space="preserve"> </w:t>
      </w:r>
      <w:r w:rsidR="00126D51">
        <w:t xml:space="preserve">electric </w:t>
      </w:r>
      <w:r w:rsidR="00835C85">
        <w:t xml:space="preserve">conservation targets </w:t>
      </w:r>
      <w:r w:rsidR="00332A0C">
        <w:t>as</w:t>
      </w:r>
      <w:r w:rsidR="00835C85">
        <w:t xml:space="preserve"> subject to penalties under the </w:t>
      </w:r>
      <w:r w:rsidR="00AD059E">
        <w:t>EIA</w:t>
      </w:r>
      <w:r w:rsidR="00835C85">
        <w:t xml:space="preserve">.  </w:t>
      </w:r>
      <w:r w:rsidR="00332A0C">
        <w:t xml:space="preserve">This </w:t>
      </w:r>
      <w:r w:rsidR="00013F2A">
        <w:t xml:space="preserve">does not explicitly </w:t>
      </w:r>
      <w:r w:rsidR="00332A0C">
        <w:t>implement</w:t>
      </w:r>
      <w:r w:rsidR="00013F2A">
        <w:t xml:space="preserve"> the Decoupling Policy Statement</w:t>
      </w:r>
      <w:r w:rsidR="00332A0C">
        <w:t xml:space="preserve">.  However, since the issuance of </w:t>
      </w:r>
      <w:r w:rsidR="00AD059E">
        <w:t>that</w:t>
      </w:r>
      <w:r w:rsidR="00332A0C">
        <w:t xml:space="preserve"> </w:t>
      </w:r>
      <w:r w:rsidR="00AD059E">
        <w:t>policy</w:t>
      </w:r>
      <w:r w:rsidR="00332A0C">
        <w:t>, the Commission has established the Conservation and Energy Planning group, which provides for a significant increase in the oversight of conservation programs, thus providing</w:t>
      </w:r>
      <w:r w:rsidR="00AD059E">
        <w:t xml:space="preserve"> additional</w:t>
      </w:r>
      <w:r w:rsidR="00332A0C">
        <w:t xml:space="preserve"> insurance that </w:t>
      </w:r>
      <w:r w:rsidR="00AD059E">
        <w:t xml:space="preserve">regulated </w:t>
      </w:r>
      <w:r w:rsidR="00332A0C">
        <w:t xml:space="preserve">utilities will </w:t>
      </w:r>
      <w:r w:rsidR="00AD059E">
        <w:t xml:space="preserve">stay on track to </w:t>
      </w:r>
      <w:r w:rsidR="00332A0C">
        <w:lastRenderedPageBreak/>
        <w:t xml:space="preserve">meet their conservation targets. </w:t>
      </w:r>
      <w:r w:rsidR="00013F2A">
        <w:t xml:space="preserve"> </w:t>
      </w:r>
      <w:r w:rsidR="00AD059E">
        <w:t>G</w:t>
      </w:r>
      <w:r w:rsidR="00013F2A">
        <w:t>iven</w:t>
      </w:r>
      <w:r w:rsidR="00AD059E">
        <w:t xml:space="preserve"> this increase in oversight, combined with</w:t>
      </w:r>
      <w:r w:rsidR="00013F2A">
        <w:t xml:space="preserve"> the Commission’s conclusion that the Coalition’s previous decoupling proposal was consistent with the intent and general</w:t>
      </w:r>
      <w:r w:rsidR="00332A0C">
        <w:t xml:space="preserve"> design</w:t>
      </w:r>
      <w:r w:rsidR="00D236A2">
        <w:t xml:space="preserve"> found</w:t>
      </w:r>
      <w:r w:rsidR="00332A0C">
        <w:t xml:space="preserve"> in the Decoupling Policy Statement, </w:t>
      </w:r>
      <w:r w:rsidR="00D2160C">
        <w:t>Staff</w:t>
      </w:r>
      <w:r w:rsidR="00332A0C">
        <w:t xml:space="preserve"> accepts </w:t>
      </w:r>
      <w:r w:rsidR="00AD059E">
        <w:t>the</w:t>
      </w:r>
      <w:r w:rsidR="00332A0C">
        <w:t xml:space="preserve"> </w:t>
      </w:r>
      <w:r w:rsidR="00AD059E">
        <w:t xml:space="preserve">application of EIA penalties to incremental </w:t>
      </w:r>
      <w:r w:rsidR="00332A0C">
        <w:t>conservation as a substitute for a conservation test.</w:t>
      </w:r>
      <w:r w:rsidR="00AD059E">
        <w:rPr>
          <w:rStyle w:val="FootnoteReference"/>
        </w:rPr>
        <w:footnoteReference w:id="27"/>
      </w:r>
      <w:r w:rsidR="00013F2A">
        <w:t xml:space="preserve">  </w:t>
      </w:r>
      <w:r w:rsidR="00835C85">
        <w:t xml:space="preserve">This </w:t>
      </w:r>
      <w:r w:rsidR="00D236A2">
        <w:t xml:space="preserve">adequately </w:t>
      </w:r>
      <w:r w:rsidR="00835C85">
        <w:t xml:space="preserve">addresses the Commission’s concern </w:t>
      </w:r>
      <w:r w:rsidR="00D236A2">
        <w:t>that the company might reduce its conservation efforts under a</w:t>
      </w:r>
      <w:r w:rsidR="00835C85">
        <w:t xml:space="preserve"> decoupling mechanism</w:t>
      </w:r>
      <w:r w:rsidR="00D236A2">
        <w:t xml:space="preserve">, as separate from the overall purpose of decoupling, which is to account for </w:t>
      </w:r>
      <w:r w:rsidR="00A30BEE">
        <w:t xml:space="preserve">any </w:t>
      </w:r>
      <w:r w:rsidR="00D236A2">
        <w:t>effect</w:t>
      </w:r>
      <w:r w:rsidR="00A30BEE">
        <w:t>, including conservation,</w:t>
      </w:r>
      <w:r w:rsidR="00D236A2">
        <w:t xml:space="preserve"> in </w:t>
      </w:r>
      <w:r w:rsidR="00A30BEE">
        <w:t>changing</w:t>
      </w:r>
      <w:r w:rsidR="00D236A2">
        <w:t xml:space="preserve"> utility sales, which </w:t>
      </w:r>
      <w:r w:rsidR="00A30BEE">
        <w:t>then drives</w:t>
      </w:r>
      <w:r w:rsidR="00D236A2">
        <w:t xml:space="preserve"> the utility’s earnings</w:t>
      </w:r>
      <w:r w:rsidR="00835C85">
        <w:t xml:space="preserve">.  </w:t>
      </w:r>
    </w:p>
    <w:p w:rsidR="00A3019D" w:rsidRDefault="00A3019D" w:rsidP="00617FB7"/>
    <w:p w:rsidR="00617FB7" w:rsidRPr="00516E1D" w:rsidRDefault="0019670C" w:rsidP="00CD6EEA">
      <w:pPr>
        <w:pStyle w:val="Heading2"/>
        <w:ind w:left="720" w:hanging="720"/>
        <w:jc w:val="left"/>
        <w:rPr>
          <w:i/>
        </w:rPr>
      </w:pPr>
      <w:bookmarkStart w:id="11" w:name="_Toc349312838"/>
      <w:bookmarkStart w:id="12" w:name="_Toc349055639"/>
      <w:r>
        <w:t xml:space="preserve">The </w:t>
      </w:r>
      <w:r w:rsidR="00324C26">
        <w:t>Revised Petition</w:t>
      </w:r>
      <w:r w:rsidR="00324C26" w:rsidRPr="00516E1D">
        <w:t xml:space="preserve"> </w:t>
      </w:r>
      <w:r w:rsidR="00835C85">
        <w:t>Addresses</w:t>
      </w:r>
      <w:r w:rsidR="00A3019D" w:rsidRPr="00516E1D">
        <w:t xml:space="preserve"> </w:t>
      </w:r>
      <w:r w:rsidR="00617FB7" w:rsidRPr="00516E1D">
        <w:t xml:space="preserve">Comparable Conservation Benefits </w:t>
      </w:r>
      <w:r w:rsidR="00A3019D" w:rsidRPr="00516E1D">
        <w:t xml:space="preserve">to </w:t>
      </w:r>
      <w:r w:rsidR="00617FB7" w:rsidRPr="00516E1D">
        <w:t>Low</w:t>
      </w:r>
      <w:r w:rsidR="00A3019D" w:rsidRPr="00516E1D">
        <w:t xml:space="preserve">-Income </w:t>
      </w:r>
      <w:r w:rsidR="00617FB7" w:rsidRPr="00516E1D">
        <w:t>Customers</w:t>
      </w:r>
      <w:bookmarkEnd w:id="11"/>
      <w:bookmarkEnd w:id="12"/>
    </w:p>
    <w:p w:rsidR="003B01D4" w:rsidRPr="003B01D4" w:rsidRDefault="003B01D4" w:rsidP="003B01D4">
      <w:pPr>
        <w:pStyle w:val="ListParagraph"/>
        <w:ind w:left="810"/>
      </w:pPr>
    </w:p>
    <w:p w:rsidR="009E549A" w:rsidRDefault="00617FB7" w:rsidP="00F339FC">
      <w:pPr>
        <w:pStyle w:val="Heading3"/>
      </w:pPr>
      <w:r>
        <w:t>Q.</w:t>
      </w:r>
      <w:r>
        <w:tab/>
        <w:t xml:space="preserve">What is the Commission’s policy on </w:t>
      </w:r>
      <w:r w:rsidR="00A3019D">
        <w:t xml:space="preserve">conservation for </w:t>
      </w:r>
      <w:r>
        <w:t>low income customers in the context of full decoupling?</w:t>
      </w:r>
    </w:p>
    <w:p w:rsidR="00617FB7" w:rsidRPr="00F339FC" w:rsidRDefault="00617FB7" w:rsidP="00617FB7">
      <w:r>
        <w:t>A.</w:t>
      </w:r>
      <w:r>
        <w:tab/>
        <w:t>The Commission’s policy is:</w:t>
      </w:r>
    </w:p>
    <w:p w:rsidR="002F42C2" w:rsidRDefault="00617FB7" w:rsidP="002F42C2">
      <w:pPr>
        <w:spacing w:line="240" w:lineRule="auto"/>
        <w:ind w:left="1440"/>
      </w:pPr>
      <w:r>
        <w:tab/>
      </w:r>
      <w:r w:rsidRPr="00771642">
        <w:rPr>
          <w:i/>
        </w:rPr>
        <w:t>Low-income.</w:t>
      </w:r>
      <w:r>
        <w:t xml:space="preserve">  A utility proposing a full decoupling mechanism must demonstrate whether or not its conservation programs provide benefits to low-income ratepayers that are roughly comparable to other ratepayers and, if not, it must provide low-income ratepayers targeted programs aimed at achieving a level of conservation comparable to that achieved by other ratepayers, so long as such programs are feasible within cost-effectiveness standards.</w:t>
      </w:r>
      <w:r w:rsidR="00B46C8F">
        <w:rPr>
          <w:rStyle w:val="FootnoteReference"/>
        </w:rPr>
        <w:footnoteReference w:id="28"/>
      </w:r>
      <w:r>
        <w:t xml:space="preserve"> </w:t>
      </w:r>
    </w:p>
    <w:p w:rsidR="003B01D4" w:rsidRDefault="003B01D4" w:rsidP="002F42C2">
      <w:pPr>
        <w:spacing w:line="240" w:lineRule="auto"/>
        <w:ind w:left="1440"/>
      </w:pPr>
    </w:p>
    <w:p w:rsidR="003A4B39" w:rsidRDefault="003A4B39" w:rsidP="002F42C2">
      <w:pPr>
        <w:spacing w:line="240" w:lineRule="auto"/>
        <w:ind w:left="1440"/>
      </w:pPr>
    </w:p>
    <w:p w:rsidR="009E549A" w:rsidRDefault="00617FB7" w:rsidP="00F339FC">
      <w:pPr>
        <w:pStyle w:val="Heading3"/>
      </w:pPr>
      <w:r>
        <w:t>Q.</w:t>
      </w:r>
      <w:r>
        <w:tab/>
      </w:r>
      <w:r w:rsidR="00835C85">
        <w:t>How should a decoupling proposal</w:t>
      </w:r>
      <w:r>
        <w:t xml:space="preserve"> </w:t>
      </w:r>
      <w:r w:rsidR="00835C85">
        <w:t>address</w:t>
      </w:r>
      <w:r>
        <w:t xml:space="preserve"> th</w:t>
      </w:r>
      <w:r w:rsidR="003B01D4">
        <w:t>is</w:t>
      </w:r>
      <w:r>
        <w:t xml:space="preserve"> Commission policy</w:t>
      </w:r>
      <w:r w:rsidR="003B01D4">
        <w:t>?</w:t>
      </w:r>
    </w:p>
    <w:p w:rsidR="009E549A" w:rsidRDefault="00617FB7" w:rsidP="00F339FC">
      <w:r>
        <w:t>A.</w:t>
      </w:r>
      <w:r>
        <w:tab/>
      </w:r>
      <w:r w:rsidR="00835C85">
        <w:t xml:space="preserve">This policy is a useful check on the utility’s low income programs to assure they are providing benefits the Commission deems appropriate.  A decoupling proposal must describe </w:t>
      </w:r>
      <w:r w:rsidR="005551BC">
        <w:t xml:space="preserve">its existing programs and </w:t>
      </w:r>
      <w:r w:rsidR="00835C85">
        <w:t xml:space="preserve">how it will regularly measure and compare benefits of </w:t>
      </w:r>
      <w:r w:rsidR="00835C85">
        <w:lastRenderedPageBreak/>
        <w:t>conservation provided to low-income customers and other customers, including appropriate third party evaluation, to meet the spirit of the Commission’s policy.</w:t>
      </w:r>
    </w:p>
    <w:p w:rsidR="00617FB7" w:rsidRDefault="00617FB7" w:rsidP="00617FB7"/>
    <w:p w:rsidR="009E549A" w:rsidRDefault="00617FB7" w:rsidP="00F339FC">
      <w:pPr>
        <w:pStyle w:val="Heading3"/>
      </w:pPr>
      <w:r>
        <w:t>Q.</w:t>
      </w:r>
      <w:r>
        <w:tab/>
      </w:r>
      <w:r w:rsidR="00835C85">
        <w:t xml:space="preserve">Does the revised petition </w:t>
      </w:r>
      <w:r w:rsidR="005551BC">
        <w:t xml:space="preserve">refer to its existing programs and </w:t>
      </w:r>
      <w:r w:rsidR="0008628D">
        <w:t xml:space="preserve">propose </w:t>
      </w:r>
      <w:r w:rsidR="00835C85">
        <w:t xml:space="preserve">analysis and comparison </w:t>
      </w:r>
      <w:r w:rsidR="007F3527">
        <w:t>of low-income conservation bene</w:t>
      </w:r>
      <w:r w:rsidR="00835C85">
        <w:t>fits</w:t>
      </w:r>
      <w:r>
        <w:t>?</w:t>
      </w:r>
    </w:p>
    <w:p w:rsidR="009E549A" w:rsidRDefault="00617FB7" w:rsidP="00F339FC">
      <w:r>
        <w:t>A.</w:t>
      </w:r>
      <w:r>
        <w:tab/>
      </w:r>
      <w:r w:rsidR="00835C85">
        <w:t xml:space="preserve">Yes.  </w:t>
      </w:r>
      <w:r w:rsidR="005551BC">
        <w:t xml:space="preserve">The </w:t>
      </w:r>
      <w:r w:rsidR="002B0EC4">
        <w:t xml:space="preserve">revised </w:t>
      </w:r>
      <w:r w:rsidR="005551BC">
        <w:t>petition relie</w:t>
      </w:r>
      <w:r w:rsidR="002B0EC4">
        <w:t>s</w:t>
      </w:r>
      <w:r w:rsidR="005551BC">
        <w:t xml:space="preserve"> on the review of low-income programs from the previous rate case.</w:t>
      </w:r>
      <w:r w:rsidR="005551BC">
        <w:rPr>
          <w:rStyle w:val="FootnoteReference"/>
        </w:rPr>
        <w:footnoteReference w:id="29"/>
      </w:r>
      <w:r w:rsidR="005551BC">
        <w:t xml:space="preserve">  </w:t>
      </w:r>
      <w:r w:rsidR="00835C85">
        <w:t xml:space="preserve">The </w:t>
      </w:r>
      <w:r w:rsidR="00440769">
        <w:t xml:space="preserve">revised petition </w:t>
      </w:r>
      <w:r w:rsidR="00835C85">
        <w:t>describes a thorough evaluation of this issue at an appropriate point in the mechanisms’ operation</w:t>
      </w:r>
      <w:r w:rsidR="006A44AD">
        <w:t>, which will allow the utility to take steps</w:t>
      </w:r>
      <w:r w:rsidR="00EE161F">
        <w:t>, if necessary,</w:t>
      </w:r>
      <w:r w:rsidR="006A44AD">
        <w:t xml:space="preserve"> to provide low-income ratepayers targeted programs aimed at achieving a level of conservation comparable to that achieved by other ratepayers, so long as such programs are feasible within cost-effectiveness standards</w:t>
      </w:r>
      <w:r w:rsidR="00A3019D">
        <w:t>.</w:t>
      </w:r>
      <w:r w:rsidR="0008628D">
        <w:rPr>
          <w:rStyle w:val="FootnoteReference"/>
        </w:rPr>
        <w:footnoteReference w:id="30"/>
      </w:r>
    </w:p>
    <w:p w:rsidR="003B01D4" w:rsidRDefault="003B01D4" w:rsidP="00F339FC"/>
    <w:p w:rsidR="00B5420A" w:rsidRDefault="00B5420A" w:rsidP="00B5420A">
      <w:pPr>
        <w:pStyle w:val="Heading3"/>
      </w:pPr>
      <w:r>
        <w:t>Q.</w:t>
      </w:r>
      <w:r>
        <w:tab/>
        <w:t xml:space="preserve">What do you conclude regarding </w:t>
      </w:r>
      <w:r w:rsidR="00F528B4">
        <w:t>the</w:t>
      </w:r>
      <w:r>
        <w:t xml:space="preserve"> </w:t>
      </w:r>
      <w:r w:rsidR="00324C26">
        <w:t>revised petition</w:t>
      </w:r>
      <w:r>
        <w:t>?</w:t>
      </w:r>
    </w:p>
    <w:p w:rsidR="00B5420A" w:rsidRDefault="00B5420A" w:rsidP="00B5420A">
      <w:r>
        <w:t>A.</w:t>
      </w:r>
      <w:r>
        <w:tab/>
      </w:r>
      <w:r w:rsidR="0019670C">
        <w:t xml:space="preserve">The </w:t>
      </w:r>
      <w:r w:rsidR="00324C26">
        <w:t>revised petition</w:t>
      </w:r>
      <w:r>
        <w:t xml:space="preserve"> should be </w:t>
      </w:r>
      <w:r w:rsidR="00835C85">
        <w:t>accepted because it appropriately</w:t>
      </w:r>
      <w:r>
        <w:t xml:space="preserve"> address</w:t>
      </w:r>
      <w:r w:rsidR="00835C85">
        <w:t>es</w:t>
      </w:r>
      <w:r>
        <w:t xml:space="preserve"> whether PSE’s conservation programs provide comparable benefits to low-income ratepayers and others.</w:t>
      </w:r>
    </w:p>
    <w:p w:rsidR="00B5420A" w:rsidRDefault="00B5420A" w:rsidP="00F339FC"/>
    <w:p w:rsidR="003B01D4" w:rsidRDefault="0019670C" w:rsidP="00D65A16">
      <w:pPr>
        <w:pStyle w:val="Heading2"/>
        <w:spacing w:line="480" w:lineRule="auto"/>
        <w:ind w:left="720" w:hanging="630"/>
        <w:jc w:val="left"/>
      </w:pPr>
      <w:bookmarkStart w:id="13" w:name="_Toc349312839"/>
      <w:bookmarkStart w:id="14" w:name="_Toc349055640"/>
      <w:r>
        <w:t xml:space="preserve">The </w:t>
      </w:r>
      <w:r w:rsidR="00324C26">
        <w:t>Revised Petition</w:t>
      </w:r>
      <w:r w:rsidR="00324C26" w:rsidRPr="003B01D4">
        <w:t xml:space="preserve"> </w:t>
      </w:r>
      <w:r w:rsidR="00617FB7" w:rsidRPr="003B01D4">
        <w:t>Describe</w:t>
      </w:r>
      <w:r w:rsidR="00835C85">
        <w:t>s</w:t>
      </w:r>
      <w:r w:rsidR="00617FB7" w:rsidRPr="003B01D4">
        <w:t xml:space="preserve"> Incremental </w:t>
      </w:r>
      <w:r w:rsidR="002D1E41" w:rsidRPr="003B01D4">
        <w:t>Conservation</w:t>
      </w:r>
      <w:bookmarkEnd w:id="13"/>
      <w:bookmarkEnd w:id="14"/>
    </w:p>
    <w:p w:rsidR="00D65A16" w:rsidRPr="00D65A16" w:rsidRDefault="00D65A16" w:rsidP="00D65A16"/>
    <w:p w:rsidR="009E549A" w:rsidRDefault="00617FB7" w:rsidP="00F339FC">
      <w:pPr>
        <w:pStyle w:val="Heading3"/>
      </w:pPr>
      <w:r>
        <w:t>Q.</w:t>
      </w:r>
      <w:r>
        <w:tab/>
        <w:t xml:space="preserve">What is the Commission’s policy regarding </w:t>
      </w:r>
      <w:r w:rsidR="00E36EA2">
        <w:t xml:space="preserve">a </w:t>
      </w:r>
      <w:r>
        <w:t>utility’s acquisition of more conservation than it would have acquired</w:t>
      </w:r>
      <w:r w:rsidR="0006130D">
        <w:t xml:space="preserve"> absent decoupling</w:t>
      </w:r>
      <w:r>
        <w:t>?</w:t>
      </w:r>
    </w:p>
    <w:p w:rsidR="003B01D4" w:rsidRDefault="00617FB7" w:rsidP="003B01D4">
      <w:r>
        <w:lastRenderedPageBreak/>
        <w:t>A.</w:t>
      </w:r>
      <w:r>
        <w:tab/>
        <w:t>The Commission requires a de</w:t>
      </w:r>
      <w:r w:rsidR="00EE161F">
        <w:t>coupling proposal to contain: “[e]</w:t>
      </w:r>
      <w:r>
        <w:t>vidence describing any incremental conservation the company intends to pursue in conjunction with the mechanism”.</w:t>
      </w:r>
      <w:r w:rsidR="00B46C8F">
        <w:rPr>
          <w:rStyle w:val="FootnoteReference"/>
        </w:rPr>
        <w:footnoteReference w:id="31"/>
      </w:r>
      <w:r>
        <w:t xml:space="preserve"> </w:t>
      </w:r>
    </w:p>
    <w:p w:rsidR="003B01D4" w:rsidRPr="003B01D4" w:rsidRDefault="003B01D4" w:rsidP="003B01D4"/>
    <w:p w:rsidR="00617FB7" w:rsidRDefault="000935EF" w:rsidP="002D1E41">
      <w:pPr>
        <w:pStyle w:val="Heading3"/>
      </w:pPr>
      <w:r>
        <w:t>Q.</w:t>
      </w:r>
      <w:r>
        <w:tab/>
      </w:r>
      <w:r w:rsidR="0008628D">
        <w:t xml:space="preserve">How does </w:t>
      </w:r>
      <w:r w:rsidR="00835C85">
        <w:t xml:space="preserve">the revised </w:t>
      </w:r>
      <w:r w:rsidR="00324C26">
        <w:t xml:space="preserve">petition </w:t>
      </w:r>
      <w:r w:rsidR="003B01D4">
        <w:t>address this policy</w:t>
      </w:r>
      <w:r w:rsidR="00617FB7">
        <w:t>?</w:t>
      </w:r>
    </w:p>
    <w:p w:rsidR="003B01D4" w:rsidRDefault="000935EF" w:rsidP="00B5420A">
      <w:r>
        <w:t>A.</w:t>
      </w:r>
      <w:r>
        <w:tab/>
      </w:r>
      <w:r w:rsidR="0008628D">
        <w:t>The</w:t>
      </w:r>
      <w:r w:rsidR="005B0F7A">
        <w:t xml:space="preserve"> </w:t>
      </w:r>
      <w:r w:rsidR="00324C26">
        <w:t>revised petition</w:t>
      </w:r>
      <w:r w:rsidR="003B01D4">
        <w:t xml:space="preserve"> describe</w:t>
      </w:r>
      <w:r w:rsidR="00835C85">
        <w:t xml:space="preserve">s </w:t>
      </w:r>
      <w:r w:rsidR="0008628D">
        <w:t xml:space="preserve">a </w:t>
      </w:r>
      <w:r w:rsidR="007F3527">
        <w:t xml:space="preserve">5 percent increase in the </w:t>
      </w:r>
      <w:r w:rsidR="0008628D">
        <w:t xml:space="preserve">electric </w:t>
      </w:r>
      <w:r w:rsidR="007F3527">
        <w:t xml:space="preserve">conservation target, </w:t>
      </w:r>
      <w:r w:rsidR="0008628D">
        <w:t xml:space="preserve">which is </w:t>
      </w:r>
      <w:r w:rsidR="007F3527">
        <w:t>the</w:t>
      </w:r>
      <w:r w:rsidR="003B01D4">
        <w:t xml:space="preserve"> incremental conservation that </w:t>
      </w:r>
      <w:r w:rsidR="00A27A3A">
        <w:t xml:space="preserve">PSE will pursue </w:t>
      </w:r>
      <w:r w:rsidR="0008628D">
        <w:t>if the revised petition is approved</w:t>
      </w:r>
      <w:r w:rsidR="003B01D4">
        <w:t>.</w:t>
      </w:r>
      <w:r w:rsidR="00835C85">
        <w:rPr>
          <w:rStyle w:val="FootnoteReference"/>
        </w:rPr>
        <w:footnoteReference w:id="32"/>
      </w:r>
      <w:r w:rsidR="0008628D">
        <w:t xml:space="preserve">  In addition, as part of the revised petition, PSE has agreed to investigate a natural gas market transformation project in cooperation with Commission </w:t>
      </w:r>
      <w:r w:rsidR="00D2160C">
        <w:t>Staff</w:t>
      </w:r>
      <w:r w:rsidR="0008628D">
        <w:t xml:space="preserve"> and the Northwest Energy Efficiency Alliance</w:t>
      </w:r>
      <w:r w:rsidR="0008628D" w:rsidRPr="003B01D4">
        <w:t>.</w:t>
      </w:r>
    </w:p>
    <w:p w:rsidR="0008628D" w:rsidRDefault="0008628D" w:rsidP="00B5420A"/>
    <w:p w:rsidR="0008628D" w:rsidRDefault="0008628D" w:rsidP="0008628D">
      <w:pPr>
        <w:pStyle w:val="Heading3"/>
      </w:pPr>
      <w:r>
        <w:t>Q.</w:t>
      </w:r>
      <w:r>
        <w:tab/>
        <w:t>What do you conclude about the revised petition?</w:t>
      </w:r>
    </w:p>
    <w:p w:rsidR="003B01D4" w:rsidRDefault="0008628D" w:rsidP="0008628D">
      <w:r>
        <w:t>A.</w:t>
      </w:r>
      <w:r>
        <w:tab/>
        <w:t>The revised petition should be approved because it appropriately addresses</w:t>
      </w:r>
      <w:r w:rsidR="00A30BEE">
        <w:t xml:space="preserve"> the</w:t>
      </w:r>
      <w:r>
        <w:t xml:space="preserve"> incremental conservation</w:t>
      </w:r>
      <w:r w:rsidR="00EE161F">
        <w:t xml:space="preserve"> that</w:t>
      </w:r>
      <w:r>
        <w:t xml:space="preserve"> PSE will pursue.</w:t>
      </w:r>
    </w:p>
    <w:p w:rsidR="0008628D" w:rsidRDefault="0008628D" w:rsidP="0008628D"/>
    <w:p w:rsidR="00617FB7" w:rsidRPr="00AD1DF5" w:rsidRDefault="0019670C" w:rsidP="00D65A16">
      <w:pPr>
        <w:pStyle w:val="Heading2"/>
        <w:ind w:left="720" w:hanging="720"/>
        <w:jc w:val="left"/>
      </w:pPr>
      <w:bookmarkStart w:id="15" w:name="_Toc349312840"/>
      <w:bookmarkStart w:id="16" w:name="_Toc349055641"/>
      <w:r>
        <w:t xml:space="preserve">The </w:t>
      </w:r>
      <w:r w:rsidR="00324C26">
        <w:t>Revised Petition</w:t>
      </w:r>
      <w:r w:rsidR="00324C26" w:rsidRPr="00AD1DF5">
        <w:t xml:space="preserve"> </w:t>
      </w:r>
      <w:r w:rsidR="00284257" w:rsidRPr="00AD1DF5">
        <w:t>D</w:t>
      </w:r>
      <w:r w:rsidR="002D1E41" w:rsidRPr="00AD1DF5">
        <w:t xml:space="preserve">oes </w:t>
      </w:r>
      <w:r w:rsidR="00B30A97">
        <w:t>N</w:t>
      </w:r>
      <w:r w:rsidR="00B30A97" w:rsidRPr="00AD1DF5">
        <w:t xml:space="preserve">ot </w:t>
      </w:r>
      <w:r w:rsidR="00835C85">
        <w:t xml:space="preserve">Change the </w:t>
      </w:r>
      <w:r w:rsidR="00617FB7" w:rsidRPr="00AD1DF5">
        <w:t>Account</w:t>
      </w:r>
      <w:r w:rsidR="00835C85">
        <w:t>ing</w:t>
      </w:r>
      <w:r w:rsidR="00617FB7" w:rsidRPr="00AD1DF5">
        <w:t xml:space="preserve"> for the Net Benefits of Off-System Sales and Costs Avoided Due to the Utility’s Conservation Efforts</w:t>
      </w:r>
      <w:bookmarkEnd w:id="15"/>
      <w:bookmarkEnd w:id="16"/>
    </w:p>
    <w:p w:rsidR="002F42C2" w:rsidRPr="00AD1DF5" w:rsidRDefault="002F42C2" w:rsidP="00FB2784"/>
    <w:p w:rsidR="009E549A" w:rsidRDefault="00617FB7" w:rsidP="00DC5950">
      <w:pPr>
        <w:pStyle w:val="Heading3"/>
      </w:pPr>
      <w:r>
        <w:t>Q.</w:t>
      </w:r>
      <w:r>
        <w:tab/>
        <w:t>What is the Commission’s policy on increased wholesale sales as a result of decoupling?</w:t>
      </w:r>
    </w:p>
    <w:p w:rsidR="00617FB7" w:rsidRDefault="00617FB7">
      <w:r>
        <w:t xml:space="preserve">A. </w:t>
      </w:r>
      <w:r>
        <w:tab/>
        <w:t>The Commission requires a full decoupling mechanism to account for certain off-system sales and avoided costs, and to net the benefits as part of the true-up:</w:t>
      </w:r>
    </w:p>
    <w:p w:rsidR="00617FB7" w:rsidRDefault="00617FB7" w:rsidP="0006130D">
      <w:pPr>
        <w:spacing w:line="240" w:lineRule="auto"/>
        <w:ind w:left="1440"/>
      </w:pPr>
      <w:r>
        <w:lastRenderedPageBreak/>
        <w:tab/>
      </w:r>
      <w:r w:rsidR="00E07C71" w:rsidRPr="006C1D8C">
        <w:rPr>
          <w:i/>
        </w:rPr>
        <w:t>Accounting for Off-System Sales and Avoided Costs.</w:t>
      </w:r>
      <w:r w:rsidR="00E07C71" w:rsidRPr="00DC5950">
        <w:t xml:space="preserve">  </w:t>
      </w:r>
      <w:r>
        <w:t xml:space="preserve">A description of the method the company intends to use to determine the financial benefits associated with off-system sales or avoided costs attributable to the utility's conservation efforts and then to net these benefits against the true-up provided in this mechanism. </w:t>
      </w:r>
      <w:r>
        <w:rPr>
          <w:rStyle w:val="FootnoteReference"/>
        </w:rPr>
        <w:footnoteReference w:id="33"/>
      </w:r>
    </w:p>
    <w:p w:rsidR="0006130D" w:rsidRDefault="0006130D" w:rsidP="0006130D">
      <w:pPr>
        <w:spacing w:line="240" w:lineRule="auto"/>
        <w:ind w:left="1440"/>
      </w:pPr>
    </w:p>
    <w:p w:rsidR="00617FB7" w:rsidRDefault="00617FB7">
      <w:r>
        <w:tab/>
        <w:t>In the related footnote, the Commission explains:</w:t>
      </w:r>
    </w:p>
    <w:p w:rsidR="00617FB7" w:rsidRDefault="00617FB7" w:rsidP="00617FB7">
      <w:pPr>
        <w:spacing w:line="240" w:lineRule="auto"/>
        <w:ind w:left="1440"/>
      </w:pPr>
      <w:r>
        <w:tab/>
        <w:t>In principle, for every megawatt hour saved through the operation of the utility’s conservation program, it has the opportunity to either sell the same in the appropriate market (off-system sales), or avoid having to purchase or produce electricity to meet its load requirements.  The accounting of this form of found revenue differs between electric utilities with power cost adjustment mechanisms and those without. After rates have been set for an electric utility that does not have a power cost adjustment mechanism, the marginal avoided cost of producing or buying electricity, or the marginal revenue (net of marginal cost) from the sale of electricity made surplus by conservation not incorporated into the calculation of the power costs, is a direct benefit to the utility shareholders.  For utilities with a power cost adjustment mechanism, loads are projected in a future test year, with reductions in the load for the expected conservation levels.  Consequently, for the effective rate year following the setting of rates, only conservation above the expected level of conservation would result in an opportunity to reduce power costs or realize additional revenues from incremental sales.  In the years after the projected rate year, the marginal avoided cost of producing or buying electricity, or the marginal revenue (net of marginal cost) from a sale of electricity made surplus by conservation, is a direct benefit.</w:t>
      </w:r>
      <w:r>
        <w:rPr>
          <w:rStyle w:val="FootnoteReference"/>
        </w:rPr>
        <w:footnoteReference w:id="34"/>
      </w:r>
      <w:r w:rsidR="008D6153">
        <w:t xml:space="preserve"> </w:t>
      </w:r>
    </w:p>
    <w:p w:rsidR="009E549A" w:rsidRDefault="009E549A" w:rsidP="00DC5950"/>
    <w:p w:rsidR="009E549A" w:rsidRDefault="00617FB7" w:rsidP="00DC5950">
      <w:pPr>
        <w:pStyle w:val="Heading3"/>
      </w:pPr>
      <w:r>
        <w:t>Q.</w:t>
      </w:r>
      <w:r>
        <w:tab/>
      </w:r>
      <w:r w:rsidR="0008628D">
        <w:t xml:space="preserve">Does </w:t>
      </w:r>
      <w:r w:rsidR="00D2160C">
        <w:t>Staff</w:t>
      </w:r>
      <w:r w:rsidR="0008628D">
        <w:t xml:space="preserve"> have any concerns about implementing this policy</w:t>
      </w:r>
      <w:r>
        <w:t>?</w:t>
      </w:r>
    </w:p>
    <w:p w:rsidR="009E549A" w:rsidRDefault="00617FB7" w:rsidP="00DC5950">
      <w:r>
        <w:t>A.</w:t>
      </w:r>
      <w:r>
        <w:tab/>
      </w:r>
      <w:r w:rsidR="0008628D">
        <w:t>Staff is only concerned about the timing of implementing this policy</w:t>
      </w:r>
      <w:r>
        <w:t xml:space="preserve">.  When customers conserve energy, the utility </w:t>
      </w:r>
      <w:r w:rsidR="008B66AC">
        <w:t xml:space="preserve">should </w:t>
      </w:r>
      <w:r>
        <w:t xml:space="preserve">market the electricity the utility would have sold to its own retail customers.  Moreover, the utility incurs lower costs due to the wholesale sales, such as reduced line losses, reduced uncollectible expense, and avoidance of the Public Utility Tax, which effectively applies only to retail sales.  </w:t>
      </w:r>
    </w:p>
    <w:p w:rsidR="009E549A" w:rsidRDefault="00617FB7" w:rsidP="00DC5950">
      <w:r>
        <w:tab/>
      </w:r>
      <w:r>
        <w:tab/>
        <w:t xml:space="preserve">Under full decoupling, ratepayers guarantee the utility’s recovery of a specified level of </w:t>
      </w:r>
      <w:r w:rsidR="0008628D">
        <w:t xml:space="preserve">delivery </w:t>
      </w:r>
      <w:r>
        <w:t xml:space="preserve">revenues per customer.  It is appropriate for </w:t>
      </w:r>
      <w:r w:rsidR="001D766B">
        <w:t xml:space="preserve">the </w:t>
      </w:r>
      <w:r w:rsidR="00D236A2">
        <w:t xml:space="preserve">Commission </w:t>
      </w:r>
      <w:r>
        <w:t xml:space="preserve">to </w:t>
      </w:r>
      <w:r w:rsidR="001D766B">
        <w:lastRenderedPageBreak/>
        <w:t xml:space="preserve">recognize </w:t>
      </w:r>
      <w:r w:rsidR="00CB1C41">
        <w:t>the</w:t>
      </w:r>
      <w:r>
        <w:t xml:space="preserve"> benefits of </w:t>
      </w:r>
      <w:r w:rsidR="00B86021">
        <w:t xml:space="preserve">reduced power purchases or </w:t>
      </w:r>
      <w:r>
        <w:t>enhanced wholesale sales that may result from decoupling</w:t>
      </w:r>
      <w:r w:rsidR="00B86021">
        <w:t xml:space="preserve"> </w:t>
      </w:r>
      <w:r w:rsidR="00D236A2">
        <w:t>in designing and approving a</w:t>
      </w:r>
      <w:r w:rsidR="00B86021">
        <w:t xml:space="preserve"> power cost adjustment mechanism</w:t>
      </w:r>
      <w:r>
        <w:t>.</w:t>
      </w:r>
      <w:r w:rsidR="008B66AC">
        <w:t xml:space="preserve">  </w:t>
      </w:r>
    </w:p>
    <w:p w:rsidR="009E549A" w:rsidRDefault="009E549A" w:rsidP="00DC5950"/>
    <w:p w:rsidR="009E549A" w:rsidRDefault="00617FB7" w:rsidP="00DC5950">
      <w:pPr>
        <w:pStyle w:val="Heading3"/>
      </w:pPr>
      <w:r>
        <w:t>Q.</w:t>
      </w:r>
      <w:r>
        <w:tab/>
        <w:t xml:space="preserve">Does </w:t>
      </w:r>
      <w:r w:rsidR="00F528B4">
        <w:t>the</w:t>
      </w:r>
      <w:r>
        <w:t xml:space="preserve"> </w:t>
      </w:r>
      <w:r w:rsidR="00835C85">
        <w:t>Commission’s Order 08 provide any guidance on a</w:t>
      </w:r>
      <w:r>
        <w:t>pply</w:t>
      </w:r>
      <w:r w:rsidR="00835C85">
        <w:t>ing</w:t>
      </w:r>
      <w:r>
        <w:t xml:space="preserve"> this Commission policy?</w:t>
      </w:r>
    </w:p>
    <w:p w:rsidR="009E549A" w:rsidRDefault="00617FB7" w:rsidP="00DC5950">
      <w:r>
        <w:t>A.</w:t>
      </w:r>
      <w:r>
        <w:tab/>
      </w:r>
      <w:r w:rsidR="00835C85">
        <w:t>Yes. The Commission rejected Staff’s request for a separate proceeding to adjust the PCA.</w:t>
      </w:r>
      <w:r w:rsidR="00835C85">
        <w:rPr>
          <w:rStyle w:val="FootnoteReference"/>
        </w:rPr>
        <w:footnoteReference w:id="35"/>
      </w:r>
      <w:r w:rsidR="00835C85">
        <w:t xml:space="preserve">  In light of this action and the Commission’s statement about the Coalition’s proposal in the previous rate case being “consistent in intent and general design” with the Commission’s Decoupling Policy Statement, Staff believes it is appropriate to implement decoupling without first addressing off-system sales.</w:t>
      </w:r>
      <w:r w:rsidR="00835C85">
        <w:rPr>
          <w:rStyle w:val="FootnoteReference"/>
        </w:rPr>
        <w:footnoteReference w:id="36"/>
      </w:r>
      <w:r w:rsidR="00835C85">
        <w:t xml:space="preserve"> </w:t>
      </w:r>
      <w:r>
        <w:t xml:space="preserve">Mr. Cavanagh </w:t>
      </w:r>
      <w:r w:rsidR="00013F2A">
        <w:t xml:space="preserve">agrees </w:t>
      </w:r>
      <w:r>
        <w:t xml:space="preserve">that </w:t>
      </w:r>
      <w:r w:rsidR="00284257">
        <w:t xml:space="preserve">PSE’s </w:t>
      </w:r>
      <w:r>
        <w:t>PCA “already addresses this concern” regarding enhanced wholesale sales.</w:t>
      </w:r>
      <w:r>
        <w:rPr>
          <w:rStyle w:val="FootnoteReference"/>
        </w:rPr>
        <w:footnoteReference w:id="37"/>
      </w:r>
      <w:r>
        <w:t xml:space="preserve">  </w:t>
      </w:r>
    </w:p>
    <w:p w:rsidR="00617FB7" w:rsidRDefault="00617FB7" w:rsidP="00617FB7"/>
    <w:p w:rsidR="009E549A" w:rsidRDefault="00617FB7" w:rsidP="00DC5950">
      <w:pPr>
        <w:pStyle w:val="Heading3"/>
      </w:pPr>
      <w:r>
        <w:t>Q.</w:t>
      </w:r>
      <w:r>
        <w:tab/>
      </w:r>
      <w:r w:rsidR="00835C85">
        <w:t>When should the Commission address the issue of off-system sales and avoided costs from conservation</w:t>
      </w:r>
      <w:r>
        <w:t>?</w:t>
      </w:r>
    </w:p>
    <w:p w:rsidR="009E549A" w:rsidRDefault="00835C85" w:rsidP="00DC5950">
      <w:r>
        <w:t>A.</w:t>
      </w:r>
      <w:r>
        <w:tab/>
      </w:r>
      <w:r w:rsidR="00B11B64">
        <w:t>This issue is best addressed w</w:t>
      </w:r>
      <w:r>
        <w:t xml:space="preserve">ithin </w:t>
      </w:r>
      <w:r w:rsidR="00B11B64">
        <w:t>a power cost only rate case, or in a general rate case</w:t>
      </w:r>
      <w:r w:rsidR="00617FB7">
        <w:t xml:space="preserve">.  </w:t>
      </w:r>
      <w:r w:rsidR="00284257">
        <w:t xml:space="preserve">PSE’s </w:t>
      </w:r>
      <w:r w:rsidR="00617FB7">
        <w:t xml:space="preserve">PCA has a “dead band” and “sharing bands” which, as a practical matter, </w:t>
      </w:r>
      <w:r>
        <w:t>currently</w:t>
      </w:r>
      <w:r w:rsidR="00617FB7">
        <w:t xml:space="preserve"> result in ratepayers not receiving the full benefit of incremental wholesale sales occasioned by full decoupling.  This is because any such sales likely would fall within the dead band and</w:t>
      </w:r>
      <w:r w:rsidR="006C6715">
        <w:t>,</w:t>
      </w:r>
      <w:r w:rsidR="00617FB7">
        <w:t xml:space="preserve"> therefore</w:t>
      </w:r>
      <w:r w:rsidR="006C6715">
        <w:t>,</w:t>
      </w:r>
      <w:r w:rsidR="00617FB7">
        <w:t xml:space="preserve"> PSE would retain any benefits of enhanced wholesale sales due to decoupling.</w:t>
      </w:r>
      <w:r w:rsidR="00D40025">
        <w:rPr>
          <w:rStyle w:val="FootnoteReference"/>
        </w:rPr>
        <w:footnoteReference w:id="38"/>
      </w:r>
      <w:r w:rsidR="00371C9A">
        <w:t xml:space="preserve"> </w:t>
      </w:r>
      <w:r w:rsidR="00371C9A" w:rsidRPr="00371C9A">
        <w:t xml:space="preserve"> </w:t>
      </w:r>
      <w:r>
        <w:t xml:space="preserve">While this is correct, there may be other, more urgent </w:t>
      </w:r>
      <w:r w:rsidR="00CB1C41">
        <w:t>reaso</w:t>
      </w:r>
      <w:r>
        <w:t xml:space="preserve">ns to retain </w:t>
      </w:r>
      <w:r>
        <w:lastRenderedPageBreak/>
        <w:t>the dead bands within the PCA, such as the need to ensure that PSE has an incentive to get the best possible price when negotiating for power contracts.</w:t>
      </w:r>
    </w:p>
    <w:p w:rsidR="00617FB7" w:rsidRDefault="00617FB7" w:rsidP="00617FB7"/>
    <w:p w:rsidR="00284257" w:rsidDel="00284257" w:rsidRDefault="00617FB7" w:rsidP="002F42C2">
      <w:pPr>
        <w:pStyle w:val="Heading3"/>
      </w:pPr>
      <w:r w:rsidRPr="002F42C2">
        <w:t>Q.</w:t>
      </w:r>
      <w:r w:rsidRPr="002F42C2">
        <w:tab/>
      </w:r>
      <w:r w:rsidR="00114823">
        <w:t xml:space="preserve">Is it </w:t>
      </w:r>
      <w:r w:rsidR="00167359" w:rsidRPr="002F42C2">
        <w:t xml:space="preserve">consistent with the Decoupling Policy Statement to </w:t>
      </w:r>
      <w:r w:rsidR="00284257" w:rsidRPr="002F42C2">
        <w:t xml:space="preserve">allow decoupling </w:t>
      </w:r>
      <w:r w:rsidR="006C6715">
        <w:t xml:space="preserve">while also </w:t>
      </w:r>
      <w:r w:rsidR="00284257" w:rsidRPr="002F42C2">
        <w:t>maintain</w:t>
      </w:r>
      <w:r w:rsidR="006C6715">
        <w:t>ing</w:t>
      </w:r>
      <w:r w:rsidR="00284257" w:rsidRPr="002F42C2">
        <w:t xml:space="preserve"> the </w:t>
      </w:r>
      <w:r w:rsidR="00167359" w:rsidRPr="002F42C2">
        <w:t xml:space="preserve">current </w:t>
      </w:r>
      <w:r w:rsidR="00284257" w:rsidRPr="002F42C2">
        <w:t>PCA</w:t>
      </w:r>
      <w:r w:rsidR="00167359" w:rsidRPr="002F42C2">
        <w:t>?</w:t>
      </w:r>
    </w:p>
    <w:p w:rsidR="009E549A" w:rsidRDefault="00617FB7" w:rsidP="00DC5950">
      <w:r>
        <w:t>A.</w:t>
      </w:r>
      <w:r>
        <w:tab/>
      </w:r>
      <w:r w:rsidR="00835C85">
        <w:t>Staff testified previously</w:t>
      </w:r>
      <w:r w:rsidR="00A30BEE">
        <w:t xml:space="preserve"> that </w:t>
      </w:r>
      <w:r w:rsidR="00835C85">
        <w:t>t</w:t>
      </w:r>
      <w:r>
        <w:t xml:space="preserve">he current structure of the PCA and the Commission’s decoupling policy on enhanced wholesale sales </w:t>
      </w:r>
      <w:r w:rsidR="00A30BEE">
        <w:t xml:space="preserve">were </w:t>
      </w:r>
      <w:r>
        <w:t>not compatible.</w:t>
      </w:r>
      <w:r w:rsidR="00A30BEE">
        <w:rPr>
          <w:rStyle w:val="FootnoteReference"/>
        </w:rPr>
        <w:footnoteReference w:id="39"/>
      </w:r>
      <w:r>
        <w:t xml:space="preserve">  </w:t>
      </w:r>
      <w:r w:rsidR="00A30BEE">
        <w:t xml:space="preserve">In making a determination </w:t>
      </w:r>
      <w:r w:rsidR="00EE161F">
        <w:t>to either change</w:t>
      </w:r>
      <w:r>
        <w:t xml:space="preserve"> the PCA</w:t>
      </w:r>
      <w:r w:rsidR="00A30BEE">
        <w:t xml:space="preserve"> as Staff had advocated</w:t>
      </w:r>
      <w:r>
        <w:t>,</w:t>
      </w:r>
      <w:r w:rsidR="00BE656D">
        <w:t xml:space="preserve"> </w:t>
      </w:r>
      <w:r>
        <w:t xml:space="preserve">or </w:t>
      </w:r>
      <w:r w:rsidR="00A30BEE">
        <w:t>refrain from</w:t>
      </w:r>
      <w:r>
        <w:t xml:space="preserve"> apply</w:t>
      </w:r>
      <w:r w:rsidR="00A30BEE">
        <w:t>ing</w:t>
      </w:r>
      <w:r>
        <w:t xml:space="preserve"> the Commission’s decoupling policy on wholesale sales</w:t>
      </w:r>
      <w:r w:rsidR="00A30BEE">
        <w:t>,</w:t>
      </w:r>
      <w:r>
        <w:t xml:space="preserve"> </w:t>
      </w:r>
      <w:r w:rsidR="00A30BEE">
        <w:t>t</w:t>
      </w:r>
      <w:r w:rsidR="00CB1C41">
        <w:t xml:space="preserve">he Commission </w:t>
      </w:r>
      <w:r w:rsidR="00A30BEE">
        <w:t>has</w:t>
      </w:r>
      <w:r w:rsidR="00CB1C41">
        <w:t xml:space="preserve"> elect</w:t>
      </w:r>
      <w:r w:rsidR="00A30BEE">
        <w:t>ed</w:t>
      </w:r>
      <w:r w:rsidR="00CB1C41">
        <w:t xml:space="preserve"> the latter.</w:t>
      </w:r>
      <w:r>
        <w:t xml:space="preserve">  </w:t>
      </w:r>
      <w:r w:rsidR="00C61705">
        <w:t>Given this guidance, it is appropriate to maintain the current PCA and approve the revised petition.  If the PCA needs to be modified, it should be done separately</w:t>
      </w:r>
      <w:r w:rsidR="00DA0D11" w:rsidRPr="00DA0D11">
        <w:t xml:space="preserve"> </w:t>
      </w:r>
      <w:r w:rsidR="00DA0D11">
        <w:t>within a power cost only rate case, or in a general rate case</w:t>
      </w:r>
      <w:r w:rsidR="00C61705">
        <w:t>.</w:t>
      </w:r>
    </w:p>
    <w:p w:rsidR="00EE2EF5" w:rsidRDefault="00EE2EF5" w:rsidP="00DC5950"/>
    <w:p w:rsidR="00617FB7" w:rsidRDefault="00EE2EF5" w:rsidP="00EE2EF5">
      <w:pPr>
        <w:pStyle w:val="Heading1"/>
      </w:pPr>
      <w:bookmarkStart w:id="17" w:name="_Toc349312841"/>
      <w:bookmarkStart w:id="18" w:name="_Toc349055642"/>
      <w:r>
        <w:t>CONCLUSION</w:t>
      </w:r>
      <w:bookmarkEnd w:id="17"/>
      <w:bookmarkEnd w:id="18"/>
    </w:p>
    <w:p w:rsidR="00EE2EF5" w:rsidRPr="00EE2EF5" w:rsidRDefault="00EE2EF5" w:rsidP="00EE2EF5"/>
    <w:p w:rsidR="00E56E17" w:rsidRPr="00E56E17" w:rsidRDefault="00E56E17" w:rsidP="00617FB7">
      <w:pPr>
        <w:rPr>
          <w:b/>
        </w:rPr>
      </w:pPr>
      <w:r w:rsidRPr="00E56E17">
        <w:rPr>
          <w:b/>
        </w:rPr>
        <w:t>Q.</w:t>
      </w:r>
      <w:r w:rsidRPr="00E56E17">
        <w:rPr>
          <w:b/>
        </w:rPr>
        <w:tab/>
        <w:t xml:space="preserve">Please summarize your position on the </w:t>
      </w:r>
      <w:r w:rsidR="00324C26">
        <w:rPr>
          <w:b/>
        </w:rPr>
        <w:t>revised petition</w:t>
      </w:r>
      <w:r w:rsidRPr="00E56E17">
        <w:rPr>
          <w:b/>
        </w:rPr>
        <w:t>.</w:t>
      </w:r>
    </w:p>
    <w:p w:rsidR="00E56E17" w:rsidRDefault="00E56E17" w:rsidP="00617FB7">
      <w:r>
        <w:t>A.</w:t>
      </w:r>
      <w:r>
        <w:tab/>
      </w:r>
      <w:r w:rsidR="00246AAB">
        <w:t xml:space="preserve">The Commission should </w:t>
      </w:r>
      <w:r w:rsidR="00324C26">
        <w:t xml:space="preserve">approve </w:t>
      </w:r>
      <w:r w:rsidR="00835C85">
        <w:t>the revised</w:t>
      </w:r>
      <w:r w:rsidR="00246AAB">
        <w:t xml:space="preserve"> </w:t>
      </w:r>
      <w:r w:rsidR="00324C26">
        <w:t>petition</w:t>
      </w:r>
      <w:r w:rsidR="00246AAB">
        <w:t>.</w:t>
      </w:r>
    </w:p>
    <w:p w:rsidR="0007020D" w:rsidRDefault="0007020D" w:rsidP="00617FB7"/>
    <w:p w:rsidR="0007020D" w:rsidRDefault="0007020D" w:rsidP="00474436">
      <w:pPr>
        <w:pStyle w:val="Heading3"/>
      </w:pPr>
      <w:r>
        <w:t>Q.</w:t>
      </w:r>
      <w:r>
        <w:tab/>
      </w:r>
      <w:r w:rsidR="00CB1C41">
        <w:t xml:space="preserve">Staff recommended that the Commission reject full decoupling in </w:t>
      </w:r>
      <w:r w:rsidR="006B1D9D">
        <w:t>PSE’s</w:t>
      </w:r>
      <w:r w:rsidR="00CB1C41">
        <w:t xml:space="preserve"> previous</w:t>
      </w:r>
      <w:r w:rsidR="006B1D9D">
        <w:t xml:space="preserve"> general rate</w:t>
      </w:r>
      <w:r w:rsidR="00CB1C41">
        <w:t xml:space="preserve"> case, and provided recommendations on issues to address if decoupling </w:t>
      </w:r>
      <w:r w:rsidR="00CB1C41">
        <w:lastRenderedPageBreak/>
        <w:t>were implemented.</w:t>
      </w:r>
      <w:r w:rsidR="00CB1C41">
        <w:rPr>
          <w:rStyle w:val="FootnoteReference"/>
        </w:rPr>
        <w:footnoteReference w:id="40"/>
      </w:r>
      <w:r w:rsidR="00CB1C41">
        <w:t xml:space="preserve">  Is the revised </w:t>
      </w:r>
      <w:r w:rsidR="00324C26">
        <w:t xml:space="preserve">petition </w:t>
      </w:r>
      <w:r w:rsidR="00CB1C41">
        <w:t>consistent with Staff’s recommendations</w:t>
      </w:r>
      <w:r>
        <w:t>?</w:t>
      </w:r>
    </w:p>
    <w:p w:rsidR="0007020D" w:rsidRDefault="0007020D" w:rsidP="00617FB7">
      <w:r>
        <w:t>A.</w:t>
      </w:r>
      <w:r>
        <w:tab/>
      </w:r>
      <w:r w:rsidR="00CB1C41">
        <w:t xml:space="preserve">Yes.  Staff’s recommendations are below, with the revised </w:t>
      </w:r>
      <w:r w:rsidR="00324C26">
        <w:t xml:space="preserve">petition’s </w:t>
      </w:r>
      <w:r w:rsidR="00CB1C41">
        <w:t>responses</w:t>
      </w:r>
      <w:r>
        <w:t>:</w:t>
      </w:r>
    </w:p>
    <w:tbl>
      <w:tblPr>
        <w:tblStyle w:val="TableGrid"/>
        <w:tblW w:w="0" w:type="auto"/>
        <w:tblInd w:w="720" w:type="dxa"/>
        <w:tblLook w:val="04A0" w:firstRow="1" w:lastRow="0" w:firstColumn="1" w:lastColumn="0" w:noHBand="0" w:noVBand="1"/>
      </w:tblPr>
      <w:tblGrid>
        <w:gridCol w:w="4698"/>
        <w:gridCol w:w="3798"/>
      </w:tblGrid>
      <w:tr w:rsidR="008C304F" w:rsidRPr="00EE2EF5" w:rsidTr="00C61705">
        <w:tc>
          <w:tcPr>
            <w:tcW w:w="4698" w:type="dxa"/>
          </w:tcPr>
          <w:p w:rsidR="008C304F" w:rsidRPr="00EE2EF5" w:rsidRDefault="008C304F" w:rsidP="008C304F">
            <w:pPr>
              <w:spacing w:line="360" w:lineRule="auto"/>
              <w:ind w:left="0" w:firstLine="0"/>
              <w:rPr>
                <w:b/>
              </w:rPr>
            </w:pPr>
            <w:r w:rsidRPr="00EE2EF5">
              <w:rPr>
                <w:b/>
              </w:rPr>
              <w:t>Staff’s recommendations from</w:t>
            </w:r>
            <w:r w:rsidR="006B1D9D">
              <w:rPr>
                <w:b/>
              </w:rPr>
              <w:t xml:space="preserve"> the previous general rate case</w:t>
            </w:r>
          </w:p>
        </w:tc>
        <w:tc>
          <w:tcPr>
            <w:tcW w:w="3798" w:type="dxa"/>
          </w:tcPr>
          <w:p w:rsidR="008C304F" w:rsidRPr="00EE2EF5" w:rsidRDefault="008C304F" w:rsidP="00324C26">
            <w:pPr>
              <w:spacing w:line="360" w:lineRule="auto"/>
              <w:ind w:left="0" w:firstLine="0"/>
              <w:rPr>
                <w:b/>
              </w:rPr>
            </w:pPr>
            <w:r w:rsidRPr="00EE2EF5">
              <w:rPr>
                <w:b/>
              </w:rPr>
              <w:t xml:space="preserve">The revised </w:t>
            </w:r>
            <w:r w:rsidR="00324C26" w:rsidRPr="00EE2EF5">
              <w:rPr>
                <w:b/>
              </w:rPr>
              <w:t>petition</w:t>
            </w:r>
          </w:p>
        </w:tc>
      </w:tr>
      <w:tr w:rsidR="008C304F" w:rsidRPr="00CB1C41" w:rsidTr="00C61705">
        <w:tc>
          <w:tcPr>
            <w:tcW w:w="4698" w:type="dxa"/>
          </w:tcPr>
          <w:p w:rsidR="008C304F" w:rsidRPr="00CB1C41" w:rsidRDefault="008C304F" w:rsidP="004C7876">
            <w:pPr>
              <w:spacing w:line="360" w:lineRule="auto"/>
              <w:ind w:left="0" w:firstLine="0"/>
            </w:pPr>
            <w:r w:rsidRPr="00CB1C41">
              <w:t xml:space="preserve">Reduce the overall rate of return </w:t>
            </w:r>
            <w:r>
              <w:t xml:space="preserve">by adopting a </w:t>
            </w:r>
            <w:r w:rsidRPr="00CB1C41">
              <w:t>return on equity in the lower end of Mr. Elgin’s range (9.00 to 9.50 percent), or by reducing the amount of equity in the company’s capital structure,</w:t>
            </w:r>
            <w:r w:rsidRPr="00CB1C41">
              <w:rPr>
                <w:rStyle w:val="FootnoteReference"/>
              </w:rPr>
              <w:t xml:space="preserve"> </w:t>
            </w:r>
            <w:r w:rsidRPr="00CB1C41">
              <w:t>or both.</w:t>
            </w:r>
          </w:p>
        </w:tc>
        <w:tc>
          <w:tcPr>
            <w:tcW w:w="3798" w:type="dxa"/>
          </w:tcPr>
          <w:p w:rsidR="008C304F" w:rsidRPr="00CB1C41" w:rsidRDefault="003E66C9" w:rsidP="008C304F">
            <w:pPr>
              <w:spacing w:line="360" w:lineRule="auto"/>
              <w:ind w:left="0" w:firstLine="0"/>
            </w:pPr>
            <w:r>
              <w:t>Addresses rate of return in the next</w:t>
            </w:r>
            <w:r w:rsidR="00D438A6">
              <w:t xml:space="preserve"> general rate case.</w:t>
            </w:r>
          </w:p>
        </w:tc>
      </w:tr>
      <w:tr w:rsidR="008C304F" w:rsidRPr="00CB1C41" w:rsidTr="00C61705">
        <w:tc>
          <w:tcPr>
            <w:tcW w:w="4698" w:type="dxa"/>
          </w:tcPr>
          <w:p w:rsidR="008C304F" w:rsidRPr="00CB1C41" w:rsidRDefault="008C304F" w:rsidP="004C7876">
            <w:pPr>
              <w:spacing w:line="360" w:lineRule="auto"/>
              <w:ind w:left="0" w:firstLine="0"/>
            </w:pPr>
            <w:r w:rsidRPr="00CB1C41">
              <w:t>Adopt the Earnings Test outlined in the Staff Response to the Bench Request, modifying the deadband as appropriate.</w:t>
            </w:r>
          </w:p>
        </w:tc>
        <w:tc>
          <w:tcPr>
            <w:tcW w:w="3798" w:type="dxa"/>
          </w:tcPr>
          <w:p w:rsidR="008C304F" w:rsidRPr="00CB1C41" w:rsidRDefault="00D438A6" w:rsidP="006B1D9D">
            <w:pPr>
              <w:spacing w:line="360" w:lineRule="auto"/>
              <w:ind w:left="0" w:firstLine="0"/>
            </w:pPr>
            <w:r>
              <w:t xml:space="preserve">Adopts the Earnings Test with </w:t>
            </w:r>
            <w:r w:rsidR="00C61705">
              <w:t xml:space="preserve">a higher deadband but adds </w:t>
            </w:r>
            <w:r w:rsidR="006B1D9D">
              <w:t>50</w:t>
            </w:r>
            <w:r w:rsidR="00C61705">
              <w:t>-</w:t>
            </w:r>
            <w:r w:rsidR="006B1D9D">
              <w:t>50</w:t>
            </w:r>
            <w:r w:rsidR="00C61705">
              <w:t xml:space="preserve"> sharing of over-earning</w:t>
            </w:r>
            <w:r>
              <w:t>.</w:t>
            </w:r>
          </w:p>
        </w:tc>
      </w:tr>
      <w:tr w:rsidR="008C304F" w:rsidRPr="00CB1C41" w:rsidTr="00C61705">
        <w:tc>
          <w:tcPr>
            <w:tcW w:w="4698" w:type="dxa"/>
          </w:tcPr>
          <w:p w:rsidR="008C304F" w:rsidRPr="00CB1C41" w:rsidRDefault="008C304F" w:rsidP="008C304F">
            <w:pPr>
              <w:spacing w:line="360" w:lineRule="auto"/>
              <w:ind w:left="0" w:firstLine="0"/>
            </w:pPr>
            <w:r w:rsidRPr="00CB1C41">
              <w:t>Adopt the Conservation Test outlined in the Staff Response to Bench Request.</w:t>
            </w:r>
            <w:r w:rsidRPr="00CB1C41">
              <w:rPr>
                <w:rStyle w:val="FootnoteReference"/>
              </w:rPr>
              <w:footnoteReference w:id="41"/>
            </w:r>
          </w:p>
        </w:tc>
        <w:tc>
          <w:tcPr>
            <w:tcW w:w="3798" w:type="dxa"/>
          </w:tcPr>
          <w:p w:rsidR="008C304F" w:rsidRPr="00CB1C41" w:rsidRDefault="00D438A6" w:rsidP="00C61705">
            <w:pPr>
              <w:spacing w:line="360" w:lineRule="auto"/>
              <w:ind w:left="0" w:firstLine="0"/>
            </w:pPr>
            <w:r>
              <w:t xml:space="preserve">Offers the application of </w:t>
            </w:r>
            <w:r w:rsidR="00C61705">
              <w:t xml:space="preserve">EIA </w:t>
            </w:r>
            <w:r>
              <w:t xml:space="preserve">penalties for the failure to meet the </w:t>
            </w:r>
            <w:r w:rsidR="00C61705">
              <w:t xml:space="preserve">incremental increase to the electric conservation </w:t>
            </w:r>
            <w:r>
              <w:t>target.</w:t>
            </w:r>
          </w:p>
        </w:tc>
      </w:tr>
      <w:tr w:rsidR="008C304F" w:rsidRPr="00CB1C41" w:rsidTr="00C61705">
        <w:tc>
          <w:tcPr>
            <w:tcW w:w="4698" w:type="dxa"/>
          </w:tcPr>
          <w:p w:rsidR="008C304F" w:rsidRPr="00CB1C41" w:rsidRDefault="008C304F" w:rsidP="004C7876">
            <w:pPr>
              <w:spacing w:line="360" w:lineRule="auto"/>
              <w:ind w:left="0" w:firstLine="0"/>
            </w:pPr>
            <w:r w:rsidRPr="00CB1C41">
              <w:t>Require third party evaluation of conservation achievement, which will also identify any incremental conservation.</w:t>
            </w:r>
          </w:p>
        </w:tc>
        <w:tc>
          <w:tcPr>
            <w:tcW w:w="3798" w:type="dxa"/>
          </w:tcPr>
          <w:p w:rsidR="008C304F" w:rsidRPr="00CB1C41" w:rsidRDefault="00D438A6" w:rsidP="006B1D9D">
            <w:pPr>
              <w:spacing w:line="360" w:lineRule="auto"/>
              <w:ind w:left="0" w:firstLine="0"/>
            </w:pPr>
            <w:r>
              <w:t>Relies on the third party-evaluation of conservation required under Docket UE-111881.</w:t>
            </w:r>
            <w:r w:rsidR="00EE2EF5">
              <w:t xml:space="preserve">  Also identifies </w:t>
            </w:r>
            <w:r w:rsidR="006B1D9D">
              <w:t>five</w:t>
            </w:r>
            <w:r w:rsidR="00EE2EF5">
              <w:t xml:space="preserve"> percent increase in conservation achievement.</w:t>
            </w:r>
          </w:p>
        </w:tc>
      </w:tr>
      <w:tr w:rsidR="008C304F" w:rsidRPr="00CB1C41" w:rsidTr="00C61705">
        <w:tc>
          <w:tcPr>
            <w:tcW w:w="4698" w:type="dxa"/>
          </w:tcPr>
          <w:p w:rsidR="008C304F" w:rsidRPr="00CB1C41" w:rsidRDefault="008C304F" w:rsidP="004C7876">
            <w:pPr>
              <w:spacing w:line="360" w:lineRule="auto"/>
              <w:ind w:left="0" w:firstLine="0"/>
            </w:pPr>
            <w:r w:rsidRPr="00CB1C41">
              <w:t>Require third party evaluation of comparable benefits for low-income customers.</w:t>
            </w:r>
          </w:p>
        </w:tc>
        <w:tc>
          <w:tcPr>
            <w:tcW w:w="3798" w:type="dxa"/>
          </w:tcPr>
          <w:p w:rsidR="008C304F" w:rsidRPr="00CB1C41" w:rsidRDefault="00890A3A" w:rsidP="008C304F">
            <w:pPr>
              <w:spacing w:line="360" w:lineRule="auto"/>
              <w:ind w:left="0" w:firstLine="0"/>
            </w:pPr>
            <w:r>
              <w:t xml:space="preserve">Included in the </w:t>
            </w:r>
            <w:r w:rsidR="00EE2EF5">
              <w:t xml:space="preserve">revised </w:t>
            </w:r>
            <w:r>
              <w:t>petition.</w:t>
            </w:r>
          </w:p>
        </w:tc>
      </w:tr>
      <w:tr w:rsidR="008C304F" w:rsidRPr="00CB1C41" w:rsidTr="00C61705">
        <w:tc>
          <w:tcPr>
            <w:tcW w:w="4698" w:type="dxa"/>
          </w:tcPr>
          <w:p w:rsidR="008C304F" w:rsidRPr="00CB1C41" w:rsidRDefault="008C304F" w:rsidP="004C7876">
            <w:pPr>
              <w:spacing w:line="360" w:lineRule="auto"/>
              <w:ind w:left="0" w:firstLine="0"/>
            </w:pPr>
            <w:r w:rsidRPr="00CB1C41">
              <w:t>Require revision of the PCA.</w:t>
            </w:r>
          </w:p>
        </w:tc>
        <w:tc>
          <w:tcPr>
            <w:tcW w:w="3798" w:type="dxa"/>
          </w:tcPr>
          <w:p w:rsidR="008C304F" w:rsidRPr="00CB1C41" w:rsidRDefault="00890A3A" w:rsidP="008C304F">
            <w:pPr>
              <w:spacing w:line="360" w:lineRule="auto"/>
              <w:ind w:left="0" w:firstLine="0"/>
            </w:pPr>
            <w:r>
              <w:t>Denied by Order 08.</w:t>
            </w:r>
          </w:p>
        </w:tc>
      </w:tr>
    </w:tbl>
    <w:p w:rsidR="008F0786" w:rsidRDefault="008F0786" w:rsidP="008D6153">
      <w:pPr>
        <w:pStyle w:val="Heading3"/>
        <w:ind w:left="0" w:firstLine="0"/>
      </w:pPr>
    </w:p>
    <w:p w:rsidR="00617FB7" w:rsidRDefault="00617FB7" w:rsidP="00617FB7">
      <w:pPr>
        <w:pStyle w:val="Heading3"/>
      </w:pPr>
      <w:r>
        <w:lastRenderedPageBreak/>
        <w:t>Q.</w:t>
      </w:r>
      <w:r>
        <w:tab/>
        <w:t>Does this conclude your testimony?</w:t>
      </w:r>
    </w:p>
    <w:p w:rsidR="00617FB7" w:rsidRDefault="00617FB7" w:rsidP="00617FB7">
      <w:r>
        <w:t>A.</w:t>
      </w:r>
      <w:r>
        <w:tab/>
        <w:t>Yes.</w:t>
      </w:r>
    </w:p>
    <w:p w:rsidR="00617FB7" w:rsidRDefault="00617FB7" w:rsidP="00617FB7"/>
    <w:p w:rsidR="009E549A" w:rsidRDefault="009E549A" w:rsidP="00F33615"/>
    <w:sectPr w:rsidR="009E549A" w:rsidSect="00D65A16">
      <w:pgSz w:w="12240" w:h="15840" w:code="1"/>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B8D" w:rsidRDefault="00786B8D" w:rsidP="00A84518">
      <w:pPr>
        <w:spacing w:line="240" w:lineRule="auto"/>
      </w:pPr>
      <w:r>
        <w:separator/>
      </w:r>
    </w:p>
  </w:endnote>
  <w:endnote w:type="continuationSeparator" w:id="0">
    <w:p w:rsidR="00786B8D" w:rsidRDefault="00786B8D" w:rsidP="00A84518">
      <w:pPr>
        <w:spacing w:line="240" w:lineRule="auto"/>
      </w:pPr>
      <w:r>
        <w:continuationSeparator/>
      </w:r>
    </w:p>
  </w:endnote>
  <w:endnote w:type="continuationNotice" w:id="1">
    <w:p w:rsidR="00786B8D" w:rsidRDefault="00786B8D" w:rsidP="00A845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970" w:rsidRDefault="00254970" w:rsidP="00FD7D3D">
    <w:pPr>
      <w:pStyle w:val="Footer"/>
    </w:pPr>
  </w:p>
  <w:p w:rsidR="00254970" w:rsidRPr="00732550" w:rsidRDefault="00254970" w:rsidP="00FD7D3D">
    <w:pPr>
      <w:pStyle w:val="Footer"/>
    </w:pPr>
    <w:r>
      <w:t>T</w:t>
    </w:r>
    <w:r w:rsidRPr="00732550">
      <w:t xml:space="preserve">ESTIMONY OF DEBORAH </w:t>
    </w:r>
    <w:r>
      <w:t xml:space="preserve">J. </w:t>
    </w:r>
    <w:r w:rsidRPr="00732550">
      <w:t>REYNOLDS</w:t>
    </w:r>
    <w:r>
      <w:tab/>
    </w:r>
    <w:r>
      <w:tab/>
    </w:r>
    <w:r w:rsidRPr="00732550">
      <w:t>Exhibit No. ___ T (DJR-</w:t>
    </w:r>
    <w:r>
      <w:t>1</w:t>
    </w:r>
    <w:r w:rsidRPr="00732550">
      <w:t>T)</w:t>
    </w:r>
  </w:p>
  <w:p w:rsidR="00254970" w:rsidRPr="00FD7D3D" w:rsidRDefault="00254970" w:rsidP="00FD7D3D">
    <w:pPr>
      <w:tabs>
        <w:tab w:val="right" w:pos="9360"/>
      </w:tabs>
      <w:spacing w:line="240" w:lineRule="auto"/>
      <w:ind w:left="0" w:firstLine="0"/>
      <w:rPr>
        <w:lang w:val="fr-FR"/>
      </w:rPr>
    </w:pPr>
    <w:r w:rsidRPr="00732550">
      <w:t>Dockets</w:t>
    </w:r>
    <w:r w:rsidRPr="00732550">
      <w:rPr>
        <w:lang w:val="fr-FR"/>
      </w:rPr>
      <w:t xml:space="preserve"> UE-</w:t>
    </w:r>
    <w:r>
      <w:rPr>
        <w:lang w:val="fr-FR"/>
      </w:rPr>
      <w:t>121697</w:t>
    </w:r>
    <w:r w:rsidRPr="00732550">
      <w:rPr>
        <w:lang w:val="fr-FR"/>
      </w:rPr>
      <w:t xml:space="preserve"> and UG-</w:t>
    </w:r>
    <w:r>
      <w:rPr>
        <w:lang w:val="fr-FR"/>
      </w:rPr>
      <w:t>121705</w:t>
    </w:r>
    <w:r w:rsidRPr="00732550">
      <w:rPr>
        <w:lang w:val="fr-FR"/>
      </w:rPr>
      <w:tab/>
      <w:t xml:space="preserve">Page </w:t>
    </w:r>
    <w:r w:rsidRPr="00732550">
      <w:rPr>
        <w:rStyle w:val="PageNumber"/>
        <w:sz w:val="22"/>
        <w:szCs w:val="22"/>
      </w:rPr>
      <w:fldChar w:fldCharType="begin"/>
    </w:r>
    <w:r w:rsidRPr="00732550">
      <w:rPr>
        <w:rStyle w:val="PageNumber"/>
        <w:sz w:val="22"/>
        <w:szCs w:val="22"/>
        <w:lang w:val="fr-FR"/>
      </w:rPr>
      <w:instrText xml:space="preserve"> PAGE </w:instrText>
    </w:r>
    <w:r w:rsidRPr="00732550">
      <w:rPr>
        <w:rStyle w:val="PageNumber"/>
        <w:sz w:val="22"/>
        <w:szCs w:val="22"/>
      </w:rPr>
      <w:fldChar w:fldCharType="separate"/>
    </w:r>
    <w:r w:rsidR="00FD7D3D">
      <w:rPr>
        <w:rStyle w:val="PageNumber"/>
        <w:noProof/>
        <w:sz w:val="22"/>
        <w:szCs w:val="22"/>
        <w:lang w:val="fr-FR"/>
      </w:rPr>
      <w:t>2</w:t>
    </w:r>
    <w:r w:rsidRPr="00732550">
      <w:rPr>
        <w:rStyle w:val="PageNumbe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D3D" w:rsidRDefault="00FD7D3D" w:rsidP="00FD7D3D">
    <w:pPr>
      <w:pStyle w:val="Footer"/>
    </w:pPr>
  </w:p>
  <w:p w:rsidR="00FD7D3D" w:rsidRPr="00732550" w:rsidRDefault="00FD7D3D" w:rsidP="00FD7D3D">
    <w:pPr>
      <w:pStyle w:val="Footer"/>
    </w:pPr>
    <w:r>
      <w:t>T</w:t>
    </w:r>
    <w:r w:rsidRPr="00732550">
      <w:t xml:space="preserve">ESTIMONY OF DEBORAH </w:t>
    </w:r>
    <w:r>
      <w:t xml:space="preserve">J. </w:t>
    </w:r>
    <w:r w:rsidRPr="00732550">
      <w:t>REYNOLDS</w:t>
    </w:r>
    <w:r>
      <w:tab/>
    </w:r>
    <w:r>
      <w:tab/>
    </w:r>
    <w:r w:rsidRPr="00732550">
      <w:t>Exhibit No. ___ T (DJR-</w:t>
    </w:r>
    <w:r>
      <w:t>1</w:t>
    </w:r>
    <w:r w:rsidRPr="00732550">
      <w:t>T)</w:t>
    </w:r>
  </w:p>
  <w:p w:rsidR="00FD7D3D" w:rsidRPr="00FD7D3D" w:rsidRDefault="00FD7D3D" w:rsidP="00FD7D3D">
    <w:pPr>
      <w:tabs>
        <w:tab w:val="right" w:pos="9360"/>
      </w:tabs>
      <w:spacing w:line="240" w:lineRule="auto"/>
      <w:ind w:left="0" w:firstLine="0"/>
      <w:rPr>
        <w:lang w:val="fr-FR"/>
      </w:rPr>
    </w:pPr>
    <w:r w:rsidRPr="00732550">
      <w:t>Dockets</w:t>
    </w:r>
    <w:r w:rsidRPr="00732550">
      <w:rPr>
        <w:lang w:val="fr-FR"/>
      </w:rPr>
      <w:t xml:space="preserve"> UE-</w:t>
    </w:r>
    <w:r>
      <w:rPr>
        <w:lang w:val="fr-FR"/>
      </w:rPr>
      <w:t>121697</w:t>
    </w:r>
    <w:r w:rsidRPr="00732550">
      <w:rPr>
        <w:lang w:val="fr-FR"/>
      </w:rPr>
      <w:t xml:space="preserve"> and UG-</w:t>
    </w:r>
    <w:r>
      <w:rPr>
        <w:lang w:val="fr-FR"/>
      </w:rPr>
      <w:t>121705</w:t>
    </w:r>
    <w:r w:rsidRPr="00732550">
      <w:rPr>
        <w:lang w:val="fr-FR"/>
      </w:rPr>
      <w:tab/>
      <w:t xml:space="preserve">Page </w:t>
    </w:r>
    <w:r w:rsidRPr="00732550">
      <w:rPr>
        <w:rStyle w:val="PageNumber"/>
        <w:sz w:val="22"/>
        <w:szCs w:val="22"/>
      </w:rPr>
      <w:fldChar w:fldCharType="begin"/>
    </w:r>
    <w:r w:rsidRPr="00732550">
      <w:rPr>
        <w:rStyle w:val="PageNumber"/>
        <w:sz w:val="22"/>
        <w:szCs w:val="22"/>
        <w:lang w:val="fr-FR"/>
      </w:rPr>
      <w:instrText xml:space="preserve"> PAGE </w:instrText>
    </w:r>
    <w:r w:rsidRPr="00732550">
      <w:rPr>
        <w:rStyle w:val="PageNumber"/>
        <w:sz w:val="22"/>
        <w:szCs w:val="22"/>
      </w:rPr>
      <w:fldChar w:fldCharType="separate"/>
    </w:r>
    <w:r w:rsidR="004C506A">
      <w:rPr>
        <w:rStyle w:val="PageNumber"/>
        <w:noProof/>
        <w:sz w:val="22"/>
        <w:szCs w:val="22"/>
        <w:lang w:val="fr-FR"/>
      </w:rPr>
      <w:t>19</w:t>
    </w:r>
    <w:r w:rsidRPr="00732550">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B8D" w:rsidRDefault="00786B8D" w:rsidP="00A84518">
      <w:pPr>
        <w:spacing w:line="240" w:lineRule="auto"/>
      </w:pPr>
      <w:r>
        <w:separator/>
      </w:r>
    </w:p>
  </w:footnote>
  <w:footnote w:type="continuationSeparator" w:id="0">
    <w:p w:rsidR="00786B8D" w:rsidRDefault="00786B8D" w:rsidP="00A84518">
      <w:pPr>
        <w:spacing w:line="240" w:lineRule="auto"/>
      </w:pPr>
      <w:r>
        <w:continuationSeparator/>
      </w:r>
    </w:p>
  </w:footnote>
  <w:footnote w:type="continuationNotice" w:id="1">
    <w:p w:rsidR="00786B8D" w:rsidRDefault="00786B8D" w:rsidP="00A84518">
      <w:pPr>
        <w:spacing w:line="240" w:lineRule="auto"/>
      </w:pPr>
    </w:p>
  </w:footnote>
  <w:footnote w:id="2">
    <w:p w:rsidR="00027E52" w:rsidRDefault="00027E52" w:rsidP="00027E52">
      <w:pPr>
        <w:pStyle w:val="FootnoteText"/>
      </w:pPr>
      <w:r>
        <w:rPr>
          <w:rStyle w:val="FootnoteReference"/>
        </w:rPr>
        <w:footnoteRef/>
      </w:r>
      <w:r>
        <w:t xml:space="preserve"> </w:t>
      </w:r>
      <w:r w:rsidRPr="00734E71">
        <w:rPr>
          <w:i/>
        </w:rPr>
        <w:t>In the Matter of the Petition of Puget Sound Energy, Inc. and NW Energy Coalition For an Order Authorizing PSE To Implement Electric and Natural Gas Decoupling Mechanisms and To Record Accounting Entries Associated With the Mechanisms</w:t>
      </w:r>
      <w:r w:rsidR="00734E71">
        <w:t xml:space="preserve">, Dockets UE-121697 and UG-121705, Amended Petition and Attachments A and B (March 1, 2013) (“revised petition”). </w:t>
      </w:r>
    </w:p>
  </w:footnote>
  <w:footnote w:id="3">
    <w:p w:rsidR="00254970" w:rsidRDefault="00254970" w:rsidP="0019670C">
      <w:pPr>
        <w:pStyle w:val="FootnoteText"/>
      </w:pPr>
      <w:r>
        <w:rPr>
          <w:rStyle w:val="FootnoteReference"/>
        </w:rPr>
        <w:footnoteRef/>
      </w:r>
      <w:r>
        <w:t xml:space="preserve"> Piliaris, Exhibit No. ___ (JAP-8T).</w:t>
      </w:r>
    </w:p>
  </w:footnote>
  <w:footnote w:id="4">
    <w:p w:rsidR="00254970" w:rsidRDefault="00254970">
      <w:pPr>
        <w:pStyle w:val="FootnoteText"/>
      </w:pPr>
      <w:r>
        <w:rPr>
          <w:rStyle w:val="FootnoteReference"/>
        </w:rPr>
        <w:footnoteRef/>
      </w:r>
      <w:r>
        <w:t xml:space="preserve"> </w:t>
      </w:r>
      <w:r w:rsidRPr="0050325B">
        <w:rPr>
          <w:i/>
        </w:rPr>
        <w:t>WUTC v. Puget Sound Energy, Inc.,</w:t>
      </w:r>
      <w:r>
        <w:t xml:space="preserve"> Dockets UE-111048 and UG-111049, consolidated, Order 08 (May 7, 2012) (“Order 08”).</w:t>
      </w:r>
    </w:p>
  </w:footnote>
  <w:footnote w:id="5">
    <w:p w:rsidR="00254970" w:rsidRDefault="00254970" w:rsidP="0050325B">
      <w:pPr>
        <w:pStyle w:val="FootnoteText"/>
      </w:pPr>
      <w:r>
        <w:rPr>
          <w:rStyle w:val="FootnoteReference"/>
        </w:rPr>
        <w:footnoteRef/>
      </w:r>
      <w:r>
        <w:t xml:space="preserve"> Report and Policy Statement on Regulatory Mechanisms, Including Decoupling, to Encourage Utilities to Meet or Exceed their Conservation Targets, Docket U-100522 (November 4, 2010) (“Decoupling Policy Statement”).</w:t>
      </w:r>
    </w:p>
  </w:footnote>
  <w:footnote w:id="6">
    <w:p w:rsidR="00F3577F" w:rsidRDefault="00F3577F">
      <w:pPr>
        <w:pStyle w:val="FootnoteText"/>
      </w:pPr>
      <w:r>
        <w:rPr>
          <w:rStyle w:val="FootnoteReference"/>
        </w:rPr>
        <w:footnoteRef/>
      </w:r>
      <w:r>
        <w:t xml:space="preserve"> Dockets UE-111048 and UG-111049, Reynolds, Exhibit No. ___ (DJR-3T) (“Reynolds”).</w:t>
      </w:r>
    </w:p>
  </w:footnote>
  <w:footnote w:id="7">
    <w:p w:rsidR="00254970" w:rsidRDefault="00254970" w:rsidP="002F09C6">
      <w:pPr>
        <w:pStyle w:val="FootnoteText"/>
      </w:pPr>
      <w:r>
        <w:rPr>
          <w:rStyle w:val="FootnoteReference"/>
        </w:rPr>
        <w:footnoteRef/>
      </w:r>
      <w:r>
        <w:t xml:space="preserve"> </w:t>
      </w:r>
      <w:r w:rsidR="00F3577F">
        <w:t xml:space="preserve">Id. </w:t>
      </w:r>
      <w:r w:rsidR="00F3577F" w:rsidRPr="005F3312">
        <w:t xml:space="preserve">at </w:t>
      </w:r>
      <w:r w:rsidR="006B1D9D" w:rsidRPr="006B1D9D">
        <w:t>3:15-19</w:t>
      </w:r>
      <w:r w:rsidRPr="006B1D9D">
        <w:t>.</w:t>
      </w:r>
    </w:p>
  </w:footnote>
  <w:footnote w:id="8">
    <w:p w:rsidR="00254970" w:rsidRDefault="00254970" w:rsidP="002F09C6">
      <w:pPr>
        <w:pStyle w:val="FootnoteText"/>
      </w:pPr>
      <w:r>
        <w:rPr>
          <w:rStyle w:val="FootnoteReference"/>
        </w:rPr>
        <w:footnoteRef/>
      </w:r>
      <w:r>
        <w:t xml:space="preserve"> </w:t>
      </w:r>
      <w:r w:rsidR="00783A39">
        <w:t xml:space="preserve">Order 08 at </w:t>
      </w:r>
      <w:r w:rsidR="00783A39" w:rsidRPr="00B566D0">
        <w:t>¶</w:t>
      </w:r>
      <w:r w:rsidR="00783A39">
        <w:t xml:space="preserve"> 487</w:t>
      </w:r>
      <w:r>
        <w:t>.</w:t>
      </w:r>
    </w:p>
  </w:footnote>
  <w:footnote w:id="9">
    <w:p w:rsidR="00783A39" w:rsidRDefault="00783A39">
      <w:pPr>
        <w:pStyle w:val="FootnoteText"/>
      </w:pPr>
      <w:r>
        <w:rPr>
          <w:rStyle w:val="FootnoteReference"/>
        </w:rPr>
        <w:footnoteRef/>
      </w:r>
      <w:r>
        <w:t xml:space="preserve"> </w:t>
      </w:r>
      <w:r w:rsidR="00B428F8">
        <w:t>Id.</w:t>
      </w:r>
      <w:r>
        <w:t xml:space="preserve"> at </w:t>
      </w:r>
      <w:r w:rsidRPr="00B566D0">
        <w:t>¶</w:t>
      </w:r>
      <w:r>
        <w:t xml:space="preserve"> 489.</w:t>
      </w:r>
    </w:p>
  </w:footnote>
  <w:footnote w:id="10">
    <w:p w:rsidR="00254970" w:rsidRDefault="00254970">
      <w:pPr>
        <w:pStyle w:val="FootnoteText"/>
      </w:pPr>
      <w:r>
        <w:rPr>
          <w:rStyle w:val="FootnoteReference"/>
        </w:rPr>
        <w:footnoteRef/>
      </w:r>
      <w:r>
        <w:t xml:space="preserve"> </w:t>
      </w:r>
      <w:r w:rsidR="00B428F8">
        <w:t>Id.</w:t>
      </w:r>
      <w:r>
        <w:t xml:space="preserve"> at </w:t>
      </w:r>
      <w:r w:rsidRPr="00B566D0">
        <w:t>¶</w:t>
      </w:r>
      <w:r>
        <w:t xml:space="preserve"> 491.</w:t>
      </w:r>
    </w:p>
  </w:footnote>
  <w:footnote w:id="11">
    <w:p w:rsidR="00254970" w:rsidRDefault="00254970" w:rsidP="002458E7">
      <w:pPr>
        <w:pStyle w:val="FootnoteText"/>
      </w:pPr>
      <w:r>
        <w:rPr>
          <w:rStyle w:val="FootnoteReference"/>
        </w:rPr>
        <w:footnoteRef/>
      </w:r>
      <w:r>
        <w:t xml:space="preserve"> </w:t>
      </w:r>
      <w:r w:rsidR="00B428F8">
        <w:t>Id.</w:t>
      </w:r>
      <w:r>
        <w:t xml:space="preserve"> at </w:t>
      </w:r>
      <w:r w:rsidRPr="00B566D0">
        <w:t>¶</w:t>
      </w:r>
      <w:r>
        <w:t xml:space="preserve"> 455.</w:t>
      </w:r>
    </w:p>
  </w:footnote>
  <w:footnote w:id="12">
    <w:p w:rsidR="00254970" w:rsidRDefault="00254970">
      <w:pPr>
        <w:pStyle w:val="FootnoteText"/>
      </w:pPr>
      <w:r>
        <w:rPr>
          <w:rStyle w:val="FootnoteReference"/>
        </w:rPr>
        <w:footnoteRef/>
      </w:r>
      <w:r>
        <w:t xml:space="preserve"> </w:t>
      </w:r>
      <w:r w:rsidR="00734E71">
        <w:t>Revised petition, Attachments A and B</w:t>
      </w:r>
      <w:r>
        <w:t>.</w:t>
      </w:r>
    </w:p>
  </w:footnote>
  <w:footnote w:id="13">
    <w:p w:rsidR="00254970" w:rsidRDefault="00254970">
      <w:pPr>
        <w:pStyle w:val="FootnoteText"/>
      </w:pPr>
      <w:r>
        <w:rPr>
          <w:rStyle w:val="FootnoteReference"/>
        </w:rPr>
        <w:footnoteRef/>
      </w:r>
      <w:r>
        <w:t xml:space="preserve"> Docket UE-111881.</w:t>
      </w:r>
    </w:p>
  </w:footnote>
  <w:footnote w:id="14">
    <w:p w:rsidR="00254970" w:rsidRDefault="00254970" w:rsidP="00617FB7">
      <w:pPr>
        <w:pStyle w:val="FootnoteText"/>
      </w:pPr>
      <w:r>
        <w:rPr>
          <w:rStyle w:val="FootnoteReference"/>
        </w:rPr>
        <w:footnoteRef/>
      </w:r>
      <w:r>
        <w:t xml:space="preserve"> </w:t>
      </w:r>
      <w:r w:rsidRPr="00B566D0">
        <w:t>Decoupling Policy Statement at 18, Criterion 1, ¶ 28.</w:t>
      </w:r>
    </w:p>
  </w:footnote>
  <w:footnote w:id="15">
    <w:p w:rsidR="00254970" w:rsidRDefault="00254970">
      <w:pPr>
        <w:pStyle w:val="FootnoteText"/>
      </w:pPr>
      <w:r>
        <w:rPr>
          <w:rStyle w:val="FootnoteReference"/>
        </w:rPr>
        <w:footnoteRef/>
      </w:r>
      <w:r>
        <w:t xml:space="preserve"> Piliaris, Exhibit No. ___ (JAP-8T</w:t>
      </w:r>
      <w:r w:rsidRPr="00963632">
        <w:t xml:space="preserve">) at </w:t>
      </w:r>
      <w:r w:rsidR="00963632">
        <w:t>17:1</w:t>
      </w:r>
      <w:r w:rsidR="00734E71">
        <w:t>0-19</w:t>
      </w:r>
      <w:r w:rsidRPr="00963632">
        <w:t>.</w:t>
      </w:r>
    </w:p>
  </w:footnote>
  <w:footnote w:id="16">
    <w:p w:rsidR="00963632" w:rsidRDefault="00963632" w:rsidP="00963632">
      <w:pPr>
        <w:pStyle w:val="FootnoteText"/>
      </w:pPr>
      <w:r>
        <w:rPr>
          <w:rStyle w:val="FootnoteReference"/>
        </w:rPr>
        <w:footnoteRef/>
      </w:r>
      <w:r>
        <w:t xml:space="preserve"> </w:t>
      </w:r>
      <w:r w:rsidR="00734E71">
        <w:t xml:space="preserve">Id. </w:t>
      </w:r>
      <w:r w:rsidRPr="00963632">
        <w:t xml:space="preserve">at </w:t>
      </w:r>
      <w:r>
        <w:t>17:</w:t>
      </w:r>
      <w:r w:rsidR="00734E71">
        <w:t>2</w:t>
      </w:r>
      <w:r w:rsidRPr="00963632">
        <w:t>0-22.</w:t>
      </w:r>
      <w:r w:rsidR="00734E71">
        <w:t xml:space="preserve">  See also revised petition, Attachment B, page 2.  Allowed </w:t>
      </w:r>
      <w:r w:rsidR="002B0EC4">
        <w:t xml:space="preserve">gas </w:t>
      </w:r>
      <w:r w:rsidR="00734E71">
        <w:t xml:space="preserve">revenue per customer includes only these customers: </w:t>
      </w:r>
      <w:r w:rsidR="00734E71" w:rsidRPr="00734E71">
        <w:t xml:space="preserve">Schedules </w:t>
      </w:r>
      <w:r w:rsidR="002B0EC4">
        <w:t xml:space="preserve">23, </w:t>
      </w:r>
      <w:r w:rsidR="00734E71" w:rsidRPr="00734E71">
        <w:t>31, 31T, 41, 41T,</w:t>
      </w:r>
      <w:r w:rsidR="002B0EC4">
        <w:t xml:space="preserve"> 53,</w:t>
      </w:r>
      <w:r w:rsidR="00734E71" w:rsidRPr="00734E71">
        <w:t xml:space="preserve"> 85, 85T, 86, 86T, 87 and 87T.</w:t>
      </w:r>
    </w:p>
  </w:footnote>
  <w:footnote w:id="17">
    <w:p w:rsidR="00254970" w:rsidRDefault="00254970" w:rsidP="00617FB7">
      <w:pPr>
        <w:pStyle w:val="FootnoteText"/>
      </w:pPr>
      <w:r>
        <w:rPr>
          <w:rStyle w:val="FootnoteReference"/>
        </w:rPr>
        <w:footnoteRef/>
      </w:r>
      <w:r>
        <w:t xml:space="preserve"> Decoupling Policy Statement</w:t>
      </w:r>
      <w:r w:rsidRPr="00B566D0">
        <w:t xml:space="preserve"> at 16-17, ¶ 27</w:t>
      </w:r>
      <w:r>
        <w:t>.</w:t>
      </w:r>
    </w:p>
  </w:footnote>
  <w:footnote w:id="18">
    <w:p w:rsidR="00254970" w:rsidRDefault="00254970" w:rsidP="00617FB7">
      <w:pPr>
        <w:pStyle w:val="FootnoteText"/>
      </w:pPr>
      <w:r>
        <w:rPr>
          <w:rStyle w:val="FootnoteReference"/>
        </w:rPr>
        <w:footnoteRef/>
      </w:r>
      <w:r>
        <w:t xml:space="preserve"> Id. at 17, Element 2, ¶ 28.</w:t>
      </w:r>
    </w:p>
  </w:footnote>
  <w:footnote w:id="19">
    <w:p w:rsidR="00B010C0" w:rsidRDefault="00B010C0" w:rsidP="00B010C0">
      <w:pPr>
        <w:pStyle w:val="FootnoteText"/>
      </w:pPr>
      <w:r>
        <w:rPr>
          <w:rStyle w:val="FootnoteReference"/>
        </w:rPr>
        <w:footnoteRef/>
      </w:r>
      <w:r>
        <w:t xml:space="preserve"> Order 08 at </w:t>
      </w:r>
      <w:r w:rsidRPr="00B566D0">
        <w:t>¶</w:t>
      </w:r>
      <w:r>
        <w:t xml:space="preserve"> 455</w:t>
      </w:r>
      <w:r w:rsidR="00F71908">
        <w:t>-456</w:t>
      </w:r>
      <w:r>
        <w:t>.</w:t>
      </w:r>
    </w:p>
  </w:footnote>
  <w:footnote w:id="20">
    <w:p w:rsidR="00F71908" w:rsidRDefault="00F71908">
      <w:pPr>
        <w:pStyle w:val="FootnoteText"/>
      </w:pPr>
      <w:r>
        <w:rPr>
          <w:rStyle w:val="FootnoteReference"/>
        </w:rPr>
        <w:footnoteRef/>
      </w:r>
      <w:r>
        <w:t xml:space="preserve"> Id. at n. 617.</w:t>
      </w:r>
    </w:p>
  </w:footnote>
  <w:footnote w:id="21">
    <w:p w:rsidR="00254970" w:rsidRDefault="00254970">
      <w:pPr>
        <w:pStyle w:val="FootnoteText"/>
      </w:pPr>
      <w:r>
        <w:rPr>
          <w:rStyle w:val="FootnoteReference"/>
        </w:rPr>
        <w:footnoteRef/>
      </w:r>
      <w:r>
        <w:t xml:space="preserve"> </w:t>
      </w:r>
      <w:r w:rsidR="00B010C0">
        <w:t>Id.</w:t>
      </w:r>
      <w:r>
        <w:t xml:space="preserve"> at ¶ 89.  </w:t>
      </w:r>
    </w:p>
  </w:footnote>
  <w:footnote w:id="22">
    <w:p w:rsidR="004F46F8" w:rsidRDefault="004F46F8">
      <w:pPr>
        <w:pStyle w:val="FootnoteText"/>
      </w:pPr>
      <w:r>
        <w:rPr>
          <w:rStyle w:val="FootnoteReference"/>
        </w:rPr>
        <w:footnoteRef/>
      </w:r>
      <w:r>
        <w:t xml:space="preserve"> That ROE reduction resulted in a reduction in the overall rate of return from 8.1 percent to 7.8 percent. See Order 08 at ¶ 92.</w:t>
      </w:r>
    </w:p>
  </w:footnote>
  <w:footnote w:id="23">
    <w:p w:rsidR="00254970" w:rsidRDefault="00254970" w:rsidP="00D725EC">
      <w:pPr>
        <w:pStyle w:val="FootnoteText"/>
      </w:pPr>
      <w:r>
        <w:rPr>
          <w:rStyle w:val="FootnoteReference"/>
        </w:rPr>
        <w:footnoteRef/>
      </w:r>
      <w:r>
        <w:t xml:space="preserve"> </w:t>
      </w:r>
      <w:r w:rsidR="0009032E">
        <w:t>Id.</w:t>
      </w:r>
      <w:r>
        <w:t xml:space="preserve"> at ¶ 507.</w:t>
      </w:r>
    </w:p>
  </w:footnote>
  <w:footnote w:id="24">
    <w:p w:rsidR="00254970" w:rsidRDefault="00254970" w:rsidP="00617FB7">
      <w:pPr>
        <w:pStyle w:val="FootnoteText"/>
      </w:pPr>
      <w:r>
        <w:rPr>
          <w:rStyle w:val="FootnoteReference"/>
        </w:rPr>
        <w:footnoteRef/>
      </w:r>
      <w:r>
        <w:t>Decoupling Policy Statement at 17, Description of Mechanism, ¶ 28.</w:t>
      </w:r>
    </w:p>
  </w:footnote>
  <w:footnote w:id="25">
    <w:p w:rsidR="00254970" w:rsidRDefault="00254970" w:rsidP="00617FB7">
      <w:pPr>
        <w:pStyle w:val="FootnoteText"/>
      </w:pPr>
      <w:r>
        <w:rPr>
          <w:rStyle w:val="FootnoteReference"/>
        </w:rPr>
        <w:footnoteRef/>
      </w:r>
      <w:r>
        <w:t xml:space="preserve"> Id. at 20, ¶ 31, 32.</w:t>
      </w:r>
    </w:p>
  </w:footnote>
  <w:footnote w:id="26">
    <w:p w:rsidR="00254970" w:rsidRDefault="00254970">
      <w:pPr>
        <w:pStyle w:val="FootnoteText"/>
      </w:pPr>
      <w:r>
        <w:rPr>
          <w:rStyle w:val="FootnoteReference"/>
        </w:rPr>
        <w:footnoteRef/>
      </w:r>
      <w:r>
        <w:t xml:space="preserve"> Dockets UE-111048 and UG-111049, Staff Response to Decoupling Bench Request at 14.</w:t>
      </w:r>
    </w:p>
  </w:footnote>
  <w:footnote w:id="27">
    <w:p w:rsidR="00254970" w:rsidRDefault="00254970">
      <w:pPr>
        <w:pStyle w:val="FootnoteText"/>
      </w:pPr>
      <w:r>
        <w:rPr>
          <w:rStyle w:val="FootnoteReference"/>
        </w:rPr>
        <w:footnoteRef/>
      </w:r>
      <w:r>
        <w:t xml:space="preserve"> Order 08 at ¶ 455.</w:t>
      </w:r>
    </w:p>
  </w:footnote>
  <w:footnote w:id="28">
    <w:p w:rsidR="00254970" w:rsidRDefault="00254970">
      <w:pPr>
        <w:pStyle w:val="FootnoteText"/>
      </w:pPr>
      <w:r>
        <w:rPr>
          <w:rStyle w:val="FootnoteReference"/>
        </w:rPr>
        <w:footnoteRef/>
      </w:r>
      <w:r>
        <w:t xml:space="preserve"> Decoupling Policy Sta</w:t>
      </w:r>
      <w:r w:rsidR="006A44AD">
        <w:t>tement at 19, Criterion 4, ¶ 28.</w:t>
      </w:r>
    </w:p>
  </w:footnote>
  <w:footnote w:id="29">
    <w:p w:rsidR="005551BC" w:rsidRDefault="005551BC">
      <w:pPr>
        <w:pStyle w:val="FootnoteText"/>
      </w:pPr>
      <w:r>
        <w:rPr>
          <w:rStyle w:val="FootnoteReference"/>
        </w:rPr>
        <w:footnoteRef/>
      </w:r>
      <w:r>
        <w:t xml:space="preserve"> </w:t>
      </w:r>
      <w:r w:rsidR="002B0EC4">
        <w:t>Revised petition at 18</w:t>
      </w:r>
      <w:r w:rsidR="000549A3">
        <w:t>,</w:t>
      </w:r>
      <w:r w:rsidR="002B0EC4">
        <w:t xml:space="preserve"> ¶ 32</w:t>
      </w:r>
      <w:r>
        <w:t>.</w:t>
      </w:r>
    </w:p>
  </w:footnote>
  <w:footnote w:id="30">
    <w:p w:rsidR="00254970" w:rsidRDefault="00254970">
      <w:pPr>
        <w:pStyle w:val="FootnoteText"/>
      </w:pPr>
      <w:r>
        <w:rPr>
          <w:rStyle w:val="FootnoteReference"/>
        </w:rPr>
        <w:footnoteRef/>
      </w:r>
      <w:r>
        <w:t xml:space="preserve"> Revised </w:t>
      </w:r>
      <w:r w:rsidRPr="000549A3">
        <w:t xml:space="preserve">petition at </w:t>
      </w:r>
      <w:r w:rsidR="000549A3" w:rsidRPr="000549A3">
        <w:t>20, ¶ 37 (3)</w:t>
      </w:r>
      <w:r w:rsidRPr="000549A3">
        <w:t>.</w:t>
      </w:r>
    </w:p>
  </w:footnote>
  <w:footnote w:id="31">
    <w:p w:rsidR="00254970" w:rsidRDefault="00254970">
      <w:pPr>
        <w:pStyle w:val="FootnoteText"/>
      </w:pPr>
      <w:r>
        <w:rPr>
          <w:rStyle w:val="FootnoteReference"/>
        </w:rPr>
        <w:footnoteRef/>
      </w:r>
      <w:r w:rsidR="00B428F8">
        <w:t xml:space="preserve"> Decoupling Policy Statement</w:t>
      </w:r>
      <w:r>
        <w:t xml:space="preserve"> at 19, Criterion 3, ¶ 28.</w:t>
      </w:r>
    </w:p>
  </w:footnote>
  <w:footnote w:id="32">
    <w:p w:rsidR="00254970" w:rsidRDefault="00254970">
      <w:pPr>
        <w:pStyle w:val="FootnoteText"/>
      </w:pPr>
      <w:r>
        <w:rPr>
          <w:rStyle w:val="FootnoteReference"/>
        </w:rPr>
        <w:footnoteRef/>
      </w:r>
      <w:r>
        <w:t xml:space="preserve"> </w:t>
      </w:r>
      <w:r w:rsidRPr="000549A3">
        <w:t xml:space="preserve">Revised petition at </w:t>
      </w:r>
      <w:r w:rsidR="000549A3" w:rsidRPr="000549A3">
        <w:t>17, ¶</w:t>
      </w:r>
      <w:r w:rsidR="000549A3">
        <w:t xml:space="preserve"> 31</w:t>
      </w:r>
      <w:r>
        <w:t>.</w:t>
      </w:r>
    </w:p>
  </w:footnote>
  <w:footnote w:id="33">
    <w:p w:rsidR="00254970" w:rsidRDefault="00254970" w:rsidP="00617FB7">
      <w:pPr>
        <w:pStyle w:val="FootnoteText"/>
      </w:pPr>
      <w:r>
        <w:rPr>
          <w:rStyle w:val="FootnoteReference"/>
        </w:rPr>
        <w:footnoteRef/>
      </w:r>
      <w:r>
        <w:t xml:space="preserve"> </w:t>
      </w:r>
      <w:r w:rsidR="006A44AD">
        <w:t>Decoupling Policy Statement</w:t>
      </w:r>
      <w:r w:rsidRPr="00B566D0">
        <w:t xml:space="preserve"> at 17, Element 4, ¶ 28.</w:t>
      </w:r>
    </w:p>
  </w:footnote>
  <w:footnote w:id="34">
    <w:p w:rsidR="00254970" w:rsidRDefault="00254970" w:rsidP="00617FB7">
      <w:pPr>
        <w:pStyle w:val="FootnoteText"/>
      </w:pPr>
      <w:r>
        <w:rPr>
          <w:rStyle w:val="FootnoteReference"/>
        </w:rPr>
        <w:footnoteRef/>
      </w:r>
      <w:r>
        <w:t xml:space="preserve"> Id. at n. 45.</w:t>
      </w:r>
    </w:p>
  </w:footnote>
  <w:footnote w:id="35">
    <w:p w:rsidR="00254970" w:rsidRDefault="00254970">
      <w:pPr>
        <w:pStyle w:val="FootnoteText"/>
      </w:pPr>
      <w:r>
        <w:rPr>
          <w:rStyle w:val="FootnoteReference"/>
        </w:rPr>
        <w:footnoteRef/>
      </w:r>
      <w:r>
        <w:t xml:space="preserve"> Order 08 at </w:t>
      </w:r>
      <w:r w:rsidRPr="00B566D0">
        <w:t>¶</w:t>
      </w:r>
      <w:r>
        <w:t xml:space="preserve"> 511.</w:t>
      </w:r>
    </w:p>
  </w:footnote>
  <w:footnote w:id="36">
    <w:p w:rsidR="00254970" w:rsidRDefault="00254970">
      <w:pPr>
        <w:pStyle w:val="FootnoteText"/>
      </w:pPr>
      <w:r>
        <w:rPr>
          <w:rStyle w:val="FootnoteReference"/>
        </w:rPr>
        <w:footnoteRef/>
      </w:r>
      <w:r>
        <w:t xml:space="preserve"> </w:t>
      </w:r>
      <w:r w:rsidR="006A44AD">
        <w:t>Id.</w:t>
      </w:r>
      <w:r>
        <w:t xml:space="preserve"> at </w:t>
      </w:r>
      <w:r w:rsidRPr="00B566D0">
        <w:t>¶</w:t>
      </w:r>
      <w:r>
        <w:t xml:space="preserve"> 455.</w:t>
      </w:r>
    </w:p>
  </w:footnote>
  <w:footnote w:id="37">
    <w:p w:rsidR="00254970" w:rsidRDefault="00254970" w:rsidP="00617FB7">
      <w:pPr>
        <w:pStyle w:val="FootnoteText"/>
      </w:pPr>
      <w:r>
        <w:rPr>
          <w:rStyle w:val="FootnoteReference"/>
        </w:rPr>
        <w:footnoteRef/>
      </w:r>
      <w:r>
        <w:t xml:space="preserve"> Cavanagh, Exhibit No. ___ (RCC-2) at 18:9.</w:t>
      </w:r>
    </w:p>
  </w:footnote>
  <w:footnote w:id="38">
    <w:p w:rsidR="00254970" w:rsidRDefault="00254970">
      <w:pPr>
        <w:pStyle w:val="FootnoteText"/>
      </w:pPr>
      <w:r>
        <w:rPr>
          <w:rStyle w:val="FootnoteReference"/>
        </w:rPr>
        <w:footnoteRef/>
      </w:r>
      <w:r>
        <w:t xml:space="preserve"> </w:t>
      </w:r>
      <w:r w:rsidR="005B0F7A">
        <w:t xml:space="preserve">UE-111048 and UG-111049, </w:t>
      </w:r>
      <w:r>
        <w:t>Staff Response to Bench Request, Page 18.</w:t>
      </w:r>
    </w:p>
  </w:footnote>
  <w:footnote w:id="39">
    <w:p w:rsidR="00254970" w:rsidRDefault="00254970" w:rsidP="00A30BEE">
      <w:pPr>
        <w:pStyle w:val="FootnoteText"/>
      </w:pPr>
      <w:r>
        <w:rPr>
          <w:rStyle w:val="FootnoteReference"/>
        </w:rPr>
        <w:footnoteRef/>
      </w:r>
      <w:r>
        <w:t xml:space="preserve"> </w:t>
      </w:r>
      <w:r w:rsidR="002B7A76">
        <w:t>Reynolds</w:t>
      </w:r>
      <w:r w:rsidRPr="005F3312">
        <w:t xml:space="preserve"> at </w:t>
      </w:r>
      <w:r w:rsidR="006B1D9D" w:rsidRPr="006B1D9D">
        <w:t>16:1-6</w:t>
      </w:r>
      <w:r w:rsidRPr="006B1D9D">
        <w:t>.</w:t>
      </w:r>
    </w:p>
  </w:footnote>
  <w:footnote w:id="40">
    <w:p w:rsidR="00254970" w:rsidRDefault="00254970">
      <w:pPr>
        <w:pStyle w:val="FootnoteText"/>
      </w:pPr>
      <w:r>
        <w:rPr>
          <w:rStyle w:val="FootnoteReference"/>
        </w:rPr>
        <w:footnoteRef/>
      </w:r>
      <w:r>
        <w:t xml:space="preserve"> </w:t>
      </w:r>
      <w:r w:rsidRPr="00B56D43">
        <w:t>Reynolds</w:t>
      </w:r>
      <w:r w:rsidRPr="005F3312">
        <w:t xml:space="preserve"> </w:t>
      </w:r>
      <w:r w:rsidR="00B56D43" w:rsidRPr="005F3312">
        <w:t xml:space="preserve">at </w:t>
      </w:r>
      <w:r w:rsidR="00B56D43">
        <w:t>17</w:t>
      </w:r>
      <w:r w:rsidRPr="00B56D43">
        <w:t>.</w:t>
      </w:r>
    </w:p>
  </w:footnote>
  <w:footnote w:id="41">
    <w:p w:rsidR="00254970" w:rsidRDefault="00254970">
      <w:pPr>
        <w:pStyle w:val="FootnoteText"/>
      </w:pPr>
      <w:r>
        <w:rPr>
          <w:rStyle w:val="FootnoteReference"/>
        </w:rPr>
        <w:footnoteRef/>
      </w:r>
      <w:r>
        <w:t xml:space="preserve"> UE-111048 and UG-111049, Staff Response to Commission’s Decoupling Bench Request, pages 13-14.  See also Staff Response to Bench Request Appendix 1 Workpapers, Gas, page 1b.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D64"/>
    <w:multiLevelType w:val="hybridMultilevel"/>
    <w:tmpl w:val="7496F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DB153E"/>
    <w:multiLevelType w:val="hybridMultilevel"/>
    <w:tmpl w:val="7870E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82F64"/>
    <w:multiLevelType w:val="hybridMultilevel"/>
    <w:tmpl w:val="506CA69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283084"/>
    <w:multiLevelType w:val="hybridMultilevel"/>
    <w:tmpl w:val="2D464F9C"/>
    <w:lvl w:ilvl="0" w:tplc="85EACEF6">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3D7F030B"/>
    <w:multiLevelType w:val="hybridMultilevel"/>
    <w:tmpl w:val="F4202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F124C83"/>
    <w:multiLevelType w:val="hybridMultilevel"/>
    <w:tmpl w:val="3322E906"/>
    <w:lvl w:ilvl="0" w:tplc="64FC6CD2">
      <w:start w:val="4"/>
      <w:numFmt w:val="upperLetter"/>
      <w:pStyle w:val="Heading2"/>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5AA6066"/>
    <w:multiLevelType w:val="hybridMultilevel"/>
    <w:tmpl w:val="DFEC0F30"/>
    <w:lvl w:ilvl="0" w:tplc="249AA9EE">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6B5CFE"/>
    <w:multiLevelType w:val="hybridMultilevel"/>
    <w:tmpl w:val="2464929E"/>
    <w:lvl w:ilvl="0" w:tplc="B1D4AB7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5A203ADC"/>
    <w:multiLevelType w:val="hybridMultilevel"/>
    <w:tmpl w:val="A5B80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DEF637C"/>
    <w:multiLevelType w:val="hybridMultilevel"/>
    <w:tmpl w:val="CFA8F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632AB6"/>
    <w:multiLevelType w:val="hybridMultilevel"/>
    <w:tmpl w:val="80EEC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9BE7E11"/>
    <w:multiLevelType w:val="hybridMultilevel"/>
    <w:tmpl w:val="534CE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3"/>
  </w:num>
  <w:num w:numId="6">
    <w:abstractNumId w:val="5"/>
    <w:lvlOverride w:ilvl="0">
      <w:startOverride w:val="1"/>
    </w:lvlOverride>
  </w:num>
  <w:num w:numId="7">
    <w:abstractNumId w:val="0"/>
  </w:num>
  <w:num w:numId="8">
    <w:abstractNumId w:val="10"/>
  </w:num>
  <w:num w:numId="9">
    <w:abstractNumId w:val="5"/>
  </w:num>
  <w:num w:numId="10">
    <w:abstractNumId w:val="9"/>
  </w:num>
  <w:num w:numId="11">
    <w:abstractNumId w:val="11"/>
  </w:num>
  <w:num w:numId="12">
    <w:abstractNumId w:val="8"/>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B7"/>
    <w:rsid w:val="00012CB6"/>
    <w:rsid w:val="00013F2A"/>
    <w:rsid w:val="000172FF"/>
    <w:rsid w:val="00027E52"/>
    <w:rsid w:val="00037020"/>
    <w:rsid w:val="000463A0"/>
    <w:rsid w:val="000547EC"/>
    <w:rsid w:val="000549A3"/>
    <w:rsid w:val="00054A44"/>
    <w:rsid w:val="0006130D"/>
    <w:rsid w:val="000679D6"/>
    <w:rsid w:val="0007020D"/>
    <w:rsid w:val="000704BF"/>
    <w:rsid w:val="00081BA2"/>
    <w:rsid w:val="0008628D"/>
    <w:rsid w:val="0009032E"/>
    <w:rsid w:val="000935EF"/>
    <w:rsid w:val="00094CA0"/>
    <w:rsid w:val="000A5963"/>
    <w:rsid w:val="000D4851"/>
    <w:rsid w:val="000D6770"/>
    <w:rsid w:val="000E1B39"/>
    <w:rsid w:val="000E640C"/>
    <w:rsid w:val="000F3CE1"/>
    <w:rsid w:val="000F5581"/>
    <w:rsid w:val="000F700D"/>
    <w:rsid w:val="00107D73"/>
    <w:rsid w:val="00111BFB"/>
    <w:rsid w:val="00112861"/>
    <w:rsid w:val="00112E75"/>
    <w:rsid w:val="00113E2D"/>
    <w:rsid w:val="00114697"/>
    <w:rsid w:val="00114823"/>
    <w:rsid w:val="00114F78"/>
    <w:rsid w:val="001206C9"/>
    <w:rsid w:val="00126D51"/>
    <w:rsid w:val="00130D68"/>
    <w:rsid w:val="00136BB7"/>
    <w:rsid w:val="00147272"/>
    <w:rsid w:val="001603F9"/>
    <w:rsid w:val="0016191E"/>
    <w:rsid w:val="00167359"/>
    <w:rsid w:val="0017202C"/>
    <w:rsid w:val="001762C1"/>
    <w:rsid w:val="00177F6E"/>
    <w:rsid w:val="00181989"/>
    <w:rsid w:val="00187C1A"/>
    <w:rsid w:val="0019670C"/>
    <w:rsid w:val="00196BBF"/>
    <w:rsid w:val="00196E8B"/>
    <w:rsid w:val="001A5508"/>
    <w:rsid w:val="001A6E46"/>
    <w:rsid w:val="001A7E9C"/>
    <w:rsid w:val="001B3F5A"/>
    <w:rsid w:val="001B53CA"/>
    <w:rsid w:val="001C1BDC"/>
    <w:rsid w:val="001C1CB0"/>
    <w:rsid w:val="001C59A2"/>
    <w:rsid w:val="001C5AB1"/>
    <w:rsid w:val="001D475C"/>
    <w:rsid w:val="001D766B"/>
    <w:rsid w:val="001E1D7A"/>
    <w:rsid w:val="001E2290"/>
    <w:rsid w:val="001E2B14"/>
    <w:rsid w:val="001F3E9D"/>
    <w:rsid w:val="001F688A"/>
    <w:rsid w:val="002060C4"/>
    <w:rsid w:val="0021376B"/>
    <w:rsid w:val="00213C95"/>
    <w:rsid w:val="00222B75"/>
    <w:rsid w:val="00225257"/>
    <w:rsid w:val="00225BAA"/>
    <w:rsid w:val="0023063E"/>
    <w:rsid w:val="002353CA"/>
    <w:rsid w:val="002366EF"/>
    <w:rsid w:val="002458E7"/>
    <w:rsid w:val="00246AAB"/>
    <w:rsid w:val="00253ED0"/>
    <w:rsid w:val="002540E1"/>
    <w:rsid w:val="00254970"/>
    <w:rsid w:val="002646D5"/>
    <w:rsid w:val="00271191"/>
    <w:rsid w:val="00284257"/>
    <w:rsid w:val="00290B02"/>
    <w:rsid w:val="00291A68"/>
    <w:rsid w:val="00292EAA"/>
    <w:rsid w:val="00296766"/>
    <w:rsid w:val="00297341"/>
    <w:rsid w:val="002A516F"/>
    <w:rsid w:val="002A6A88"/>
    <w:rsid w:val="002B0EC4"/>
    <w:rsid w:val="002B0F6A"/>
    <w:rsid w:val="002B2E41"/>
    <w:rsid w:val="002B7A76"/>
    <w:rsid w:val="002C039A"/>
    <w:rsid w:val="002C438D"/>
    <w:rsid w:val="002C67E3"/>
    <w:rsid w:val="002C7EB3"/>
    <w:rsid w:val="002D1E41"/>
    <w:rsid w:val="002D5F96"/>
    <w:rsid w:val="002F0871"/>
    <w:rsid w:val="002F09C6"/>
    <w:rsid w:val="002F2479"/>
    <w:rsid w:val="002F42C2"/>
    <w:rsid w:val="002F725A"/>
    <w:rsid w:val="003038D6"/>
    <w:rsid w:val="00311974"/>
    <w:rsid w:val="00315C94"/>
    <w:rsid w:val="00324C26"/>
    <w:rsid w:val="00325302"/>
    <w:rsid w:val="00330F9D"/>
    <w:rsid w:val="00332A0C"/>
    <w:rsid w:val="00343D20"/>
    <w:rsid w:val="00344870"/>
    <w:rsid w:val="00351C7E"/>
    <w:rsid w:val="003551C0"/>
    <w:rsid w:val="0036550A"/>
    <w:rsid w:val="003666D3"/>
    <w:rsid w:val="00371C9A"/>
    <w:rsid w:val="00396F9D"/>
    <w:rsid w:val="003A2633"/>
    <w:rsid w:val="003A2DBF"/>
    <w:rsid w:val="003A4B39"/>
    <w:rsid w:val="003B01D4"/>
    <w:rsid w:val="003B07DA"/>
    <w:rsid w:val="003B3D07"/>
    <w:rsid w:val="003C4E16"/>
    <w:rsid w:val="003C5737"/>
    <w:rsid w:val="003C58AA"/>
    <w:rsid w:val="003D4879"/>
    <w:rsid w:val="003E0487"/>
    <w:rsid w:val="003E66C9"/>
    <w:rsid w:val="003E66ED"/>
    <w:rsid w:val="003F678D"/>
    <w:rsid w:val="00405372"/>
    <w:rsid w:val="00415995"/>
    <w:rsid w:val="004161DE"/>
    <w:rsid w:val="00440769"/>
    <w:rsid w:val="00441E00"/>
    <w:rsid w:val="00446C14"/>
    <w:rsid w:val="00457394"/>
    <w:rsid w:val="00464600"/>
    <w:rsid w:val="00465115"/>
    <w:rsid w:val="00471AFC"/>
    <w:rsid w:val="00473B72"/>
    <w:rsid w:val="00474436"/>
    <w:rsid w:val="004764D7"/>
    <w:rsid w:val="00476BF9"/>
    <w:rsid w:val="00482268"/>
    <w:rsid w:val="004971F8"/>
    <w:rsid w:val="004A44B6"/>
    <w:rsid w:val="004A70F2"/>
    <w:rsid w:val="004C46D9"/>
    <w:rsid w:val="004C506A"/>
    <w:rsid w:val="004C7876"/>
    <w:rsid w:val="004D055B"/>
    <w:rsid w:val="004D1E64"/>
    <w:rsid w:val="004D3301"/>
    <w:rsid w:val="004D4224"/>
    <w:rsid w:val="004D6132"/>
    <w:rsid w:val="004D6AC8"/>
    <w:rsid w:val="004F46F8"/>
    <w:rsid w:val="00501046"/>
    <w:rsid w:val="0050325B"/>
    <w:rsid w:val="00507D91"/>
    <w:rsid w:val="00510E81"/>
    <w:rsid w:val="00513CE9"/>
    <w:rsid w:val="00516C71"/>
    <w:rsid w:val="00516E1D"/>
    <w:rsid w:val="00530B98"/>
    <w:rsid w:val="00531284"/>
    <w:rsid w:val="00532B11"/>
    <w:rsid w:val="005336C3"/>
    <w:rsid w:val="00547916"/>
    <w:rsid w:val="00551BF6"/>
    <w:rsid w:val="00552600"/>
    <w:rsid w:val="005551BC"/>
    <w:rsid w:val="005608A5"/>
    <w:rsid w:val="00570BAF"/>
    <w:rsid w:val="005779A8"/>
    <w:rsid w:val="0058735E"/>
    <w:rsid w:val="00592218"/>
    <w:rsid w:val="005936D4"/>
    <w:rsid w:val="005946ED"/>
    <w:rsid w:val="00596CB9"/>
    <w:rsid w:val="005A01C5"/>
    <w:rsid w:val="005A6C74"/>
    <w:rsid w:val="005B0F7A"/>
    <w:rsid w:val="005B37A2"/>
    <w:rsid w:val="005C03E5"/>
    <w:rsid w:val="005C3CE3"/>
    <w:rsid w:val="005D2B05"/>
    <w:rsid w:val="005E01AE"/>
    <w:rsid w:val="005E1C96"/>
    <w:rsid w:val="005E769A"/>
    <w:rsid w:val="005F3312"/>
    <w:rsid w:val="005F4E66"/>
    <w:rsid w:val="006008EB"/>
    <w:rsid w:val="00600925"/>
    <w:rsid w:val="00610A23"/>
    <w:rsid w:val="00611563"/>
    <w:rsid w:val="00617FB7"/>
    <w:rsid w:val="00636D17"/>
    <w:rsid w:val="00640822"/>
    <w:rsid w:val="006472B4"/>
    <w:rsid w:val="00663DCD"/>
    <w:rsid w:val="00672F7B"/>
    <w:rsid w:val="00673AF0"/>
    <w:rsid w:val="006741D6"/>
    <w:rsid w:val="006911E2"/>
    <w:rsid w:val="00696FCF"/>
    <w:rsid w:val="006A122C"/>
    <w:rsid w:val="006A19AB"/>
    <w:rsid w:val="006A41EE"/>
    <w:rsid w:val="006A44AD"/>
    <w:rsid w:val="006B0CC6"/>
    <w:rsid w:val="006B1D9D"/>
    <w:rsid w:val="006B3E43"/>
    <w:rsid w:val="006C1D8C"/>
    <w:rsid w:val="006C29D0"/>
    <w:rsid w:val="006C325C"/>
    <w:rsid w:val="006C43F4"/>
    <w:rsid w:val="006C6715"/>
    <w:rsid w:val="006C789B"/>
    <w:rsid w:val="006D3D80"/>
    <w:rsid w:val="006D7286"/>
    <w:rsid w:val="006E3A91"/>
    <w:rsid w:val="006E4A04"/>
    <w:rsid w:val="006F41CA"/>
    <w:rsid w:val="006F6866"/>
    <w:rsid w:val="007027F0"/>
    <w:rsid w:val="00707411"/>
    <w:rsid w:val="00710447"/>
    <w:rsid w:val="00731383"/>
    <w:rsid w:val="00732F9C"/>
    <w:rsid w:val="00733FAF"/>
    <w:rsid w:val="00734E71"/>
    <w:rsid w:val="00735B87"/>
    <w:rsid w:val="00736791"/>
    <w:rsid w:val="007374E0"/>
    <w:rsid w:val="00737EB6"/>
    <w:rsid w:val="0074020D"/>
    <w:rsid w:val="00750051"/>
    <w:rsid w:val="00756F2C"/>
    <w:rsid w:val="0076172D"/>
    <w:rsid w:val="007713F7"/>
    <w:rsid w:val="00783A39"/>
    <w:rsid w:val="00786B8D"/>
    <w:rsid w:val="007B02E0"/>
    <w:rsid w:val="007B39D9"/>
    <w:rsid w:val="007B520C"/>
    <w:rsid w:val="007B79E1"/>
    <w:rsid w:val="007C3BFB"/>
    <w:rsid w:val="007D3A17"/>
    <w:rsid w:val="007D66BC"/>
    <w:rsid w:val="007E150E"/>
    <w:rsid w:val="007E634F"/>
    <w:rsid w:val="007F129F"/>
    <w:rsid w:val="007F3527"/>
    <w:rsid w:val="007F60F1"/>
    <w:rsid w:val="007F62BD"/>
    <w:rsid w:val="00811DF2"/>
    <w:rsid w:val="00812039"/>
    <w:rsid w:val="00815DD5"/>
    <w:rsid w:val="008218CB"/>
    <w:rsid w:val="00821F50"/>
    <w:rsid w:val="008221D6"/>
    <w:rsid w:val="0082286A"/>
    <w:rsid w:val="008308F1"/>
    <w:rsid w:val="00831ECF"/>
    <w:rsid w:val="008324B6"/>
    <w:rsid w:val="00835C85"/>
    <w:rsid w:val="00854D9F"/>
    <w:rsid w:val="00857518"/>
    <w:rsid w:val="00864D9E"/>
    <w:rsid w:val="00880CD3"/>
    <w:rsid w:val="00890A3A"/>
    <w:rsid w:val="0089190E"/>
    <w:rsid w:val="00894FA5"/>
    <w:rsid w:val="008A2F38"/>
    <w:rsid w:val="008A3975"/>
    <w:rsid w:val="008A797D"/>
    <w:rsid w:val="008B100D"/>
    <w:rsid w:val="008B3C99"/>
    <w:rsid w:val="008B66AC"/>
    <w:rsid w:val="008C304F"/>
    <w:rsid w:val="008C3E2A"/>
    <w:rsid w:val="008C4406"/>
    <w:rsid w:val="008C60B2"/>
    <w:rsid w:val="008D6153"/>
    <w:rsid w:val="008E2200"/>
    <w:rsid w:val="008E2346"/>
    <w:rsid w:val="008E585B"/>
    <w:rsid w:val="008E5ACA"/>
    <w:rsid w:val="008E73F2"/>
    <w:rsid w:val="008E7D71"/>
    <w:rsid w:val="008F0786"/>
    <w:rsid w:val="008F305C"/>
    <w:rsid w:val="00902FD4"/>
    <w:rsid w:val="00914414"/>
    <w:rsid w:val="0091684B"/>
    <w:rsid w:val="00920E1C"/>
    <w:rsid w:val="00945865"/>
    <w:rsid w:val="0095015C"/>
    <w:rsid w:val="00954FFD"/>
    <w:rsid w:val="00955740"/>
    <w:rsid w:val="00963632"/>
    <w:rsid w:val="00972A4A"/>
    <w:rsid w:val="0097377D"/>
    <w:rsid w:val="00973824"/>
    <w:rsid w:val="00973ADF"/>
    <w:rsid w:val="00981154"/>
    <w:rsid w:val="00983628"/>
    <w:rsid w:val="0098401F"/>
    <w:rsid w:val="00984EA0"/>
    <w:rsid w:val="00987BA7"/>
    <w:rsid w:val="009958A9"/>
    <w:rsid w:val="009B19EF"/>
    <w:rsid w:val="009B77DE"/>
    <w:rsid w:val="009C19C7"/>
    <w:rsid w:val="009E549A"/>
    <w:rsid w:val="00A149D4"/>
    <w:rsid w:val="00A176E8"/>
    <w:rsid w:val="00A20CE0"/>
    <w:rsid w:val="00A27A3A"/>
    <w:rsid w:val="00A3019D"/>
    <w:rsid w:val="00A306AD"/>
    <w:rsid w:val="00A30810"/>
    <w:rsid w:val="00A30BEE"/>
    <w:rsid w:val="00A653E9"/>
    <w:rsid w:val="00A722EF"/>
    <w:rsid w:val="00A7685A"/>
    <w:rsid w:val="00A831B7"/>
    <w:rsid w:val="00A83653"/>
    <w:rsid w:val="00A84518"/>
    <w:rsid w:val="00A84C2A"/>
    <w:rsid w:val="00A94537"/>
    <w:rsid w:val="00A967EC"/>
    <w:rsid w:val="00A979BD"/>
    <w:rsid w:val="00AA0A52"/>
    <w:rsid w:val="00AA1434"/>
    <w:rsid w:val="00AA2F25"/>
    <w:rsid w:val="00AA640D"/>
    <w:rsid w:val="00AB1D9E"/>
    <w:rsid w:val="00AB30F9"/>
    <w:rsid w:val="00AC1C21"/>
    <w:rsid w:val="00AC7CF0"/>
    <w:rsid w:val="00AD040E"/>
    <w:rsid w:val="00AD059E"/>
    <w:rsid w:val="00AD1DF5"/>
    <w:rsid w:val="00AD3312"/>
    <w:rsid w:val="00AE21E3"/>
    <w:rsid w:val="00AE273E"/>
    <w:rsid w:val="00AE3B2F"/>
    <w:rsid w:val="00AE5C80"/>
    <w:rsid w:val="00AF1E66"/>
    <w:rsid w:val="00AF3BE5"/>
    <w:rsid w:val="00B010C0"/>
    <w:rsid w:val="00B010CD"/>
    <w:rsid w:val="00B01A11"/>
    <w:rsid w:val="00B11B64"/>
    <w:rsid w:val="00B13041"/>
    <w:rsid w:val="00B134B6"/>
    <w:rsid w:val="00B138B7"/>
    <w:rsid w:val="00B1407F"/>
    <w:rsid w:val="00B2591D"/>
    <w:rsid w:val="00B30A97"/>
    <w:rsid w:val="00B33C04"/>
    <w:rsid w:val="00B428F8"/>
    <w:rsid w:val="00B46C8F"/>
    <w:rsid w:val="00B50FCE"/>
    <w:rsid w:val="00B5420A"/>
    <w:rsid w:val="00B56D43"/>
    <w:rsid w:val="00B65840"/>
    <w:rsid w:val="00B73B9D"/>
    <w:rsid w:val="00B831CD"/>
    <w:rsid w:val="00B86021"/>
    <w:rsid w:val="00B91784"/>
    <w:rsid w:val="00BA007D"/>
    <w:rsid w:val="00BA18A7"/>
    <w:rsid w:val="00BA358C"/>
    <w:rsid w:val="00BA73EA"/>
    <w:rsid w:val="00BB0E8F"/>
    <w:rsid w:val="00BC0C12"/>
    <w:rsid w:val="00BC74E9"/>
    <w:rsid w:val="00BD70F7"/>
    <w:rsid w:val="00BE656D"/>
    <w:rsid w:val="00BE7E8D"/>
    <w:rsid w:val="00BF620B"/>
    <w:rsid w:val="00BF7468"/>
    <w:rsid w:val="00C00C9F"/>
    <w:rsid w:val="00C06F24"/>
    <w:rsid w:val="00C16130"/>
    <w:rsid w:val="00C310AE"/>
    <w:rsid w:val="00C31919"/>
    <w:rsid w:val="00C328C8"/>
    <w:rsid w:val="00C411A1"/>
    <w:rsid w:val="00C463B0"/>
    <w:rsid w:val="00C61705"/>
    <w:rsid w:val="00C6599B"/>
    <w:rsid w:val="00C67A22"/>
    <w:rsid w:val="00C80204"/>
    <w:rsid w:val="00CA0B87"/>
    <w:rsid w:val="00CB0EB4"/>
    <w:rsid w:val="00CB1C41"/>
    <w:rsid w:val="00CB2203"/>
    <w:rsid w:val="00CB3C19"/>
    <w:rsid w:val="00CB6A63"/>
    <w:rsid w:val="00CB7FAC"/>
    <w:rsid w:val="00CC141D"/>
    <w:rsid w:val="00CC5995"/>
    <w:rsid w:val="00CD54E2"/>
    <w:rsid w:val="00CD65BB"/>
    <w:rsid w:val="00CD6EEA"/>
    <w:rsid w:val="00CE1914"/>
    <w:rsid w:val="00CE278E"/>
    <w:rsid w:val="00CE3576"/>
    <w:rsid w:val="00CE798F"/>
    <w:rsid w:val="00CF357C"/>
    <w:rsid w:val="00CF5817"/>
    <w:rsid w:val="00D03083"/>
    <w:rsid w:val="00D04702"/>
    <w:rsid w:val="00D058C3"/>
    <w:rsid w:val="00D05A20"/>
    <w:rsid w:val="00D1596A"/>
    <w:rsid w:val="00D2160C"/>
    <w:rsid w:val="00D2342B"/>
    <w:rsid w:val="00D236A2"/>
    <w:rsid w:val="00D31489"/>
    <w:rsid w:val="00D31A6A"/>
    <w:rsid w:val="00D40025"/>
    <w:rsid w:val="00D436E5"/>
    <w:rsid w:val="00D438A6"/>
    <w:rsid w:val="00D537A1"/>
    <w:rsid w:val="00D539BE"/>
    <w:rsid w:val="00D551D4"/>
    <w:rsid w:val="00D55F86"/>
    <w:rsid w:val="00D639BF"/>
    <w:rsid w:val="00D65A16"/>
    <w:rsid w:val="00D71236"/>
    <w:rsid w:val="00D725EC"/>
    <w:rsid w:val="00D741C3"/>
    <w:rsid w:val="00D81441"/>
    <w:rsid w:val="00D93D67"/>
    <w:rsid w:val="00DA0D11"/>
    <w:rsid w:val="00DA1B86"/>
    <w:rsid w:val="00DA2A67"/>
    <w:rsid w:val="00DB7104"/>
    <w:rsid w:val="00DC5950"/>
    <w:rsid w:val="00DD2A47"/>
    <w:rsid w:val="00DD7C06"/>
    <w:rsid w:val="00DD7EE8"/>
    <w:rsid w:val="00DE51DB"/>
    <w:rsid w:val="00DE6604"/>
    <w:rsid w:val="00DE66D2"/>
    <w:rsid w:val="00DF34FA"/>
    <w:rsid w:val="00DF4B26"/>
    <w:rsid w:val="00DF5D03"/>
    <w:rsid w:val="00E07C71"/>
    <w:rsid w:val="00E10504"/>
    <w:rsid w:val="00E15D15"/>
    <w:rsid w:val="00E175DD"/>
    <w:rsid w:val="00E176D7"/>
    <w:rsid w:val="00E23D8D"/>
    <w:rsid w:val="00E3238D"/>
    <w:rsid w:val="00E347E0"/>
    <w:rsid w:val="00E36EA2"/>
    <w:rsid w:val="00E45A13"/>
    <w:rsid w:val="00E47B62"/>
    <w:rsid w:val="00E56E17"/>
    <w:rsid w:val="00E621CC"/>
    <w:rsid w:val="00E65070"/>
    <w:rsid w:val="00E6599B"/>
    <w:rsid w:val="00E71A77"/>
    <w:rsid w:val="00E770AA"/>
    <w:rsid w:val="00E8185A"/>
    <w:rsid w:val="00E8428A"/>
    <w:rsid w:val="00E84BCE"/>
    <w:rsid w:val="00E857A4"/>
    <w:rsid w:val="00E86D10"/>
    <w:rsid w:val="00E87338"/>
    <w:rsid w:val="00EA610F"/>
    <w:rsid w:val="00EA7939"/>
    <w:rsid w:val="00EC125F"/>
    <w:rsid w:val="00EC1326"/>
    <w:rsid w:val="00EC1433"/>
    <w:rsid w:val="00EC45FD"/>
    <w:rsid w:val="00ED1DE0"/>
    <w:rsid w:val="00ED2025"/>
    <w:rsid w:val="00EE161F"/>
    <w:rsid w:val="00EE2EF5"/>
    <w:rsid w:val="00EF0C1F"/>
    <w:rsid w:val="00EF46EB"/>
    <w:rsid w:val="00EF60DE"/>
    <w:rsid w:val="00F10BE1"/>
    <w:rsid w:val="00F11231"/>
    <w:rsid w:val="00F11412"/>
    <w:rsid w:val="00F21B68"/>
    <w:rsid w:val="00F25ED2"/>
    <w:rsid w:val="00F26464"/>
    <w:rsid w:val="00F33615"/>
    <w:rsid w:val="00F339FC"/>
    <w:rsid w:val="00F343AD"/>
    <w:rsid w:val="00F3577F"/>
    <w:rsid w:val="00F46D6D"/>
    <w:rsid w:val="00F5062B"/>
    <w:rsid w:val="00F51B60"/>
    <w:rsid w:val="00F528B4"/>
    <w:rsid w:val="00F53422"/>
    <w:rsid w:val="00F65613"/>
    <w:rsid w:val="00F71908"/>
    <w:rsid w:val="00F83AD8"/>
    <w:rsid w:val="00F86E60"/>
    <w:rsid w:val="00F94EB8"/>
    <w:rsid w:val="00FB2784"/>
    <w:rsid w:val="00FC6AB2"/>
    <w:rsid w:val="00FD2C45"/>
    <w:rsid w:val="00FD6AD8"/>
    <w:rsid w:val="00FD7D3D"/>
    <w:rsid w:val="00FE0A2C"/>
    <w:rsid w:val="00FE7E3B"/>
    <w:rsid w:val="00FF31AD"/>
    <w:rsid w:val="00FF4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EEA"/>
    <w:pPr>
      <w:tabs>
        <w:tab w:val="left" w:pos="-1440"/>
      </w:tabs>
      <w:spacing w:after="0" w:line="480" w:lineRule="auto"/>
      <w:ind w:left="720" w:hanging="72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2EF5"/>
    <w:pPr>
      <w:numPr>
        <w:numId w:val="1"/>
      </w:numPr>
      <w:ind w:left="0" w:firstLine="0"/>
      <w:jc w:val="center"/>
      <w:outlineLvl w:val="0"/>
    </w:pPr>
    <w:rPr>
      <w:rFonts w:eastAsiaTheme="majorEastAsia"/>
      <w:b/>
      <w:bCs/>
    </w:rPr>
  </w:style>
  <w:style w:type="paragraph" w:styleId="Heading2">
    <w:name w:val="heading 2"/>
    <w:basedOn w:val="Normal"/>
    <w:next w:val="Normal"/>
    <w:link w:val="Heading2Char"/>
    <w:uiPriority w:val="9"/>
    <w:qFormat/>
    <w:rsid w:val="00516E1D"/>
    <w:pPr>
      <w:keepNext/>
      <w:numPr>
        <w:numId w:val="2"/>
      </w:numPr>
      <w:spacing w:line="240" w:lineRule="auto"/>
      <w:jc w:val="center"/>
      <w:outlineLvl w:val="1"/>
    </w:pPr>
    <w:rPr>
      <w:b/>
    </w:rPr>
  </w:style>
  <w:style w:type="paragraph" w:styleId="Heading3">
    <w:name w:val="heading 3"/>
    <w:basedOn w:val="Normal"/>
    <w:next w:val="Normal"/>
    <w:link w:val="Heading3Char"/>
    <w:qFormat/>
    <w:rsid w:val="00617FB7"/>
    <w:pPr>
      <w:outlineLvl w:val="2"/>
    </w:pPr>
    <w:rPr>
      <w:b/>
      <w:bCs/>
    </w:rPr>
  </w:style>
  <w:style w:type="paragraph" w:styleId="Heading4">
    <w:name w:val="heading 4"/>
    <w:basedOn w:val="Normal"/>
    <w:next w:val="Normal"/>
    <w:link w:val="Heading4Char"/>
    <w:uiPriority w:val="9"/>
    <w:unhideWhenUsed/>
    <w:qFormat/>
    <w:rsid w:val="00663DCD"/>
    <w:pPr>
      <w:keepNext/>
      <w:keepLines/>
      <w:spacing w:before="200"/>
      <w:jc w:val="center"/>
      <w:outlineLvl w:val="3"/>
    </w:pPr>
    <w:rPr>
      <w:rFonts w:eastAsiaTheme="majorEastAsia"/>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EF5"/>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516E1D"/>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17FB7"/>
    <w:rPr>
      <w:rFonts w:ascii="Times New Roman" w:eastAsia="Times New Roman" w:hAnsi="Times New Roman" w:cs="Times New Roman"/>
      <w:b/>
      <w:bCs/>
      <w:sz w:val="24"/>
      <w:szCs w:val="24"/>
    </w:rPr>
  </w:style>
  <w:style w:type="paragraph" w:styleId="Footer">
    <w:name w:val="footer"/>
    <w:basedOn w:val="Normal"/>
    <w:link w:val="FooterChar"/>
    <w:rsid w:val="00617FB7"/>
    <w:pPr>
      <w:tabs>
        <w:tab w:val="center" w:pos="4320"/>
        <w:tab w:val="right" w:pos="9360"/>
      </w:tabs>
      <w:spacing w:line="240" w:lineRule="auto"/>
    </w:pPr>
    <w:rPr>
      <w:sz w:val="22"/>
      <w:szCs w:val="22"/>
    </w:rPr>
  </w:style>
  <w:style w:type="character" w:customStyle="1" w:styleId="FooterChar">
    <w:name w:val="Footer Char"/>
    <w:basedOn w:val="DefaultParagraphFont"/>
    <w:link w:val="Footer"/>
    <w:rsid w:val="00617FB7"/>
    <w:rPr>
      <w:rFonts w:ascii="Times New Roman" w:eastAsia="Times New Roman" w:hAnsi="Times New Roman" w:cs="Times New Roman"/>
    </w:rPr>
  </w:style>
  <w:style w:type="paragraph" w:styleId="BodyTextIndent">
    <w:name w:val="Body Text Indent"/>
    <w:basedOn w:val="Normal"/>
    <w:link w:val="BodyTextIndentChar"/>
    <w:rsid w:val="00617FB7"/>
    <w:pPr>
      <w:tabs>
        <w:tab w:val="num" w:pos="0"/>
      </w:tabs>
      <w:ind w:firstLine="360"/>
    </w:pPr>
  </w:style>
  <w:style w:type="character" w:customStyle="1" w:styleId="BodyTextIndentChar">
    <w:name w:val="Body Text Indent Char"/>
    <w:basedOn w:val="DefaultParagraphFont"/>
    <w:link w:val="BodyTextIndent"/>
    <w:rsid w:val="00617FB7"/>
    <w:rPr>
      <w:rFonts w:ascii="Times New Roman" w:eastAsia="Times New Roman" w:hAnsi="Times New Roman" w:cs="Times New Roman"/>
      <w:sz w:val="24"/>
      <w:szCs w:val="24"/>
    </w:rPr>
  </w:style>
  <w:style w:type="character" w:styleId="PageNumber">
    <w:name w:val="page number"/>
    <w:basedOn w:val="DefaultParagraphFont"/>
    <w:rsid w:val="00617FB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autoRedefine/>
    <w:qFormat/>
    <w:rsid w:val="00CD6EEA"/>
    <w:pPr>
      <w:spacing w:line="240" w:lineRule="auto"/>
      <w:ind w:left="0" w:firstLine="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D6EEA"/>
    <w:rPr>
      <w:rFonts w:ascii="Times New Roman" w:eastAsia="Times New Roman" w:hAnsi="Times New Roman" w:cs="Times New Roman"/>
      <w:sz w:val="20"/>
      <w:szCs w:val="20"/>
    </w:rPr>
  </w:style>
  <w:style w:type="character" w:styleId="FootnoteReference">
    <w:name w:val="footnote reference"/>
    <w:basedOn w:val="DefaultParagraphFont"/>
    <w:rsid w:val="00A84518"/>
    <w:rPr>
      <w:vertAlign w:val="superscript"/>
    </w:rPr>
  </w:style>
  <w:style w:type="character" w:styleId="LineNumber">
    <w:name w:val="line number"/>
    <w:basedOn w:val="DefaultParagraphFont"/>
    <w:uiPriority w:val="99"/>
    <w:semiHidden/>
    <w:unhideWhenUsed/>
    <w:rsid w:val="00617FB7"/>
  </w:style>
  <w:style w:type="paragraph" w:styleId="ListParagraph">
    <w:name w:val="List Paragraph"/>
    <w:basedOn w:val="Normal"/>
    <w:uiPriority w:val="34"/>
    <w:qFormat/>
    <w:rsid w:val="00A84518"/>
    <w:pPr>
      <w:tabs>
        <w:tab w:val="clear" w:pos="-1440"/>
      </w:tabs>
      <w:spacing w:after="200" w:line="276" w:lineRule="auto"/>
      <w:ind w:firstLine="0"/>
      <w:contextualSpacing/>
    </w:pPr>
    <w:rPr>
      <w:rFonts w:eastAsiaTheme="minorHAnsi" w:cs="Calibri"/>
      <w:szCs w:val="22"/>
    </w:rPr>
  </w:style>
  <w:style w:type="paragraph" w:styleId="BalloonText">
    <w:name w:val="Balloon Text"/>
    <w:basedOn w:val="Normal"/>
    <w:link w:val="BalloonTextChar"/>
    <w:uiPriority w:val="99"/>
    <w:semiHidden/>
    <w:unhideWhenUsed/>
    <w:rsid w:val="00A84518"/>
    <w:pPr>
      <w:tabs>
        <w:tab w:val="clear" w:pos="-1440"/>
      </w:tabs>
      <w:spacing w:line="240" w:lineRule="auto"/>
      <w:ind w:left="0" w:firstLin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84518"/>
    <w:rPr>
      <w:rFonts w:ascii="Tahoma" w:hAnsi="Tahoma" w:cs="Tahoma"/>
      <w:sz w:val="16"/>
      <w:szCs w:val="16"/>
    </w:rPr>
  </w:style>
  <w:style w:type="character" w:styleId="CommentReference">
    <w:name w:val="annotation reference"/>
    <w:basedOn w:val="DefaultParagraphFont"/>
    <w:uiPriority w:val="99"/>
    <w:semiHidden/>
    <w:unhideWhenUsed/>
    <w:rsid w:val="00A84518"/>
    <w:rPr>
      <w:sz w:val="16"/>
      <w:szCs w:val="16"/>
    </w:rPr>
  </w:style>
  <w:style w:type="paragraph" w:styleId="CommentText">
    <w:name w:val="annotation text"/>
    <w:basedOn w:val="Normal"/>
    <w:link w:val="CommentTextChar"/>
    <w:uiPriority w:val="99"/>
    <w:semiHidden/>
    <w:unhideWhenUsed/>
    <w:rsid w:val="00A84518"/>
    <w:pPr>
      <w:tabs>
        <w:tab w:val="clear" w:pos="-1440"/>
      </w:tabs>
      <w:spacing w:after="200" w:line="240" w:lineRule="auto"/>
      <w:ind w:left="0" w:firstLine="0"/>
    </w:pPr>
    <w:rPr>
      <w:rFonts w:eastAsiaTheme="minorHAnsi" w:cs="Calibri"/>
      <w:sz w:val="20"/>
      <w:szCs w:val="20"/>
    </w:rPr>
  </w:style>
  <w:style w:type="character" w:customStyle="1" w:styleId="CommentTextChar">
    <w:name w:val="Comment Text Char"/>
    <w:basedOn w:val="DefaultParagraphFont"/>
    <w:link w:val="CommentText"/>
    <w:uiPriority w:val="99"/>
    <w:semiHidden/>
    <w:rsid w:val="00A84518"/>
    <w:rPr>
      <w:rFonts w:ascii="Times New Roma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A84518"/>
    <w:rPr>
      <w:b/>
      <w:bCs/>
    </w:rPr>
  </w:style>
  <w:style w:type="character" w:customStyle="1" w:styleId="CommentSubjectChar">
    <w:name w:val="Comment Subject Char"/>
    <w:basedOn w:val="CommentTextChar"/>
    <w:link w:val="CommentSubject"/>
    <w:uiPriority w:val="99"/>
    <w:semiHidden/>
    <w:rsid w:val="00A84518"/>
    <w:rPr>
      <w:rFonts w:ascii="Times New Roman" w:hAnsi="Times New Roman" w:cs="Calibri"/>
      <w:b/>
      <w:bCs/>
      <w:sz w:val="20"/>
      <w:szCs w:val="20"/>
    </w:rPr>
  </w:style>
  <w:style w:type="paragraph" w:styleId="Header">
    <w:name w:val="header"/>
    <w:basedOn w:val="Normal"/>
    <w:link w:val="HeaderChar"/>
    <w:unhideWhenUsed/>
    <w:rsid w:val="00A84518"/>
    <w:pPr>
      <w:tabs>
        <w:tab w:val="clear" w:pos="-1440"/>
        <w:tab w:val="center" w:pos="4680"/>
        <w:tab w:val="right" w:pos="9360"/>
      </w:tabs>
      <w:spacing w:line="240" w:lineRule="auto"/>
    </w:pPr>
  </w:style>
  <w:style w:type="character" w:customStyle="1" w:styleId="HeaderChar">
    <w:name w:val="Header Char"/>
    <w:basedOn w:val="DefaultParagraphFont"/>
    <w:link w:val="Header"/>
    <w:rsid w:val="00A8451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63DCD"/>
    <w:rPr>
      <w:rFonts w:ascii="Times New Roman" w:eastAsiaTheme="majorEastAsia" w:hAnsi="Times New Roman" w:cs="Times New Roman"/>
      <w:b/>
      <w:bCs/>
      <w:i/>
      <w:iCs/>
      <w:sz w:val="24"/>
      <w:szCs w:val="24"/>
      <w:u w:val="single"/>
    </w:rPr>
  </w:style>
  <w:style w:type="paragraph" w:styleId="Revision">
    <w:name w:val="Revision"/>
    <w:hidden/>
    <w:uiPriority w:val="99"/>
    <w:semiHidden/>
    <w:rsid w:val="009E54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D7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0704BF"/>
    <w:pPr>
      <w:tabs>
        <w:tab w:val="clear" w:pos="-1440"/>
        <w:tab w:val="left" w:pos="440"/>
        <w:tab w:val="right" w:leader="dot" w:pos="9350"/>
      </w:tabs>
      <w:spacing w:after="100"/>
      <w:ind w:left="0"/>
      <w:jc w:val="center"/>
    </w:pPr>
  </w:style>
  <w:style w:type="paragraph" w:styleId="TOC2">
    <w:name w:val="toc 2"/>
    <w:basedOn w:val="Normal"/>
    <w:next w:val="Normal"/>
    <w:autoRedefine/>
    <w:uiPriority w:val="39"/>
    <w:unhideWhenUsed/>
    <w:rsid w:val="00D65A16"/>
    <w:pPr>
      <w:tabs>
        <w:tab w:val="clear" w:pos="-1440"/>
        <w:tab w:val="left" w:pos="630"/>
        <w:tab w:val="right" w:leader="dot" w:pos="9350"/>
      </w:tabs>
      <w:spacing w:after="240" w:line="240" w:lineRule="auto"/>
      <w:ind w:left="634" w:hanging="634"/>
    </w:pPr>
  </w:style>
  <w:style w:type="character" w:styleId="Hyperlink">
    <w:name w:val="Hyperlink"/>
    <w:basedOn w:val="DefaultParagraphFont"/>
    <w:uiPriority w:val="99"/>
    <w:unhideWhenUsed/>
    <w:rsid w:val="000704BF"/>
    <w:rPr>
      <w:color w:val="0000FF" w:themeColor="hyperlink"/>
      <w:u w:val="single"/>
    </w:rPr>
  </w:style>
  <w:style w:type="paragraph" w:styleId="BodyTextIndent2">
    <w:name w:val="Body Text Indent 2"/>
    <w:basedOn w:val="Normal"/>
    <w:link w:val="BodyTextIndent2Char"/>
    <w:uiPriority w:val="99"/>
    <w:semiHidden/>
    <w:unhideWhenUsed/>
    <w:rsid w:val="00FD7D3D"/>
    <w:pPr>
      <w:spacing w:after="120"/>
      <w:ind w:left="360"/>
    </w:pPr>
  </w:style>
  <w:style w:type="character" w:customStyle="1" w:styleId="BodyTextIndent2Char">
    <w:name w:val="Body Text Indent 2 Char"/>
    <w:basedOn w:val="DefaultParagraphFont"/>
    <w:link w:val="BodyTextIndent2"/>
    <w:uiPriority w:val="99"/>
    <w:semiHidden/>
    <w:rsid w:val="00FD7D3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EEA"/>
    <w:pPr>
      <w:tabs>
        <w:tab w:val="left" w:pos="-1440"/>
      </w:tabs>
      <w:spacing w:after="0" w:line="480" w:lineRule="auto"/>
      <w:ind w:left="720" w:hanging="72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2EF5"/>
    <w:pPr>
      <w:numPr>
        <w:numId w:val="1"/>
      </w:numPr>
      <w:ind w:left="0" w:firstLine="0"/>
      <w:jc w:val="center"/>
      <w:outlineLvl w:val="0"/>
    </w:pPr>
    <w:rPr>
      <w:rFonts w:eastAsiaTheme="majorEastAsia"/>
      <w:b/>
      <w:bCs/>
    </w:rPr>
  </w:style>
  <w:style w:type="paragraph" w:styleId="Heading2">
    <w:name w:val="heading 2"/>
    <w:basedOn w:val="Normal"/>
    <w:next w:val="Normal"/>
    <w:link w:val="Heading2Char"/>
    <w:uiPriority w:val="9"/>
    <w:qFormat/>
    <w:rsid w:val="00516E1D"/>
    <w:pPr>
      <w:keepNext/>
      <w:numPr>
        <w:numId w:val="2"/>
      </w:numPr>
      <w:spacing w:line="240" w:lineRule="auto"/>
      <w:jc w:val="center"/>
      <w:outlineLvl w:val="1"/>
    </w:pPr>
    <w:rPr>
      <w:b/>
    </w:rPr>
  </w:style>
  <w:style w:type="paragraph" w:styleId="Heading3">
    <w:name w:val="heading 3"/>
    <w:basedOn w:val="Normal"/>
    <w:next w:val="Normal"/>
    <w:link w:val="Heading3Char"/>
    <w:qFormat/>
    <w:rsid w:val="00617FB7"/>
    <w:pPr>
      <w:outlineLvl w:val="2"/>
    </w:pPr>
    <w:rPr>
      <w:b/>
      <w:bCs/>
    </w:rPr>
  </w:style>
  <w:style w:type="paragraph" w:styleId="Heading4">
    <w:name w:val="heading 4"/>
    <w:basedOn w:val="Normal"/>
    <w:next w:val="Normal"/>
    <w:link w:val="Heading4Char"/>
    <w:uiPriority w:val="9"/>
    <w:unhideWhenUsed/>
    <w:qFormat/>
    <w:rsid w:val="00663DCD"/>
    <w:pPr>
      <w:keepNext/>
      <w:keepLines/>
      <w:spacing w:before="200"/>
      <w:jc w:val="center"/>
      <w:outlineLvl w:val="3"/>
    </w:pPr>
    <w:rPr>
      <w:rFonts w:eastAsiaTheme="majorEastAsia"/>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EF5"/>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516E1D"/>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17FB7"/>
    <w:rPr>
      <w:rFonts w:ascii="Times New Roman" w:eastAsia="Times New Roman" w:hAnsi="Times New Roman" w:cs="Times New Roman"/>
      <w:b/>
      <w:bCs/>
      <w:sz w:val="24"/>
      <w:szCs w:val="24"/>
    </w:rPr>
  </w:style>
  <w:style w:type="paragraph" w:styleId="Footer">
    <w:name w:val="footer"/>
    <w:basedOn w:val="Normal"/>
    <w:link w:val="FooterChar"/>
    <w:rsid w:val="00617FB7"/>
    <w:pPr>
      <w:tabs>
        <w:tab w:val="center" w:pos="4320"/>
        <w:tab w:val="right" w:pos="9360"/>
      </w:tabs>
      <w:spacing w:line="240" w:lineRule="auto"/>
    </w:pPr>
    <w:rPr>
      <w:sz w:val="22"/>
      <w:szCs w:val="22"/>
    </w:rPr>
  </w:style>
  <w:style w:type="character" w:customStyle="1" w:styleId="FooterChar">
    <w:name w:val="Footer Char"/>
    <w:basedOn w:val="DefaultParagraphFont"/>
    <w:link w:val="Footer"/>
    <w:rsid w:val="00617FB7"/>
    <w:rPr>
      <w:rFonts w:ascii="Times New Roman" w:eastAsia="Times New Roman" w:hAnsi="Times New Roman" w:cs="Times New Roman"/>
    </w:rPr>
  </w:style>
  <w:style w:type="paragraph" w:styleId="BodyTextIndent">
    <w:name w:val="Body Text Indent"/>
    <w:basedOn w:val="Normal"/>
    <w:link w:val="BodyTextIndentChar"/>
    <w:rsid w:val="00617FB7"/>
    <w:pPr>
      <w:tabs>
        <w:tab w:val="num" w:pos="0"/>
      </w:tabs>
      <w:ind w:firstLine="360"/>
    </w:pPr>
  </w:style>
  <w:style w:type="character" w:customStyle="1" w:styleId="BodyTextIndentChar">
    <w:name w:val="Body Text Indent Char"/>
    <w:basedOn w:val="DefaultParagraphFont"/>
    <w:link w:val="BodyTextIndent"/>
    <w:rsid w:val="00617FB7"/>
    <w:rPr>
      <w:rFonts w:ascii="Times New Roman" w:eastAsia="Times New Roman" w:hAnsi="Times New Roman" w:cs="Times New Roman"/>
      <w:sz w:val="24"/>
      <w:szCs w:val="24"/>
    </w:rPr>
  </w:style>
  <w:style w:type="character" w:styleId="PageNumber">
    <w:name w:val="page number"/>
    <w:basedOn w:val="DefaultParagraphFont"/>
    <w:rsid w:val="00617FB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autoRedefine/>
    <w:qFormat/>
    <w:rsid w:val="00CD6EEA"/>
    <w:pPr>
      <w:spacing w:line="240" w:lineRule="auto"/>
      <w:ind w:left="0" w:firstLine="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D6EEA"/>
    <w:rPr>
      <w:rFonts w:ascii="Times New Roman" w:eastAsia="Times New Roman" w:hAnsi="Times New Roman" w:cs="Times New Roman"/>
      <w:sz w:val="20"/>
      <w:szCs w:val="20"/>
    </w:rPr>
  </w:style>
  <w:style w:type="character" w:styleId="FootnoteReference">
    <w:name w:val="footnote reference"/>
    <w:basedOn w:val="DefaultParagraphFont"/>
    <w:rsid w:val="00A84518"/>
    <w:rPr>
      <w:vertAlign w:val="superscript"/>
    </w:rPr>
  </w:style>
  <w:style w:type="character" w:styleId="LineNumber">
    <w:name w:val="line number"/>
    <w:basedOn w:val="DefaultParagraphFont"/>
    <w:uiPriority w:val="99"/>
    <w:semiHidden/>
    <w:unhideWhenUsed/>
    <w:rsid w:val="00617FB7"/>
  </w:style>
  <w:style w:type="paragraph" w:styleId="ListParagraph">
    <w:name w:val="List Paragraph"/>
    <w:basedOn w:val="Normal"/>
    <w:uiPriority w:val="34"/>
    <w:qFormat/>
    <w:rsid w:val="00A84518"/>
    <w:pPr>
      <w:tabs>
        <w:tab w:val="clear" w:pos="-1440"/>
      </w:tabs>
      <w:spacing w:after="200" w:line="276" w:lineRule="auto"/>
      <w:ind w:firstLine="0"/>
      <w:contextualSpacing/>
    </w:pPr>
    <w:rPr>
      <w:rFonts w:eastAsiaTheme="minorHAnsi" w:cs="Calibri"/>
      <w:szCs w:val="22"/>
    </w:rPr>
  </w:style>
  <w:style w:type="paragraph" w:styleId="BalloonText">
    <w:name w:val="Balloon Text"/>
    <w:basedOn w:val="Normal"/>
    <w:link w:val="BalloonTextChar"/>
    <w:uiPriority w:val="99"/>
    <w:semiHidden/>
    <w:unhideWhenUsed/>
    <w:rsid w:val="00A84518"/>
    <w:pPr>
      <w:tabs>
        <w:tab w:val="clear" w:pos="-1440"/>
      </w:tabs>
      <w:spacing w:line="240" w:lineRule="auto"/>
      <w:ind w:left="0" w:firstLin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84518"/>
    <w:rPr>
      <w:rFonts w:ascii="Tahoma" w:hAnsi="Tahoma" w:cs="Tahoma"/>
      <w:sz w:val="16"/>
      <w:szCs w:val="16"/>
    </w:rPr>
  </w:style>
  <w:style w:type="character" w:styleId="CommentReference">
    <w:name w:val="annotation reference"/>
    <w:basedOn w:val="DefaultParagraphFont"/>
    <w:uiPriority w:val="99"/>
    <w:semiHidden/>
    <w:unhideWhenUsed/>
    <w:rsid w:val="00A84518"/>
    <w:rPr>
      <w:sz w:val="16"/>
      <w:szCs w:val="16"/>
    </w:rPr>
  </w:style>
  <w:style w:type="paragraph" w:styleId="CommentText">
    <w:name w:val="annotation text"/>
    <w:basedOn w:val="Normal"/>
    <w:link w:val="CommentTextChar"/>
    <w:uiPriority w:val="99"/>
    <w:semiHidden/>
    <w:unhideWhenUsed/>
    <w:rsid w:val="00A84518"/>
    <w:pPr>
      <w:tabs>
        <w:tab w:val="clear" w:pos="-1440"/>
      </w:tabs>
      <w:spacing w:after="200" w:line="240" w:lineRule="auto"/>
      <w:ind w:left="0" w:firstLine="0"/>
    </w:pPr>
    <w:rPr>
      <w:rFonts w:eastAsiaTheme="minorHAnsi" w:cs="Calibri"/>
      <w:sz w:val="20"/>
      <w:szCs w:val="20"/>
    </w:rPr>
  </w:style>
  <w:style w:type="character" w:customStyle="1" w:styleId="CommentTextChar">
    <w:name w:val="Comment Text Char"/>
    <w:basedOn w:val="DefaultParagraphFont"/>
    <w:link w:val="CommentText"/>
    <w:uiPriority w:val="99"/>
    <w:semiHidden/>
    <w:rsid w:val="00A84518"/>
    <w:rPr>
      <w:rFonts w:ascii="Times New Roma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A84518"/>
    <w:rPr>
      <w:b/>
      <w:bCs/>
    </w:rPr>
  </w:style>
  <w:style w:type="character" w:customStyle="1" w:styleId="CommentSubjectChar">
    <w:name w:val="Comment Subject Char"/>
    <w:basedOn w:val="CommentTextChar"/>
    <w:link w:val="CommentSubject"/>
    <w:uiPriority w:val="99"/>
    <w:semiHidden/>
    <w:rsid w:val="00A84518"/>
    <w:rPr>
      <w:rFonts w:ascii="Times New Roman" w:hAnsi="Times New Roman" w:cs="Calibri"/>
      <w:b/>
      <w:bCs/>
      <w:sz w:val="20"/>
      <w:szCs w:val="20"/>
    </w:rPr>
  </w:style>
  <w:style w:type="paragraph" w:styleId="Header">
    <w:name w:val="header"/>
    <w:basedOn w:val="Normal"/>
    <w:link w:val="HeaderChar"/>
    <w:unhideWhenUsed/>
    <w:rsid w:val="00A84518"/>
    <w:pPr>
      <w:tabs>
        <w:tab w:val="clear" w:pos="-1440"/>
        <w:tab w:val="center" w:pos="4680"/>
        <w:tab w:val="right" w:pos="9360"/>
      </w:tabs>
      <w:spacing w:line="240" w:lineRule="auto"/>
    </w:pPr>
  </w:style>
  <w:style w:type="character" w:customStyle="1" w:styleId="HeaderChar">
    <w:name w:val="Header Char"/>
    <w:basedOn w:val="DefaultParagraphFont"/>
    <w:link w:val="Header"/>
    <w:rsid w:val="00A8451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63DCD"/>
    <w:rPr>
      <w:rFonts w:ascii="Times New Roman" w:eastAsiaTheme="majorEastAsia" w:hAnsi="Times New Roman" w:cs="Times New Roman"/>
      <w:b/>
      <w:bCs/>
      <w:i/>
      <w:iCs/>
      <w:sz w:val="24"/>
      <w:szCs w:val="24"/>
      <w:u w:val="single"/>
    </w:rPr>
  </w:style>
  <w:style w:type="paragraph" w:styleId="Revision">
    <w:name w:val="Revision"/>
    <w:hidden/>
    <w:uiPriority w:val="99"/>
    <w:semiHidden/>
    <w:rsid w:val="009E54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D7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0704BF"/>
    <w:pPr>
      <w:tabs>
        <w:tab w:val="clear" w:pos="-1440"/>
        <w:tab w:val="left" w:pos="440"/>
        <w:tab w:val="right" w:leader="dot" w:pos="9350"/>
      </w:tabs>
      <w:spacing w:after="100"/>
      <w:ind w:left="0"/>
      <w:jc w:val="center"/>
    </w:pPr>
  </w:style>
  <w:style w:type="paragraph" w:styleId="TOC2">
    <w:name w:val="toc 2"/>
    <w:basedOn w:val="Normal"/>
    <w:next w:val="Normal"/>
    <w:autoRedefine/>
    <w:uiPriority w:val="39"/>
    <w:unhideWhenUsed/>
    <w:rsid w:val="00D65A16"/>
    <w:pPr>
      <w:tabs>
        <w:tab w:val="clear" w:pos="-1440"/>
        <w:tab w:val="left" w:pos="630"/>
        <w:tab w:val="right" w:leader="dot" w:pos="9350"/>
      </w:tabs>
      <w:spacing w:after="240" w:line="240" w:lineRule="auto"/>
      <w:ind w:left="634" w:hanging="634"/>
    </w:pPr>
  </w:style>
  <w:style w:type="character" w:styleId="Hyperlink">
    <w:name w:val="Hyperlink"/>
    <w:basedOn w:val="DefaultParagraphFont"/>
    <w:uiPriority w:val="99"/>
    <w:unhideWhenUsed/>
    <w:rsid w:val="000704BF"/>
    <w:rPr>
      <w:color w:val="0000FF" w:themeColor="hyperlink"/>
      <w:u w:val="single"/>
    </w:rPr>
  </w:style>
  <w:style w:type="paragraph" w:styleId="BodyTextIndent2">
    <w:name w:val="Body Text Indent 2"/>
    <w:basedOn w:val="Normal"/>
    <w:link w:val="BodyTextIndent2Char"/>
    <w:uiPriority w:val="99"/>
    <w:semiHidden/>
    <w:unhideWhenUsed/>
    <w:rsid w:val="00FD7D3D"/>
    <w:pPr>
      <w:spacing w:after="120"/>
      <w:ind w:left="360"/>
    </w:pPr>
  </w:style>
  <w:style w:type="character" w:customStyle="1" w:styleId="BodyTextIndent2Char">
    <w:name w:val="Body Text Indent 2 Char"/>
    <w:basedOn w:val="DefaultParagraphFont"/>
    <w:link w:val="BodyTextIndent2"/>
    <w:uiPriority w:val="99"/>
    <w:semiHidden/>
    <w:rsid w:val="00FD7D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2013-03-04T08:00:00+00:00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816FBB2-D732-4F60-8471-49865357580B}"/>
</file>

<file path=customXml/itemProps2.xml><?xml version="1.0" encoding="utf-8"?>
<ds:datastoreItem xmlns:ds="http://schemas.openxmlformats.org/officeDocument/2006/customXml" ds:itemID="{2CF556FF-4FFE-48B3-9F78-ED72EE396D9B}"/>
</file>

<file path=customXml/itemProps3.xml><?xml version="1.0" encoding="utf-8"?>
<ds:datastoreItem xmlns:ds="http://schemas.openxmlformats.org/officeDocument/2006/customXml" ds:itemID="{42A0879D-25B6-4603-A2BB-B579EAEE7BAD}"/>
</file>

<file path=customXml/itemProps4.xml><?xml version="1.0" encoding="utf-8"?>
<ds:datastoreItem xmlns:ds="http://schemas.openxmlformats.org/officeDocument/2006/customXml" ds:itemID="{CF612FF0-18F2-4044-8A0F-081D2A67D8D0}"/>
</file>

<file path=customXml/itemProps5.xml><?xml version="1.0" encoding="utf-8"?>
<ds:datastoreItem xmlns:ds="http://schemas.openxmlformats.org/officeDocument/2006/customXml" ds:itemID="{CFA21ABF-4E1E-4971-96D0-3536035FAF62}"/>
</file>

<file path=customXml/itemProps6.xml><?xml version="1.0" encoding="utf-8"?>
<ds:datastoreItem xmlns:ds="http://schemas.openxmlformats.org/officeDocument/2006/customXml" ds:itemID="{FD7ABE33-BD96-42F9-AF22-3951E96922E1}"/>
</file>

<file path=docProps/app.xml><?xml version="1.0" encoding="utf-8"?>
<Properties xmlns="http://schemas.openxmlformats.org/officeDocument/2006/extended-properties" xmlns:vt="http://schemas.openxmlformats.org/officeDocument/2006/docPropsVTypes">
  <Template>Normal.dotm</Template>
  <TotalTime>37</TotalTime>
  <Pages>21</Pages>
  <Words>4359</Words>
  <Characters>24852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Reynolds</dc:creator>
  <cp:lastModifiedBy>Krista Gross</cp:lastModifiedBy>
  <cp:revision>15</cp:revision>
  <cp:lastPrinted>2013-03-04T23:26:00Z</cp:lastPrinted>
  <dcterms:created xsi:type="dcterms:W3CDTF">2013-03-04T21:29:00Z</dcterms:created>
  <dcterms:modified xsi:type="dcterms:W3CDTF">2013-03-04T23:29:00Z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