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0A5BD" w14:textId="77777777" w:rsidR="00BE39C0" w:rsidRPr="006A10CF" w:rsidRDefault="00BE39C0" w:rsidP="00BE39C0">
      <w:bookmarkStart w:id="0" w:name="_GoBack"/>
      <w:bookmarkEnd w:id="0"/>
      <w:r w:rsidRPr="001E095C">
        <w:rPr>
          <w:rFonts w:ascii="Times" w:hAnsi="Times"/>
        </w:rPr>
        <w:t>July 16, 2012</w:t>
      </w:r>
    </w:p>
    <w:p w14:paraId="3F733973" w14:textId="77777777" w:rsidR="00BE39C0" w:rsidRPr="001E095C" w:rsidRDefault="00BE39C0" w:rsidP="00BE39C0">
      <w:pPr>
        <w:rPr>
          <w:rFonts w:ascii="Times" w:hAnsi="Times"/>
        </w:rPr>
      </w:pPr>
    </w:p>
    <w:p w14:paraId="426FB8EF" w14:textId="77777777" w:rsidR="00BE39C0" w:rsidRPr="001E095C" w:rsidRDefault="00BE39C0" w:rsidP="00BE39C0">
      <w:pPr>
        <w:rPr>
          <w:rFonts w:ascii="Times" w:hAnsi="Times"/>
        </w:rPr>
      </w:pPr>
      <w:r w:rsidRPr="001E095C">
        <w:rPr>
          <w:rFonts w:ascii="Times" w:hAnsi="Times"/>
        </w:rPr>
        <w:t>David Danner</w:t>
      </w:r>
    </w:p>
    <w:p w14:paraId="53167F97" w14:textId="77777777" w:rsidR="00BE39C0" w:rsidRPr="001E095C" w:rsidRDefault="00BE39C0" w:rsidP="00BE39C0">
      <w:pPr>
        <w:rPr>
          <w:rFonts w:ascii="Times" w:hAnsi="Times"/>
        </w:rPr>
      </w:pPr>
      <w:r w:rsidRPr="001E095C">
        <w:rPr>
          <w:rFonts w:ascii="Times" w:hAnsi="Times"/>
        </w:rPr>
        <w:t>Executive Director and Executive Secretary</w:t>
      </w:r>
    </w:p>
    <w:p w14:paraId="2129AABC" w14:textId="77777777" w:rsidR="00BE39C0" w:rsidRPr="001E095C" w:rsidRDefault="00BE39C0" w:rsidP="00BE39C0">
      <w:pPr>
        <w:rPr>
          <w:rFonts w:ascii="Times" w:hAnsi="Times"/>
        </w:rPr>
      </w:pPr>
      <w:r w:rsidRPr="001E095C">
        <w:rPr>
          <w:rFonts w:ascii="Times" w:hAnsi="Times"/>
        </w:rPr>
        <w:t>Washington Utilities and Transportation Commission</w:t>
      </w:r>
    </w:p>
    <w:p w14:paraId="5687B0D5" w14:textId="77777777" w:rsidR="00BE39C0" w:rsidRPr="001E095C" w:rsidRDefault="00BE39C0" w:rsidP="00BE39C0">
      <w:pPr>
        <w:rPr>
          <w:rFonts w:ascii="Times" w:hAnsi="Times"/>
        </w:rPr>
      </w:pPr>
      <w:proofErr w:type="gramStart"/>
      <w:r w:rsidRPr="001E095C">
        <w:rPr>
          <w:rFonts w:ascii="Times" w:hAnsi="Times"/>
        </w:rPr>
        <w:t>1300 S. Evergreen Park Dr. S.W.</w:t>
      </w:r>
      <w:proofErr w:type="gramEnd"/>
    </w:p>
    <w:p w14:paraId="2E97C09C" w14:textId="77777777" w:rsidR="00BE39C0" w:rsidRPr="001E095C" w:rsidRDefault="00BE39C0" w:rsidP="00BE39C0">
      <w:pPr>
        <w:rPr>
          <w:rFonts w:ascii="Times" w:hAnsi="Times"/>
        </w:rPr>
      </w:pPr>
      <w:r w:rsidRPr="001E095C">
        <w:rPr>
          <w:rFonts w:ascii="Times" w:hAnsi="Times"/>
        </w:rPr>
        <w:t>PO Box 47250</w:t>
      </w:r>
    </w:p>
    <w:p w14:paraId="0EC4E35D" w14:textId="77777777" w:rsidR="00BE39C0" w:rsidRPr="001E095C" w:rsidRDefault="00BE39C0" w:rsidP="00BE39C0">
      <w:pPr>
        <w:rPr>
          <w:rFonts w:ascii="Times" w:hAnsi="Times"/>
        </w:rPr>
      </w:pPr>
      <w:r w:rsidRPr="001E095C">
        <w:rPr>
          <w:rFonts w:ascii="Times" w:hAnsi="Times"/>
        </w:rPr>
        <w:t>Olympia, WA 98504-7250</w:t>
      </w:r>
    </w:p>
    <w:p w14:paraId="32530D39" w14:textId="77777777" w:rsidR="00BE39C0" w:rsidRPr="001E095C" w:rsidRDefault="00BE39C0" w:rsidP="00BE39C0">
      <w:pPr>
        <w:rPr>
          <w:rFonts w:ascii="Times" w:hAnsi="Times"/>
        </w:rPr>
      </w:pPr>
    </w:p>
    <w:p w14:paraId="372F2484" w14:textId="77777777" w:rsidR="00BE39C0" w:rsidRPr="001E095C" w:rsidRDefault="00BE39C0" w:rsidP="00A91C2B">
      <w:pPr>
        <w:tabs>
          <w:tab w:val="left" w:pos="2560"/>
        </w:tabs>
        <w:spacing w:after="240"/>
        <w:ind w:left="720"/>
        <w:rPr>
          <w:rFonts w:ascii="Times" w:eastAsia="Times New Roman" w:hAnsi="Times"/>
          <w:sz w:val="20"/>
          <w:szCs w:val="20"/>
        </w:rPr>
      </w:pPr>
      <w:r w:rsidRPr="001E095C">
        <w:rPr>
          <w:rFonts w:ascii="Times" w:hAnsi="Times"/>
        </w:rPr>
        <w:t xml:space="preserve">RE: </w:t>
      </w:r>
      <w:r w:rsidR="00A91C2B">
        <w:rPr>
          <w:rFonts w:ascii="Times" w:hAnsi="Times"/>
        </w:rPr>
        <w:t xml:space="preserve">UE-100170, Pacific Power and Light Company </w:t>
      </w:r>
      <w:r w:rsidR="00A91C2B">
        <w:rPr>
          <w:rFonts w:eastAsia="Times New Roman"/>
        </w:rPr>
        <w:t>2010-2011 Conservation Program Achievement pursuant to WAC 480-109-040</w:t>
      </w:r>
    </w:p>
    <w:tbl>
      <w:tblPr>
        <w:tblW w:w="0" w:type="auto"/>
        <w:tblCellSpacing w:w="0" w:type="dxa"/>
        <w:tblCellMar>
          <w:top w:w="40" w:type="dxa"/>
          <w:left w:w="40" w:type="dxa"/>
          <w:bottom w:w="40" w:type="dxa"/>
          <w:right w:w="40" w:type="dxa"/>
        </w:tblCellMar>
        <w:tblLook w:val="04A0" w:firstRow="1" w:lastRow="0" w:firstColumn="1" w:lastColumn="0" w:noHBand="0" w:noVBand="1"/>
      </w:tblPr>
      <w:tblGrid>
        <w:gridCol w:w="86"/>
        <w:gridCol w:w="86"/>
      </w:tblGrid>
      <w:tr w:rsidR="00BE39C0" w:rsidRPr="001E095C" w14:paraId="564B5231" w14:textId="77777777" w:rsidTr="00E35CBD">
        <w:trPr>
          <w:tblCellSpacing w:w="0" w:type="dxa"/>
        </w:trPr>
        <w:tc>
          <w:tcPr>
            <w:tcW w:w="0" w:type="auto"/>
            <w:vAlign w:val="center"/>
            <w:hideMark/>
          </w:tcPr>
          <w:p w14:paraId="2698A981" w14:textId="77777777" w:rsidR="00BE39C0" w:rsidRPr="001E095C" w:rsidRDefault="00BE39C0" w:rsidP="00E35CBD">
            <w:pPr>
              <w:jc w:val="center"/>
              <w:rPr>
                <w:rFonts w:ascii="Times" w:eastAsia="Times New Roman" w:hAnsi="Times"/>
                <w:b/>
                <w:bCs/>
                <w:sz w:val="20"/>
                <w:szCs w:val="20"/>
              </w:rPr>
            </w:pPr>
          </w:p>
        </w:tc>
        <w:tc>
          <w:tcPr>
            <w:tcW w:w="0" w:type="auto"/>
            <w:vAlign w:val="center"/>
            <w:hideMark/>
          </w:tcPr>
          <w:p w14:paraId="49AB93A1" w14:textId="77777777" w:rsidR="00BE39C0" w:rsidRPr="001E095C" w:rsidRDefault="00BE39C0" w:rsidP="00E35CBD">
            <w:pPr>
              <w:jc w:val="center"/>
              <w:rPr>
                <w:rFonts w:ascii="Times" w:eastAsia="Times New Roman" w:hAnsi="Times"/>
                <w:b/>
                <w:bCs/>
                <w:sz w:val="20"/>
                <w:szCs w:val="20"/>
              </w:rPr>
            </w:pPr>
          </w:p>
        </w:tc>
      </w:tr>
    </w:tbl>
    <w:p w14:paraId="229CFF50" w14:textId="77777777" w:rsidR="00BE39C0" w:rsidRPr="007E6FEF" w:rsidRDefault="00BE39C0" w:rsidP="00BE39C0">
      <w:pPr>
        <w:rPr>
          <w:rFonts w:ascii="Times" w:hAnsi="Times"/>
          <w:b/>
        </w:rPr>
      </w:pPr>
      <w:r w:rsidRPr="007E6FEF">
        <w:rPr>
          <w:rFonts w:ascii="Times" w:hAnsi="Times"/>
          <w:b/>
        </w:rPr>
        <w:t>INTR</w:t>
      </w:r>
      <w:r>
        <w:rPr>
          <w:rFonts w:ascii="Times" w:hAnsi="Times"/>
          <w:b/>
        </w:rPr>
        <w:t>O</w:t>
      </w:r>
      <w:r w:rsidRPr="007E6FEF">
        <w:rPr>
          <w:rFonts w:ascii="Times" w:hAnsi="Times"/>
          <w:b/>
        </w:rPr>
        <w:t>DUCTION</w:t>
      </w:r>
      <w:r>
        <w:rPr>
          <w:rFonts w:ascii="Times" w:hAnsi="Times"/>
          <w:b/>
        </w:rPr>
        <w:t xml:space="preserve"> AND RECOMMENDATION</w:t>
      </w:r>
    </w:p>
    <w:p w14:paraId="7BFB6DE9" w14:textId="77777777" w:rsidR="00BE39C0" w:rsidRDefault="00BE39C0" w:rsidP="00BE39C0">
      <w:pPr>
        <w:rPr>
          <w:rFonts w:ascii="Times" w:hAnsi="Times"/>
        </w:rPr>
      </w:pPr>
    </w:p>
    <w:p w14:paraId="77B47947" w14:textId="77777777" w:rsidR="00BE39C0" w:rsidRDefault="00BE39C0" w:rsidP="00BE39C0">
      <w:pPr>
        <w:rPr>
          <w:rFonts w:ascii="Times" w:eastAsia="Times New Roman" w:hAnsi="Times"/>
        </w:rPr>
      </w:pPr>
      <w:r>
        <w:rPr>
          <w:rFonts w:ascii="Times" w:hAnsi="Times"/>
        </w:rPr>
        <w:t>The following</w:t>
      </w:r>
      <w:r w:rsidRPr="001E095C">
        <w:rPr>
          <w:rFonts w:ascii="Times" w:hAnsi="Times"/>
        </w:rPr>
        <w:t xml:space="preserve"> comments are </w:t>
      </w:r>
      <w:r>
        <w:rPr>
          <w:rFonts w:ascii="Times" w:hAnsi="Times"/>
        </w:rPr>
        <w:t xml:space="preserve">provided by the NW Energy Coalition (“Coalition”) </w:t>
      </w:r>
      <w:r w:rsidRPr="001E095C">
        <w:rPr>
          <w:rFonts w:ascii="Times" w:hAnsi="Times"/>
        </w:rPr>
        <w:t xml:space="preserve">in response to the Commission’s June 5, 2012 </w:t>
      </w:r>
      <w:r w:rsidRPr="001E095C">
        <w:rPr>
          <w:rFonts w:ascii="Times" w:eastAsia="Times New Roman" w:hAnsi="Times"/>
        </w:rPr>
        <w:t xml:space="preserve">Notice of Opportunity to Comment on </w:t>
      </w:r>
      <w:r w:rsidR="00A91C2B">
        <w:rPr>
          <w:rFonts w:ascii="Times" w:eastAsia="Times New Roman" w:hAnsi="Times"/>
        </w:rPr>
        <w:t>Pacific Power and Light Company’s (“PacifiCorp’s”)</w:t>
      </w:r>
      <w:r w:rsidRPr="001E095C">
        <w:rPr>
          <w:rFonts w:ascii="Times" w:eastAsia="Times New Roman" w:hAnsi="Times"/>
        </w:rPr>
        <w:t xml:space="preserve"> Report Concerning its Annual Reporting Requirements Regarding its Progress in Meeting its Conservation Target During the Preceding Biennium Pursuant to RCW 19.285.070 and WAC 480-109-040</w:t>
      </w:r>
      <w:r>
        <w:rPr>
          <w:rFonts w:ascii="Times" w:eastAsia="Times New Roman" w:hAnsi="Times"/>
        </w:rPr>
        <w:t xml:space="preserve">. </w:t>
      </w:r>
    </w:p>
    <w:p w14:paraId="619D9FE3" w14:textId="77777777" w:rsidR="00E35CBD" w:rsidRDefault="00E35CBD"/>
    <w:p w14:paraId="5DD505A0" w14:textId="2C52326D" w:rsidR="00284D79" w:rsidRDefault="0056377D" w:rsidP="00284D79">
      <w:pPr>
        <w:rPr>
          <w:rFonts w:ascii="Times" w:eastAsia="Times New Roman" w:hAnsi="Times"/>
          <w:highlight w:val="yellow"/>
        </w:rPr>
      </w:pPr>
      <w:r w:rsidRPr="0056377D">
        <w:rPr>
          <w:rFonts w:ascii="Times" w:eastAsia="Times New Roman" w:hAnsi="Times"/>
        </w:rPr>
        <w:t>PacifiCorp</w:t>
      </w:r>
      <w:r w:rsidR="004244D8" w:rsidRPr="0056377D">
        <w:rPr>
          <w:rFonts w:ascii="Times" w:eastAsia="Times New Roman" w:hAnsi="Times"/>
        </w:rPr>
        <w:t xml:space="preserve"> filed its’ report on June 1, 2012</w:t>
      </w:r>
      <w:r w:rsidR="00D921EA">
        <w:rPr>
          <w:rFonts w:ascii="Times" w:eastAsia="Times New Roman" w:hAnsi="Times"/>
        </w:rPr>
        <w:t>,</w:t>
      </w:r>
      <w:r w:rsidR="004244D8" w:rsidRPr="0056377D">
        <w:rPr>
          <w:rFonts w:ascii="Times" w:eastAsia="Times New Roman" w:hAnsi="Times"/>
        </w:rPr>
        <w:t xml:space="preserve"> with the Commission and the Department of Commerce “</w:t>
      </w:r>
      <w:r w:rsidR="004244D8" w:rsidRPr="0056377D">
        <w:rPr>
          <w:rFonts w:ascii="Times" w:hAnsi="Times"/>
        </w:rPr>
        <w:t xml:space="preserve">on its progress in the preceding year in meeting the targets established in RCW </w:t>
      </w:r>
      <w:hyperlink r:id="rId7" w:history="1">
        <w:r w:rsidR="004244D8" w:rsidRPr="0056377D">
          <w:rPr>
            <w:rFonts w:ascii="Times" w:hAnsi="Times"/>
            <w:color w:val="0000FF"/>
            <w:u w:val="single"/>
          </w:rPr>
          <w:t>19.285.040</w:t>
        </w:r>
      </w:hyperlink>
      <w:r w:rsidR="004244D8" w:rsidRPr="0056377D">
        <w:rPr>
          <w:rFonts w:ascii="Times" w:hAnsi="Times"/>
        </w:rPr>
        <w:t>, including expected electricity savings from the biennial conservation target, expenditures on conservation, [and] actual electricity savings results</w:t>
      </w:r>
      <w:proofErr w:type="gramStart"/>
      <w:r w:rsidR="004244D8" w:rsidRPr="0056377D">
        <w:rPr>
          <w:rFonts w:ascii="Times" w:hAnsi="Times"/>
        </w:rPr>
        <w:t>, ...</w:t>
      </w:r>
      <w:proofErr w:type="gramEnd"/>
      <w:r w:rsidR="004244D8" w:rsidRPr="0056377D">
        <w:rPr>
          <w:rFonts w:ascii="Times" w:hAnsi="Times"/>
        </w:rPr>
        <w:t>”</w:t>
      </w:r>
      <w:r w:rsidR="004244D8" w:rsidRPr="0056377D">
        <w:rPr>
          <w:rFonts w:ascii="Times" w:eastAsia="Times New Roman" w:hAnsi="Times"/>
        </w:rPr>
        <w:t xml:space="preserve"> </w:t>
      </w:r>
      <w:r w:rsidR="004244D8" w:rsidRPr="0056377D">
        <w:rPr>
          <w:rStyle w:val="FootnoteReference"/>
          <w:rFonts w:ascii="Times" w:eastAsia="Times New Roman" w:hAnsi="Times"/>
        </w:rPr>
        <w:footnoteReference w:id="1"/>
      </w:r>
      <w:r w:rsidR="004244D8" w:rsidRPr="0056377D">
        <w:rPr>
          <w:rFonts w:ascii="Times" w:eastAsia="Times New Roman" w:hAnsi="Times"/>
        </w:rPr>
        <w:t xml:space="preserve"> </w:t>
      </w:r>
      <w:r w:rsidR="00284D79">
        <w:rPr>
          <w:rFonts w:ascii="Times" w:eastAsia="Times New Roman" w:hAnsi="Times"/>
        </w:rPr>
        <w:t>The Company has made its biennial report available to its customers on its website.</w:t>
      </w:r>
      <w:r w:rsidR="00284D79">
        <w:rPr>
          <w:rStyle w:val="FootnoteReference"/>
          <w:rFonts w:ascii="Times" w:eastAsia="Times New Roman" w:hAnsi="Times"/>
        </w:rPr>
        <w:footnoteReference w:id="2"/>
      </w:r>
    </w:p>
    <w:p w14:paraId="2664082D" w14:textId="2DEFA68C" w:rsidR="00D921EA" w:rsidRDefault="0056377D" w:rsidP="004244D8">
      <w:pPr>
        <w:rPr>
          <w:rFonts w:ascii="Times" w:eastAsia="Times New Roman" w:hAnsi="Times"/>
          <w:highlight w:val="yellow"/>
        </w:rPr>
      </w:pPr>
      <w:r>
        <w:rPr>
          <w:rFonts w:ascii="Times" w:eastAsia="Times New Roman" w:hAnsi="Times"/>
        </w:rPr>
        <w:t xml:space="preserve">PacifiCorp reports that it achieved 92,670 </w:t>
      </w:r>
      <w:proofErr w:type="spellStart"/>
      <w:r>
        <w:rPr>
          <w:rFonts w:ascii="Times" w:eastAsia="Times New Roman" w:hAnsi="Times"/>
        </w:rPr>
        <w:t>MWh</w:t>
      </w:r>
      <w:proofErr w:type="spellEnd"/>
      <w:r>
        <w:rPr>
          <w:rFonts w:ascii="Times" w:eastAsia="Times New Roman" w:hAnsi="Times"/>
        </w:rPr>
        <w:t xml:space="preserve"> of cost-effective energy efficiency savings </w:t>
      </w:r>
      <w:proofErr w:type="gramStart"/>
      <w:r>
        <w:rPr>
          <w:rFonts w:ascii="Times" w:eastAsia="Times New Roman" w:hAnsi="Times"/>
        </w:rPr>
        <w:t>during the 2010-2011 biennium</w:t>
      </w:r>
      <w:r w:rsidR="003F375D">
        <w:rPr>
          <w:rStyle w:val="FootnoteReference"/>
          <w:rFonts w:ascii="Times" w:eastAsia="Times New Roman" w:hAnsi="Times"/>
        </w:rPr>
        <w:footnoteReference w:id="3"/>
      </w:r>
      <w:r>
        <w:rPr>
          <w:rFonts w:ascii="Times" w:eastAsia="Times New Roman" w:hAnsi="Times"/>
        </w:rPr>
        <w:t>,</w:t>
      </w:r>
      <w:proofErr w:type="gramEnd"/>
      <w:r>
        <w:rPr>
          <w:rFonts w:ascii="Times" w:eastAsia="Times New Roman" w:hAnsi="Times"/>
        </w:rPr>
        <w:t xml:space="preserve"> well exceeding its approved target of 74,460 </w:t>
      </w:r>
      <w:proofErr w:type="spellStart"/>
      <w:r>
        <w:rPr>
          <w:rFonts w:ascii="Times" w:eastAsia="Times New Roman" w:hAnsi="Times"/>
        </w:rPr>
        <w:t>MWh</w:t>
      </w:r>
      <w:proofErr w:type="spellEnd"/>
      <w:r>
        <w:rPr>
          <w:rFonts w:ascii="Times" w:eastAsia="Times New Roman" w:hAnsi="Times"/>
        </w:rPr>
        <w:t>.</w:t>
      </w:r>
      <w:r w:rsidR="003F375D">
        <w:rPr>
          <w:rStyle w:val="FootnoteReference"/>
          <w:rFonts w:ascii="Times" w:eastAsia="Times New Roman" w:hAnsi="Times"/>
        </w:rPr>
        <w:footnoteReference w:id="4"/>
      </w:r>
      <w:r>
        <w:rPr>
          <w:rFonts w:ascii="Times" w:eastAsia="Times New Roman" w:hAnsi="Times"/>
        </w:rPr>
        <w:t xml:space="preserve"> </w:t>
      </w:r>
      <w:r w:rsidRPr="001A4757">
        <w:rPr>
          <w:rFonts w:ascii="Times" w:eastAsia="Times New Roman" w:hAnsi="Times"/>
        </w:rPr>
        <w:t xml:space="preserve">PacifiCorp </w:t>
      </w:r>
      <w:r w:rsidR="001A4757" w:rsidRPr="001A4757">
        <w:rPr>
          <w:rFonts w:ascii="Times" w:eastAsia="Times New Roman" w:hAnsi="Times"/>
        </w:rPr>
        <w:t>also reports compliance with the</w:t>
      </w:r>
      <w:r w:rsidRPr="001A4757">
        <w:rPr>
          <w:rFonts w:ascii="Times" w:eastAsia="Times New Roman" w:hAnsi="Times"/>
        </w:rPr>
        <w:t xml:space="preserve"> Conditions List </w:t>
      </w:r>
      <w:r w:rsidR="001A4757" w:rsidRPr="001A4757">
        <w:rPr>
          <w:rFonts w:ascii="Times" w:eastAsia="Times New Roman" w:hAnsi="Times"/>
        </w:rPr>
        <w:t>approved in this docket.</w:t>
      </w:r>
      <w:r w:rsidR="001A4757">
        <w:rPr>
          <w:rStyle w:val="FootnoteReference"/>
          <w:rFonts w:ascii="Times" w:eastAsia="Times New Roman" w:hAnsi="Times"/>
        </w:rPr>
        <w:footnoteReference w:id="5"/>
      </w:r>
      <w:r w:rsidR="00AE7C4A">
        <w:rPr>
          <w:rFonts w:ascii="Times" w:eastAsia="Times New Roman" w:hAnsi="Times"/>
        </w:rPr>
        <w:t xml:space="preserve"> </w:t>
      </w:r>
    </w:p>
    <w:p w14:paraId="669A747F" w14:textId="77777777" w:rsidR="00D921EA" w:rsidRPr="004244D8" w:rsidRDefault="00D921EA" w:rsidP="004244D8">
      <w:pPr>
        <w:rPr>
          <w:rFonts w:ascii="Times" w:eastAsia="Times New Roman" w:hAnsi="Times"/>
          <w:highlight w:val="yellow"/>
        </w:rPr>
      </w:pPr>
    </w:p>
    <w:p w14:paraId="012885E3" w14:textId="6D8D397B" w:rsidR="004244D8" w:rsidRPr="003E0653" w:rsidRDefault="004244D8" w:rsidP="004244D8">
      <w:pPr>
        <w:rPr>
          <w:rFonts w:ascii="Times" w:eastAsia="Times New Roman" w:hAnsi="Times"/>
          <w:b/>
        </w:rPr>
      </w:pPr>
      <w:r w:rsidRPr="00D921EA">
        <w:rPr>
          <w:rFonts w:ascii="Times" w:eastAsia="Times New Roman" w:hAnsi="Times"/>
          <w:b/>
        </w:rPr>
        <w:t xml:space="preserve">We recommend the Commission find </w:t>
      </w:r>
      <w:r w:rsidR="00D921EA" w:rsidRPr="00D921EA">
        <w:rPr>
          <w:rFonts w:ascii="Times" w:eastAsia="Times New Roman" w:hAnsi="Times"/>
          <w:b/>
        </w:rPr>
        <w:t xml:space="preserve">PacifiCorp </w:t>
      </w:r>
      <w:r w:rsidRPr="00D921EA">
        <w:rPr>
          <w:rFonts w:ascii="Times" w:eastAsia="Times New Roman" w:hAnsi="Times"/>
          <w:b/>
        </w:rPr>
        <w:t>to be in compliance with RCW 19.285.040 and RCW 19.285.070 with regard to meeting its 2010-2011 biennial conservation target and reporting its conservation savings.</w:t>
      </w:r>
      <w:r w:rsidR="00D921EA" w:rsidRPr="00D921EA">
        <w:rPr>
          <w:rFonts w:ascii="Times" w:eastAsia="Times New Roman" w:hAnsi="Times"/>
          <w:b/>
        </w:rPr>
        <w:t xml:space="preserve"> However, we</w:t>
      </w:r>
      <w:r w:rsidR="00D921EA">
        <w:rPr>
          <w:rFonts w:ascii="Times" w:eastAsia="Times New Roman" w:hAnsi="Times"/>
          <w:b/>
        </w:rPr>
        <w:t xml:space="preserve"> </w:t>
      </w:r>
      <w:r w:rsidR="00E35CBD">
        <w:rPr>
          <w:rFonts w:ascii="Times" w:eastAsia="Times New Roman" w:hAnsi="Times"/>
          <w:b/>
        </w:rPr>
        <w:t xml:space="preserve">note some </w:t>
      </w:r>
      <w:r w:rsidR="00484AD0">
        <w:rPr>
          <w:rFonts w:ascii="Times" w:eastAsia="Times New Roman" w:hAnsi="Times"/>
          <w:b/>
        </w:rPr>
        <w:t xml:space="preserve">aspects of </w:t>
      </w:r>
      <w:r w:rsidR="00E35CBD">
        <w:rPr>
          <w:rFonts w:ascii="Times" w:eastAsia="Times New Roman" w:hAnsi="Times"/>
          <w:b/>
        </w:rPr>
        <w:t>the Company’s filing</w:t>
      </w:r>
      <w:r w:rsidR="002904DD">
        <w:rPr>
          <w:rFonts w:ascii="Times" w:eastAsia="Times New Roman" w:hAnsi="Times"/>
          <w:b/>
        </w:rPr>
        <w:t xml:space="preserve"> that </w:t>
      </w:r>
      <w:r w:rsidR="00484AD0">
        <w:rPr>
          <w:rFonts w:ascii="Times" w:eastAsia="Times New Roman" w:hAnsi="Times"/>
          <w:b/>
        </w:rPr>
        <w:t>would</w:t>
      </w:r>
      <w:r w:rsidR="002904DD">
        <w:rPr>
          <w:rFonts w:ascii="Times" w:eastAsia="Times New Roman" w:hAnsi="Times"/>
          <w:b/>
        </w:rPr>
        <w:t xml:space="preserve"> benefit from</w:t>
      </w:r>
      <w:r w:rsidR="00484AD0">
        <w:rPr>
          <w:rFonts w:ascii="Times" w:eastAsia="Times New Roman" w:hAnsi="Times"/>
          <w:b/>
        </w:rPr>
        <w:t xml:space="preserve"> additional Commission guidance </w:t>
      </w:r>
      <w:r w:rsidR="003B0061">
        <w:rPr>
          <w:rFonts w:ascii="Times" w:eastAsia="Times New Roman" w:hAnsi="Times"/>
          <w:b/>
        </w:rPr>
        <w:t>on a going forward basis.</w:t>
      </w:r>
    </w:p>
    <w:p w14:paraId="02378252" w14:textId="77777777" w:rsidR="004244D8" w:rsidRDefault="004244D8"/>
    <w:p w14:paraId="4CEC14E6" w14:textId="17EAA954" w:rsidR="004244D8" w:rsidRPr="00F80E37" w:rsidRDefault="004244D8">
      <w:pPr>
        <w:rPr>
          <w:b/>
        </w:rPr>
      </w:pPr>
      <w:r w:rsidRPr="00F80E37">
        <w:rPr>
          <w:b/>
        </w:rPr>
        <w:t>DISCUSSION</w:t>
      </w:r>
    </w:p>
    <w:p w14:paraId="040B41D6" w14:textId="77777777" w:rsidR="00543C35" w:rsidRDefault="00543C35"/>
    <w:p w14:paraId="0ED52106" w14:textId="77777777" w:rsidR="00284D79" w:rsidRDefault="00543C35">
      <w:r>
        <w:t xml:space="preserve">As the Commission noted in its 2007 Order adopting rules related to </w:t>
      </w:r>
      <w:r w:rsidR="00F70D09">
        <w:t>the Energy Independence Act (“</w:t>
      </w:r>
      <w:r>
        <w:t>I-937</w:t>
      </w:r>
      <w:r w:rsidR="00F70D09">
        <w:t>”)</w:t>
      </w:r>
      <w:r>
        <w:t xml:space="preserve">, “implementation of the Act will be informed by time and </w:t>
      </w:r>
      <w:r>
        <w:lastRenderedPageBreak/>
        <w:t>experience.”</w:t>
      </w:r>
      <w:r>
        <w:rPr>
          <w:rStyle w:val="FootnoteReference"/>
        </w:rPr>
        <w:footnoteReference w:id="6"/>
      </w:r>
      <w:r w:rsidR="00F70D09">
        <w:t xml:space="preserve"> We heartily agree. All stakeholders have learned a great deal through this first biennium of implementing I-937’s conservation standard.</w:t>
      </w:r>
      <w:r w:rsidR="00F64C36">
        <w:t xml:space="preserve"> Some of those lessons already have been reflected in the </w:t>
      </w:r>
      <w:r w:rsidR="00852485">
        <w:t xml:space="preserve">investor owned </w:t>
      </w:r>
      <w:r w:rsidR="00F64C36">
        <w:t xml:space="preserve">utilities’ </w:t>
      </w:r>
      <w:r w:rsidR="00852485">
        <w:t xml:space="preserve">(“IOU”) </w:t>
      </w:r>
      <w:r w:rsidR="00F64C36">
        <w:t>recently approved conserv</w:t>
      </w:r>
      <w:r w:rsidR="00AA7CC2">
        <w:t xml:space="preserve">ation potential assessments, </w:t>
      </w:r>
      <w:r w:rsidR="00F64C36">
        <w:t>2012-2013 targets</w:t>
      </w:r>
      <w:r w:rsidR="00AA7CC2">
        <w:t>,</w:t>
      </w:r>
      <w:r w:rsidR="00F64C36">
        <w:t xml:space="preserve"> and </w:t>
      </w:r>
      <w:r w:rsidR="00AA7CC2">
        <w:t xml:space="preserve">updated </w:t>
      </w:r>
      <w:r w:rsidR="00F64C36">
        <w:t>Conditions Lists.</w:t>
      </w:r>
      <w:r w:rsidR="00852485">
        <w:t xml:space="preserve"> This first reporting period provides an additional opportunity for clarifying Commission expectations with regard to the content of</w:t>
      </w:r>
      <w:r w:rsidR="00FA447B">
        <w:t xml:space="preserve"> the</w:t>
      </w:r>
      <w:r w:rsidR="00852485">
        <w:t xml:space="preserve"> </w:t>
      </w:r>
      <w:r w:rsidR="00FA447B">
        <w:t>companies’</w:t>
      </w:r>
      <w:r w:rsidR="00852485">
        <w:t xml:space="preserve"> filings as well as expectations concerning consistency among the three IOUs’ reports.</w:t>
      </w:r>
      <w:r w:rsidR="00200D71">
        <w:t xml:space="preserve"> </w:t>
      </w:r>
      <w:r w:rsidR="00756CF1">
        <w:t>T</w:t>
      </w:r>
      <w:r w:rsidR="00200D71">
        <w:t xml:space="preserve">he Washington Conservation Working Group </w:t>
      </w:r>
      <w:r w:rsidR="00756CF1">
        <w:t xml:space="preserve">(“Working Group”) </w:t>
      </w:r>
      <w:r w:rsidR="00200D71">
        <w:t>formed by WUTC Staff in 2011</w:t>
      </w:r>
      <w:r w:rsidR="00756CF1">
        <w:t xml:space="preserve"> discussed many of these </w:t>
      </w:r>
      <w:r w:rsidR="00284D79">
        <w:t xml:space="preserve">same </w:t>
      </w:r>
      <w:r w:rsidR="00756CF1">
        <w:t>issues</w:t>
      </w:r>
      <w:r w:rsidR="00200D71">
        <w:t>.</w:t>
      </w:r>
      <w:r w:rsidR="00200D71">
        <w:rPr>
          <w:rStyle w:val="FootnoteReference"/>
        </w:rPr>
        <w:footnoteReference w:id="7"/>
      </w:r>
      <w:r w:rsidR="00756CF1">
        <w:t xml:space="preserve"> </w:t>
      </w:r>
    </w:p>
    <w:p w14:paraId="12DF2CEE" w14:textId="77777777" w:rsidR="00284D79" w:rsidRDefault="00284D79"/>
    <w:p w14:paraId="2736955B" w14:textId="6A2A3825" w:rsidR="00852485" w:rsidRDefault="00756CF1">
      <w:r>
        <w:t xml:space="preserve">We raise some specific </w:t>
      </w:r>
      <w:r w:rsidR="00484AD0">
        <w:t>issues</w:t>
      </w:r>
      <w:r>
        <w:t xml:space="preserve"> here with regard to PacifiCorp’s 2010-2</w:t>
      </w:r>
      <w:r w:rsidR="00627B5B">
        <w:t xml:space="preserve">011 biennial report and </w:t>
      </w:r>
      <w:r w:rsidR="00305C50">
        <w:t>stated savings achievements, in the broader context of requesting Commission guidance on a going-forward basis to provide more clarity, certainty and consistency among the biennial conservation filings.</w:t>
      </w:r>
    </w:p>
    <w:p w14:paraId="1DABB06F" w14:textId="77777777" w:rsidR="00852485" w:rsidRDefault="00852485"/>
    <w:p w14:paraId="70B8DD46" w14:textId="115ED34D" w:rsidR="00484AD0" w:rsidRDefault="00101F93" w:rsidP="00305C50">
      <w:r>
        <w:t>A</w:t>
      </w:r>
      <w:r w:rsidR="00D73DF9">
        <w:t xml:space="preserve">ccording to its’ </w:t>
      </w:r>
      <w:r w:rsidR="00C54DDB">
        <w:t>Biennial Conservation Report</w:t>
      </w:r>
      <w:r w:rsidR="00484AD0">
        <w:t xml:space="preserve">, PacifiCorp </w:t>
      </w:r>
      <w:r w:rsidR="00C54DDB">
        <w:t>adjusted results for two programs (</w:t>
      </w:r>
      <w:r w:rsidR="003D79AD">
        <w:t>refrigerator recycling</w:t>
      </w:r>
      <w:r w:rsidR="00C54DDB">
        <w:t xml:space="preserve"> and compact fluorescent </w:t>
      </w:r>
      <w:proofErr w:type="spellStart"/>
      <w:r w:rsidR="00C54DDB">
        <w:t>lightbulbs</w:t>
      </w:r>
      <w:proofErr w:type="spellEnd"/>
      <w:r w:rsidR="00C54DDB">
        <w:t xml:space="preserve">) based on planning assumptions utilized in developing its conservation potential assessment in 2007. </w:t>
      </w:r>
      <w:r w:rsidR="00816366">
        <w:t>These adjustments resulted in a decrease in total reported savings of 3</w:t>
      </w:r>
      <w:r w:rsidR="007D1FDE">
        <w:t>,</w:t>
      </w:r>
      <w:r w:rsidR="00816366">
        <w:t xml:space="preserve">837 </w:t>
      </w:r>
      <w:proofErr w:type="spellStart"/>
      <w:r w:rsidR="00816366">
        <w:t>MWh</w:t>
      </w:r>
      <w:proofErr w:type="spellEnd"/>
      <w:r w:rsidR="00816366">
        <w:t>.</w:t>
      </w:r>
      <w:r w:rsidR="00816366">
        <w:rPr>
          <w:rStyle w:val="FootnoteReference"/>
        </w:rPr>
        <w:footnoteReference w:id="8"/>
      </w:r>
      <w:r w:rsidR="00816366">
        <w:t xml:space="preserve"> </w:t>
      </w:r>
      <w:r w:rsidR="00D40675">
        <w:t>The Company did not incorporate results from process and impact evaluations completed in 2011 for t</w:t>
      </w:r>
      <w:r w:rsidR="00E4772A">
        <w:t>he refrigerat</w:t>
      </w:r>
      <w:r w:rsidR="00D40675">
        <w:t>or recycling program into its Biennial Conservation Report, opting instead to utilize these findings in its subsequent planning period.</w:t>
      </w:r>
      <w:r w:rsidR="00D40675">
        <w:rPr>
          <w:rStyle w:val="FootnoteReference"/>
        </w:rPr>
        <w:footnoteReference w:id="9"/>
      </w:r>
      <w:r w:rsidR="00BA4EFD">
        <w:t xml:space="preserve"> </w:t>
      </w:r>
      <w:r w:rsidR="00356F87">
        <w:t xml:space="preserve">The Company opted to adjust only this subset of unit energy savings (UES), basing its decision on language from the Working Group process noting that “to the extent practicable,” there should be consistency between </w:t>
      </w:r>
      <w:r w:rsidR="00356F87" w:rsidRPr="00877C2C">
        <w:t xml:space="preserve">the </w:t>
      </w:r>
      <w:r w:rsidR="00356F87">
        <w:t>use of prescriptive UES estimates in</w:t>
      </w:r>
      <w:r w:rsidR="00356F87" w:rsidRPr="00877C2C">
        <w:t xml:space="preserve"> the establishment of the </w:t>
      </w:r>
      <w:r w:rsidR="00356F87">
        <w:t xml:space="preserve">biennial </w:t>
      </w:r>
      <w:r w:rsidR="00356F87" w:rsidRPr="00877C2C">
        <w:t>target</w:t>
      </w:r>
      <w:r w:rsidR="00356F87">
        <w:t xml:space="preserve"> </w:t>
      </w:r>
      <w:r w:rsidR="00356F87" w:rsidRPr="00877C2C">
        <w:t xml:space="preserve">and the reliance on those same savings estimates in the utility’s demonstration that it met the </w:t>
      </w:r>
      <w:r w:rsidR="00356F87">
        <w:t xml:space="preserve">biennial </w:t>
      </w:r>
      <w:r w:rsidR="00356F87" w:rsidRPr="00877C2C">
        <w:t>target</w:t>
      </w:r>
      <w:r w:rsidR="00356F87">
        <w:t>.</w:t>
      </w:r>
      <w:r w:rsidR="00356F87">
        <w:rPr>
          <w:rStyle w:val="FootnoteReference"/>
        </w:rPr>
        <w:footnoteReference w:id="10"/>
      </w:r>
      <w:r w:rsidR="00FF5672">
        <w:t xml:space="preserve"> PacifiCorp also adjusted its </w:t>
      </w:r>
      <w:r w:rsidR="00770114">
        <w:t>Northwest Energy Efficiency Alliance (</w:t>
      </w:r>
      <w:r w:rsidR="00FF5672">
        <w:t>NEEA</w:t>
      </w:r>
      <w:r w:rsidR="00770114">
        <w:t>)</w:t>
      </w:r>
      <w:r w:rsidR="00FF5672">
        <w:t xml:space="preserve"> savings results upward, by 4,996 </w:t>
      </w:r>
      <w:proofErr w:type="spellStart"/>
      <w:r w:rsidR="00FF5672">
        <w:t>MWh</w:t>
      </w:r>
      <w:proofErr w:type="spellEnd"/>
      <w:r w:rsidR="00FF5672">
        <w:t>, to reflect revised savings provided by NEEA in May 2012.</w:t>
      </w:r>
      <w:r w:rsidR="00FF5672">
        <w:rPr>
          <w:rStyle w:val="FootnoteReference"/>
        </w:rPr>
        <w:footnoteReference w:id="11"/>
      </w:r>
      <w:r w:rsidR="00FF5672">
        <w:t xml:space="preserve"> The net effect of these adjustments is an increase in total reported savings of 0.13 </w:t>
      </w:r>
      <w:proofErr w:type="spellStart"/>
      <w:r w:rsidR="00FF5672">
        <w:t>aMW</w:t>
      </w:r>
      <w:proofErr w:type="spellEnd"/>
      <w:r w:rsidR="00FF5672">
        <w:t xml:space="preserve"> for the biennium.</w:t>
      </w:r>
    </w:p>
    <w:p w14:paraId="0B2338A5" w14:textId="77777777" w:rsidR="00EF424F" w:rsidRDefault="00EF424F" w:rsidP="00305C50"/>
    <w:p w14:paraId="409805FE" w14:textId="5BDC9EA0" w:rsidR="00970DBA" w:rsidRDefault="00356F87" w:rsidP="00305C50">
      <w:r>
        <w:t>W</w:t>
      </w:r>
      <w:r w:rsidR="00864B6D">
        <w:t xml:space="preserve">e urge the Commission to take this opportunity to clarify whether an IOU </w:t>
      </w:r>
      <w:r w:rsidR="008B7148">
        <w:t xml:space="preserve">can </w:t>
      </w:r>
      <w:r w:rsidR="00BA4EFD">
        <w:t>and/</w:t>
      </w:r>
      <w:r w:rsidR="008B7148">
        <w:t xml:space="preserve">or </w:t>
      </w:r>
      <w:r w:rsidR="00864B6D">
        <w:t>should hold con</w:t>
      </w:r>
      <w:r w:rsidR="0070036C">
        <w:t xml:space="preserve">stant during the biennium </w:t>
      </w:r>
      <w:r>
        <w:t xml:space="preserve">the assumed UES used </w:t>
      </w:r>
      <w:r w:rsidR="0070036C">
        <w:t>in preparing its conservation potential assessment</w:t>
      </w:r>
      <w:r w:rsidR="0088558F">
        <w:t xml:space="preserve"> (CPA)</w:t>
      </w:r>
      <w:r w:rsidR="003D79AD">
        <w:t xml:space="preserve">, and at what point in time a utility should incorporate </w:t>
      </w:r>
      <w:r w:rsidR="00DE010B">
        <w:t>UES modifications</w:t>
      </w:r>
      <w:r w:rsidR="003D79AD">
        <w:t xml:space="preserve"> from its program evaluations</w:t>
      </w:r>
      <w:r w:rsidR="0070036C">
        <w:t xml:space="preserve">. </w:t>
      </w:r>
      <w:r w:rsidR="00A0180E">
        <w:t>Within the</w:t>
      </w:r>
      <w:r w:rsidR="0070036C">
        <w:t xml:space="preserve"> Working </w:t>
      </w:r>
      <w:r w:rsidR="00A0180E">
        <w:t xml:space="preserve">Group, the Coalition supported consistency between </w:t>
      </w:r>
      <w:r w:rsidR="00A0180E" w:rsidRPr="00877C2C">
        <w:t xml:space="preserve">the </w:t>
      </w:r>
      <w:r w:rsidR="00A0180E">
        <w:t xml:space="preserve">use of prescriptive </w:t>
      </w:r>
      <w:r w:rsidR="00305C50">
        <w:t>UES</w:t>
      </w:r>
      <w:r w:rsidR="00A0180E">
        <w:t xml:space="preserve"> estimates in</w:t>
      </w:r>
      <w:r w:rsidR="00A0180E" w:rsidRPr="00877C2C">
        <w:t xml:space="preserve"> </w:t>
      </w:r>
      <w:r w:rsidR="002B77C7">
        <w:t>establishing the conservation</w:t>
      </w:r>
      <w:r w:rsidR="00A0180E">
        <w:t xml:space="preserve"> </w:t>
      </w:r>
      <w:r w:rsidR="00A0180E" w:rsidRPr="00877C2C">
        <w:t>target</w:t>
      </w:r>
      <w:r w:rsidR="00A0180E">
        <w:t xml:space="preserve"> </w:t>
      </w:r>
      <w:r w:rsidR="00A0180E" w:rsidRPr="00877C2C">
        <w:t xml:space="preserve">and the reliance on those same estimates in </w:t>
      </w:r>
      <w:r w:rsidR="002B77C7">
        <w:t>compliance</w:t>
      </w:r>
      <w:r w:rsidR="00A0180E" w:rsidRPr="00877C2C">
        <w:t xml:space="preserve"> demonstration</w:t>
      </w:r>
      <w:r w:rsidR="00A0180E">
        <w:t>, when those savings estimates are outside the control of the utility (e.g., provided by the Regional Technical Forum</w:t>
      </w:r>
      <w:r w:rsidR="003D79AD">
        <w:t xml:space="preserve"> or an independent third party evaluator</w:t>
      </w:r>
      <w:r w:rsidR="00A0180E">
        <w:t xml:space="preserve">). </w:t>
      </w:r>
      <w:r w:rsidR="003D79AD">
        <w:t xml:space="preserve">At the same time, we are interested in ensuring accuracy and precision when reporting “actual” conservation savings. </w:t>
      </w:r>
    </w:p>
    <w:p w14:paraId="36E67567" w14:textId="77777777" w:rsidR="00970DBA" w:rsidRDefault="00970DBA" w:rsidP="00305C50"/>
    <w:p w14:paraId="7FE81FE7" w14:textId="3207871D" w:rsidR="007F1395" w:rsidRDefault="00AE427D" w:rsidP="00970DBA">
      <w:r>
        <w:t>We recognize the conundrum faced by</w:t>
      </w:r>
      <w:r w:rsidR="007F1395">
        <w:t xml:space="preserve"> the utility – </w:t>
      </w:r>
      <w:r>
        <w:t xml:space="preserve">certainty is important, particularly when a penalty for noncompliance </w:t>
      </w:r>
      <w:r w:rsidR="00970DBA">
        <w:t xml:space="preserve">exists, yet knowing </w:t>
      </w:r>
      <w:r>
        <w:t>the level of conservation actually acquired is critical from a resource planning perspective</w:t>
      </w:r>
      <w:r w:rsidR="00AA6F32">
        <w:t xml:space="preserve"> as well as a public perception standpoint</w:t>
      </w:r>
      <w:r>
        <w:t>.</w:t>
      </w:r>
      <w:r w:rsidR="00970DBA">
        <w:t xml:space="preserve"> Changing unit energy savings levels during a biennium or in the reporting period can be problematic. At the same tim</w:t>
      </w:r>
      <w:r w:rsidR="007F1395">
        <w:t>e</w:t>
      </w:r>
      <w:r w:rsidR="00970DBA">
        <w:t>, we believe it is important to continue sending signals to</w:t>
      </w:r>
      <w:r w:rsidR="008076C7">
        <w:t xml:space="preserve"> motivate utilities to adaptively</w:t>
      </w:r>
      <w:r w:rsidR="007F1395">
        <w:t xml:space="preserve"> manage </w:t>
      </w:r>
      <w:r w:rsidR="008076C7">
        <w:t xml:space="preserve">and optimize </w:t>
      </w:r>
      <w:r w:rsidR="007F1395">
        <w:t xml:space="preserve">their programs. </w:t>
      </w:r>
    </w:p>
    <w:p w14:paraId="65D73C66" w14:textId="77777777" w:rsidR="00AA6F32" w:rsidRDefault="00AA6F32" w:rsidP="00970DBA"/>
    <w:p w14:paraId="0D34FF3B" w14:textId="6FC7A4CC" w:rsidR="00AA6F32" w:rsidRDefault="00AA6F32" w:rsidP="00970DBA">
      <w:r>
        <w:t xml:space="preserve">I-937 </w:t>
      </w:r>
      <w:r w:rsidR="00101F93">
        <w:t>recognizes</w:t>
      </w:r>
      <w:r>
        <w:t xml:space="preserve"> this issue in part by requiring qualifying utilities to update their 10-year conservation potential assessments and set new targets every two years</w:t>
      </w:r>
      <w:r w:rsidR="00101F93">
        <w:t>,</w:t>
      </w:r>
      <w:r>
        <w:rPr>
          <w:rStyle w:val="FootnoteReference"/>
        </w:rPr>
        <w:footnoteReference w:id="12"/>
      </w:r>
      <w:r w:rsidR="00101F93">
        <w:t xml:space="preserve"> providing an opportunity to incorporate new data, evaluation results and technology improvements.</w:t>
      </w:r>
      <w:r w:rsidR="00FE71CA">
        <w:t xml:space="preserve"> But this built-in update needs to be balanced with a desire for accurate and transparent reporting.</w:t>
      </w:r>
    </w:p>
    <w:p w14:paraId="040D7E45" w14:textId="77777777" w:rsidR="00441CF4" w:rsidRDefault="00441CF4" w:rsidP="00970DBA"/>
    <w:p w14:paraId="60E588EA" w14:textId="77777777" w:rsidR="00F83A9B" w:rsidRDefault="00441CF4" w:rsidP="00970DBA">
      <w:r>
        <w:t>In PacifiCorp’s case, we also note an inconsistency in approach to reporting final savings. While the Company opted to adjust its savings downward for two of its programs to be consist</w:t>
      </w:r>
      <w:r w:rsidR="00C175E7">
        <w:t>ent with its original</w:t>
      </w:r>
      <w:r>
        <w:t xml:space="preserve"> planning assumptions, it adjusted its savings upwards for NEEA to reflect actual final savings results reported in May 2012. We are thrilled that NEEA</w:t>
      </w:r>
      <w:r w:rsidR="00770114">
        <w:t xml:space="preserve"> achieved more savings than originally anticipated, in keeping with its successful history of exceeding its goals. </w:t>
      </w:r>
      <w:r w:rsidR="00C175E7">
        <w:t xml:space="preserve">And we support the Company reflecting those actual savings results in its final report. However, </w:t>
      </w:r>
      <w:r w:rsidR="006A20C0">
        <w:t>this once again raises the question of whether a utility should rely on its original assumptions or more recent data. We could envision an argument being made that savings achieved by NEEA are separate and distinct from assumptions</w:t>
      </w:r>
      <w:r w:rsidR="00AE2E28">
        <w:t xml:space="preserve"> regarding unit energy savings, and reporting accuracy therefore should be paramount. Yet this raises an interesting question of whether a utility would be expected to report actual NEEA savings that were lower than anticipated if those were provided after the close of the biennium.</w:t>
      </w:r>
      <w:r w:rsidR="00F83A9B">
        <w:t xml:space="preserve"> </w:t>
      </w:r>
    </w:p>
    <w:p w14:paraId="1E74AC84" w14:textId="77777777" w:rsidR="00F83A9B" w:rsidRDefault="00F83A9B" w:rsidP="00970DBA"/>
    <w:p w14:paraId="1CE09409" w14:textId="3343558D" w:rsidR="00270A71" w:rsidRDefault="00F83A9B" w:rsidP="00970DBA">
      <w:r>
        <w:t xml:space="preserve">Acknowledging that each of the IOUs has used different methodologies for calculating its biennial conservation </w:t>
      </w:r>
      <w:r w:rsidR="002721BB">
        <w:t>achievements</w:t>
      </w:r>
      <w:r>
        <w:t xml:space="preserve">, the Commission may want to consider whether </w:t>
      </w:r>
      <w:r w:rsidR="002721BB">
        <w:t xml:space="preserve">consistency among the utilities is important or perhaps consistency within each utility, e.g., </w:t>
      </w:r>
      <w:r>
        <w:t>each utility can select a path for how it will address prescriptive UES, actual NEEA savings, and evaluation results, but then must continue on that path in future biennia.</w:t>
      </w:r>
    </w:p>
    <w:p w14:paraId="77857025" w14:textId="77777777" w:rsidR="007F1395" w:rsidRDefault="007F1395" w:rsidP="00305C50"/>
    <w:p w14:paraId="16F5AF6A" w14:textId="2BEEC72E" w:rsidR="00F80E37" w:rsidRPr="00F80E37" w:rsidRDefault="00F80E37">
      <w:pPr>
        <w:rPr>
          <w:b/>
        </w:rPr>
      </w:pPr>
      <w:r w:rsidRPr="00F80E37">
        <w:rPr>
          <w:b/>
        </w:rPr>
        <w:t>CONCLUSION</w:t>
      </w:r>
    </w:p>
    <w:p w14:paraId="6A572336" w14:textId="77777777" w:rsidR="00F80E37" w:rsidRDefault="00F80E37"/>
    <w:p w14:paraId="55E0A52D" w14:textId="201E35D2" w:rsidR="00115445" w:rsidRDefault="00F80E37">
      <w:r>
        <w:t>Even if PacifiCorp had not made adjustments for its appliance recycling program, CFLs, and NEEA, the Company still would have met its approved biennial target. Hence we recommend the Commission find PacifiCorp to be in compliance with I-937’s conservation standard requirements. We further recommend that the Commission provide additional guidance to PacifiCorp and the other IOUs regarding consistency between use of prescriptive unit energy savings estimates in</w:t>
      </w:r>
      <w:r w:rsidRPr="00877C2C">
        <w:t xml:space="preserve"> </w:t>
      </w:r>
      <w:r>
        <w:t xml:space="preserve">establishing the conservation </w:t>
      </w:r>
      <w:r w:rsidRPr="00877C2C">
        <w:t>target</w:t>
      </w:r>
      <w:r>
        <w:t xml:space="preserve"> </w:t>
      </w:r>
      <w:r w:rsidRPr="00877C2C">
        <w:t xml:space="preserve">and the reliance on those same estimates in </w:t>
      </w:r>
      <w:r>
        <w:t>compliance</w:t>
      </w:r>
      <w:r w:rsidRPr="00877C2C">
        <w:t xml:space="preserve"> demonstration</w:t>
      </w:r>
      <w:r w:rsidR="00B12917">
        <w:t>;</w:t>
      </w:r>
      <w:r>
        <w:t xml:space="preserve"> appropriate timing for incorporation of program</w:t>
      </w:r>
      <w:r w:rsidR="00B12917">
        <w:t xml:space="preserve"> and impact evaluation results; and reporting of NEEA savings.</w:t>
      </w:r>
      <w:r w:rsidR="00270A71">
        <w:t xml:space="preserve"> </w:t>
      </w:r>
    </w:p>
    <w:p w14:paraId="13A9DE78" w14:textId="77777777" w:rsidR="00395A01" w:rsidRDefault="00395A01"/>
    <w:p w14:paraId="6FA2A0A1" w14:textId="590A214A" w:rsidR="00926328" w:rsidRDefault="00926328"/>
    <w:sectPr w:rsidR="00926328" w:rsidSect="00877DA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B2F3C" w14:textId="77777777" w:rsidR="00710B44" w:rsidRDefault="00710B44" w:rsidP="004244D8">
      <w:r>
        <w:separator/>
      </w:r>
    </w:p>
  </w:endnote>
  <w:endnote w:type="continuationSeparator" w:id="0">
    <w:p w14:paraId="34CAEE77" w14:textId="77777777" w:rsidR="00710B44" w:rsidRDefault="00710B44" w:rsidP="00424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D135F" w14:textId="77777777" w:rsidR="00877DA8" w:rsidRDefault="00877DA8" w:rsidP="00CC57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884CAB" w14:textId="77777777" w:rsidR="00091607" w:rsidRDefault="00091607" w:rsidP="00877DA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CDA5D" w14:textId="77777777" w:rsidR="00877DA8" w:rsidRDefault="00877DA8" w:rsidP="00CC57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1614">
      <w:rPr>
        <w:rStyle w:val="PageNumber"/>
        <w:noProof/>
      </w:rPr>
      <w:t>4</w:t>
    </w:r>
    <w:r>
      <w:rPr>
        <w:rStyle w:val="PageNumber"/>
      </w:rPr>
      <w:fldChar w:fldCharType="end"/>
    </w:r>
  </w:p>
  <w:p w14:paraId="523FA0BD" w14:textId="7530E362" w:rsidR="00091607" w:rsidRDefault="00091607" w:rsidP="00877DA8">
    <w:pPr>
      <w:pStyle w:val="Footer"/>
      <w:pBdr>
        <w:bottom w:val="single" w:sz="12" w:space="1" w:color="auto"/>
      </w:pBdr>
      <w:ind w:right="360"/>
    </w:pPr>
  </w:p>
  <w:p w14:paraId="2FCFDCDE" w14:textId="7A442FD0" w:rsidR="00091607" w:rsidRPr="00091607" w:rsidRDefault="00091607">
    <w:pPr>
      <w:pStyle w:val="Footer"/>
      <w:rPr>
        <w:sz w:val="20"/>
        <w:szCs w:val="20"/>
      </w:rPr>
    </w:pPr>
    <w:r w:rsidRPr="00091607">
      <w:rPr>
        <w:sz w:val="20"/>
        <w:szCs w:val="20"/>
      </w:rPr>
      <w:t>Docket UE-100170, comments of NW Energy Coalition, July 16, 2012.</w:t>
    </w:r>
    <w:r w:rsidR="00877DA8">
      <w:rPr>
        <w:sz w:val="20"/>
        <w:szCs w:val="20"/>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BDC22" w14:textId="77777777" w:rsidR="00091607" w:rsidRDefault="0009160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9DCE3" w14:textId="77777777" w:rsidR="00710B44" w:rsidRDefault="00710B44" w:rsidP="004244D8">
      <w:r>
        <w:separator/>
      </w:r>
    </w:p>
  </w:footnote>
  <w:footnote w:type="continuationSeparator" w:id="0">
    <w:p w14:paraId="7878B5CB" w14:textId="77777777" w:rsidR="00710B44" w:rsidRDefault="00710B44" w:rsidP="004244D8">
      <w:r>
        <w:continuationSeparator/>
      </w:r>
    </w:p>
  </w:footnote>
  <w:footnote w:id="1">
    <w:p w14:paraId="0AA5074C" w14:textId="77777777" w:rsidR="00710B44" w:rsidRPr="003F375D" w:rsidRDefault="00710B44" w:rsidP="004244D8">
      <w:pPr>
        <w:pStyle w:val="FootnoteText"/>
        <w:rPr>
          <w:rFonts w:ascii="Times" w:hAnsi="Times"/>
          <w:sz w:val="20"/>
          <w:szCs w:val="20"/>
        </w:rPr>
      </w:pPr>
      <w:r w:rsidRPr="003F375D">
        <w:rPr>
          <w:rStyle w:val="FootnoteReference"/>
          <w:rFonts w:ascii="Times" w:hAnsi="Times"/>
          <w:sz w:val="20"/>
          <w:szCs w:val="20"/>
        </w:rPr>
        <w:footnoteRef/>
      </w:r>
      <w:r w:rsidRPr="003F375D">
        <w:rPr>
          <w:rFonts w:ascii="Times" w:hAnsi="Times"/>
          <w:sz w:val="20"/>
          <w:szCs w:val="20"/>
        </w:rPr>
        <w:t xml:space="preserve"> RCW 19.285.070</w:t>
      </w:r>
    </w:p>
  </w:footnote>
  <w:footnote w:id="2">
    <w:p w14:paraId="5045B0E0" w14:textId="77777777" w:rsidR="00710B44" w:rsidRPr="00AE7C4A" w:rsidRDefault="00710B44" w:rsidP="00284D79">
      <w:pPr>
        <w:pStyle w:val="FootnoteText"/>
        <w:rPr>
          <w:sz w:val="20"/>
          <w:szCs w:val="20"/>
        </w:rPr>
      </w:pPr>
      <w:r w:rsidRPr="00AE7C4A">
        <w:rPr>
          <w:rStyle w:val="FootnoteReference"/>
          <w:sz w:val="20"/>
          <w:szCs w:val="20"/>
        </w:rPr>
        <w:footnoteRef/>
      </w:r>
      <w:r w:rsidRPr="00AE7C4A">
        <w:rPr>
          <w:sz w:val="20"/>
          <w:szCs w:val="20"/>
        </w:rPr>
        <w:t xml:space="preserve"> http://www.pacificorp.com/es/dsm/washington.html</w:t>
      </w:r>
    </w:p>
  </w:footnote>
  <w:footnote w:id="3">
    <w:p w14:paraId="686EDBE4" w14:textId="5E39104D" w:rsidR="00710B44" w:rsidRPr="003F375D" w:rsidRDefault="00710B44">
      <w:pPr>
        <w:pStyle w:val="FootnoteText"/>
        <w:rPr>
          <w:rFonts w:ascii="Times" w:hAnsi="Times"/>
          <w:sz w:val="20"/>
          <w:szCs w:val="20"/>
        </w:rPr>
      </w:pPr>
      <w:r w:rsidRPr="003F375D">
        <w:rPr>
          <w:rStyle w:val="FootnoteReference"/>
          <w:rFonts w:ascii="Times" w:hAnsi="Times"/>
          <w:sz w:val="20"/>
          <w:szCs w:val="20"/>
        </w:rPr>
        <w:footnoteRef/>
      </w:r>
      <w:r w:rsidRPr="003F375D">
        <w:rPr>
          <w:rFonts w:ascii="Times" w:hAnsi="Times"/>
          <w:sz w:val="20"/>
          <w:szCs w:val="20"/>
        </w:rPr>
        <w:t xml:space="preserve"> </w:t>
      </w:r>
      <w:r>
        <w:rPr>
          <w:rFonts w:ascii="Times" w:hAnsi="Times"/>
          <w:sz w:val="20"/>
          <w:szCs w:val="20"/>
        </w:rPr>
        <w:t xml:space="preserve">Docket No. UE-100170, </w:t>
      </w:r>
      <w:r w:rsidRPr="003F375D">
        <w:rPr>
          <w:rFonts w:ascii="Times" w:hAnsi="Times"/>
          <w:sz w:val="20"/>
          <w:szCs w:val="20"/>
        </w:rPr>
        <w:t>Correction Letter Advice Draft,</w:t>
      </w:r>
      <w:r>
        <w:rPr>
          <w:rFonts w:ascii="Times" w:hAnsi="Times"/>
          <w:sz w:val="20"/>
          <w:szCs w:val="20"/>
        </w:rPr>
        <w:t xml:space="preserve"> submitted July </w:t>
      </w:r>
      <w:r w:rsidRPr="003F375D">
        <w:rPr>
          <w:rFonts w:ascii="Times" w:hAnsi="Times"/>
          <w:sz w:val="20"/>
          <w:szCs w:val="20"/>
        </w:rPr>
        <w:t>5, 2012.</w:t>
      </w:r>
    </w:p>
  </w:footnote>
  <w:footnote w:id="4">
    <w:p w14:paraId="1972B8A8" w14:textId="4E334C17" w:rsidR="00710B44" w:rsidRPr="003F375D" w:rsidRDefault="00710B44">
      <w:pPr>
        <w:pStyle w:val="FootnoteText"/>
        <w:rPr>
          <w:rFonts w:ascii="Times" w:hAnsi="Times"/>
          <w:sz w:val="20"/>
          <w:szCs w:val="20"/>
        </w:rPr>
      </w:pPr>
      <w:r w:rsidRPr="003F375D">
        <w:rPr>
          <w:rStyle w:val="FootnoteReference"/>
          <w:rFonts w:ascii="Times" w:hAnsi="Times"/>
          <w:sz w:val="20"/>
          <w:szCs w:val="20"/>
        </w:rPr>
        <w:footnoteRef/>
      </w:r>
      <w:r w:rsidRPr="003F375D">
        <w:rPr>
          <w:rFonts w:ascii="Times" w:hAnsi="Times"/>
          <w:sz w:val="20"/>
          <w:szCs w:val="20"/>
        </w:rPr>
        <w:t xml:space="preserve"> </w:t>
      </w:r>
      <w:r>
        <w:rPr>
          <w:rFonts w:ascii="Times" w:hAnsi="Times"/>
          <w:sz w:val="20"/>
          <w:szCs w:val="20"/>
        </w:rPr>
        <w:t xml:space="preserve">Docket No. </w:t>
      </w:r>
      <w:r w:rsidRPr="003F375D">
        <w:rPr>
          <w:rFonts w:ascii="Times" w:hAnsi="Times"/>
          <w:sz w:val="20"/>
          <w:szCs w:val="20"/>
        </w:rPr>
        <w:t>UE-100170, Final Order 02, issued 7/29/2010, at ¶ 20, 49.</w:t>
      </w:r>
    </w:p>
  </w:footnote>
  <w:footnote w:id="5">
    <w:p w14:paraId="47059359" w14:textId="011EDEF8" w:rsidR="00710B44" w:rsidRPr="001A4757" w:rsidRDefault="00710B44">
      <w:pPr>
        <w:pStyle w:val="FootnoteText"/>
        <w:rPr>
          <w:sz w:val="20"/>
          <w:szCs w:val="20"/>
        </w:rPr>
      </w:pPr>
      <w:r w:rsidRPr="001A4757">
        <w:rPr>
          <w:rStyle w:val="FootnoteReference"/>
          <w:sz w:val="20"/>
          <w:szCs w:val="20"/>
        </w:rPr>
        <w:footnoteRef/>
      </w:r>
      <w:r w:rsidRPr="001A4757">
        <w:rPr>
          <w:sz w:val="20"/>
          <w:szCs w:val="20"/>
        </w:rPr>
        <w:t xml:space="preserve"> </w:t>
      </w:r>
      <w:r w:rsidRPr="00AC578A">
        <w:rPr>
          <w:i/>
          <w:sz w:val="20"/>
          <w:szCs w:val="20"/>
        </w:rPr>
        <w:t>Id</w:t>
      </w:r>
      <w:r w:rsidRPr="001A4757">
        <w:rPr>
          <w:sz w:val="20"/>
          <w:szCs w:val="20"/>
        </w:rPr>
        <w:t>., at pp. 15-23.</w:t>
      </w:r>
    </w:p>
  </w:footnote>
  <w:footnote w:id="6">
    <w:p w14:paraId="5441143E" w14:textId="77777777" w:rsidR="00710B44" w:rsidRPr="00DD3812" w:rsidRDefault="00710B44" w:rsidP="00543C35">
      <w:pPr>
        <w:pStyle w:val="FootnoteText"/>
        <w:rPr>
          <w:sz w:val="22"/>
          <w:szCs w:val="22"/>
        </w:rPr>
      </w:pPr>
      <w:r w:rsidRPr="00DD3812">
        <w:rPr>
          <w:rStyle w:val="FootnoteReference"/>
          <w:sz w:val="22"/>
          <w:szCs w:val="22"/>
        </w:rPr>
        <w:footnoteRef/>
      </w:r>
      <w:r w:rsidRPr="00DD3812">
        <w:rPr>
          <w:sz w:val="22"/>
          <w:szCs w:val="22"/>
        </w:rPr>
        <w:t xml:space="preserve"> </w:t>
      </w:r>
      <w:proofErr w:type="gramStart"/>
      <w:r w:rsidRPr="00DD3812">
        <w:rPr>
          <w:i/>
          <w:sz w:val="22"/>
          <w:szCs w:val="22"/>
        </w:rPr>
        <w:t>In the Matter of Adopting Rules to Implement the Energy Independence Act</w:t>
      </w:r>
      <w:r w:rsidRPr="00DD3812">
        <w:rPr>
          <w:sz w:val="22"/>
          <w:szCs w:val="22"/>
        </w:rPr>
        <w:t>, Docket No.</w:t>
      </w:r>
      <w:proofErr w:type="gramEnd"/>
      <w:r w:rsidRPr="00DD3812">
        <w:rPr>
          <w:sz w:val="22"/>
          <w:szCs w:val="22"/>
        </w:rPr>
        <w:t xml:space="preserve"> UE-016895, General Order R-546 (Nov. 30, 2007), page 11.</w:t>
      </w:r>
    </w:p>
  </w:footnote>
  <w:footnote w:id="7">
    <w:p w14:paraId="7D1328BE" w14:textId="0DFA8125" w:rsidR="00710B44" w:rsidRPr="00200D71" w:rsidRDefault="00710B44">
      <w:pPr>
        <w:pStyle w:val="FootnoteText"/>
        <w:rPr>
          <w:sz w:val="20"/>
          <w:szCs w:val="20"/>
        </w:rPr>
      </w:pPr>
      <w:r w:rsidRPr="00200D71">
        <w:rPr>
          <w:rStyle w:val="FootnoteReference"/>
          <w:sz w:val="20"/>
          <w:szCs w:val="20"/>
        </w:rPr>
        <w:footnoteRef/>
      </w:r>
      <w:r w:rsidRPr="00200D71">
        <w:rPr>
          <w:sz w:val="20"/>
          <w:szCs w:val="20"/>
        </w:rPr>
        <w:t xml:space="preserve"> Docket No. UE-110001.</w:t>
      </w:r>
    </w:p>
  </w:footnote>
  <w:footnote w:id="8">
    <w:p w14:paraId="71DEE94D" w14:textId="798554AF" w:rsidR="00710B44" w:rsidRPr="00816366" w:rsidRDefault="00710B44">
      <w:pPr>
        <w:pStyle w:val="FootnoteText"/>
        <w:rPr>
          <w:sz w:val="20"/>
          <w:szCs w:val="20"/>
        </w:rPr>
      </w:pPr>
      <w:r w:rsidRPr="00816366">
        <w:rPr>
          <w:rStyle w:val="FootnoteReference"/>
          <w:sz w:val="20"/>
          <w:szCs w:val="20"/>
        </w:rPr>
        <w:footnoteRef/>
      </w:r>
      <w:r w:rsidRPr="00816366">
        <w:rPr>
          <w:sz w:val="20"/>
          <w:szCs w:val="20"/>
        </w:rPr>
        <w:t xml:space="preserve"> PacifiCorp’s Biennial Conservation Report (6-1-12), p. 15.</w:t>
      </w:r>
    </w:p>
  </w:footnote>
  <w:footnote w:id="9">
    <w:p w14:paraId="661FA9B5" w14:textId="6E7C3B90" w:rsidR="00710B44" w:rsidRDefault="00710B44">
      <w:pPr>
        <w:pStyle w:val="FootnoteText"/>
      </w:pPr>
      <w:r>
        <w:rPr>
          <w:rStyle w:val="FootnoteReference"/>
        </w:rPr>
        <w:footnoteRef/>
      </w:r>
      <w:r>
        <w:t xml:space="preserve"> </w:t>
      </w:r>
      <w:proofErr w:type="gramStart"/>
      <w:r>
        <w:rPr>
          <w:sz w:val="20"/>
          <w:szCs w:val="20"/>
        </w:rPr>
        <w:t xml:space="preserve">PacifiCorp response to </w:t>
      </w:r>
      <w:r w:rsidRPr="00356F87">
        <w:rPr>
          <w:sz w:val="20"/>
          <w:szCs w:val="20"/>
        </w:rPr>
        <w:t>PC data request</w:t>
      </w:r>
      <w:r>
        <w:rPr>
          <w:sz w:val="20"/>
          <w:szCs w:val="20"/>
        </w:rPr>
        <w:t>s 2.5, 2.6.</w:t>
      </w:r>
      <w:proofErr w:type="gramEnd"/>
      <w:r>
        <w:rPr>
          <w:sz w:val="20"/>
          <w:szCs w:val="20"/>
        </w:rPr>
        <w:t xml:space="preserve"> The Company similarly elected to incorporate evaluated results of its Home Energy Savings program in the subsequent planning period (PacifiCorp response to PC data requests 2.3, 2.4).</w:t>
      </w:r>
    </w:p>
  </w:footnote>
  <w:footnote w:id="10">
    <w:p w14:paraId="6B64FA25" w14:textId="649A8418" w:rsidR="00710B44" w:rsidRPr="00356F87" w:rsidRDefault="00710B44" w:rsidP="00356F87">
      <w:pPr>
        <w:pStyle w:val="FootnoteText"/>
        <w:rPr>
          <w:sz w:val="20"/>
          <w:szCs w:val="20"/>
        </w:rPr>
      </w:pPr>
      <w:r w:rsidRPr="00356F87">
        <w:rPr>
          <w:rStyle w:val="FootnoteReference"/>
          <w:sz w:val="20"/>
          <w:szCs w:val="20"/>
        </w:rPr>
        <w:footnoteRef/>
      </w:r>
      <w:r w:rsidRPr="00356F87">
        <w:rPr>
          <w:sz w:val="20"/>
          <w:szCs w:val="20"/>
        </w:rPr>
        <w:t xml:space="preserve"> </w:t>
      </w:r>
      <w:proofErr w:type="gramStart"/>
      <w:r>
        <w:rPr>
          <w:sz w:val="20"/>
          <w:szCs w:val="20"/>
        </w:rPr>
        <w:t xml:space="preserve">PacifiCorp response to </w:t>
      </w:r>
      <w:r w:rsidRPr="00356F87">
        <w:rPr>
          <w:sz w:val="20"/>
          <w:szCs w:val="20"/>
        </w:rPr>
        <w:t>PC data request 1.5</w:t>
      </w:r>
      <w:r>
        <w:rPr>
          <w:sz w:val="20"/>
          <w:szCs w:val="20"/>
        </w:rPr>
        <w:t>.</w:t>
      </w:r>
      <w:proofErr w:type="gramEnd"/>
    </w:p>
  </w:footnote>
  <w:footnote w:id="11">
    <w:p w14:paraId="7BD6792A" w14:textId="77777777" w:rsidR="00710B44" w:rsidRPr="004773FF" w:rsidRDefault="00710B44" w:rsidP="00FF5672">
      <w:pPr>
        <w:pStyle w:val="FootnoteText"/>
        <w:rPr>
          <w:sz w:val="20"/>
          <w:szCs w:val="20"/>
        </w:rPr>
      </w:pPr>
      <w:r w:rsidRPr="004773FF">
        <w:rPr>
          <w:rStyle w:val="FootnoteReference"/>
          <w:sz w:val="20"/>
          <w:szCs w:val="20"/>
        </w:rPr>
        <w:footnoteRef/>
      </w:r>
      <w:r w:rsidRPr="004773FF">
        <w:rPr>
          <w:sz w:val="20"/>
          <w:szCs w:val="20"/>
        </w:rPr>
        <w:t xml:space="preserve"> Id., pp. 14-15.</w:t>
      </w:r>
    </w:p>
  </w:footnote>
  <w:footnote w:id="12">
    <w:p w14:paraId="74D5C89C" w14:textId="2D129ABE" w:rsidR="00710B44" w:rsidRPr="00AA6F32" w:rsidRDefault="00710B44">
      <w:pPr>
        <w:pStyle w:val="FootnoteText"/>
        <w:rPr>
          <w:sz w:val="20"/>
          <w:szCs w:val="20"/>
        </w:rPr>
      </w:pPr>
      <w:r w:rsidRPr="00AA6F32">
        <w:rPr>
          <w:rStyle w:val="FootnoteReference"/>
          <w:sz w:val="20"/>
          <w:szCs w:val="20"/>
        </w:rPr>
        <w:footnoteRef/>
      </w:r>
      <w:r w:rsidRPr="00AA6F32">
        <w:rPr>
          <w:sz w:val="20"/>
          <w:szCs w:val="20"/>
        </w:rPr>
        <w:t xml:space="preserve"> </w:t>
      </w:r>
      <w:proofErr w:type="gramStart"/>
      <w:r w:rsidRPr="00AA6F32">
        <w:rPr>
          <w:sz w:val="20"/>
          <w:szCs w:val="20"/>
        </w:rPr>
        <w:t>RCW 19.285.040(1).</w:t>
      </w:r>
      <w:proofErr w:type="gramEnd"/>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D13E1" w14:textId="77777777" w:rsidR="00091607" w:rsidRDefault="0009160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E4506" w14:textId="77777777" w:rsidR="00091607" w:rsidRDefault="0009160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E5AE2" w14:textId="77777777" w:rsidR="00091607" w:rsidRDefault="000916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C0"/>
    <w:rsid w:val="00075122"/>
    <w:rsid w:val="00091607"/>
    <w:rsid w:val="00101F93"/>
    <w:rsid w:val="00115445"/>
    <w:rsid w:val="00141967"/>
    <w:rsid w:val="001A4757"/>
    <w:rsid w:val="00200D71"/>
    <w:rsid w:val="00270A71"/>
    <w:rsid w:val="002721BB"/>
    <w:rsid w:val="00284D79"/>
    <w:rsid w:val="002904DD"/>
    <w:rsid w:val="002B77C7"/>
    <w:rsid w:val="002C3F0F"/>
    <w:rsid w:val="00305C50"/>
    <w:rsid w:val="00322F7D"/>
    <w:rsid w:val="00356F87"/>
    <w:rsid w:val="00357BAB"/>
    <w:rsid w:val="00395A01"/>
    <w:rsid w:val="003B0061"/>
    <w:rsid w:val="003D79AD"/>
    <w:rsid w:val="003F375D"/>
    <w:rsid w:val="004244D8"/>
    <w:rsid w:val="00441CF4"/>
    <w:rsid w:val="004773FF"/>
    <w:rsid w:val="00484AD0"/>
    <w:rsid w:val="004B6F09"/>
    <w:rsid w:val="00543C35"/>
    <w:rsid w:val="0056377D"/>
    <w:rsid w:val="00627B5B"/>
    <w:rsid w:val="006A009E"/>
    <w:rsid w:val="006A20C0"/>
    <w:rsid w:val="0070036C"/>
    <w:rsid w:val="00710B44"/>
    <w:rsid w:val="00734A74"/>
    <w:rsid w:val="00756CF1"/>
    <w:rsid w:val="00770114"/>
    <w:rsid w:val="007D1FDE"/>
    <w:rsid w:val="007F1395"/>
    <w:rsid w:val="008076C7"/>
    <w:rsid w:val="00816366"/>
    <w:rsid w:val="00852485"/>
    <w:rsid w:val="00864B6D"/>
    <w:rsid w:val="00877DA8"/>
    <w:rsid w:val="0088558F"/>
    <w:rsid w:val="008B7148"/>
    <w:rsid w:val="008C34E1"/>
    <w:rsid w:val="00926328"/>
    <w:rsid w:val="00940A02"/>
    <w:rsid w:val="00970DBA"/>
    <w:rsid w:val="00A0180E"/>
    <w:rsid w:val="00A91C2B"/>
    <w:rsid w:val="00AA6F32"/>
    <w:rsid w:val="00AA7CC2"/>
    <w:rsid w:val="00AC578A"/>
    <w:rsid w:val="00AE2E28"/>
    <w:rsid w:val="00AE427D"/>
    <w:rsid w:val="00AE7C4A"/>
    <w:rsid w:val="00B12917"/>
    <w:rsid w:val="00BA4EFD"/>
    <w:rsid w:val="00BB0A68"/>
    <w:rsid w:val="00BE39C0"/>
    <w:rsid w:val="00C175E7"/>
    <w:rsid w:val="00C50762"/>
    <w:rsid w:val="00C54DDB"/>
    <w:rsid w:val="00CF2494"/>
    <w:rsid w:val="00D40675"/>
    <w:rsid w:val="00D44239"/>
    <w:rsid w:val="00D67D8A"/>
    <w:rsid w:val="00D73DF9"/>
    <w:rsid w:val="00D921EA"/>
    <w:rsid w:val="00DE010B"/>
    <w:rsid w:val="00E030A2"/>
    <w:rsid w:val="00E3191A"/>
    <w:rsid w:val="00E35CBD"/>
    <w:rsid w:val="00E4772A"/>
    <w:rsid w:val="00E54B5D"/>
    <w:rsid w:val="00EF424F"/>
    <w:rsid w:val="00F41614"/>
    <w:rsid w:val="00F64C36"/>
    <w:rsid w:val="00F70D09"/>
    <w:rsid w:val="00F73E3E"/>
    <w:rsid w:val="00F80E37"/>
    <w:rsid w:val="00F83A9B"/>
    <w:rsid w:val="00FA447B"/>
    <w:rsid w:val="00FA6C30"/>
    <w:rsid w:val="00FE71CA"/>
    <w:rsid w:val="00FF5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9A8AD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9C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244D8"/>
  </w:style>
  <w:style w:type="character" w:customStyle="1" w:styleId="FootnoteTextChar">
    <w:name w:val="Footnote Text Char"/>
    <w:basedOn w:val="DefaultParagraphFont"/>
    <w:link w:val="FootnoteText"/>
    <w:uiPriority w:val="99"/>
    <w:rsid w:val="004244D8"/>
    <w:rPr>
      <w:sz w:val="24"/>
      <w:szCs w:val="24"/>
      <w:lang w:eastAsia="en-US"/>
    </w:rPr>
  </w:style>
  <w:style w:type="character" w:styleId="FootnoteReference">
    <w:name w:val="footnote reference"/>
    <w:basedOn w:val="DefaultParagraphFont"/>
    <w:uiPriority w:val="99"/>
    <w:unhideWhenUsed/>
    <w:rsid w:val="004244D8"/>
    <w:rPr>
      <w:vertAlign w:val="superscript"/>
    </w:rPr>
  </w:style>
  <w:style w:type="paragraph" w:styleId="Header">
    <w:name w:val="header"/>
    <w:basedOn w:val="Normal"/>
    <w:link w:val="HeaderChar"/>
    <w:uiPriority w:val="99"/>
    <w:unhideWhenUsed/>
    <w:rsid w:val="00091607"/>
    <w:pPr>
      <w:tabs>
        <w:tab w:val="center" w:pos="4320"/>
        <w:tab w:val="right" w:pos="8640"/>
      </w:tabs>
    </w:pPr>
  </w:style>
  <w:style w:type="character" w:customStyle="1" w:styleId="HeaderChar">
    <w:name w:val="Header Char"/>
    <w:basedOn w:val="DefaultParagraphFont"/>
    <w:link w:val="Header"/>
    <w:uiPriority w:val="99"/>
    <w:rsid w:val="00091607"/>
    <w:rPr>
      <w:sz w:val="24"/>
      <w:szCs w:val="24"/>
      <w:lang w:eastAsia="en-US"/>
    </w:rPr>
  </w:style>
  <w:style w:type="paragraph" w:styleId="Footer">
    <w:name w:val="footer"/>
    <w:basedOn w:val="Normal"/>
    <w:link w:val="FooterChar"/>
    <w:uiPriority w:val="99"/>
    <w:unhideWhenUsed/>
    <w:rsid w:val="00091607"/>
    <w:pPr>
      <w:tabs>
        <w:tab w:val="center" w:pos="4320"/>
        <w:tab w:val="right" w:pos="8640"/>
      </w:tabs>
    </w:pPr>
  </w:style>
  <w:style w:type="character" w:customStyle="1" w:styleId="FooterChar">
    <w:name w:val="Footer Char"/>
    <w:basedOn w:val="DefaultParagraphFont"/>
    <w:link w:val="Footer"/>
    <w:uiPriority w:val="99"/>
    <w:rsid w:val="00091607"/>
    <w:rPr>
      <w:sz w:val="24"/>
      <w:szCs w:val="24"/>
      <w:lang w:eastAsia="en-US"/>
    </w:rPr>
  </w:style>
  <w:style w:type="character" w:styleId="PageNumber">
    <w:name w:val="page number"/>
    <w:basedOn w:val="DefaultParagraphFont"/>
    <w:uiPriority w:val="99"/>
    <w:semiHidden/>
    <w:unhideWhenUsed/>
    <w:rsid w:val="00877DA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9C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244D8"/>
  </w:style>
  <w:style w:type="character" w:customStyle="1" w:styleId="FootnoteTextChar">
    <w:name w:val="Footnote Text Char"/>
    <w:basedOn w:val="DefaultParagraphFont"/>
    <w:link w:val="FootnoteText"/>
    <w:uiPriority w:val="99"/>
    <w:rsid w:val="004244D8"/>
    <w:rPr>
      <w:sz w:val="24"/>
      <w:szCs w:val="24"/>
      <w:lang w:eastAsia="en-US"/>
    </w:rPr>
  </w:style>
  <w:style w:type="character" w:styleId="FootnoteReference">
    <w:name w:val="footnote reference"/>
    <w:basedOn w:val="DefaultParagraphFont"/>
    <w:uiPriority w:val="99"/>
    <w:unhideWhenUsed/>
    <w:rsid w:val="004244D8"/>
    <w:rPr>
      <w:vertAlign w:val="superscript"/>
    </w:rPr>
  </w:style>
  <w:style w:type="paragraph" w:styleId="Header">
    <w:name w:val="header"/>
    <w:basedOn w:val="Normal"/>
    <w:link w:val="HeaderChar"/>
    <w:uiPriority w:val="99"/>
    <w:unhideWhenUsed/>
    <w:rsid w:val="00091607"/>
    <w:pPr>
      <w:tabs>
        <w:tab w:val="center" w:pos="4320"/>
        <w:tab w:val="right" w:pos="8640"/>
      </w:tabs>
    </w:pPr>
  </w:style>
  <w:style w:type="character" w:customStyle="1" w:styleId="HeaderChar">
    <w:name w:val="Header Char"/>
    <w:basedOn w:val="DefaultParagraphFont"/>
    <w:link w:val="Header"/>
    <w:uiPriority w:val="99"/>
    <w:rsid w:val="00091607"/>
    <w:rPr>
      <w:sz w:val="24"/>
      <w:szCs w:val="24"/>
      <w:lang w:eastAsia="en-US"/>
    </w:rPr>
  </w:style>
  <w:style w:type="paragraph" w:styleId="Footer">
    <w:name w:val="footer"/>
    <w:basedOn w:val="Normal"/>
    <w:link w:val="FooterChar"/>
    <w:uiPriority w:val="99"/>
    <w:unhideWhenUsed/>
    <w:rsid w:val="00091607"/>
    <w:pPr>
      <w:tabs>
        <w:tab w:val="center" w:pos="4320"/>
        <w:tab w:val="right" w:pos="8640"/>
      </w:tabs>
    </w:pPr>
  </w:style>
  <w:style w:type="character" w:customStyle="1" w:styleId="FooterChar">
    <w:name w:val="Footer Char"/>
    <w:basedOn w:val="DefaultParagraphFont"/>
    <w:link w:val="Footer"/>
    <w:uiPriority w:val="99"/>
    <w:rsid w:val="00091607"/>
    <w:rPr>
      <w:sz w:val="24"/>
      <w:szCs w:val="24"/>
      <w:lang w:eastAsia="en-US"/>
    </w:rPr>
  </w:style>
  <w:style w:type="character" w:styleId="PageNumber">
    <w:name w:val="page number"/>
    <w:basedOn w:val="DefaultParagraphFont"/>
    <w:uiPriority w:val="99"/>
    <w:semiHidden/>
    <w:unhideWhenUsed/>
    <w:rsid w:val="00877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8"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eader" Target="header3.xml"/><Relationship Id="rId7" Type="http://schemas.openxmlformats.org/officeDocument/2006/relationships/hyperlink" Target="http://apps.leg.wa.gov/rcw/default.aspx?cite=19.285.040" TargetMode="External"/><Relationship Id="rId17"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customXml" Target="../customXml/item1.xml"/><Relationship Id="rId11"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oter" Target="footer1.xml"/><Relationship Id="rId19" Type="http://schemas.openxmlformats.org/officeDocument/2006/relationships/customXml" Target="../customXml/item4.xml"/><Relationship Id="rId1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2012-07-16T07:00:00+00:00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100170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EBE089650263A4BBB0BF02FB6333EAD" ma:contentTypeVersion="131" ma:contentTypeDescription="" ma:contentTypeScope="" ma:versionID="f8b6365998eca13bd4bdc0a7e77349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9920942-AD2F-4EBA-A049-BAA8E93D2D46}"/>
</file>

<file path=customXml/itemProps2.xml><?xml version="1.0" encoding="utf-8"?>
<ds:datastoreItem xmlns:ds="http://schemas.openxmlformats.org/officeDocument/2006/customXml" ds:itemID="{8F41CFC1-BB51-4CB1-AEB3-693644000A68}"/>
</file>

<file path=customXml/itemProps3.xml><?xml version="1.0" encoding="utf-8"?>
<ds:datastoreItem xmlns:ds="http://schemas.openxmlformats.org/officeDocument/2006/customXml" ds:itemID="{8B21CA8B-D29C-4FCC-8D34-2C37CABF27FD}"/>
</file>

<file path=customXml/itemProps4.xml><?xml version="1.0" encoding="utf-8"?>
<ds:datastoreItem xmlns:ds="http://schemas.openxmlformats.org/officeDocument/2006/customXml" ds:itemID="{8C9DF8AA-4038-4164-A6CB-2915AD414930}"/>
</file>

<file path=docProps/app.xml><?xml version="1.0" encoding="utf-8"?>
<Properties xmlns="http://schemas.openxmlformats.org/officeDocument/2006/extended-properties" xmlns:vt="http://schemas.openxmlformats.org/officeDocument/2006/docPropsVTypes">
  <Template>Normal.dotm</Template>
  <TotalTime>0</TotalTime>
  <Pages>4</Pages>
  <Words>1226</Words>
  <Characters>6992</Characters>
  <Application>Microsoft Macintosh Word</Application>
  <DocSecurity>0</DocSecurity>
  <Lines>58</Lines>
  <Paragraphs>16</Paragraphs>
  <ScaleCrop>false</ScaleCrop>
  <Company>NW Energy Coalition</Company>
  <LinksUpToDate>false</LinksUpToDate>
  <CharactersWithSpaces>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Dixon</dc:creator>
  <cp:keywords/>
  <dc:description/>
  <cp:lastModifiedBy>Danielle Dixon</cp:lastModifiedBy>
  <cp:revision>2</cp:revision>
  <dcterms:created xsi:type="dcterms:W3CDTF">2012-07-16T23:29:00Z</dcterms:created>
  <dcterms:modified xsi:type="dcterms:W3CDTF">2012-07-16T23:29:00Z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0x0101006E56B4D1795A2E4DB2F0B01679ED314A004EBE089650263A4BBB0BF02FB6333EAD</vt:lpwstr>
  </property>
  <property fmtid="{D5CDD505-2E9C-101B-9397-08002B2CF9AE}" pid="3" name="_docset_NoMedatataSyncRequired">
    <vt:lpwstr>False</vt:lpwstr>
  </property>
</Properties>
</file>