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976DA" w14:textId="77777777" w:rsidR="00751158" w:rsidRPr="00FA2761" w:rsidRDefault="00751158">
      <w:pPr>
        <w:pStyle w:val="Title"/>
        <w:rPr>
          <w:rFonts w:ascii="Times New Roman" w:hAnsi="Times New Roman"/>
        </w:rPr>
      </w:pPr>
      <w:r w:rsidRPr="00FA2761">
        <w:rPr>
          <w:rFonts w:ascii="Times New Roman" w:hAnsi="Times New Roman"/>
        </w:rPr>
        <w:t>BEFORE THE WASHINGTON</w:t>
      </w:r>
    </w:p>
    <w:p w14:paraId="314976DB" w14:textId="77777777" w:rsidR="00751158" w:rsidRPr="00FA2761" w:rsidRDefault="00751158">
      <w:pPr>
        <w:jc w:val="center"/>
        <w:rPr>
          <w:b/>
        </w:rPr>
      </w:pPr>
      <w:r w:rsidRPr="00FA2761">
        <w:rPr>
          <w:b/>
        </w:rPr>
        <w:t xml:space="preserve">UTILITIES AND TRANSPORTATION </w:t>
      </w:r>
      <w:r w:rsidR="006A63F0">
        <w:rPr>
          <w:b/>
        </w:rPr>
        <w:t>COMMISSION</w:t>
      </w:r>
    </w:p>
    <w:p w14:paraId="314976DC" w14:textId="77777777" w:rsidR="00751158" w:rsidRPr="00FA2761" w:rsidRDefault="0075115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7"/>
        <w:gridCol w:w="863"/>
        <w:gridCol w:w="4086"/>
      </w:tblGrid>
      <w:tr w:rsidR="00751158" w:rsidRPr="00FA2761" w14:paraId="314976EC" w14:textId="77777777">
        <w:tc>
          <w:tcPr>
            <w:tcW w:w="4068" w:type="dxa"/>
          </w:tcPr>
          <w:p w14:paraId="314976DD" w14:textId="77777777" w:rsidR="00751158" w:rsidRPr="00FA2761" w:rsidRDefault="00751158">
            <w:r w:rsidRPr="00FA2761">
              <w:t>In the Matter of the Request of</w:t>
            </w:r>
          </w:p>
          <w:p w14:paraId="314976DE" w14:textId="77777777" w:rsidR="00751158" w:rsidRPr="00FA2761" w:rsidRDefault="00751158"/>
          <w:p w14:paraId="314976DF" w14:textId="77777777" w:rsidR="00C22A21" w:rsidRDefault="006D7459">
            <w:r>
              <w:t>PACIFIC POWER &amp; LIGHT COMPANY</w:t>
            </w:r>
            <w:r w:rsidR="00751158" w:rsidRPr="00FA2761">
              <w:t>,</w:t>
            </w:r>
          </w:p>
          <w:p w14:paraId="314976E0" w14:textId="77777777" w:rsidR="00751158" w:rsidRPr="00FA2761" w:rsidRDefault="00751158"/>
          <w:p w14:paraId="314976E1" w14:textId="77777777" w:rsidR="00751158" w:rsidRPr="00FA2761" w:rsidRDefault="00751158">
            <w:r w:rsidRPr="00FA2761">
              <w:t xml:space="preserve">                     Petitioner, </w:t>
            </w:r>
          </w:p>
          <w:p w14:paraId="314976E2" w14:textId="77777777" w:rsidR="00751158" w:rsidRPr="00FA2761" w:rsidRDefault="00751158"/>
          <w:p w14:paraId="314976E3" w14:textId="77777777" w:rsidR="00751158" w:rsidRPr="00FA2761" w:rsidRDefault="00751158">
            <w:r w:rsidRPr="00FA2761">
              <w:t xml:space="preserve">For Less Than Statutory Notice in Connection with </w:t>
            </w:r>
            <w:r w:rsidR="006A63F0">
              <w:t>new</w:t>
            </w:r>
            <w:r w:rsidR="00F236AA">
              <w:t xml:space="preserve"> </w:t>
            </w:r>
            <w:r w:rsidRPr="00FA2761">
              <w:t xml:space="preserve">Tariff </w:t>
            </w:r>
          </w:p>
          <w:p w14:paraId="314976E4" w14:textId="77777777" w:rsidR="00751158" w:rsidRPr="00FA2761" w:rsidRDefault="00751158">
            <w:r w:rsidRPr="00FA2761">
              <w:t xml:space="preserve">. . . . . . . . . . . . . . . . . . . . . . . . . . . . . . . </w:t>
            </w:r>
          </w:p>
        </w:tc>
        <w:tc>
          <w:tcPr>
            <w:tcW w:w="900" w:type="dxa"/>
          </w:tcPr>
          <w:p w14:paraId="0BED4481" w14:textId="7DA16DCC" w:rsidR="003E3D1E" w:rsidRDefault="002552CD">
            <w:pPr>
              <w:jc w:val="center"/>
            </w:pPr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</w:r>
            <w:r w:rsidR="003E3D1E">
              <w:t>)</w:t>
            </w:r>
          </w:p>
          <w:p w14:paraId="34FE24A5" w14:textId="77777777" w:rsidR="00751158" w:rsidRDefault="002552CD">
            <w:pPr>
              <w:jc w:val="center"/>
            </w:pPr>
            <w:r>
              <w:t>)</w:t>
            </w:r>
          </w:p>
          <w:p w14:paraId="314976E5" w14:textId="14D0993F" w:rsidR="003E3D1E" w:rsidRPr="00FA2761" w:rsidRDefault="003E3D1E">
            <w:pPr>
              <w:jc w:val="center"/>
            </w:pPr>
            <w:r>
              <w:t>)</w:t>
            </w:r>
          </w:p>
        </w:tc>
        <w:tc>
          <w:tcPr>
            <w:tcW w:w="4248" w:type="dxa"/>
          </w:tcPr>
          <w:p w14:paraId="314976E6" w14:textId="28D6621D" w:rsidR="00751158" w:rsidRPr="00FA2761" w:rsidRDefault="004622EF">
            <w:r w:rsidRPr="00FA2761">
              <w:t xml:space="preserve">DOCKET </w:t>
            </w:r>
            <w:r w:rsidR="006D7459">
              <w:t>UE-</w:t>
            </w:r>
            <w:r w:rsidR="00A2093C">
              <w:t>100749</w:t>
            </w:r>
          </w:p>
          <w:p w14:paraId="314976E7" w14:textId="77777777" w:rsidR="00903B5C" w:rsidRPr="0050337D" w:rsidRDefault="00903B5C" w:rsidP="00903B5C"/>
          <w:p w14:paraId="314976E8" w14:textId="77777777" w:rsidR="00751158" w:rsidRPr="00FA2761" w:rsidRDefault="00751158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314976E9" w14:textId="6F3495EB" w:rsidR="00751158" w:rsidRPr="00FA2761" w:rsidRDefault="004622EF">
            <w:r w:rsidRPr="00FA2761">
              <w:t xml:space="preserve">ORDER </w:t>
            </w:r>
            <w:r w:rsidR="003E3D1E">
              <w:t>15</w:t>
            </w:r>
          </w:p>
          <w:p w14:paraId="314976EA" w14:textId="77777777" w:rsidR="00751158" w:rsidRPr="00FA2761" w:rsidRDefault="00751158"/>
          <w:p w14:paraId="314976EB" w14:textId="77777777" w:rsidR="00751158" w:rsidRPr="00FA2761" w:rsidRDefault="00751158" w:rsidP="006A63F0">
            <w:r w:rsidRPr="00FA2761">
              <w:t>ORDER GRANTING LESS THAN STATUTORY NOTICE</w:t>
            </w:r>
            <w:r w:rsidR="0052282D">
              <w:t>; A</w:t>
            </w:r>
            <w:r w:rsidR="006A63F0">
              <w:t>PPROVING TARIFF</w:t>
            </w:r>
            <w:r w:rsidR="0052282D">
              <w:t xml:space="preserve"> </w:t>
            </w:r>
          </w:p>
        </w:tc>
      </w:tr>
    </w:tbl>
    <w:p w14:paraId="314976ED" w14:textId="77777777" w:rsidR="00751158" w:rsidRDefault="00751158">
      <w:pPr>
        <w:jc w:val="center"/>
      </w:pPr>
    </w:p>
    <w:p w14:paraId="3CA0A02E" w14:textId="77777777" w:rsidR="00D378B2" w:rsidRPr="00FA2761" w:rsidRDefault="00D378B2">
      <w:pPr>
        <w:jc w:val="center"/>
      </w:pPr>
    </w:p>
    <w:p w14:paraId="314976EE" w14:textId="77777777" w:rsidR="00751158" w:rsidRDefault="00751158" w:rsidP="00D60316">
      <w:pPr>
        <w:pStyle w:val="Heading2"/>
        <w:spacing w:line="320" w:lineRule="exact"/>
        <w:rPr>
          <w:rFonts w:ascii="Times New Roman" w:hAnsi="Times New Roman"/>
        </w:rPr>
      </w:pPr>
      <w:r w:rsidRPr="00FA2761">
        <w:rPr>
          <w:rFonts w:ascii="Times New Roman" w:hAnsi="Times New Roman"/>
        </w:rPr>
        <w:t>BACKGROUND</w:t>
      </w:r>
    </w:p>
    <w:p w14:paraId="314976EF" w14:textId="77777777" w:rsidR="00903B5C" w:rsidRPr="00903B5C" w:rsidRDefault="00903B5C" w:rsidP="00D60316">
      <w:pPr>
        <w:spacing w:line="320" w:lineRule="exact"/>
      </w:pPr>
    </w:p>
    <w:p w14:paraId="314976F0" w14:textId="459BC1C8" w:rsidR="00D04A60" w:rsidRDefault="00751158" w:rsidP="00D60316">
      <w:pPr>
        <w:numPr>
          <w:ilvl w:val="0"/>
          <w:numId w:val="1"/>
        </w:numPr>
        <w:spacing w:line="320" w:lineRule="exact"/>
      </w:pPr>
      <w:r w:rsidRPr="00FA2761">
        <w:t>On</w:t>
      </w:r>
      <w:r w:rsidR="0046362E">
        <w:t xml:space="preserve"> </w:t>
      </w:r>
      <w:r w:rsidR="006D7459">
        <w:t xml:space="preserve">June </w:t>
      </w:r>
      <w:r w:rsidR="00A2093C">
        <w:t>5</w:t>
      </w:r>
      <w:r w:rsidR="006D7459">
        <w:t>, 2014</w:t>
      </w:r>
      <w:r w:rsidRPr="00FA2761">
        <w:t xml:space="preserve">, </w:t>
      </w:r>
      <w:r w:rsidR="006D7459">
        <w:t>Pacific Power &amp; Light Company</w:t>
      </w:r>
      <w:r w:rsidRPr="00FA2761">
        <w:t>, (</w:t>
      </w:r>
      <w:r w:rsidR="006D7459">
        <w:t>PacifiCorp</w:t>
      </w:r>
      <w:r w:rsidR="0046362E" w:rsidRPr="00FA2761">
        <w:t xml:space="preserve"> </w:t>
      </w:r>
      <w:r w:rsidR="0052282D" w:rsidRPr="001F1FEA">
        <w:rPr>
          <w:bCs/>
        </w:rPr>
        <w:t>or Company</w:t>
      </w:r>
      <w:r w:rsidRPr="00FA2761">
        <w:t xml:space="preserve">) filed with the </w:t>
      </w:r>
      <w:r w:rsidR="001C35E9">
        <w:t xml:space="preserve">Washington Utilities and Transportation </w:t>
      </w:r>
      <w:r w:rsidR="006A63F0">
        <w:t>Commission</w:t>
      </w:r>
      <w:r w:rsidR="001C35E9">
        <w:t xml:space="preserve"> (</w:t>
      </w:r>
      <w:r w:rsidR="006A63F0">
        <w:t>Commission</w:t>
      </w:r>
      <w:r w:rsidR="001C35E9">
        <w:t>)</w:t>
      </w:r>
      <w:r w:rsidRPr="00FA2761">
        <w:t xml:space="preserve"> </w:t>
      </w:r>
      <w:r w:rsidR="006D7459">
        <w:rPr>
          <w:noProof/>
        </w:rPr>
        <w:t xml:space="preserve">a </w:t>
      </w:r>
      <w:r w:rsidR="00A2093C">
        <w:rPr>
          <w:noProof/>
        </w:rPr>
        <w:t xml:space="preserve">compliance tariff filing in this docket, </w:t>
      </w:r>
      <w:r w:rsidRPr="00FA2761">
        <w:t xml:space="preserve">designated as </w:t>
      </w:r>
      <w:r w:rsidR="006D7459">
        <w:t xml:space="preserve">Schedule 96, </w:t>
      </w:r>
      <w:r w:rsidR="00A2093C">
        <w:t xml:space="preserve">entitled </w:t>
      </w:r>
      <w:r w:rsidR="006D7459">
        <w:t>Renewable Energy Revenue One-Time Credit</w:t>
      </w:r>
      <w:r w:rsidRPr="00FA2761">
        <w:t xml:space="preserve">.  </w:t>
      </w:r>
      <w:r w:rsidR="00A2093C">
        <w:t xml:space="preserve">This tariff will be part of </w:t>
      </w:r>
      <w:r w:rsidR="00EB2494">
        <w:t xml:space="preserve">the </w:t>
      </w:r>
      <w:r w:rsidR="00A2093C">
        <w:t>Company</w:t>
      </w:r>
      <w:r w:rsidR="00EB2494">
        <w:t>’s</w:t>
      </w:r>
      <w:r w:rsidR="00A2093C">
        <w:t xml:space="preserve"> Tariff WN U-75.</w:t>
      </w:r>
    </w:p>
    <w:p w14:paraId="314976F1" w14:textId="77777777" w:rsidR="00D04A60" w:rsidRDefault="00D04A60" w:rsidP="00226609">
      <w:pPr>
        <w:spacing w:line="320" w:lineRule="exact"/>
      </w:pPr>
    </w:p>
    <w:p w14:paraId="314976F2" w14:textId="71ED4918" w:rsidR="00A2093C" w:rsidRDefault="00A2093C" w:rsidP="007605D1">
      <w:pPr>
        <w:pStyle w:val="ListParagraph"/>
        <w:numPr>
          <w:ilvl w:val="0"/>
          <w:numId w:val="1"/>
        </w:numPr>
        <w:spacing w:line="320" w:lineRule="exact"/>
      </w:pPr>
      <w:r>
        <w:t>The compliance filing implements a Settlement Stipulation entered into between the commission, PacifiCorp, and Intervenor</w:t>
      </w:r>
      <w:r w:rsidR="00EB2494">
        <w:t>,</w:t>
      </w:r>
      <w:r>
        <w:t xml:space="preserve"> Industrial Customers of Northwest Utilities (ICNU).  The other Intervenor is the Public Counsel Section of the Attorney General’s Office (Public Counsel).  Public Counsel does not oppose the Settlement Stipulation.</w:t>
      </w:r>
    </w:p>
    <w:p w14:paraId="314976F3" w14:textId="77777777" w:rsidR="00A2093C" w:rsidRDefault="00A2093C" w:rsidP="00362E78">
      <w:pPr>
        <w:pStyle w:val="ListParagraph"/>
        <w:ind w:left="0"/>
      </w:pPr>
    </w:p>
    <w:p w14:paraId="314976F4" w14:textId="6F95E266" w:rsidR="00A2093C" w:rsidRDefault="00A2093C" w:rsidP="007605D1">
      <w:pPr>
        <w:pStyle w:val="ListParagraph"/>
        <w:numPr>
          <w:ilvl w:val="0"/>
          <w:numId w:val="1"/>
        </w:numPr>
        <w:spacing w:line="320" w:lineRule="exact"/>
      </w:pPr>
      <w:r>
        <w:t>Under the Settlement Stipulation, the Company agrees to file a tariff that would credit customers a total of $13 million, beginning with the June 20, 2014</w:t>
      </w:r>
      <w:r w:rsidR="00EB2494">
        <w:t>,</w:t>
      </w:r>
      <w:r>
        <w:t xml:space="preserve"> billing cycles.  The </w:t>
      </w:r>
      <w:r w:rsidR="003E3D1E">
        <w:t>C</w:t>
      </w:r>
      <w:r>
        <w:t xml:space="preserve">ommission agrees to enter an order acknowledging that all of PacifiCorp’s obligations regarding </w:t>
      </w:r>
      <w:r w:rsidR="00EB2494">
        <w:t>renewable energy credit revenues (</w:t>
      </w:r>
      <w:r>
        <w:t>REC Revenues</w:t>
      </w:r>
      <w:r w:rsidR="00EB2494">
        <w:t>)</w:t>
      </w:r>
      <w:r>
        <w:t xml:space="preserve"> from January 1, 2009, through April 2, 2011, are discharged.  The Company agrees to submit the tariff as a compliance filing in Docket UE-100749, and to request the </w:t>
      </w:r>
      <w:r w:rsidR="003E3D1E">
        <w:t>C</w:t>
      </w:r>
      <w:r>
        <w:t xml:space="preserve">ommission allow the tariff to become effective on less than statutory notice.  Once the </w:t>
      </w:r>
      <w:r w:rsidR="003E3D1E">
        <w:t>C</w:t>
      </w:r>
      <w:r>
        <w:t>ommission approves the tariff, the settling parties agree to file an unopposed motion to dismiss the litigation.</w:t>
      </w:r>
    </w:p>
    <w:p w14:paraId="314976F5" w14:textId="77777777" w:rsidR="00A2093C" w:rsidRDefault="00A2093C" w:rsidP="00362E78">
      <w:pPr>
        <w:pStyle w:val="ListParagraph"/>
        <w:ind w:left="0"/>
      </w:pPr>
    </w:p>
    <w:p w14:paraId="314976F6" w14:textId="08151FAA" w:rsidR="00A2093C" w:rsidRDefault="00A2093C" w:rsidP="007605D1">
      <w:pPr>
        <w:pStyle w:val="ListParagraph"/>
        <w:numPr>
          <w:ilvl w:val="0"/>
          <w:numId w:val="1"/>
        </w:numPr>
        <w:spacing w:line="320" w:lineRule="exact"/>
      </w:pPr>
      <w:r>
        <w:t>In its transmittal letter, the Company asks the Commission allow the tariff to be effective on less than statutory notice</w:t>
      </w:r>
      <w:r w:rsidR="00EB2494">
        <w:t xml:space="preserve"> (LSN)</w:t>
      </w:r>
      <w:r>
        <w:t>.  However, because the Settlement Stipulation provides that the rate credit should start for billing cycles beginning June 20, 1014, and, in compliance with that provision, the tariff the Company filed bears a June 20, 2014, effective date, that effective date is consistent with the Settlement Stipulation</w:t>
      </w:r>
      <w:r w:rsidR="00EB2494">
        <w:t>,</w:t>
      </w:r>
      <w:r>
        <w:t xml:space="preserve"> and it is not necessary for the Commission to grant LSN treatment.  </w:t>
      </w:r>
    </w:p>
    <w:p w14:paraId="314976FE" w14:textId="42A5B69F" w:rsidR="00751158" w:rsidRPr="007605D1" w:rsidRDefault="00D378B2" w:rsidP="007605D1">
      <w:pPr>
        <w:jc w:val="center"/>
        <w:rPr>
          <w:b/>
        </w:rPr>
      </w:pPr>
      <w:r>
        <w:br w:type="page"/>
      </w:r>
      <w:r w:rsidR="00751158" w:rsidRPr="007605D1">
        <w:rPr>
          <w:b/>
        </w:rPr>
        <w:lastRenderedPageBreak/>
        <w:t>FINDINGS AND CONCLUSIONS</w:t>
      </w:r>
    </w:p>
    <w:p w14:paraId="314976FF" w14:textId="77777777" w:rsidR="00751158" w:rsidRPr="00FA2761" w:rsidRDefault="00751158" w:rsidP="00D60316">
      <w:pPr>
        <w:spacing w:line="320" w:lineRule="exact"/>
        <w:jc w:val="center"/>
      </w:pPr>
    </w:p>
    <w:p w14:paraId="31497700" w14:textId="77777777" w:rsidR="00751158" w:rsidRPr="00FA2761" w:rsidRDefault="00581BA7" w:rsidP="00D60316">
      <w:pPr>
        <w:numPr>
          <w:ilvl w:val="0"/>
          <w:numId w:val="1"/>
        </w:numPr>
        <w:spacing w:line="320" w:lineRule="exact"/>
        <w:ind w:left="720" w:hanging="1440"/>
      </w:pPr>
      <w:r>
        <w:t>(1)</w:t>
      </w:r>
      <w:r w:rsidR="00254A29">
        <w:tab/>
      </w:r>
      <w:r w:rsidR="00751158" w:rsidRPr="00FA2761">
        <w:t xml:space="preserve">The Washington Utilities and Transportation </w:t>
      </w:r>
      <w:r w:rsidR="006A63F0">
        <w:t>Commission</w:t>
      </w:r>
      <w:r w:rsidR="00751158" w:rsidRPr="00FA2761">
        <w:t xml:space="preserve"> is an agency of the </w:t>
      </w:r>
      <w:r w:rsidR="00C22A21">
        <w:t>S</w:t>
      </w:r>
      <w:r w:rsidR="00751158" w:rsidRPr="00FA2761">
        <w:t xml:space="preserve">tate of Washington vested by statute with the authority to regulate </w:t>
      </w:r>
      <w:r w:rsidR="007423B8">
        <w:t xml:space="preserve">the </w:t>
      </w:r>
      <w:r w:rsidR="00751158" w:rsidRPr="00FA2761">
        <w:t>rates, regulations, practices, accounts,</w:t>
      </w:r>
      <w:r w:rsidR="007D5242">
        <w:t xml:space="preserve"> </w:t>
      </w:r>
      <w:proofErr w:type="gramStart"/>
      <w:r w:rsidR="007D5242">
        <w:t>securities</w:t>
      </w:r>
      <w:proofErr w:type="gramEnd"/>
      <w:r w:rsidR="007D5242">
        <w:t>,</w:t>
      </w:r>
      <w:r w:rsidR="00751158" w:rsidRPr="00FA2761">
        <w:t xml:space="preserve"> transfers of </w:t>
      </w:r>
      <w:r w:rsidR="00DC3B46">
        <w:t>property</w:t>
      </w:r>
      <w:r w:rsidR="00ED1B20">
        <w:t xml:space="preserve"> and affiliated interest</w:t>
      </w:r>
      <w:r w:rsidR="006F1C10">
        <w:t>s</w:t>
      </w:r>
      <w:r w:rsidR="00ED1B20">
        <w:t xml:space="preserve"> </w:t>
      </w:r>
      <w:r w:rsidR="00DC3B46">
        <w:t xml:space="preserve">of </w:t>
      </w:r>
      <w:r w:rsidR="00751158" w:rsidRPr="00FA2761">
        <w:t xml:space="preserve">public service companies, including electric companies.  </w:t>
      </w:r>
      <w:r w:rsidR="0046362E" w:rsidRPr="006A63F0">
        <w:t>RCW</w:t>
      </w:r>
      <w:r w:rsidR="00065895" w:rsidRPr="006A63F0">
        <w:t> </w:t>
      </w:r>
      <w:r w:rsidR="0046362E" w:rsidRPr="006A63F0">
        <w:t>80.01.040</w:t>
      </w:r>
      <w:r w:rsidR="0046362E" w:rsidRPr="0013504A">
        <w:t xml:space="preserve">, </w:t>
      </w:r>
      <w:r w:rsidR="0046362E" w:rsidRPr="006A63F0">
        <w:t>RCW 80.04</w:t>
      </w:r>
      <w:r w:rsidR="0046362E" w:rsidRPr="0013504A">
        <w:t xml:space="preserve">, </w:t>
      </w:r>
      <w:r w:rsidR="0046362E" w:rsidRPr="006A63F0">
        <w:t>RCW 80.08</w:t>
      </w:r>
      <w:r w:rsidR="0046362E" w:rsidRPr="0013504A">
        <w:t xml:space="preserve">, </w:t>
      </w:r>
      <w:r w:rsidR="0046362E" w:rsidRPr="006A63F0">
        <w:t>RCW 80.12</w:t>
      </w:r>
      <w:r w:rsidR="0046362E" w:rsidRPr="0013504A">
        <w:t xml:space="preserve">, </w:t>
      </w:r>
      <w:r w:rsidR="0046362E" w:rsidRPr="006A63F0">
        <w:t>RCW 80.16</w:t>
      </w:r>
      <w:r w:rsidR="0046362E" w:rsidRPr="0013504A">
        <w:t xml:space="preserve"> and </w:t>
      </w:r>
      <w:r w:rsidR="0046362E" w:rsidRPr="006A63F0">
        <w:t>RCW</w:t>
      </w:r>
      <w:r w:rsidR="00065895" w:rsidRPr="006A63F0">
        <w:t> </w:t>
      </w:r>
      <w:r w:rsidR="0046362E" w:rsidRPr="006A63F0">
        <w:t>80.28</w:t>
      </w:r>
      <w:r w:rsidR="00B43CF6" w:rsidRPr="00FA2761">
        <w:rPr>
          <w:i/>
        </w:rPr>
        <w:t>.</w:t>
      </w:r>
    </w:p>
    <w:p w14:paraId="31497701" w14:textId="77777777" w:rsidR="00751158" w:rsidRPr="00FA2761" w:rsidRDefault="00751158" w:rsidP="00D60316">
      <w:pPr>
        <w:spacing w:line="320" w:lineRule="exact"/>
        <w:ind w:left="-360"/>
      </w:pPr>
    </w:p>
    <w:p w14:paraId="31497702" w14:textId="77777777" w:rsidR="00751158" w:rsidRPr="00FA2761" w:rsidRDefault="00751158" w:rsidP="00D60316">
      <w:pPr>
        <w:numPr>
          <w:ilvl w:val="0"/>
          <w:numId w:val="1"/>
        </w:numPr>
        <w:spacing w:line="320" w:lineRule="exact"/>
        <w:ind w:left="720" w:hanging="1440"/>
      </w:pPr>
      <w:r w:rsidRPr="00FA2761">
        <w:t>(2)</w:t>
      </w:r>
      <w:r w:rsidRPr="00FA2761">
        <w:tab/>
      </w:r>
      <w:r w:rsidR="006D7459">
        <w:t>PacifiCorp</w:t>
      </w:r>
      <w:r w:rsidR="00831E4A">
        <w:t xml:space="preserve"> </w:t>
      </w:r>
      <w:r w:rsidRPr="00FA2761">
        <w:t xml:space="preserve">is an electric company and a public service company subject to </w:t>
      </w:r>
      <w:r w:rsidR="006A63F0">
        <w:t>Commission</w:t>
      </w:r>
      <w:r w:rsidRPr="00FA2761">
        <w:t xml:space="preserve"> jurisdiction.</w:t>
      </w:r>
    </w:p>
    <w:p w14:paraId="31497705" w14:textId="77777777" w:rsidR="00751158" w:rsidRPr="00FA2761" w:rsidRDefault="00751158" w:rsidP="00D60316">
      <w:pPr>
        <w:spacing w:line="320" w:lineRule="exact"/>
      </w:pPr>
    </w:p>
    <w:p w14:paraId="31497708" w14:textId="72FEF0D7" w:rsidR="00751158" w:rsidRDefault="00C6005E" w:rsidP="00D60316">
      <w:pPr>
        <w:numPr>
          <w:ilvl w:val="0"/>
          <w:numId w:val="1"/>
        </w:numPr>
        <w:spacing w:line="320" w:lineRule="exact"/>
        <w:ind w:left="720" w:hanging="1440"/>
      </w:pPr>
      <w:r>
        <w:t>(</w:t>
      </w:r>
      <w:r w:rsidR="00A2093C">
        <w:t>3</w:t>
      </w:r>
      <w:r w:rsidR="00751158" w:rsidRPr="00FA2761">
        <w:t>)</w:t>
      </w:r>
      <w:r w:rsidR="00751158" w:rsidRPr="00FA2761">
        <w:tab/>
        <w:t xml:space="preserve">This matter </w:t>
      </w:r>
      <w:r w:rsidR="00ED1B20">
        <w:t>came</w:t>
      </w:r>
      <w:r w:rsidR="00751158" w:rsidRPr="00FA2761">
        <w:t xml:space="preserve"> before the </w:t>
      </w:r>
      <w:r w:rsidR="006A63F0">
        <w:t>Commission</w:t>
      </w:r>
      <w:r w:rsidR="00751158" w:rsidRPr="00FA2761">
        <w:t xml:space="preserve"> at its regularly scheduled meeting on</w:t>
      </w:r>
      <w:r w:rsidR="008C4B80">
        <w:t xml:space="preserve"> </w:t>
      </w:r>
      <w:r w:rsidR="006D7459" w:rsidRPr="006D7459">
        <w:rPr>
          <w:bCs/>
        </w:rPr>
        <w:t>June 12, 2014</w:t>
      </w:r>
      <w:r w:rsidR="00A8437A">
        <w:t>.</w:t>
      </w:r>
      <w:r w:rsidR="00F22E9C">
        <w:br/>
      </w:r>
    </w:p>
    <w:p w14:paraId="31497709" w14:textId="14C50423" w:rsidR="00751158" w:rsidRDefault="00C6005E" w:rsidP="00D60316">
      <w:pPr>
        <w:numPr>
          <w:ilvl w:val="0"/>
          <w:numId w:val="1"/>
        </w:numPr>
        <w:spacing w:line="320" w:lineRule="exact"/>
        <w:ind w:left="720" w:hanging="1440"/>
      </w:pPr>
      <w:r>
        <w:t>(</w:t>
      </w:r>
      <w:r w:rsidR="00A2093C">
        <w:t>4</w:t>
      </w:r>
      <w:r w:rsidR="00751158" w:rsidRPr="00FA2761">
        <w:t>)</w:t>
      </w:r>
      <w:r w:rsidR="00751158" w:rsidRPr="00FA2761">
        <w:tab/>
        <w:t xml:space="preserve">After </w:t>
      </w:r>
      <w:r w:rsidR="00ED1B20">
        <w:t>reviewing</w:t>
      </w:r>
      <w:r w:rsidR="00F22E9C">
        <w:t xml:space="preserve"> </w:t>
      </w:r>
      <w:r w:rsidR="006D7459">
        <w:t>PacifiCorp</w:t>
      </w:r>
      <w:r w:rsidR="006A63F0">
        <w:t>’</w:t>
      </w:r>
      <w:r w:rsidR="007B692F">
        <w:t>s</w:t>
      </w:r>
      <w:r w:rsidR="00751158" w:rsidRPr="00FA2761">
        <w:t xml:space="preserve"> proposed tariff </w:t>
      </w:r>
      <w:r w:rsidR="006D7459" w:rsidRPr="0050337D">
        <w:rPr>
          <w:noProof/>
        </w:rPr>
        <w:t>revision</w:t>
      </w:r>
      <w:r w:rsidR="00751158" w:rsidRPr="00FA2761">
        <w:t xml:space="preserve"> filed on </w:t>
      </w:r>
      <w:r w:rsidR="006D7459">
        <w:t xml:space="preserve">June </w:t>
      </w:r>
      <w:r w:rsidR="00A2093C">
        <w:t>5</w:t>
      </w:r>
      <w:r w:rsidR="006D7459">
        <w:t>, 2014</w:t>
      </w:r>
      <w:r w:rsidR="00A2093C">
        <w:t>,</w:t>
      </w:r>
      <w:r w:rsidR="00751158" w:rsidRPr="00FA2761">
        <w:t xml:space="preserve"> and giving </w:t>
      </w:r>
      <w:r w:rsidR="002C1C83">
        <w:t xml:space="preserve">due </w:t>
      </w:r>
      <w:r w:rsidR="00751158" w:rsidRPr="00FA2761">
        <w:t xml:space="preserve">consideration to all relevant matters and for good cause shown, the </w:t>
      </w:r>
      <w:r w:rsidR="006A63F0">
        <w:t>Commission</w:t>
      </w:r>
      <w:r w:rsidR="00751158" w:rsidRPr="00FA2761">
        <w:t xml:space="preserve"> finds the proposed tariff should become effective </w:t>
      </w:r>
      <w:r w:rsidR="006D7459" w:rsidRPr="006D7459">
        <w:rPr>
          <w:bCs/>
        </w:rPr>
        <w:t>June 20, 2014</w:t>
      </w:r>
      <w:r w:rsidR="00A2093C">
        <w:rPr>
          <w:bCs/>
        </w:rPr>
        <w:t>, as filed</w:t>
      </w:r>
      <w:r w:rsidR="00751158" w:rsidRPr="00FA2761">
        <w:t>.</w:t>
      </w:r>
    </w:p>
    <w:p w14:paraId="3149770C" w14:textId="77777777" w:rsidR="00751158" w:rsidRPr="00FA2761" w:rsidRDefault="00751158" w:rsidP="00D60316">
      <w:pPr>
        <w:spacing w:line="320" w:lineRule="exact"/>
        <w:jc w:val="center"/>
      </w:pPr>
    </w:p>
    <w:p w14:paraId="3149770D" w14:textId="77777777" w:rsidR="00751158" w:rsidRPr="00FA2761" w:rsidRDefault="00751158" w:rsidP="00D60316">
      <w:pPr>
        <w:pStyle w:val="Heading2"/>
        <w:spacing w:line="320" w:lineRule="exact"/>
        <w:rPr>
          <w:rFonts w:ascii="Times New Roman" w:hAnsi="Times New Roman"/>
        </w:rPr>
      </w:pPr>
      <w:r w:rsidRPr="00FA2761">
        <w:rPr>
          <w:rFonts w:ascii="Times New Roman" w:hAnsi="Times New Roman"/>
        </w:rPr>
        <w:t>O R D E R</w:t>
      </w:r>
    </w:p>
    <w:p w14:paraId="3149770E" w14:textId="77777777" w:rsidR="00751158" w:rsidRPr="00FA2761" w:rsidRDefault="00751158" w:rsidP="00D60316">
      <w:pPr>
        <w:spacing w:line="320" w:lineRule="exact"/>
        <w:jc w:val="center"/>
      </w:pPr>
    </w:p>
    <w:p w14:paraId="3149770F" w14:textId="77777777" w:rsidR="00751158" w:rsidRPr="007B692F" w:rsidRDefault="00751158" w:rsidP="00D60316">
      <w:pPr>
        <w:spacing w:line="320" w:lineRule="exact"/>
        <w:rPr>
          <w:b/>
        </w:rPr>
      </w:pPr>
      <w:r w:rsidRPr="007B692F">
        <w:rPr>
          <w:b/>
        </w:rPr>
        <w:t xml:space="preserve">THE </w:t>
      </w:r>
      <w:r w:rsidR="006A63F0">
        <w:rPr>
          <w:b/>
        </w:rPr>
        <w:t>COMMISSION</w:t>
      </w:r>
      <w:r w:rsidRPr="007B692F">
        <w:rPr>
          <w:b/>
        </w:rPr>
        <w:t xml:space="preserve"> ORDERS:</w:t>
      </w:r>
    </w:p>
    <w:p w14:paraId="31497710" w14:textId="77777777" w:rsidR="00751158" w:rsidRPr="00FA2761" w:rsidRDefault="00751158" w:rsidP="00D60316">
      <w:pPr>
        <w:spacing w:line="320" w:lineRule="exact"/>
        <w:jc w:val="center"/>
      </w:pPr>
    </w:p>
    <w:p w14:paraId="31497713" w14:textId="3DC6C332" w:rsidR="00584861" w:rsidRPr="00226609" w:rsidRDefault="00F23200" w:rsidP="00D60316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>
        <w:t>(</w:t>
      </w:r>
      <w:r w:rsidR="00A2093C">
        <w:t>1</w:t>
      </w:r>
      <w:r>
        <w:t>)</w:t>
      </w:r>
      <w:r>
        <w:tab/>
        <w:t>The tariff</w:t>
      </w:r>
      <w:r w:rsidR="00465477">
        <w:t>, filed by</w:t>
      </w:r>
      <w:r>
        <w:t xml:space="preserve"> </w:t>
      </w:r>
      <w:r w:rsidR="006D7459">
        <w:t>Pacific Power &amp; Light Company</w:t>
      </w:r>
      <w:r w:rsidR="00465477">
        <w:t>,</w:t>
      </w:r>
      <w:r>
        <w:t xml:space="preserve"> on </w:t>
      </w:r>
      <w:r w:rsidR="006D7459">
        <w:t xml:space="preserve">June </w:t>
      </w:r>
      <w:r w:rsidR="00A2093C">
        <w:t>5</w:t>
      </w:r>
      <w:r w:rsidR="006D7459">
        <w:t>, 2014</w:t>
      </w:r>
      <w:r w:rsidR="00D04A60">
        <w:t>,</w:t>
      </w:r>
      <w:r>
        <w:t xml:space="preserve"> </w:t>
      </w:r>
      <w:r w:rsidR="00A2093C">
        <w:t xml:space="preserve">with an </w:t>
      </w:r>
      <w:r>
        <w:t xml:space="preserve">effective </w:t>
      </w:r>
      <w:r w:rsidR="00A2093C">
        <w:t xml:space="preserve">date of </w:t>
      </w:r>
      <w:r w:rsidR="006D7459">
        <w:t>June 20, 2014</w:t>
      </w:r>
      <w:r w:rsidR="00A2093C">
        <w:t>, is hereby approved</w:t>
      </w:r>
      <w:r w:rsidR="001C0858">
        <w:t>.</w:t>
      </w:r>
      <w:r w:rsidR="009D5DAA">
        <w:t xml:space="preserve"> </w:t>
      </w:r>
    </w:p>
    <w:p w14:paraId="31497714" w14:textId="77777777" w:rsidR="00584861" w:rsidRDefault="00584861" w:rsidP="00226609">
      <w:pPr>
        <w:pStyle w:val="ListParagraph"/>
      </w:pPr>
    </w:p>
    <w:p w14:paraId="31497715" w14:textId="3A1379AE" w:rsidR="00F23200" w:rsidRPr="007D5242" w:rsidRDefault="00584861" w:rsidP="00D60316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>
        <w:t>(</w:t>
      </w:r>
      <w:r w:rsidR="00465477">
        <w:t>2</w:t>
      </w:r>
      <w:r>
        <w:t>)</w:t>
      </w:r>
      <w:r>
        <w:tab/>
        <w:t>The Commission acknowledges that a</w:t>
      </w:r>
      <w:r w:rsidR="009D5DAA">
        <w:t xml:space="preserve">ll of </w:t>
      </w:r>
      <w:r w:rsidR="00A31CD2">
        <w:t xml:space="preserve">Pacific Power &amp; Light Company’s </w:t>
      </w:r>
      <w:r w:rsidR="009D5DAA">
        <w:t xml:space="preserve">obligations regarding </w:t>
      </w:r>
      <w:r w:rsidR="00465477">
        <w:t>renewable energy credit revenues</w:t>
      </w:r>
      <w:r w:rsidR="009D5DAA">
        <w:t xml:space="preserve"> from January 1, 2009, through April 2, 2011, are discharged.</w:t>
      </w:r>
    </w:p>
    <w:p w14:paraId="31497716" w14:textId="792DD3E8" w:rsidR="00D378B2" w:rsidRDefault="00D378B2">
      <w:pPr>
        <w:rPr>
          <w:b/>
        </w:rPr>
      </w:pPr>
      <w:r>
        <w:rPr>
          <w:b/>
        </w:rPr>
        <w:br w:type="page"/>
      </w:r>
    </w:p>
    <w:p w14:paraId="697313EC" w14:textId="6A5BCAD9" w:rsidR="00CB78F2" w:rsidRPr="006159E4" w:rsidRDefault="00CB78F2" w:rsidP="00CB78F2">
      <w:pPr>
        <w:spacing w:line="320" w:lineRule="exact"/>
        <w:rPr>
          <w:b/>
          <w:sz w:val="25"/>
          <w:szCs w:val="25"/>
        </w:rPr>
      </w:pPr>
      <w:r w:rsidRPr="006159E4">
        <w:rPr>
          <w:sz w:val="25"/>
          <w:szCs w:val="25"/>
        </w:rPr>
        <w:lastRenderedPageBreak/>
        <w:t xml:space="preserve">DATED at Olympia, Washington, and effective </w:t>
      </w:r>
      <w:r w:rsidR="00D378B2">
        <w:rPr>
          <w:sz w:val="25"/>
          <w:szCs w:val="25"/>
        </w:rPr>
        <w:t>June 12, 2014</w:t>
      </w:r>
      <w:r w:rsidR="007605D1">
        <w:rPr>
          <w:sz w:val="25"/>
          <w:szCs w:val="25"/>
        </w:rPr>
        <w:t>.</w:t>
      </w:r>
      <w:bookmarkStart w:id="0" w:name="_GoBack"/>
      <w:bookmarkEnd w:id="0"/>
    </w:p>
    <w:p w14:paraId="7ED03739" w14:textId="77777777" w:rsidR="00CB78F2" w:rsidRPr="006159E4" w:rsidRDefault="00CB78F2" w:rsidP="00CB78F2">
      <w:pPr>
        <w:spacing w:line="320" w:lineRule="exact"/>
        <w:rPr>
          <w:b/>
          <w:sz w:val="25"/>
          <w:szCs w:val="25"/>
        </w:rPr>
      </w:pPr>
    </w:p>
    <w:p w14:paraId="14E37487" w14:textId="77777777" w:rsidR="00CB78F2" w:rsidRPr="006159E4" w:rsidRDefault="00CB78F2" w:rsidP="00CB78F2">
      <w:pPr>
        <w:spacing w:line="320" w:lineRule="exact"/>
        <w:jc w:val="center"/>
        <w:rPr>
          <w:sz w:val="25"/>
          <w:szCs w:val="25"/>
        </w:rPr>
      </w:pPr>
      <w:r w:rsidRPr="006159E4">
        <w:rPr>
          <w:sz w:val="25"/>
          <w:szCs w:val="25"/>
        </w:rPr>
        <w:t>WASHINGTON UTILITIES AND TRANSPORTATION COMMISSION</w:t>
      </w:r>
    </w:p>
    <w:p w14:paraId="74FA2B64" w14:textId="77777777" w:rsidR="00CB78F2" w:rsidRPr="006159E4" w:rsidRDefault="00CB78F2" w:rsidP="00CB78F2">
      <w:pPr>
        <w:spacing w:line="320" w:lineRule="exact"/>
        <w:rPr>
          <w:sz w:val="25"/>
          <w:szCs w:val="25"/>
        </w:rPr>
      </w:pPr>
    </w:p>
    <w:p w14:paraId="3C5F9F0D" w14:textId="77777777" w:rsidR="00CB78F2" w:rsidRPr="006159E4" w:rsidRDefault="00CB78F2" w:rsidP="00CB78F2">
      <w:pPr>
        <w:spacing w:line="320" w:lineRule="exact"/>
        <w:rPr>
          <w:sz w:val="25"/>
          <w:szCs w:val="25"/>
        </w:rPr>
      </w:pPr>
    </w:p>
    <w:p w14:paraId="3B659C00" w14:textId="77777777" w:rsidR="00CB78F2" w:rsidRPr="006159E4" w:rsidRDefault="00CB78F2" w:rsidP="00CB78F2">
      <w:pPr>
        <w:spacing w:line="320" w:lineRule="exact"/>
        <w:rPr>
          <w:sz w:val="25"/>
          <w:szCs w:val="25"/>
        </w:rPr>
      </w:pPr>
    </w:p>
    <w:p w14:paraId="441E8384" w14:textId="77777777" w:rsidR="00CB78F2" w:rsidRPr="006159E4" w:rsidRDefault="00CB78F2" w:rsidP="00CB78F2">
      <w:pPr>
        <w:spacing w:line="320" w:lineRule="exact"/>
        <w:rPr>
          <w:sz w:val="25"/>
          <w:szCs w:val="25"/>
        </w:rPr>
      </w:pPr>
      <w:r w:rsidRPr="006159E4">
        <w:rPr>
          <w:sz w:val="25"/>
          <w:szCs w:val="25"/>
        </w:rPr>
        <w:tab/>
      </w:r>
      <w:r w:rsidRPr="006159E4">
        <w:rPr>
          <w:sz w:val="25"/>
          <w:szCs w:val="25"/>
        </w:rPr>
        <w:tab/>
      </w:r>
      <w:r w:rsidRPr="006159E4">
        <w:rPr>
          <w:sz w:val="25"/>
          <w:szCs w:val="25"/>
        </w:rPr>
        <w:tab/>
      </w:r>
      <w:r w:rsidRPr="006159E4">
        <w:rPr>
          <w:sz w:val="25"/>
          <w:szCs w:val="25"/>
        </w:rPr>
        <w:tab/>
        <w:t>DAVID W. DANNER, Chairman</w:t>
      </w:r>
    </w:p>
    <w:p w14:paraId="61A83EC9" w14:textId="77777777" w:rsidR="00CB78F2" w:rsidRPr="006159E4" w:rsidRDefault="00CB78F2" w:rsidP="00CB78F2">
      <w:pPr>
        <w:spacing w:line="320" w:lineRule="exact"/>
        <w:rPr>
          <w:sz w:val="25"/>
          <w:szCs w:val="25"/>
        </w:rPr>
      </w:pPr>
    </w:p>
    <w:p w14:paraId="0E7D8B13" w14:textId="77777777" w:rsidR="00CB78F2" w:rsidRPr="006159E4" w:rsidRDefault="00CB78F2" w:rsidP="00CB78F2">
      <w:pPr>
        <w:spacing w:line="320" w:lineRule="exact"/>
        <w:rPr>
          <w:sz w:val="25"/>
          <w:szCs w:val="25"/>
        </w:rPr>
      </w:pPr>
    </w:p>
    <w:p w14:paraId="014D1A85" w14:textId="77777777" w:rsidR="00CB78F2" w:rsidRPr="006159E4" w:rsidRDefault="00CB78F2" w:rsidP="00CB78F2">
      <w:pPr>
        <w:spacing w:line="320" w:lineRule="exact"/>
        <w:rPr>
          <w:sz w:val="25"/>
          <w:szCs w:val="25"/>
        </w:rPr>
      </w:pPr>
    </w:p>
    <w:p w14:paraId="05FEFFCA" w14:textId="77777777" w:rsidR="00CB78F2" w:rsidRPr="006159E4" w:rsidRDefault="00CB78F2" w:rsidP="00CB78F2">
      <w:pPr>
        <w:spacing w:line="320" w:lineRule="exact"/>
        <w:rPr>
          <w:sz w:val="25"/>
          <w:szCs w:val="25"/>
        </w:rPr>
      </w:pPr>
      <w:r w:rsidRPr="006159E4">
        <w:rPr>
          <w:sz w:val="25"/>
          <w:szCs w:val="25"/>
        </w:rPr>
        <w:tab/>
      </w:r>
      <w:r w:rsidRPr="006159E4">
        <w:rPr>
          <w:sz w:val="25"/>
          <w:szCs w:val="25"/>
        </w:rPr>
        <w:tab/>
      </w:r>
      <w:r w:rsidRPr="006159E4">
        <w:rPr>
          <w:sz w:val="25"/>
          <w:szCs w:val="25"/>
        </w:rPr>
        <w:tab/>
      </w:r>
      <w:r w:rsidRPr="006159E4">
        <w:rPr>
          <w:sz w:val="25"/>
          <w:szCs w:val="25"/>
        </w:rPr>
        <w:tab/>
        <w:t>PHILIP B. JONES, Commissioner</w:t>
      </w:r>
    </w:p>
    <w:p w14:paraId="22A7A6F4" w14:textId="77777777" w:rsidR="00CB78F2" w:rsidRPr="006159E4" w:rsidRDefault="00CB78F2" w:rsidP="00CB78F2">
      <w:pPr>
        <w:spacing w:line="320" w:lineRule="exact"/>
        <w:rPr>
          <w:sz w:val="25"/>
          <w:szCs w:val="25"/>
        </w:rPr>
      </w:pPr>
    </w:p>
    <w:p w14:paraId="14BC90F5" w14:textId="77777777" w:rsidR="00CB78F2" w:rsidRPr="006159E4" w:rsidRDefault="00CB78F2" w:rsidP="00CB78F2">
      <w:pPr>
        <w:spacing w:line="320" w:lineRule="exact"/>
        <w:ind w:left="2160" w:firstLine="720"/>
        <w:rPr>
          <w:sz w:val="25"/>
          <w:szCs w:val="25"/>
        </w:rPr>
      </w:pPr>
    </w:p>
    <w:p w14:paraId="2111CC94" w14:textId="77777777" w:rsidR="00CB78F2" w:rsidRPr="006159E4" w:rsidRDefault="00CB78F2" w:rsidP="00CB78F2">
      <w:pPr>
        <w:spacing w:line="320" w:lineRule="exact"/>
        <w:ind w:left="2160" w:firstLine="720"/>
        <w:rPr>
          <w:sz w:val="25"/>
          <w:szCs w:val="25"/>
        </w:rPr>
      </w:pPr>
    </w:p>
    <w:p w14:paraId="42E20320" w14:textId="77777777" w:rsidR="00CB78F2" w:rsidRPr="006159E4" w:rsidRDefault="00CB78F2" w:rsidP="00CB78F2">
      <w:pPr>
        <w:spacing w:line="320" w:lineRule="exact"/>
        <w:ind w:left="2160" w:firstLine="720"/>
        <w:rPr>
          <w:sz w:val="25"/>
          <w:szCs w:val="25"/>
        </w:rPr>
      </w:pPr>
      <w:r w:rsidRPr="006159E4">
        <w:rPr>
          <w:sz w:val="25"/>
          <w:szCs w:val="25"/>
        </w:rPr>
        <w:t>JEFFREY D. GOLTZ, Commissioner</w:t>
      </w:r>
    </w:p>
    <w:p w14:paraId="739EAB0A" w14:textId="77777777" w:rsidR="00CB78F2" w:rsidRPr="006159E4" w:rsidRDefault="00CB78F2" w:rsidP="00CB78F2">
      <w:pPr>
        <w:spacing w:line="320" w:lineRule="exact"/>
        <w:rPr>
          <w:sz w:val="25"/>
          <w:szCs w:val="25"/>
        </w:rPr>
      </w:pPr>
    </w:p>
    <w:p w14:paraId="2914A102" w14:textId="77777777" w:rsidR="00CB78F2" w:rsidRPr="006159E4" w:rsidRDefault="00CB78F2" w:rsidP="00CB78F2">
      <w:pPr>
        <w:spacing w:line="320" w:lineRule="exact"/>
        <w:rPr>
          <w:sz w:val="25"/>
          <w:szCs w:val="25"/>
        </w:rPr>
      </w:pPr>
    </w:p>
    <w:p w14:paraId="31497722" w14:textId="77777777" w:rsidR="007C43E3" w:rsidRDefault="007C43E3" w:rsidP="00D60316">
      <w:pPr>
        <w:pStyle w:val="Header"/>
        <w:tabs>
          <w:tab w:val="clear" w:pos="4320"/>
          <w:tab w:val="clear" w:pos="8640"/>
        </w:tabs>
        <w:spacing w:line="320" w:lineRule="exact"/>
        <w:rPr>
          <w:rFonts w:ascii="Palatino Linotype" w:hAnsi="Palatino Linotype"/>
        </w:rPr>
      </w:pPr>
    </w:p>
    <w:p w14:paraId="31497723" w14:textId="77777777" w:rsidR="007C43E3" w:rsidRDefault="007C43E3" w:rsidP="00D60316">
      <w:pPr>
        <w:pStyle w:val="Header"/>
        <w:tabs>
          <w:tab w:val="clear" w:pos="4320"/>
          <w:tab w:val="clear" w:pos="8640"/>
        </w:tabs>
        <w:spacing w:line="320" w:lineRule="exact"/>
        <w:rPr>
          <w:rFonts w:ascii="Palatino Linotype" w:hAnsi="Palatino Linotype"/>
        </w:rPr>
      </w:pPr>
    </w:p>
    <w:p w14:paraId="31497724" w14:textId="77777777" w:rsidR="00F236AA" w:rsidRDefault="00F236AA" w:rsidP="00F236AA">
      <w:pPr>
        <w:spacing w:line="320" w:lineRule="exact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</w:t>
      </w:r>
    </w:p>
    <w:p w14:paraId="31497725" w14:textId="77777777" w:rsidR="007C43E3" w:rsidRDefault="007C43E3" w:rsidP="00D60316">
      <w:pPr>
        <w:pStyle w:val="Header"/>
        <w:tabs>
          <w:tab w:val="clear" w:pos="4320"/>
          <w:tab w:val="clear" w:pos="8640"/>
        </w:tabs>
        <w:spacing w:line="320" w:lineRule="exact"/>
        <w:rPr>
          <w:rFonts w:ascii="Palatino Linotype" w:hAnsi="Palatino Linotype"/>
          <w:b/>
        </w:rPr>
      </w:pPr>
    </w:p>
    <w:sectPr w:rsidR="007C43E3" w:rsidSect="007C43E3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49772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97729" w14:textId="77777777" w:rsidR="000764D1" w:rsidRDefault="000764D1">
      <w:r>
        <w:separator/>
      </w:r>
    </w:p>
  </w:endnote>
  <w:endnote w:type="continuationSeparator" w:id="0">
    <w:p w14:paraId="3149772A" w14:textId="77777777" w:rsidR="000764D1" w:rsidRDefault="0007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97727" w14:textId="77777777" w:rsidR="000764D1" w:rsidRDefault="000764D1">
      <w:r>
        <w:separator/>
      </w:r>
    </w:p>
  </w:footnote>
  <w:footnote w:type="continuationSeparator" w:id="0">
    <w:p w14:paraId="31497728" w14:textId="77777777" w:rsidR="000764D1" w:rsidRDefault="00076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9772B" w14:textId="325A591B" w:rsidR="00AC3EF7" w:rsidRPr="00FB6BE0" w:rsidRDefault="00A31CD2" w:rsidP="001F7A0E">
    <w:pPr>
      <w:pStyle w:val="Header"/>
      <w:rPr>
        <w:sz w:val="20"/>
        <w:szCs w:val="20"/>
      </w:rPr>
    </w:pPr>
    <w:r w:rsidRPr="00FB6BE0">
      <w:rPr>
        <w:sz w:val="20"/>
        <w:szCs w:val="20"/>
      </w:rPr>
      <w:t>DOCKET UE-</w:t>
    </w:r>
    <w:r w:rsidR="003E3D1E">
      <w:rPr>
        <w:sz w:val="20"/>
        <w:szCs w:val="20"/>
      </w:rPr>
      <w:t>100749</w:t>
    </w:r>
  </w:p>
  <w:p w14:paraId="3149772C" w14:textId="4F194117" w:rsidR="00A31CD2" w:rsidRPr="00FB6BE0" w:rsidRDefault="00A31CD2" w:rsidP="001F7A0E">
    <w:pPr>
      <w:pStyle w:val="Header"/>
      <w:rPr>
        <w:noProof/>
        <w:sz w:val="20"/>
        <w:szCs w:val="20"/>
      </w:rPr>
    </w:pPr>
    <w:r w:rsidRPr="00FB6BE0">
      <w:rPr>
        <w:sz w:val="20"/>
        <w:szCs w:val="20"/>
      </w:rPr>
      <w:t xml:space="preserve">ORDER </w:t>
    </w:r>
    <w:r w:rsidR="003E3D1E">
      <w:rPr>
        <w:sz w:val="20"/>
        <w:szCs w:val="20"/>
      </w:rPr>
      <w:t>15</w:t>
    </w:r>
    <w:r w:rsidRPr="00FB6BE0">
      <w:rPr>
        <w:sz w:val="20"/>
        <w:szCs w:val="20"/>
      </w:rPr>
      <w:tab/>
    </w:r>
    <w:r w:rsidRPr="00FB6BE0">
      <w:rPr>
        <w:sz w:val="20"/>
        <w:szCs w:val="20"/>
      </w:rPr>
      <w:tab/>
      <w:t xml:space="preserve">Page </w:t>
    </w:r>
    <w:r w:rsidRPr="00FB6BE0">
      <w:rPr>
        <w:sz w:val="20"/>
        <w:szCs w:val="20"/>
      </w:rPr>
      <w:fldChar w:fldCharType="begin"/>
    </w:r>
    <w:r w:rsidRPr="00FB6BE0">
      <w:rPr>
        <w:sz w:val="20"/>
        <w:szCs w:val="20"/>
      </w:rPr>
      <w:instrText xml:space="preserve"> PAGE   \* MERGEFORMAT </w:instrText>
    </w:r>
    <w:r w:rsidRPr="00FB6BE0">
      <w:rPr>
        <w:sz w:val="20"/>
        <w:szCs w:val="20"/>
      </w:rPr>
      <w:fldChar w:fldCharType="separate"/>
    </w:r>
    <w:r w:rsidR="00895468">
      <w:rPr>
        <w:noProof/>
        <w:sz w:val="20"/>
        <w:szCs w:val="20"/>
      </w:rPr>
      <w:t>3</w:t>
    </w:r>
    <w:r w:rsidRPr="00FB6BE0">
      <w:rPr>
        <w:noProof/>
        <w:sz w:val="20"/>
        <w:szCs w:val="20"/>
      </w:rPr>
      <w:fldChar w:fldCharType="end"/>
    </w:r>
  </w:p>
  <w:p w14:paraId="3149772D" w14:textId="77777777" w:rsidR="00A31CD2" w:rsidRDefault="00A31CD2" w:rsidP="001F7A0E">
    <w:pPr>
      <w:pStyle w:val="Header"/>
      <w:rPr>
        <w:noProof/>
      </w:rPr>
    </w:pPr>
  </w:p>
  <w:p w14:paraId="3149772E" w14:textId="77777777" w:rsidR="00A31CD2" w:rsidRPr="001F7A0E" w:rsidRDefault="00A31CD2" w:rsidP="001F7A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E308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E17E1"/>
    <w:multiLevelType w:val="multilevel"/>
    <w:tmpl w:val="C53878AA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A551D0"/>
    <w:multiLevelType w:val="hybridMultilevel"/>
    <w:tmpl w:val="8A521250"/>
    <w:lvl w:ilvl="0" w:tplc="4EE8740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EF"/>
    <w:rsid w:val="0000733E"/>
    <w:rsid w:val="00026BF7"/>
    <w:rsid w:val="00030890"/>
    <w:rsid w:val="0003345C"/>
    <w:rsid w:val="00065895"/>
    <w:rsid w:val="00075C33"/>
    <w:rsid w:val="000764D1"/>
    <w:rsid w:val="000D1F7D"/>
    <w:rsid w:val="001065AE"/>
    <w:rsid w:val="0013504A"/>
    <w:rsid w:val="00140739"/>
    <w:rsid w:val="001548D6"/>
    <w:rsid w:val="0016390C"/>
    <w:rsid w:val="00167202"/>
    <w:rsid w:val="00171F8A"/>
    <w:rsid w:val="001C0858"/>
    <w:rsid w:val="001C35E9"/>
    <w:rsid w:val="001D353D"/>
    <w:rsid w:val="001E71CB"/>
    <w:rsid w:val="001F7A0E"/>
    <w:rsid w:val="0020226A"/>
    <w:rsid w:val="00202451"/>
    <w:rsid w:val="00226609"/>
    <w:rsid w:val="0022676C"/>
    <w:rsid w:val="002465D0"/>
    <w:rsid w:val="00254A29"/>
    <w:rsid w:val="002552CD"/>
    <w:rsid w:val="00265651"/>
    <w:rsid w:val="00267BF4"/>
    <w:rsid w:val="002C021A"/>
    <w:rsid w:val="002C1C83"/>
    <w:rsid w:val="002C24BE"/>
    <w:rsid w:val="002D4A98"/>
    <w:rsid w:val="00317403"/>
    <w:rsid w:val="00321E3B"/>
    <w:rsid w:val="00345CB4"/>
    <w:rsid w:val="0034634D"/>
    <w:rsid w:val="00362E78"/>
    <w:rsid w:val="003738B1"/>
    <w:rsid w:val="003E3C31"/>
    <w:rsid w:val="003E3D1E"/>
    <w:rsid w:val="003F4611"/>
    <w:rsid w:val="00416098"/>
    <w:rsid w:val="00426A13"/>
    <w:rsid w:val="004622EF"/>
    <w:rsid w:val="0046362E"/>
    <w:rsid w:val="00465477"/>
    <w:rsid w:val="0047612C"/>
    <w:rsid w:val="00486C6B"/>
    <w:rsid w:val="004B0C1E"/>
    <w:rsid w:val="004B1829"/>
    <w:rsid w:val="004B45DF"/>
    <w:rsid w:val="004B7BBE"/>
    <w:rsid w:val="004F56EF"/>
    <w:rsid w:val="005141D7"/>
    <w:rsid w:val="00514F72"/>
    <w:rsid w:val="00520F05"/>
    <w:rsid w:val="0052282D"/>
    <w:rsid w:val="00522CEB"/>
    <w:rsid w:val="00525DD4"/>
    <w:rsid w:val="0052770B"/>
    <w:rsid w:val="00541990"/>
    <w:rsid w:val="00547828"/>
    <w:rsid w:val="0056721B"/>
    <w:rsid w:val="00580421"/>
    <w:rsid w:val="00581BA7"/>
    <w:rsid w:val="00584861"/>
    <w:rsid w:val="005D32BF"/>
    <w:rsid w:val="005D5A4F"/>
    <w:rsid w:val="00613E2B"/>
    <w:rsid w:val="00624CEE"/>
    <w:rsid w:val="00662C0A"/>
    <w:rsid w:val="00677C61"/>
    <w:rsid w:val="00684251"/>
    <w:rsid w:val="00695B57"/>
    <w:rsid w:val="006A63F0"/>
    <w:rsid w:val="006C0CF1"/>
    <w:rsid w:val="006D7459"/>
    <w:rsid w:val="006F1C10"/>
    <w:rsid w:val="00737C57"/>
    <w:rsid w:val="007423B8"/>
    <w:rsid w:val="00745AF9"/>
    <w:rsid w:val="00745C55"/>
    <w:rsid w:val="00751158"/>
    <w:rsid w:val="007605D1"/>
    <w:rsid w:val="00786E9F"/>
    <w:rsid w:val="0079437F"/>
    <w:rsid w:val="007B692F"/>
    <w:rsid w:val="007C43E3"/>
    <w:rsid w:val="007D5242"/>
    <w:rsid w:val="0082383F"/>
    <w:rsid w:val="00831E4A"/>
    <w:rsid w:val="00833693"/>
    <w:rsid w:val="008357A0"/>
    <w:rsid w:val="0085688F"/>
    <w:rsid w:val="00895468"/>
    <w:rsid w:val="008A0EC4"/>
    <w:rsid w:val="008C4B80"/>
    <w:rsid w:val="008C5A2D"/>
    <w:rsid w:val="008C5E5F"/>
    <w:rsid w:val="008F1599"/>
    <w:rsid w:val="00900D3D"/>
    <w:rsid w:val="00903B5C"/>
    <w:rsid w:val="0091108F"/>
    <w:rsid w:val="0092667F"/>
    <w:rsid w:val="00930CA1"/>
    <w:rsid w:val="00936FD9"/>
    <w:rsid w:val="00963D6D"/>
    <w:rsid w:val="009914D3"/>
    <w:rsid w:val="009A75E7"/>
    <w:rsid w:val="009C20EA"/>
    <w:rsid w:val="009C3866"/>
    <w:rsid w:val="009D5DAA"/>
    <w:rsid w:val="00A2093C"/>
    <w:rsid w:val="00A250B7"/>
    <w:rsid w:val="00A31CD2"/>
    <w:rsid w:val="00A639F0"/>
    <w:rsid w:val="00A8437A"/>
    <w:rsid w:val="00AA1906"/>
    <w:rsid w:val="00AB18A7"/>
    <w:rsid w:val="00AC3EF7"/>
    <w:rsid w:val="00B2237B"/>
    <w:rsid w:val="00B264EF"/>
    <w:rsid w:val="00B43CF6"/>
    <w:rsid w:val="00B54CD0"/>
    <w:rsid w:val="00B563B1"/>
    <w:rsid w:val="00B854B2"/>
    <w:rsid w:val="00B950DA"/>
    <w:rsid w:val="00BE7B4A"/>
    <w:rsid w:val="00BF1B15"/>
    <w:rsid w:val="00BF32FD"/>
    <w:rsid w:val="00C17C17"/>
    <w:rsid w:val="00C22A21"/>
    <w:rsid w:val="00C24815"/>
    <w:rsid w:val="00C4059F"/>
    <w:rsid w:val="00C52A08"/>
    <w:rsid w:val="00C6005E"/>
    <w:rsid w:val="00C86825"/>
    <w:rsid w:val="00CB78F2"/>
    <w:rsid w:val="00CC70ED"/>
    <w:rsid w:val="00CF7222"/>
    <w:rsid w:val="00D04A60"/>
    <w:rsid w:val="00D378B2"/>
    <w:rsid w:val="00D60316"/>
    <w:rsid w:val="00D63156"/>
    <w:rsid w:val="00D65348"/>
    <w:rsid w:val="00D73EF7"/>
    <w:rsid w:val="00DC3B46"/>
    <w:rsid w:val="00DE4BD5"/>
    <w:rsid w:val="00E02EA4"/>
    <w:rsid w:val="00E12AE4"/>
    <w:rsid w:val="00E5410E"/>
    <w:rsid w:val="00E60915"/>
    <w:rsid w:val="00EB2494"/>
    <w:rsid w:val="00ED1B20"/>
    <w:rsid w:val="00F03029"/>
    <w:rsid w:val="00F17396"/>
    <w:rsid w:val="00F22E9C"/>
    <w:rsid w:val="00F23200"/>
    <w:rsid w:val="00F236AA"/>
    <w:rsid w:val="00F53CDD"/>
    <w:rsid w:val="00F609FC"/>
    <w:rsid w:val="00F61048"/>
    <w:rsid w:val="00F97912"/>
    <w:rsid w:val="00FA2761"/>
    <w:rsid w:val="00FA33A1"/>
    <w:rsid w:val="00FB6BE0"/>
    <w:rsid w:val="00FC0618"/>
    <w:rsid w:val="00FC2D9E"/>
    <w:rsid w:val="00FD6018"/>
    <w:rsid w:val="00FE47D8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14976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bCs/>
      <w:snapToGrid w:val="0"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Palatino Linotype" w:hAnsi="Palatino Linotype"/>
      <w:b/>
      <w:bCs/>
    </w:rPr>
  </w:style>
  <w:style w:type="paragraph" w:styleId="Heading3">
    <w:name w:val="heading 3"/>
    <w:basedOn w:val="Normal"/>
    <w:next w:val="Normal"/>
    <w:qFormat/>
    <w:pPr>
      <w:keepNext/>
      <w:spacing w:line="288" w:lineRule="auto"/>
      <w:ind w:left="-360" w:firstLine="360"/>
      <w:jc w:val="center"/>
      <w:outlineLvl w:val="2"/>
    </w:pPr>
    <w:rPr>
      <w:rFonts w:ascii="Palatino Linotype" w:hAnsi="Palatino Linotype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bCs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1D353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9437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9437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9437F"/>
    <w:rPr>
      <w:b/>
      <w:bCs/>
    </w:rPr>
  </w:style>
  <w:style w:type="character" w:styleId="Hyperlink">
    <w:name w:val="Hyperlink"/>
    <w:rsid w:val="0046362E"/>
    <w:rPr>
      <w:color w:val="0000FF"/>
      <w:u w:val="none"/>
    </w:rPr>
  </w:style>
  <w:style w:type="character" w:styleId="FollowedHyperlink">
    <w:name w:val="FollowedHyperlink"/>
    <w:rsid w:val="0046362E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FC0618"/>
    <w:pPr>
      <w:ind w:left="720"/>
    </w:pPr>
  </w:style>
  <w:style w:type="character" w:customStyle="1" w:styleId="CommentTextChar">
    <w:name w:val="Comment Text Char"/>
    <w:basedOn w:val="DefaultParagraphFont"/>
    <w:link w:val="CommentText"/>
    <w:semiHidden/>
    <w:rsid w:val="00CB7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bCs/>
      <w:snapToGrid w:val="0"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Palatino Linotype" w:hAnsi="Palatino Linotype"/>
      <w:b/>
      <w:bCs/>
    </w:rPr>
  </w:style>
  <w:style w:type="paragraph" w:styleId="Heading3">
    <w:name w:val="heading 3"/>
    <w:basedOn w:val="Normal"/>
    <w:next w:val="Normal"/>
    <w:qFormat/>
    <w:pPr>
      <w:keepNext/>
      <w:spacing w:line="288" w:lineRule="auto"/>
      <w:ind w:left="-360" w:firstLine="360"/>
      <w:jc w:val="center"/>
      <w:outlineLvl w:val="2"/>
    </w:pPr>
    <w:rPr>
      <w:rFonts w:ascii="Palatino Linotype" w:hAnsi="Palatino Linotype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bCs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1D353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9437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9437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9437F"/>
    <w:rPr>
      <w:b/>
      <w:bCs/>
    </w:rPr>
  </w:style>
  <w:style w:type="character" w:styleId="Hyperlink">
    <w:name w:val="Hyperlink"/>
    <w:rsid w:val="0046362E"/>
    <w:rPr>
      <w:color w:val="0000FF"/>
      <w:u w:val="none"/>
    </w:rPr>
  </w:style>
  <w:style w:type="character" w:styleId="FollowedHyperlink">
    <w:name w:val="FollowedHyperlink"/>
    <w:rsid w:val="0046362E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FC0618"/>
    <w:pPr>
      <w:ind w:left="720"/>
    </w:pPr>
  </w:style>
  <w:style w:type="character" w:customStyle="1" w:styleId="CommentTextChar">
    <w:name w:val="Comment Text Char"/>
    <w:basedOn w:val="DefaultParagraphFont"/>
    <w:link w:val="CommentText"/>
    <w:semiHidden/>
    <w:rsid w:val="00CB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2014-06-12T07:00:00+00:00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CFDEBA-24F2-42C8-B5DD-4C0DA791A446}"/>
</file>

<file path=customXml/itemProps2.xml><?xml version="1.0" encoding="utf-8"?>
<ds:datastoreItem xmlns:ds="http://schemas.openxmlformats.org/officeDocument/2006/customXml" ds:itemID="{C4E16522-3F5F-41A4-AD0B-FDF5D03C0338}"/>
</file>

<file path=customXml/itemProps3.xml><?xml version="1.0" encoding="utf-8"?>
<ds:datastoreItem xmlns:ds="http://schemas.openxmlformats.org/officeDocument/2006/customXml" ds:itemID="{A07FDCAF-D2E1-4E52-9CC2-06B0155A93B5}"/>
</file>

<file path=customXml/itemProps4.xml><?xml version="1.0" encoding="utf-8"?>
<ds:datastoreItem xmlns:ds="http://schemas.openxmlformats.org/officeDocument/2006/customXml" ds:itemID="{DDED50BA-0F68-48C5-B279-49631C1444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3725</CharactersWithSpaces>
  <SharedDoc>false</SharedDoc>
  <HLinks>
    <vt:vector size="102" baseType="variant">
      <vt:variant>
        <vt:i4>2490368</vt:i4>
      </vt:variant>
      <vt:variant>
        <vt:i4>296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1703936</vt:i4>
      </vt:variant>
      <vt:variant>
        <vt:i4>232</vt:i4>
      </vt:variant>
      <vt:variant>
        <vt:i4>0</vt:i4>
      </vt:variant>
      <vt:variant>
        <vt:i4>5</vt:i4>
      </vt:variant>
      <vt:variant>
        <vt:lpwstr>http://apps.leg.wa.gov/WAC/default.aspx?cite=480-100-194</vt:lpwstr>
      </vt:variant>
      <vt:variant>
        <vt:lpwstr/>
      </vt:variant>
      <vt:variant>
        <vt:i4>1703936</vt:i4>
      </vt:variant>
      <vt:variant>
        <vt:i4>176</vt:i4>
      </vt:variant>
      <vt:variant>
        <vt:i4>0</vt:i4>
      </vt:variant>
      <vt:variant>
        <vt:i4>5</vt:i4>
      </vt:variant>
      <vt:variant>
        <vt:lpwstr>http://apps.leg.wa.gov/WAC/default.aspx?cite=480-100-194</vt:lpwstr>
      </vt:variant>
      <vt:variant>
        <vt:lpwstr/>
      </vt:variant>
      <vt:variant>
        <vt:i4>3735589</vt:i4>
      </vt:variant>
      <vt:variant>
        <vt:i4>167</vt:i4>
      </vt:variant>
      <vt:variant>
        <vt:i4>0</vt:i4>
      </vt:variant>
      <vt:variant>
        <vt:i4>5</vt:i4>
      </vt:variant>
      <vt:variant>
        <vt:lpwstr>http://apps.leg.wa.gov/WAC/default.aspx?cite=480-80-122</vt:lpwstr>
      </vt:variant>
      <vt:variant>
        <vt:lpwstr/>
      </vt:variant>
      <vt:variant>
        <vt:i4>3735589</vt:i4>
      </vt:variant>
      <vt:variant>
        <vt:i4>164</vt:i4>
      </vt:variant>
      <vt:variant>
        <vt:i4>0</vt:i4>
      </vt:variant>
      <vt:variant>
        <vt:i4>5</vt:i4>
      </vt:variant>
      <vt:variant>
        <vt:lpwstr>http://apps.leg.wa.gov/WAC/default.aspx?cite=480-80-121</vt:lpwstr>
      </vt:variant>
      <vt:variant>
        <vt:lpwstr/>
      </vt:variant>
      <vt:variant>
        <vt:i4>2424873</vt:i4>
      </vt:variant>
      <vt:variant>
        <vt:i4>161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  <vt:variant>
        <vt:i4>2424881</vt:i4>
      </vt:variant>
      <vt:variant>
        <vt:i4>152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149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140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1703936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http://apps.leg.wa.gov/WAC/default.aspx?cite=480-100-194</vt:lpwstr>
      </vt:variant>
      <vt:variant>
        <vt:lpwstr/>
      </vt:variant>
      <vt:variant>
        <vt:i4>1703936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http://apps.leg.wa.gov/WAC/default.aspx?cite=480-100-194</vt:lpwstr>
      </vt:variant>
      <vt:variant>
        <vt:lpwstr/>
      </vt:variant>
      <vt:variant>
        <vt:i4>3735589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http://apps.leg.wa.gov/WAC/default.aspx?cite=480-80-122</vt:lpwstr>
      </vt:variant>
      <vt:variant>
        <vt:lpwstr/>
      </vt:variant>
      <vt:variant>
        <vt:i4>3735589</vt:i4>
      </vt:variant>
      <vt:variant>
        <vt:i4>55</vt:i4>
      </vt:variant>
      <vt:variant>
        <vt:i4>0</vt:i4>
      </vt:variant>
      <vt:variant>
        <vt:i4>5</vt:i4>
      </vt:variant>
      <vt:variant>
        <vt:lpwstr>http://apps.leg.wa.gov/WAC/default.aspx?cite=480-80-121</vt:lpwstr>
      </vt:variant>
      <vt:variant>
        <vt:lpwstr/>
      </vt:variant>
      <vt:variant>
        <vt:i4>2424873</vt:i4>
      </vt:variant>
      <vt:variant>
        <vt:i4>52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2014-06-11T23:12:00Z</dcterms:created>
  <dcterms:modified xsi:type="dcterms:W3CDTF">2014-06-11T23:13:00Z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