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5D" w:rsidRDefault="0091405D">
      <w:pPr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91405D" w:rsidTr="008F5AF8">
        <w:tc>
          <w:tcPr>
            <w:tcW w:w="4788" w:type="dxa"/>
          </w:tcPr>
          <w:p w:rsidR="0091405D" w:rsidRDefault="0091405D" w:rsidP="008F5AF8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91405D" w:rsidRDefault="0091405D" w:rsidP="008F5AF8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91405D" w:rsidRDefault="0091405D" w:rsidP="008F5AF8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Spokane,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91405D" w:rsidRDefault="0091405D" w:rsidP="008F5AF8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91405D" w:rsidRDefault="0091405D" w:rsidP="008F5AF8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91405D" w:rsidRDefault="0091405D" w:rsidP="008F5AF8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91405D" w:rsidRDefault="0091405D" w:rsidP="008F5AF8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91405D" w:rsidRPr="008D7C4B" w:rsidRDefault="0091405D">
      <w:pPr>
        <w:rPr>
          <w:b/>
          <w:sz w:val="24"/>
          <w:szCs w:val="24"/>
        </w:rPr>
      </w:pPr>
      <w:r w:rsidRPr="008D7C4B">
        <w:rPr>
          <w:b/>
          <w:sz w:val="24"/>
          <w:szCs w:val="24"/>
        </w:rPr>
        <w:t>VIA – Electronic</w:t>
      </w:r>
      <w:r w:rsidR="002B6DD9">
        <w:rPr>
          <w:b/>
          <w:sz w:val="24"/>
          <w:szCs w:val="24"/>
        </w:rPr>
        <w:t xml:space="preserve"> and Overnight</w:t>
      </w:r>
      <w:r w:rsidRPr="008D7C4B">
        <w:rPr>
          <w:b/>
          <w:sz w:val="24"/>
          <w:szCs w:val="24"/>
        </w:rPr>
        <w:t xml:space="preserve"> Mail</w:t>
      </w:r>
    </w:p>
    <w:p w:rsidR="0091405D" w:rsidRPr="008D7C4B" w:rsidRDefault="0091405D">
      <w:pPr>
        <w:rPr>
          <w:sz w:val="24"/>
          <w:szCs w:val="24"/>
        </w:rPr>
      </w:pPr>
    </w:p>
    <w:p w:rsidR="00FD1C3C" w:rsidRPr="008D7C4B" w:rsidRDefault="000B76B2">
      <w:pPr>
        <w:rPr>
          <w:sz w:val="24"/>
          <w:szCs w:val="24"/>
        </w:rPr>
      </w:pPr>
      <w:r w:rsidRPr="008D7C4B">
        <w:rPr>
          <w:sz w:val="24"/>
          <w:szCs w:val="24"/>
        </w:rPr>
        <w:t xml:space="preserve">January </w:t>
      </w:r>
      <w:r w:rsidR="000643EE">
        <w:rPr>
          <w:sz w:val="24"/>
          <w:szCs w:val="24"/>
        </w:rPr>
        <w:t>28</w:t>
      </w:r>
      <w:r w:rsidRPr="008D7C4B">
        <w:rPr>
          <w:sz w:val="24"/>
          <w:szCs w:val="24"/>
        </w:rPr>
        <w:t>, 2016</w:t>
      </w:r>
    </w:p>
    <w:p w:rsidR="00FD1C3C" w:rsidRPr="008D7C4B" w:rsidRDefault="00FD1C3C">
      <w:pPr>
        <w:rPr>
          <w:sz w:val="24"/>
          <w:szCs w:val="24"/>
        </w:rPr>
      </w:pPr>
    </w:p>
    <w:p w:rsidR="00303B74" w:rsidRPr="008D7C4B" w:rsidRDefault="00303B74">
      <w:pPr>
        <w:rPr>
          <w:sz w:val="24"/>
          <w:szCs w:val="24"/>
        </w:rPr>
      </w:pPr>
      <w:r w:rsidRPr="008D7C4B">
        <w:rPr>
          <w:sz w:val="24"/>
          <w:szCs w:val="24"/>
        </w:rPr>
        <w:t>Washington Utilities and Transportation Commission</w:t>
      </w:r>
    </w:p>
    <w:p w:rsidR="00F62593" w:rsidRPr="008D7C4B" w:rsidRDefault="00F62593">
      <w:pPr>
        <w:rPr>
          <w:sz w:val="24"/>
          <w:szCs w:val="24"/>
        </w:rPr>
      </w:pPr>
      <w:r w:rsidRPr="008D7C4B">
        <w:rPr>
          <w:sz w:val="24"/>
          <w:szCs w:val="24"/>
        </w:rPr>
        <w:t xml:space="preserve">Attention:  </w:t>
      </w:r>
      <w:r w:rsidR="00447153" w:rsidRPr="008D7C4B">
        <w:rPr>
          <w:sz w:val="24"/>
          <w:szCs w:val="24"/>
        </w:rPr>
        <w:t>Mr. Steven V. King</w:t>
      </w:r>
      <w:r w:rsidRPr="008D7C4B">
        <w:rPr>
          <w:sz w:val="24"/>
          <w:szCs w:val="24"/>
        </w:rPr>
        <w:t xml:space="preserve">, Executive </w:t>
      </w:r>
      <w:proofErr w:type="gramStart"/>
      <w:r w:rsidR="00F502AE" w:rsidRPr="008D7C4B">
        <w:rPr>
          <w:sz w:val="24"/>
          <w:szCs w:val="24"/>
        </w:rPr>
        <w:t>Director &amp;</w:t>
      </w:r>
      <w:proofErr w:type="gramEnd"/>
      <w:r w:rsidRPr="008D7C4B">
        <w:rPr>
          <w:sz w:val="24"/>
          <w:szCs w:val="24"/>
        </w:rPr>
        <w:t xml:space="preserve"> Secretary</w:t>
      </w:r>
    </w:p>
    <w:p w:rsidR="00303B74" w:rsidRPr="008D7C4B" w:rsidRDefault="00303B74">
      <w:pPr>
        <w:rPr>
          <w:sz w:val="24"/>
          <w:szCs w:val="24"/>
        </w:rPr>
      </w:pPr>
      <w:r w:rsidRPr="008D7C4B">
        <w:rPr>
          <w:sz w:val="24"/>
          <w:szCs w:val="24"/>
        </w:rPr>
        <w:t>1300 S. Evergreen Park Drive S. W.</w:t>
      </w:r>
    </w:p>
    <w:p w:rsidR="00303B74" w:rsidRPr="008D7C4B" w:rsidRDefault="00303B74">
      <w:pPr>
        <w:rPr>
          <w:sz w:val="24"/>
          <w:szCs w:val="24"/>
        </w:rPr>
      </w:pPr>
      <w:r w:rsidRPr="008D7C4B">
        <w:rPr>
          <w:sz w:val="24"/>
          <w:szCs w:val="24"/>
        </w:rPr>
        <w:t>P.O. Box 47250</w:t>
      </w:r>
    </w:p>
    <w:p w:rsidR="00303B74" w:rsidRPr="008D7C4B" w:rsidRDefault="00303B74">
      <w:pPr>
        <w:rPr>
          <w:sz w:val="24"/>
          <w:szCs w:val="24"/>
        </w:rPr>
      </w:pPr>
      <w:r w:rsidRPr="008D7C4B">
        <w:rPr>
          <w:sz w:val="24"/>
          <w:szCs w:val="24"/>
        </w:rPr>
        <w:t>Olympia, Washington 98504-7250</w:t>
      </w:r>
    </w:p>
    <w:p w:rsidR="00303B74" w:rsidRPr="008D7C4B" w:rsidRDefault="00303B74">
      <w:pPr>
        <w:rPr>
          <w:sz w:val="24"/>
          <w:szCs w:val="24"/>
        </w:rPr>
      </w:pPr>
    </w:p>
    <w:p w:rsidR="00303B74" w:rsidRDefault="003E1511" w:rsidP="000643EE">
      <w:pPr>
        <w:jc w:val="both"/>
        <w:rPr>
          <w:b/>
          <w:sz w:val="24"/>
          <w:szCs w:val="24"/>
        </w:rPr>
      </w:pPr>
      <w:r w:rsidRPr="008D7C4B">
        <w:rPr>
          <w:b/>
          <w:sz w:val="24"/>
          <w:szCs w:val="24"/>
        </w:rPr>
        <w:t xml:space="preserve">RE: </w:t>
      </w:r>
      <w:r w:rsidRPr="008D7C4B">
        <w:rPr>
          <w:b/>
          <w:sz w:val="24"/>
          <w:szCs w:val="24"/>
        </w:rPr>
        <w:tab/>
        <w:t xml:space="preserve">Avista Corporation </w:t>
      </w:r>
      <w:r w:rsidR="000B76B2" w:rsidRPr="008D7C4B">
        <w:rPr>
          <w:b/>
          <w:sz w:val="24"/>
          <w:szCs w:val="24"/>
        </w:rPr>
        <w:t>–</w:t>
      </w:r>
      <w:r w:rsidR="00D46B38" w:rsidRPr="008D7C4B">
        <w:rPr>
          <w:b/>
          <w:sz w:val="24"/>
          <w:szCs w:val="24"/>
        </w:rPr>
        <w:t xml:space="preserve"> </w:t>
      </w:r>
      <w:r w:rsidRPr="008D7C4B">
        <w:rPr>
          <w:b/>
          <w:sz w:val="24"/>
          <w:szCs w:val="24"/>
        </w:rPr>
        <w:t>Docket</w:t>
      </w:r>
      <w:r w:rsidR="000B76B2" w:rsidRPr="008D7C4B">
        <w:rPr>
          <w:b/>
          <w:sz w:val="24"/>
          <w:szCs w:val="24"/>
        </w:rPr>
        <w:t xml:space="preserve"> No</w:t>
      </w:r>
      <w:r w:rsidR="00D46B38" w:rsidRPr="008D7C4B">
        <w:rPr>
          <w:b/>
          <w:sz w:val="24"/>
          <w:szCs w:val="24"/>
        </w:rPr>
        <w:t>s</w:t>
      </w:r>
      <w:r w:rsidR="000B76B2" w:rsidRPr="008D7C4B">
        <w:rPr>
          <w:b/>
          <w:sz w:val="24"/>
          <w:szCs w:val="24"/>
        </w:rPr>
        <w:t>.</w:t>
      </w:r>
      <w:r w:rsidRPr="008D7C4B">
        <w:rPr>
          <w:b/>
          <w:sz w:val="24"/>
          <w:szCs w:val="24"/>
        </w:rPr>
        <w:t xml:space="preserve"> UE-</w:t>
      </w:r>
      <w:r w:rsidR="00125590" w:rsidRPr="008D7C4B">
        <w:rPr>
          <w:b/>
          <w:sz w:val="24"/>
          <w:szCs w:val="24"/>
        </w:rPr>
        <w:t>1</w:t>
      </w:r>
      <w:r w:rsidR="0011534B" w:rsidRPr="008D7C4B">
        <w:rPr>
          <w:b/>
          <w:sz w:val="24"/>
          <w:szCs w:val="24"/>
        </w:rPr>
        <w:t>50204</w:t>
      </w:r>
      <w:r w:rsidR="00125590" w:rsidRPr="008D7C4B">
        <w:rPr>
          <w:b/>
          <w:sz w:val="24"/>
          <w:szCs w:val="24"/>
        </w:rPr>
        <w:t xml:space="preserve"> and</w:t>
      </w:r>
      <w:r w:rsidR="00283C1A" w:rsidRPr="008D7C4B">
        <w:rPr>
          <w:b/>
          <w:sz w:val="24"/>
          <w:szCs w:val="24"/>
        </w:rPr>
        <w:t xml:space="preserve"> </w:t>
      </w:r>
      <w:r w:rsidR="00FD1C3C" w:rsidRPr="008D7C4B">
        <w:rPr>
          <w:b/>
          <w:sz w:val="24"/>
          <w:szCs w:val="24"/>
        </w:rPr>
        <w:t>UG-</w:t>
      </w:r>
      <w:r w:rsidR="00125590" w:rsidRPr="008D7C4B">
        <w:rPr>
          <w:b/>
          <w:sz w:val="24"/>
          <w:szCs w:val="24"/>
        </w:rPr>
        <w:t>1</w:t>
      </w:r>
      <w:r w:rsidR="0011534B" w:rsidRPr="008D7C4B">
        <w:rPr>
          <w:b/>
          <w:sz w:val="24"/>
          <w:szCs w:val="24"/>
        </w:rPr>
        <w:t>50205 –</w:t>
      </w:r>
      <w:r w:rsidR="000643EE">
        <w:rPr>
          <w:b/>
          <w:sz w:val="24"/>
          <w:szCs w:val="24"/>
        </w:rPr>
        <w:t xml:space="preserve"> Avista’s </w:t>
      </w:r>
      <w:proofErr w:type="gramStart"/>
      <w:r w:rsidR="000643EE">
        <w:rPr>
          <w:b/>
          <w:sz w:val="24"/>
          <w:szCs w:val="24"/>
        </w:rPr>
        <w:t>Reply</w:t>
      </w:r>
      <w:proofErr w:type="gramEnd"/>
      <w:r w:rsidR="000643EE">
        <w:rPr>
          <w:b/>
          <w:sz w:val="24"/>
          <w:szCs w:val="24"/>
        </w:rPr>
        <w:t xml:space="preserve"> to Staff’s Responses to Bench Requests 19 and 20.</w:t>
      </w:r>
    </w:p>
    <w:p w:rsidR="000643EE" w:rsidRPr="008D7C4B" w:rsidRDefault="000643EE" w:rsidP="000643EE">
      <w:pPr>
        <w:jc w:val="both"/>
        <w:rPr>
          <w:sz w:val="24"/>
          <w:szCs w:val="24"/>
        </w:rPr>
      </w:pPr>
    </w:p>
    <w:p w:rsidR="000643EE" w:rsidRPr="00D216E5" w:rsidRDefault="000643EE" w:rsidP="000643EE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D216E5">
        <w:rPr>
          <w:sz w:val="24"/>
          <w:szCs w:val="24"/>
        </w:rPr>
        <w:t xml:space="preserve">On January 22, 2016, the </w:t>
      </w:r>
      <w:r w:rsidRPr="000643EE">
        <w:rPr>
          <w:sz w:val="24"/>
          <w:szCs w:val="24"/>
        </w:rPr>
        <w:t xml:space="preserve">Commission issued its “Notice of Bench Requests”.  In its notice, the Commission stated that “Other parties may file replies to Staff’s responses as long as they do so by 3:00 p.m., Thursday, January 28, 2016”.  </w:t>
      </w:r>
    </w:p>
    <w:p w:rsidR="003F78E9" w:rsidRDefault="003F78E9" w:rsidP="000643EE">
      <w:pPr>
        <w:jc w:val="both"/>
        <w:rPr>
          <w:sz w:val="24"/>
          <w:szCs w:val="24"/>
        </w:rPr>
      </w:pPr>
    </w:p>
    <w:p w:rsidR="000643EE" w:rsidRPr="00D216E5" w:rsidRDefault="002D6AF3" w:rsidP="000643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January 28, 2016, Avista filed a motion </w:t>
      </w:r>
      <w:r w:rsidR="000643EE" w:rsidRPr="00D216E5">
        <w:rPr>
          <w:sz w:val="24"/>
          <w:szCs w:val="24"/>
        </w:rPr>
        <w:t>for a waiver of rules to allow for an answer to ICNU and Public Counsel’s Joint Motion for Clarification and Commission Staff’s Motion to Reconsider.</w:t>
      </w:r>
    </w:p>
    <w:p w:rsidR="000643EE" w:rsidRPr="008D7C4B" w:rsidRDefault="000643EE" w:rsidP="000643EE">
      <w:pPr>
        <w:jc w:val="both"/>
        <w:rPr>
          <w:sz w:val="24"/>
          <w:szCs w:val="24"/>
        </w:rPr>
      </w:pPr>
    </w:p>
    <w:p w:rsidR="00670D1E" w:rsidRPr="008D7C4B" w:rsidRDefault="00B32BE0" w:rsidP="000643EE">
      <w:pPr>
        <w:jc w:val="both"/>
        <w:rPr>
          <w:sz w:val="24"/>
          <w:szCs w:val="24"/>
        </w:rPr>
      </w:pPr>
      <w:r w:rsidRPr="008D7C4B">
        <w:rPr>
          <w:sz w:val="24"/>
          <w:szCs w:val="24"/>
        </w:rPr>
        <w:t>Hard</w:t>
      </w:r>
      <w:r w:rsidR="00137AF5">
        <w:rPr>
          <w:sz w:val="24"/>
          <w:szCs w:val="24"/>
        </w:rPr>
        <w:t xml:space="preserve"> </w:t>
      </w:r>
      <w:r w:rsidRPr="008D7C4B">
        <w:rPr>
          <w:sz w:val="24"/>
          <w:szCs w:val="24"/>
        </w:rPr>
        <w:t xml:space="preserve">copies of this </w:t>
      </w:r>
      <w:r w:rsidR="002D6AF3">
        <w:rPr>
          <w:sz w:val="24"/>
          <w:szCs w:val="24"/>
        </w:rPr>
        <w:t>response</w:t>
      </w:r>
      <w:r w:rsidRPr="008D7C4B">
        <w:rPr>
          <w:sz w:val="24"/>
          <w:szCs w:val="24"/>
        </w:rPr>
        <w:t xml:space="preserve"> will be sent to the Commission and the Parties via overnight mail.  </w:t>
      </w:r>
    </w:p>
    <w:p w:rsidR="00670D1E" w:rsidRPr="008D7C4B" w:rsidRDefault="00670D1E" w:rsidP="001D3FDE">
      <w:pPr>
        <w:jc w:val="both"/>
        <w:rPr>
          <w:sz w:val="24"/>
          <w:szCs w:val="24"/>
        </w:rPr>
      </w:pPr>
    </w:p>
    <w:p w:rsidR="00303B74" w:rsidRPr="008D7C4B" w:rsidRDefault="00303B74" w:rsidP="001D3FDE">
      <w:pPr>
        <w:jc w:val="both"/>
        <w:rPr>
          <w:sz w:val="24"/>
          <w:szCs w:val="24"/>
        </w:rPr>
      </w:pPr>
      <w:r w:rsidRPr="008D7C4B">
        <w:rPr>
          <w:sz w:val="24"/>
          <w:szCs w:val="24"/>
        </w:rPr>
        <w:t>Sincerely,</w:t>
      </w:r>
    </w:p>
    <w:p w:rsidR="00283C1A" w:rsidRPr="008D7C4B" w:rsidRDefault="00283C1A" w:rsidP="001D3FDE">
      <w:pPr>
        <w:jc w:val="both"/>
        <w:rPr>
          <w:sz w:val="24"/>
          <w:szCs w:val="24"/>
        </w:rPr>
      </w:pPr>
    </w:p>
    <w:p w:rsidR="000E667E" w:rsidRPr="008D7C4B" w:rsidRDefault="000E667E" w:rsidP="001D3FDE">
      <w:pPr>
        <w:jc w:val="both"/>
        <w:rPr>
          <w:sz w:val="24"/>
          <w:szCs w:val="24"/>
        </w:rPr>
      </w:pPr>
    </w:p>
    <w:p w:rsidR="000E667E" w:rsidRPr="008D7C4B" w:rsidRDefault="000E667E" w:rsidP="001D3FDE">
      <w:pPr>
        <w:jc w:val="both"/>
        <w:rPr>
          <w:sz w:val="24"/>
          <w:szCs w:val="24"/>
        </w:rPr>
      </w:pPr>
    </w:p>
    <w:p w:rsidR="00303B74" w:rsidRPr="008D7C4B" w:rsidRDefault="000643EE" w:rsidP="001D3FDE">
      <w:pPr>
        <w:jc w:val="both"/>
        <w:rPr>
          <w:sz w:val="24"/>
          <w:szCs w:val="24"/>
        </w:rPr>
      </w:pPr>
      <w:r>
        <w:rPr>
          <w:sz w:val="24"/>
          <w:szCs w:val="24"/>
        </w:rPr>
        <w:t>David Meyer</w:t>
      </w:r>
    </w:p>
    <w:p w:rsidR="00303B74" w:rsidRDefault="00303B74" w:rsidP="001D3FDE">
      <w:pPr>
        <w:jc w:val="both"/>
        <w:rPr>
          <w:sz w:val="24"/>
          <w:szCs w:val="24"/>
        </w:rPr>
      </w:pPr>
      <w:r w:rsidRPr="008D7C4B">
        <w:rPr>
          <w:sz w:val="24"/>
          <w:szCs w:val="24"/>
        </w:rPr>
        <w:t>V</w:t>
      </w:r>
      <w:r w:rsidR="00670D1E" w:rsidRPr="008D7C4B">
        <w:rPr>
          <w:sz w:val="24"/>
          <w:szCs w:val="24"/>
        </w:rPr>
        <w:t xml:space="preserve">ice </w:t>
      </w:r>
      <w:r w:rsidRPr="008D7C4B">
        <w:rPr>
          <w:sz w:val="24"/>
          <w:szCs w:val="24"/>
        </w:rPr>
        <w:t>P</w:t>
      </w:r>
      <w:r w:rsidR="00670D1E" w:rsidRPr="008D7C4B">
        <w:rPr>
          <w:sz w:val="24"/>
          <w:szCs w:val="24"/>
        </w:rPr>
        <w:t>resident</w:t>
      </w:r>
      <w:r w:rsidR="000643EE">
        <w:rPr>
          <w:sz w:val="24"/>
          <w:szCs w:val="24"/>
        </w:rPr>
        <w:t xml:space="preserve"> and Chief Counsel</w:t>
      </w:r>
    </w:p>
    <w:p w:rsidR="000643EE" w:rsidRPr="008D7C4B" w:rsidRDefault="000643EE" w:rsidP="001D3FD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Regulatory and Governmental Affairs</w:t>
      </w:r>
    </w:p>
    <w:p w:rsidR="00303B74" w:rsidRPr="008D7C4B" w:rsidRDefault="00303B74" w:rsidP="001D3FDE">
      <w:pPr>
        <w:jc w:val="both"/>
        <w:rPr>
          <w:sz w:val="24"/>
          <w:szCs w:val="24"/>
        </w:rPr>
      </w:pPr>
    </w:p>
    <w:p w:rsidR="007D6722" w:rsidRPr="008D7C4B" w:rsidRDefault="007D6722" w:rsidP="001D3FDE">
      <w:pPr>
        <w:tabs>
          <w:tab w:val="left" w:pos="360"/>
        </w:tabs>
        <w:jc w:val="both"/>
        <w:rPr>
          <w:sz w:val="24"/>
          <w:szCs w:val="24"/>
        </w:rPr>
      </w:pPr>
    </w:p>
    <w:p w:rsidR="00303B74" w:rsidRPr="008D7C4B" w:rsidRDefault="00303B74" w:rsidP="001D3FDE">
      <w:pPr>
        <w:tabs>
          <w:tab w:val="left" w:pos="360"/>
        </w:tabs>
        <w:jc w:val="both"/>
        <w:rPr>
          <w:sz w:val="24"/>
          <w:szCs w:val="24"/>
        </w:rPr>
      </w:pPr>
      <w:proofErr w:type="gramStart"/>
      <w:r w:rsidRPr="008D7C4B">
        <w:rPr>
          <w:sz w:val="24"/>
          <w:szCs w:val="24"/>
        </w:rPr>
        <w:t>c</w:t>
      </w:r>
      <w:proofErr w:type="gramEnd"/>
      <w:r w:rsidRPr="008D7C4B">
        <w:rPr>
          <w:sz w:val="24"/>
          <w:szCs w:val="24"/>
        </w:rPr>
        <w:t>:</w:t>
      </w:r>
      <w:r w:rsidRPr="008D7C4B">
        <w:rPr>
          <w:sz w:val="24"/>
          <w:szCs w:val="24"/>
        </w:rPr>
        <w:tab/>
      </w:r>
      <w:r w:rsidR="008D7C4B">
        <w:rPr>
          <w:sz w:val="24"/>
          <w:szCs w:val="24"/>
        </w:rPr>
        <w:t>S</w:t>
      </w:r>
      <w:r w:rsidRPr="008D7C4B">
        <w:rPr>
          <w:sz w:val="24"/>
          <w:szCs w:val="24"/>
        </w:rPr>
        <w:t xml:space="preserve">ervice </w:t>
      </w:r>
      <w:r w:rsidR="008D7C4B">
        <w:rPr>
          <w:sz w:val="24"/>
          <w:szCs w:val="24"/>
        </w:rPr>
        <w:t>L</w:t>
      </w:r>
      <w:r w:rsidRPr="008D7C4B">
        <w:rPr>
          <w:sz w:val="24"/>
          <w:szCs w:val="24"/>
        </w:rPr>
        <w:t>ist</w:t>
      </w:r>
    </w:p>
    <w:sectPr w:rsidR="00303B74" w:rsidRPr="008D7C4B" w:rsidSect="00137AF5">
      <w:headerReference w:type="default" r:id="rId8"/>
      <w:headerReference w:type="first" r:id="rId9"/>
      <w:pgSz w:w="12240" w:h="15840"/>
      <w:pgMar w:top="1008" w:right="1170" w:bottom="1008" w:left="12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5D1" w:rsidRDefault="002B05D1">
      <w:r>
        <w:separator/>
      </w:r>
    </w:p>
  </w:endnote>
  <w:endnote w:type="continuationSeparator" w:id="0">
    <w:p w:rsidR="002B05D1" w:rsidRDefault="002B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5D1" w:rsidRDefault="002B05D1">
      <w:r>
        <w:separator/>
      </w:r>
    </w:p>
  </w:footnote>
  <w:footnote w:type="continuationSeparator" w:id="0">
    <w:p w:rsidR="002B05D1" w:rsidRDefault="002B0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5D1" w:rsidRDefault="002B05D1">
    <w:pPr>
      <w:pStyle w:val="Header"/>
      <w:rPr>
        <w:rStyle w:val="PageNumber"/>
      </w:rPr>
    </w:pPr>
  </w:p>
  <w:p w:rsidR="002B05D1" w:rsidRDefault="002B05D1">
    <w:pPr>
      <w:pStyle w:val="Header"/>
      <w:rPr>
        <w:rStyle w:val="PageNumber"/>
      </w:rPr>
    </w:pPr>
  </w:p>
  <w:p w:rsidR="002B05D1" w:rsidRDefault="002B05D1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32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220"/>
      <w:gridCol w:w="255"/>
    </w:tblGrid>
    <w:tr w:rsidR="002B05D1" w:rsidTr="00447153">
      <w:trPr>
        <w:trHeight w:val="1800"/>
      </w:trPr>
      <w:tc>
        <w:tcPr>
          <w:tcW w:w="10220" w:type="dxa"/>
          <w:tcBorders>
            <w:top w:val="nil"/>
            <w:left w:val="nil"/>
            <w:bottom w:val="nil"/>
            <w:right w:val="nil"/>
          </w:tcBorders>
        </w:tcPr>
        <w:p w:rsidR="002B05D1" w:rsidRDefault="002B05D1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sz w:val="18"/>
              <w:szCs w:val="18"/>
            </w:rPr>
            <w:drawing>
              <wp:inline distT="0" distB="0" distL="0" distR="0">
                <wp:extent cx="7086600" cy="114300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" w:type="dxa"/>
          <w:tcBorders>
            <w:top w:val="nil"/>
            <w:left w:val="nil"/>
            <w:bottom w:val="nil"/>
            <w:right w:val="nil"/>
          </w:tcBorders>
        </w:tcPr>
        <w:p w:rsidR="002B05D1" w:rsidRDefault="002B05D1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:rsidR="002B05D1" w:rsidRDefault="002B05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4711F"/>
    <w:multiLevelType w:val="hybridMultilevel"/>
    <w:tmpl w:val="EAA69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50379"/>
    <w:multiLevelType w:val="hybridMultilevel"/>
    <w:tmpl w:val="B098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05F23"/>
    <w:multiLevelType w:val="hybridMultilevel"/>
    <w:tmpl w:val="0BC24D52"/>
    <w:lvl w:ilvl="0" w:tplc="08AC0CBE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BF0C4B"/>
    <w:multiLevelType w:val="hybridMultilevel"/>
    <w:tmpl w:val="ADA4F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119E2"/>
    <w:multiLevelType w:val="hybridMultilevel"/>
    <w:tmpl w:val="6AACD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E6"/>
    <w:rsid w:val="000135F3"/>
    <w:rsid w:val="0001422F"/>
    <w:rsid w:val="0001541C"/>
    <w:rsid w:val="00020553"/>
    <w:rsid w:val="00032908"/>
    <w:rsid w:val="0003349B"/>
    <w:rsid w:val="0003726E"/>
    <w:rsid w:val="000409F6"/>
    <w:rsid w:val="00042FB4"/>
    <w:rsid w:val="0005737B"/>
    <w:rsid w:val="0006075B"/>
    <w:rsid w:val="000643EE"/>
    <w:rsid w:val="00075BF9"/>
    <w:rsid w:val="00087A7D"/>
    <w:rsid w:val="00097C50"/>
    <w:rsid w:val="000A4A62"/>
    <w:rsid w:val="000B76B2"/>
    <w:rsid w:val="000D49DC"/>
    <w:rsid w:val="000E667E"/>
    <w:rsid w:val="000F47D9"/>
    <w:rsid w:val="00102B6B"/>
    <w:rsid w:val="0011534B"/>
    <w:rsid w:val="00125590"/>
    <w:rsid w:val="0013371B"/>
    <w:rsid w:val="00137AF5"/>
    <w:rsid w:val="00140134"/>
    <w:rsid w:val="00143DD1"/>
    <w:rsid w:val="00155909"/>
    <w:rsid w:val="00167D22"/>
    <w:rsid w:val="001730E3"/>
    <w:rsid w:val="00173161"/>
    <w:rsid w:val="00194EA2"/>
    <w:rsid w:val="001A2BD6"/>
    <w:rsid w:val="001D3FDE"/>
    <w:rsid w:val="001D53CB"/>
    <w:rsid w:val="001F2CE2"/>
    <w:rsid w:val="002235F1"/>
    <w:rsid w:val="00234E23"/>
    <w:rsid w:val="00247619"/>
    <w:rsid w:val="00264EFA"/>
    <w:rsid w:val="00265063"/>
    <w:rsid w:val="00283C1A"/>
    <w:rsid w:val="00287409"/>
    <w:rsid w:val="002A69CE"/>
    <w:rsid w:val="002A7950"/>
    <w:rsid w:val="002B05D1"/>
    <w:rsid w:val="002B6DD9"/>
    <w:rsid w:val="002D44B4"/>
    <w:rsid w:val="002D6AF3"/>
    <w:rsid w:val="00303196"/>
    <w:rsid w:val="003031E2"/>
    <w:rsid w:val="00303B74"/>
    <w:rsid w:val="00303D97"/>
    <w:rsid w:val="00322B09"/>
    <w:rsid w:val="00365EB3"/>
    <w:rsid w:val="00381727"/>
    <w:rsid w:val="003851F0"/>
    <w:rsid w:val="00386E3A"/>
    <w:rsid w:val="003A7C90"/>
    <w:rsid w:val="003B0E05"/>
    <w:rsid w:val="003D251C"/>
    <w:rsid w:val="003E1511"/>
    <w:rsid w:val="003E3EAA"/>
    <w:rsid w:val="003F48C3"/>
    <w:rsid w:val="003F6A1F"/>
    <w:rsid w:val="003F78E9"/>
    <w:rsid w:val="00435937"/>
    <w:rsid w:val="00440CCA"/>
    <w:rsid w:val="00447153"/>
    <w:rsid w:val="00454F43"/>
    <w:rsid w:val="00454FF2"/>
    <w:rsid w:val="0046438E"/>
    <w:rsid w:val="00467EFA"/>
    <w:rsid w:val="004707D4"/>
    <w:rsid w:val="0047182D"/>
    <w:rsid w:val="00471F8F"/>
    <w:rsid w:val="00475043"/>
    <w:rsid w:val="004833D0"/>
    <w:rsid w:val="00492429"/>
    <w:rsid w:val="0049792E"/>
    <w:rsid w:val="004A04BE"/>
    <w:rsid w:val="004A3431"/>
    <w:rsid w:val="004B7314"/>
    <w:rsid w:val="004F79CC"/>
    <w:rsid w:val="00510ED1"/>
    <w:rsid w:val="005261D4"/>
    <w:rsid w:val="00526D0F"/>
    <w:rsid w:val="005337D2"/>
    <w:rsid w:val="00535C8C"/>
    <w:rsid w:val="00540BB4"/>
    <w:rsid w:val="005517D5"/>
    <w:rsid w:val="005716F0"/>
    <w:rsid w:val="0057760A"/>
    <w:rsid w:val="00594B16"/>
    <w:rsid w:val="00594D22"/>
    <w:rsid w:val="005D4FDD"/>
    <w:rsid w:val="005E10BF"/>
    <w:rsid w:val="005E3415"/>
    <w:rsid w:val="005F075F"/>
    <w:rsid w:val="00600F6F"/>
    <w:rsid w:val="00601DB6"/>
    <w:rsid w:val="006126CC"/>
    <w:rsid w:val="006162A2"/>
    <w:rsid w:val="00620143"/>
    <w:rsid w:val="00623BC8"/>
    <w:rsid w:val="00627F66"/>
    <w:rsid w:val="006508A7"/>
    <w:rsid w:val="006606DE"/>
    <w:rsid w:val="00663140"/>
    <w:rsid w:val="00666246"/>
    <w:rsid w:val="0067077A"/>
    <w:rsid w:val="00670D1E"/>
    <w:rsid w:val="006A3D91"/>
    <w:rsid w:val="006B257B"/>
    <w:rsid w:val="006B4C13"/>
    <w:rsid w:val="006B60A3"/>
    <w:rsid w:val="006D15E6"/>
    <w:rsid w:val="006D6449"/>
    <w:rsid w:val="006E3CA4"/>
    <w:rsid w:val="006F352F"/>
    <w:rsid w:val="00703163"/>
    <w:rsid w:val="00711C88"/>
    <w:rsid w:val="0071684B"/>
    <w:rsid w:val="007170A2"/>
    <w:rsid w:val="00722E59"/>
    <w:rsid w:val="00735FE4"/>
    <w:rsid w:val="007375FE"/>
    <w:rsid w:val="0075154D"/>
    <w:rsid w:val="00756AF9"/>
    <w:rsid w:val="007757D4"/>
    <w:rsid w:val="0078780A"/>
    <w:rsid w:val="007B3BA2"/>
    <w:rsid w:val="007C0D5A"/>
    <w:rsid w:val="007D468D"/>
    <w:rsid w:val="007D6722"/>
    <w:rsid w:val="008021C9"/>
    <w:rsid w:val="008064B3"/>
    <w:rsid w:val="00807E94"/>
    <w:rsid w:val="00812AEE"/>
    <w:rsid w:val="00841BA5"/>
    <w:rsid w:val="00865BDB"/>
    <w:rsid w:val="008720AD"/>
    <w:rsid w:val="00874285"/>
    <w:rsid w:val="008752E9"/>
    <w:rsid w:val="0087725D"/>
    <w:rsid w:val="0089091B"/>
    <w:rsid w:val="008B47B4"/>
    <w:rsid w:val="008B6026"/>
    <w:rsid w:val="008C550F"/>
    <w:rsid w:val="008D7C4B"/>
    <w:rsid w:val="008D7F74"/>
    <w:rsid w:val="008F35D0"/>
    <w:rsid w:val="008F41B0"/>
    <w:rsid w:val="008F5AF8"/>
    <w:rsid w:val="008F6AA8"/>
    <w:rsid w:val="008F74FE"/>
    <w:rsid w:val="009076BF"/>
    <w:rsid w:val="0091405D"/>
    <w:rsid w:val="0095270B"/>
    <w:rsid w:val="00963955"/>
    <w:rsid w:val="00967E0E"/>
    <w:rsid w:val="00985AD2"/>
    <w:rsid w:val="009919D4"/>
    <w:rsid w:val="00991A00"/>
    <w:rsid w:val="00996336"/>
    <w:rsid w:val="009A67B9"/>
    <w:rsid w:val="009A6C62"/>
    <w:rsid w:val="009B0BA3"/>
    <w:rsid w:val="009C3424"/>
    <w:rsid w:val="009F2C13"/>
    <w:rsid w:val="009F4677"/>
    <w:rsid w:val="009F7A35"/>
    <w:rsid w:val="00A05F2D"/>
    <w:rsid w:val="00A14EF2"/>
    <w:rsid w:val="00A27DF2"/>
    <w:rsid w:val="00A34541"/>
    <w:rsid w:val="00A364FF"/>
    <w:rsid w:val="00A46380"/>
    <w:rsid w:val="00A662F7"/>
    <w:rsid w:val="00A861FA"/>
    <w:rsid w:val="00AA351C"/>
    <w:rsid w:val="00AA40A8"/>
    <w:rsid w:val="00AB4E49"/>
    <w:rsid w:val="00AC1C5E"/>
    <w:rsid w:val="00AC4B56"/>
    <w:rsid w:val="00AC5CD6"/>
    <w:rsid w:val="00AE4119"/>
    <w:rsid w:val="00AE638C"/>
    <w:rsid w:val="00AF0647"/>
    <w:rsid w:val="00AF4A66"/>
    <w:rsid w:val="00B01800"/>
    <w:rsid w:val="00B11826"/>
    <w:rsid w:val="00B32BE0"/>
    <w:rsid w:val="00B45DED"/>
    <w:rsid w:val="00B46D3E"/>
    <w:rsid w:val="00B95433"/>
    <w:rsid w:val="00BC2C1F"/>
    <w:rsid w:val="00BC5A3E"/>
    <w:rsid w:val="00BD15CB"/>
    <w:rsid w:val="00BE2820"/>
    <w:rsid w:val="00C01248"/>
    <w:rsid w:val="00C20F11"/>
    <w:rsid w:val="00C32C5D"/>
    <w:rsid w:val="00C36168"/>
    <w:rsid w:val="00C445E7"/>
    <w:rsid w:val="00C502F0"/>
    <w:rsid w:val="00C51D9F"/>
    <w:rsid w:val="00C51F6A"/>
    <w:rsid w:val="00C74368"/>
    <w:rsid w:val="00C823DD"/>
    <w:rsid w:val="00C867F4"/>
    <w:rsid w:val="00C87D37"/>
    <w:rsid w:val="00CB7B77"/>
    <w:rsid w:val="00CD13F8"/>
    <w:rsid w:val="00CD306F"/>
    <w:rsid w:val="00CD73DC"/>
    <w:rsid w:val="00CE671C"/>
    <w:rsid w:val="00CF5D7B"/>
    <w:rsid w:val="00D20618"/>
    <w:rsid w:val="00D21138"/>
    <w:rsid w:val="00D274EB"/>
    <w:rsid w:val="00D4304B"/>
    <w:rsid w:val="00D46B38"/>
    <w:rsid w:val="00D67738"/>
    <w:rsid w:val="00D7733F"/>
    <w:rsid w:val="00D77FD4"/>
    <w:rsid w:val="00D80CA9"/>
    <w:rsid w:val="00D80E61"/>
    <w:rsid w:val="00D83915"/>
    <w:rsid w:val="00D84A7B"/>
    <w:rsid w:val="00D925B0"/>
    <w:rsid w:val="00DB1948"/>
    <w:rsid w:val="00DC3E68"/>
    <w:rsid w:val="00DC771E"/>
    <w:rsid w:val="00DD00CC"/>
    <w:rsid w:val="00DD0212"/>
    <w:rsid w:val="00DE219E"/>
    <w:rsid w:val="00DE24F2"/>
    <w:rsid w:val="00DF722C"/>
    <w:rsid w:val="00E044E7"/>
    <w:rsid w:val="00E33FBE"/>
    <w:rsid w:val="00E50856"/>
    <w:rsid w:val="00E6165E"/>
    <w:rsid w:val="00E66297"/>
    <w:rsid w:val="00E86F74"/>
    <w:rsid w:val="00EA0B81"/>
    <w:rsid w:val="00EA1162"/>
    <w:rsid w:val="00EA11DF"/>
    <w:rsid w:val="00EA29BB"/>
    <w:rsid w:val="00EA5088"/>
    <w:rsid w:val="00EA5AAE"/>
    <w:rsid w:val="00EA6CBA"/>
    <w:rsid w:val="00EB76A8"/>
    <w:rsid w:val="00EC4A33"/>
    <w:rsid w:val="00ED59A1"/>
    <w:rsid w:val="00EE5100"/>
    <w:rsid w:val="00F014D9"/>
    <w:rsid w:val="00F041FB"/>
    <w:rsid w:val="00F04BD0"/>
    <w:rsid w:val="00F13029"/>
    <w:rsid w:val="00F1550A"/>
    <w:rsid w:val="00F15A5C"/>
    <w:rsid w:val="00F20208"/>
    <w:rsid w:val="00F266DC"/>
    <w:rsid w:val="00F502AE"/>
    <w:rsid w:val="00F54E60"/>
    <w:rsid w:val="00F62593"/>
    <w:rsid w:val="00F6536D"/>
    <w:rsid w:val="00F8694B"/>
    <w:rsid w:val="00F91E75"/>
    <w:rsid w:val="00F92A4A"/>
    <w:rsid w:val="00F97AFF"/>
    <w:rsid w:val="00FA1D91"/>
    <w:rsid w:val="00FA4230"/>
    <w:rsid w:val="00FC5846"/>
    <w:rsid w:val="00FD1C3C"/>
    <w:rsid w:val="00FD2F47"/>
    <w:rsid w:val="00FD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1745"/>
    <o:shapelayout v:ext="edit">
      <o:idmap v:ext="edit" data="1"/>
    </o:shapelayout>
  </w:shapeDefaults>
  <w:decimalSymbol w:val="."/>
  <w:listSeparator w:val=","/>
  <w15:docId w15:val="{E360092A-62FA-4C25-A742-EFFBE7D6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100"/>
  </w:style>
  <w:style w:type="paragraph" w:styleId="Heading1">
    <w:name w:val="heading 1"/>
    <w:basedOn w:val="Normal"/>
    <w:next w:val="Normal"/>
    <w:qFormat/>
    <w:rsid w:val="00EE5100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51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51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5100"/>
    <w:rPr>
      <w:rFonts w:cs="Times New Roman"/>
    </w:rPr>
  </w:style>
  <w:style w:type="paragraph" w:styleId="BodyText">
    <w:name w:val="Body Text"/>
    <w:basedOn w:val="Normal"/>
    <w:rsid w:val="00EE5100"/>
    <w:rPr>
      <w:sz w:val="22"/>
      <w:szCs w:val="22"/>
    </w:rPr>
  </w:style>
  <w:style w:type="character" w:styleId="Hyperlink">
    <w:name w:val="Hyperlink"/>
    <w:basedOn w:val="DefaultParagraphFont"/>
    <w:rsid w:val="00EE5100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C3E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4A62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AA40A8"/>
  </w:style>
  <w:style w:type="character" w:customStyle="1" w:styleId="FootnoteTextChar">
    <w:name w:val="Footnote Text Char"/>
    <w:basedOn w:val="DefaultParagraphFont"/>
    <w:link w:val="FootnoteText"/>
    <w:rsid w:val="00AA40A8"/>
  </w:style>
  <w:style w:type="character" w:styleId="FootnoteReference">
    <w:name w:val="footnote reference"/>
    <w:basedOn w:val="DefaultParagraphFont"/>
    <w:rsid w:val="00AA4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2016-01-28T08:00:00+00:00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4027A0E-C8A4-4D36-9C5F-D20186FBFDB7}"/>
</file>

<file path=customXml/itemProps2.xml><?xml version="1.0" encoding="utf-8"?>
<ds:datastoreItem xmlns:ds="http://schemas.openxmlformats.org/officeDocument/2006/customXml" ds:itemID="{1DD504BF-E3E7-4371-AAA3-DB3011FE4DA3}"/>
</file>

<file path=customXml/itemProps3.xml><?xml version="1.0" encoding="utf-8"?>
<ds:datastoreItem xmlns:ds="http://schemas.openxmlformats.org/officeDocument/2006/customXml" ds:itemID="{D7B17775-F72E-4761-B07E-F63A607E9243}"/>
</file>

<file path=customXml/itemProps4.xml><?xml version="1.0" encoding="utf-8"?>
<ds:datastoreItem xmlns:ds="http://schemas.openxmlformats.org/officeDocument/2006/customXml" ds:itemID="{D34F6A55-26C0-4349-8D07-66B4EFC3D436}"/>
</file>

<file path=customXml/itemProps5.xml><?xml version="1.0" encoding="utf-8"?>
<ds:datastoreItem xmlns:ds="http://schemas.openxmlformats.org/officeDocument/2006/customXml" ds:itemID="{08828F7C-D901-441C-BE84-F8840ACF01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creator>judy johnson</dc:creator>
  <cp:lastModifiedBy>Rollman, Courtney (UTC)</cp:lastModifiedBy>
  <cp:revision>2</cp:revision>
  <cp:lastPrinted>2016-01-27T20:42:00Z</cp:lastPrinted>
  <dcterms:created xsi:type="dcterms:W3CDTF">2016-01-29T19:01:00Z</dcterms:created>
  <dcterms:modified xsi:type="dcterms:W3CDTF">2016-01-29T19:01:00Z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