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SimSun" w:hAnsi="Times New Roman" w:cs="Times New Roman"/>
          <w:b w:val="0"/>
          <w:bCs w:val="0"/>
          <w:color w:val="auto"/>
          <w:sz w:val="24"/>
          <w:szCs w:val="24"/>
          <w:lang w:eastAsia="zh-CN"/>
        </w:rPr>
        <w:id w:val="-1653276189"/>
        <w:docPartObj>
          <w:docPartGallery w:val="Table of Contents"/>
          <w:docPartUnique/>
        </w:docPartObj>
      </w:sdtPr>
      <w:sdtEndPr>
        <w:rPr>
          <w:noProof/>
        </w:rPr>
      </w:sdtEndPr>
      <w:sdtContent>
        <w:p w:rsidR="00D63ECC" w:rsidRDefault="00FF5AF1">
          <w:pPr>
            <w:pStyle w:val="TOCHeading"/>
            <w:suppressLineNumbers/>
            <w:spacing w:before="0" w:line="480" w:lineRule="auto"/>
            <w:jc w:val="center"/>
            <w:rPr>
              <w:rFonts w:ascii="Times New Roman" w:hAnsi="Times New Roman" w:cs="Times New Roman"/>
              <w:color w:val="auto"/>
              <w:sz w:val="24"/>
            </w:rPr>
          </w:pPr>
          <w:r>
            <w:rPr>
              <w:rFonts w:ascii="Times New Roman" w:hAnsi="Times New Roman" w:cs="Times New Roman"/>
              <w:color w:val="auto"/>
              <w:sz w:val="24"/>
            </w:rPr>
            <w:t>TABLE OF CONTENTS</w:t>
          </w:r>
        </w:p>
        <w:p w:rsidR="00D63ECC" w:rsidRDefault="00FF5AF1" w:rsidP="002A3F0C">
          <w:pPr>
            <w:pStyle w:val="TOC1"/>
            <w:suppressLineNumbers/>
            <w:tabs>
              <w:tab w:val="right" w:leader="dot" w:pos="8990"/>
            </w:tabs>
            <w:spacing w:after="0" w:line="360" w:lineRule="auto"/>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450767109" w:history="1">
            <w:r>
              <w:rPr>
                <w:rStyle w:val="Hyperlink"/>
                <w:noProof/>
              </w:rPr>
              <w:t>PURPOSE AND SUMMARY OF TESTIMONY</w:t>
            </w:r>
            <w:r>
              <w:rPr>
                <w:noProof/>
                <w:webHidden/>
              </w:rPr>
              <w:tab/>
            </w:r>
            <w:r>
              <w:rPr>
                <w:noProof/>
                <w:webHidden/>
              </w:rPr>
              <w:fldChar w:fldCharType="begin"/>
            </w:r>
            <w:r>
              <w:rPr>
                <w:noProof/>
                <w:webHidden/>
              </w:rPr>
              <w:instrText xml:space="preserve"> PAGEREF _Toc450767109 \h </w:instrText>
            </w:r>
            <w:r>
              <w:rPr>
                <w:noProof/>
                <w:webHidden/>
              </w:rPr>
            </w:r>
            <w:r>
              <w:rPr>
                <w:noProof/>
                <w:webHidden/>
              </w:rPr>
              <w:fldChar w:fldCharType="separate"/>
            </w:r>
            <w:r w:rsidR="002A3F0C">
              <w:rPr>
                <w:noProof/>
                <w:webHidden/>
              </w:rPr>
              <w:t>1</w:t>
            </w:r>
            <w:r>
              <w:rPr>
                <w:noProof/>
                <w:webHidden/>
              </w:rPr>
              <w:fldChar w:fldCharType="end"/>
            </w:r>
          </w:hyperlink>
        </w:p>
        <w:p w:rsidR="00D63ECC" w:rsidRDefault="002C7B03" w:rsidP="002A3F0C">
          <w:pPr>
            <w:pStyle w:val="TOC1"/>
            <w:suppressLineNumbers/>
            <w:tabs>
              <w:tab w:val="right" w:leader="dot" w:pos="8990"/>
            </w:tabs>
            <w:spacing w:after="0" w:line="360" w:lineRule="auto"/>
            <w:rPr>
              <w:rFonts w:asciiTheme="minorHAnsi" w:eastAsiaTheme="minorEastAsia" w:hAnsiTheme="minorHAnsi" w:cstheme="minorBidi"/>
              <w:noProof/>
              <w:sz w:val="22"/>
              <w:szCs w:val="22"/>
              <w:lang w:eastAsia="en-US"/>
            </w:rPr>
          </w:pPr>
          <w:hyperlink w:anchor="_Toc450767110" w:history="1">
            <w:r w:rsidR="00FF5AF1">
              <w:rPr>
                <w:rStyle w:val="Hyperlink"/>
                <w:noProof/>
              </w:rPr>
              <w:t>OVERVIEW OF EVIDENCE DEMONSTRATING COMPANY’S PRUDENCE</w:t>
            </w:r>
            <w:r w:rsidR="00FF5AF1">
              <w:rPr>
                <w:noProof/>
                <w:webHidden/>
              </w:rPr>
              <w:tab/>
            </w:r>
            <w:r w:rsidR="00FF5AF1">
              <w:rPr>
                <w:noProof/>
                <w:webHidden/>
              </w:rPr>
              <w:fldChar w:fldCharType="begin"/>
            </w:r>
            <w:r w:rsidR="00FF5AF1">
              <w:rPr>
                <w:noProof/>
                <w:webHidden/>
              </w:rPr>
              <w:instrText xml:space="preserve"> PAGEREF _Toc450767110 \h </w:instrText>
            </w:r>
            <w:r w:rsidR="00FF5AF1">
              <w:rPr>
                <w:noProof/>
                <w:webHidden/>
              </w:rPr>
            </w:r>
            <w:r w:rsidR="00FF5AF1">
              <w:rPr>
                <w:noProof/>
                <w:webHidden/>
              </w:rPr>
              <w:fldChar w:fldCharType="separate"/>
            </w:r>
            <w:r w:rsidR="002A3F0C">
              <w:rPr>
                <w:noProof/>
                <w:webHidden/>
              </w:rPr>
              <w:t>2</w:t>
            </w:r>
            <w:r w:rsidR="00FF5AF1">
              <w:rPr>
                <w:noProof/>
                <w:webHidden/>
              </w:rPr>
              <w:fldChar w:fldCharType="end"/>
            </w:r>
          </w:hyperlink>
        </w:p>
        <w:p w:rsidR="00D63ECC" w:rsidRDefault="002C7B03" w:rsidP="002A3F0C">
          <w:pPr>
            <w:pStyle w:val="TOC1"/>
            <w:suppressLineNumbers/>
            <w:tabs>
              <w:tab w:val="right" w:leader="dot" w:pos="8990"/>
            </w:tabs>
            <w:spacing w:after="0" w:line="360" w:lineRule="auto"/>
            <w:rPr>
              <w:rFonts w:asciiTheme="minorHAnsi" w:eastAsiaTheme="minorEastAsia" w:hAnsiTheme="minorHAnsi" w:cstheme="minorBidi"/>
              <w:noProof/>
              <w:sz w:val="22"/>
              <w:szCs w:val="22"/>
              <w:lang w:eastAsia="en-US"/>
            </w:rPr>
          </w:pPr>
          <w:hyperlink w:anchor="_Toc450767111" w:history="1">
            <w:r w:rsidR="00FF5AF1">
              <w:rPr>
                <w:rStyle w:val="Hyperlink"/>
                <w:noProof/>
              </w:rPr>
              <w:t>PROPOSAL FOR FUTURE PRE-INVESTMENT REVIEW</w:t>
            </w:r>
            <w:r w:rsidR="00FF5AF1">
              <w:rPr>
                <w:noProof/>
                <w:webHidden/>
              </w:rPr>
              <w:tab/>
            </w:r>
            <w:r w:rsidR="00FF5AF1">
              <w:rPr>
                <w:noProof/>
                <w:webHidden/>
              </w:rPr>
              <w:fldChar w:fldCharType="begin"/>
            </w:r>
            <w:r w:rsidR="00FF5AF1">
              <w:rPr>
                <w:noProof/>
                <w:webHidden/>
              </w:rPr>
              <w:instrText xml:space="preserve"> PAGEREF _Toc450767111 \h </w:instrText>
            </w:r>
            <w:r w:rsidR="00FF5AF1">
              <w:rPr>
                <w:noProof/>
                <w:webHidden/>
              </w:rPr>
            </w:r>
            <w:r w:rsidR="00FF5AF1">
              <w:rPr>
                <w:noProof/>
                <w:webHidden/>
              </w:rPr>
              <w:fldChar w:fldCharType="separate"/>
            </w:r>
            <w:r w:rsidR="002A3F0C">
              <w:rPr>
                <w:noProof/>
                <w:webHidden/>
              </w:rPr>
              <w:t>6</w:t>
            </w:r>
            <w:r w:rsidR="00FF5AF1">
              <w:rPr>
                <w:noProof/>
                <w:webHidden/>
              </w:rPr>
              <w:fldChar w:fldCharType="end"/>
            </w:r>
          </w:hyperlink>
        </w:p>
        <w:p w:rsidR="00D63ECC" w:rsidRDefault="002C7B03" w:rsidP="002A3F0C">
          <w:pPr>
            <w:pStyle w:val="TOC1"/>
            <w:suppressLineNumbers/>
            <w:tabs>
              <w:tab w:val="right" w:leader="dot" w:pos="8990"/>
            </w:tabs>
            <w:spacing w:after="0" w:line="360" w:lineRule="auto"/>
            <w:rPr>
              <w:rFonts w:asciiTheme="minorHAnsi" w:eastAsiaTheme="minorEastAsia" w:hAnsiTheme="minorHAnsi" w:cstheme="minorBidi"/>
              <w:noProof/>
              <w:sz w:val="22"/>
              <w:szCs w:val="22"/>
              <w:lang w:eastAsia="en-US"/>
            </w:rPr>
          </w:pPr>
          <w:hyperlink w:anchor="_Toc450767112" w:history="1">
            <w:r w:rsidR="00FF5AF1">
              <w:rPr>
                <w:rStyle w:val="Hyperlink"/>
                <w:noProof/>
              </w:rPr>
              <w:t>POST-FNTP CANCELLATION</w:t>
            </w:r>
            <w:r w:rsidR="00FF5AF1">
              <w:rPr>
                <w:noProof/>
                <w:webHidden/>
              </w:rPr>
              <w:tab/>
            </w:r>
            <w:r w:rsidR="00FF5AF1">
              <w:rPr>
                <w:noProof/>
                <w:webHidden/>
              </w:rPr>
              <w:fldChar w:fldCharType="begin"/>
            </w:r>
            <w:r w:rsidR="00FF5AF1">
              <w:rPr>
                <w:noProof/>
                <w:webHidden/>
              </w:rPr>
              <w:instrText xml:space="preserve"> PAGEREF _Toc450767112 \h </w:instrText>
            </w:r>
            <w:r w:rsidR="00FF5AF1">
              <w:rPr>
                <w:noProof/>
                <w:webHidden/>
              </w:rPr>
            </w:r>
            <w:r w:rsidR="00FF5AF1">
              <w:rPr>
                <w:noProof/>
                <w:webHidden/>
              </w:rPr>
              <w:fldChar w:fldCharType="separate"/>
            </w:r>
            <w:r w:rsidR="002A3F0C">
              <w:rPr>
                <w:noProof/>
                <w:webHidden/>
              </w:rPr>
              <w:t>6</w:t>
            </w:r>
            <w:r w:rsidR="00FF5AF1">
              <w:rPr>
                <w:noProof/>
                <w:webHidden/>
              </w:rPr>
              <w:fldChar w:fldCharType="end"/>
            </w:r>
          </w:hyperlink>
        </w:p>
        <w:p w:rsidR="00D63ECC" w:rsidRDefault="00FF5AF1" w:rsidP="002A3F0C">
          <w:pPr>
            <w:suppressLineNumbers/>
            <w:spacing w:line="360" w:lineRule="auto"/>
          </w:pPr>
          <w:r>
            <w:rPr>
              <w:b/>
              <w:bCs/>
              <w:noProof/>
            </w:rPr>
            <w:fldChar w:fldCharType="end"/>
          </w:r>
        </w:p>
      </w:sdtContent>
    </w:sdt>
    <w:p w:rsidR="00D63ECC" w:rsidRDefault="00FF5AF1">
      <w:pPr>
        <w:suppressLineNumbers/>
        <w:spacing w:line="480" w:lineRule="auto"/>
        <w:ind w:left="720" w:hanging="720"/>
        <w:jc w:val="center"/>
        <w:rPr>
          <w:b/>
        </w:rPr>
      </w:pPr>
      <w:r>
        <w:rPr>
          <w:b/>
        </w:rPr>
        <w:t>ATTACHED EXHIBITS</w:t>
      </w:r>
    </w:p>
    <w:p w:rsidR="00D63ECC" w:rsidRDefault="00FF5AF1">
      <w:pPr>
        <w:suppressLineNumbers/>
        <w:spacing w:line="480" w:lineRule="auto"/>
        <w:ind w:left="720" w:hanging="720"/>
      </w:pPr>
      <w:r w:rsidRPr="00587A27">
        <w:t>Exhibit No. CAT-</w:t>
      </w:r>
      <w:r w:rsidR="00587A27" w:rsidRPr="00587A27">
        <w:t>41</w:t>
      </w:r>
      <w:r w:rsidR="00587A27">
        <w:t>—Jim Bridger Units 3 and 4 Natural Gas Conversion Schedule</w:t>
      </w:r>
    </w:p>
    <w:p w:rsidR="00D63ECC" w:rsidRDefault="00D63ECC">
      <w:pPr>
        <w:suppressLineNumbers/>
        <w:spacing w:line="480" w:lineRule="auto"/>
        <w:ind w:left="720" w:hanging="720"/>
        <w:rPr>
          <w:b/>
        </w:rPr>
      </w:pPr>
    </w:p>
    <w:p w:rsidR="00D63ECC" w:rsidRDefault="00D63ECC">
      <w:pPr>
        <w:suppressLineNumbers/>
        <w:spacing w:line="480" w:lineRule="auto"/>
        <w:ind w:left="720" w:hanging="720"/>
        <w:rPr>
          <w:b/>
        </w:rPr>
        <w:sectPr w:rsidR="00D63ECC">
          <w:footerReference w:type="default" r:id="rId8"/>
          <w:pgSz w:w="12240" w:h="15840" w:code="1"/>
          <w:pgMar w:top="1440" w:right="1440" w:bottom="1440" w:left="1800" w:header="720" w:footer="720" w:gutter="0"/>
          <w:lnNumType w:countBy="1"/>
          <w:pgNumType w:fmt="lowerRoman" w:start="1"/>
          <w:cols w:space="720"/>
          <w:docGrid w:linePitch="360"/>
        </w:sectPr>
      </w:pPr>
    </w:p>
    <w:p w:rsidR="00D63ECC" w:rsidRDefault="00FF5AF1">
      <w:pPr>
        <w:spacing w:line="480" w:lineRule="auto"/>
        <w:ind w:left="720" w:hanging="720"/>
      </w:pPr>
      <w:r>
        <w:rPr>
          <w:b/>
        </w:rPr>
        <w:lastRenderedPageBreak/>
        <w:t>Q.</w:t>
      </w:r>
      <w:r>
        <w:rPr>
          <w:b/>
        </w:rPr>
        <w:tab/>
        <w:t>Are you the same Chad A. Teply who submitted direct and rebuttal testimony in this case</w:t>
      </w:r>
      <w:r>
        <w:t xml:space="preserve"> </w:t>
      </w:r>
      <w:r>
        <w:rPr>
          <w:b/>
        </w:rPr>
        <w:t>on behalf of Pacific Power &amp; Light Company (Pacific Power or Company), a division of PacifiCorp?</w:t>
      </w:r>
    </w:p>
    <w:p w:rsidR="00D63ECC" w:rsidRDefault="00FF5AF1">
      <w:pPr>
        <w:spacing w:line="480" w:lineRule="auto"/>
        <w:ind w:left="720" w:hanging="720"/>
      </w:pPr>
      <w:r>
        <w:t>A.</w:t>
      </w:r>
      <w:r>
        <w:rPr>
          <w:b/>
        </w:rPr>
        <w:tab/>
      </w:r>
      <w:r>
        <w:t>Yes.</w:t>
      </w:r>
    </w:p>
    <w:p w:rsidR="00D63ECC" w:rsidRDefault="00FF5AF1">
      <w:pPr>
        <w:pStyle w:val="Heading1"/>
        <w:rPr>
          <w:u w:val="single"/>
        </w:rPr>
      </w:pPr>
      <w:bookmarkStart w:id="0" w:name="_Toc450767109"/>
      <w:r>
        <w:t>PURPOSE AND SUMMARY OF TESTIMONY</w:t>
      </w:r>
      <w:bookmarkEnd w:id="0"/>
    </w:p>
    <w:p w:rsidR="00D63ECC" w:rsidRDefault="00FF5AF1">
      <w:pPr>
        <w:spacing w:line="480" w:lineRule="auto"/>
        <w:ind w:left="720" w:hanging="720"/>
      </w:pPr>
      <w:r>
        <w:rPr>
          <w:b/>
        </w:rPr>
        <w:t>Q.</w:t>
      </w:r>
      <w:r>
        <w:rPr>
          <w:b/>
        </w:rPr>
        <w:tab/>
        <w:t>What is the purpose of your supplemental rebuttal testimony?</w:t>
      </w:r>
    </w:p>
    <w:p w:rsidR="00D63ECC" w:rsidRDefault="00FF5AF1">
      <w:pPr>
        <w:widowControl w:val="0"/>
        <w:spacing w:line="480" w:lineRule="auto"/>
        <w:ind w:left="720" w:hanging="720"/>
      </w:pPr>
      <w:r>
        <w:t>A.</w:t>
      </w:r>
      <w:r>
        <w:tab/>
        <w:t xml:space="preserve">My testimony responds to supplemental testimony of </w:t>
      </w:r>
      <w:r w:rsidR="00587A27">
        <w:t xml:space="preserve">Mr. </w:t>
      </w:r>
      <w:r>
        <w:t xml:space="preserve">Jeremy B. Twitchell on behalf of Staff of the Washington Utilities and Transportation Commission (Commission), challenging the prudence of the Company’s investments in selective catalytic reduction systems (SCRs) at Units 3 and 4 of the Jim Bridger generating plant (Jim Bridger Units 3 and 4).  </w:t>
      </w:r>
    </w:p>
    <w:p w:rsidR="00D63ECC" w:rsidRDefault="00FF5AF1">
      <w:pPr>
        <w:widowControl w:val="0"/>
        <w:spacing w:line="480" w:lineRule="auto"/>
        <w:ind w:left="720" w:hanging="720"/>
        <w:rPr>
          <w:b/>
        </w:rPr>
      </w:pPr>
      <w:r>
        <w:rPr>
          <w:b/>
        </w:rPr>
        <w:t>Q.</w:t>
      </w:r>
      <w:r>
        <w:rPr>
          <w:b/>
        </w:rPr>
        <w:tab/>
        <w:t xml:space="preserve">Please identify the specific issues you address and the related issues addressed by other Pacific Power witnesses. </w:t>
      </w:r>
    </w:p>
    <w:p w:rsidR="00D63ECC" w:rsidRDefault="00FF5AF1">
      <w:pPr>
        <w:widowControl w:val="0"/>
        <w:spacing w:line="480" w:lineRule="auto"/>
        <w:ind w:left="720" w:hanging="720"/>
      </w:pPr>
      <w:r>
        <w:t>A.</w:t>
      </w:r>
      <w:r>
        <w:tab/>
        <w:t>In response to Staff’s supplemental testimony, I summarize the evidence supporting the prudence of the Jim Bridger SCRs.  I address Staff’s new and overly simplistic position that the Company should have cancelled the Jim Bridger SCRs on January 1, 2014, o</w:t>
      </w:r>
      <w:r w:rsidR="00B85B31">
        <w:t>ne month after issuing the full notice to p</w:t>
      </w:r>
      <w:r>
        <w:t xml:space="preserve">roceed (FNTP) under the engineering, procurement and construction services (EPC) contract.  </w:t>
      </w:r>
      <w:r w:rsidRPr="00587A27">
        <w:t>I demonstrate the increased costs and risks of natural gas conversion triggered under a hypothetical</w:t>
      </w:r>
      <w:r w:rsidR="00204E75">
        <w:t>,</w:t>
      </w:r>
      <w:r w:rsidRPr="00587A27">
        <w:t xml:space="preserve"> post-FNTP cancellation</w:t>
      </w:r>
      <w:r w:rsidR="00B85B31">
        <w:t xml:space="preserve"> and explain how these factors</w:t>
      </w:r>
      <w:r w:rsidRPr="00587A27">
        <w:t xml:space="preserve"> </w:t>
      </w:r>
      <w:r w:rsidR="008A03CA">
        <w:t xml:space="preserve">would have </w:t>
      </w:r>
      <w:r w:rsidR="008A03CA" w:rsidRPr="008A03CA">
        <w:t xml:space="preserve">negatively impacted the </w:t>
      </w:r>
      <w:r w:rsidR="00204E75">
        <w:t>Company’s analysis of this</w:t>
      </w:r>
      <w:r w:rsidR="008A03CA">
        <w:t xml:space="preserve"> </w:t>
      </w:r>
      <w:r w:rsidR="008A03CA" w:rsidRPr="008A03CA">
        <w:t>alternative</w:t>
      </w:r>
      <w:r w:rsidRPr="00587A27">
        <w:t>.</w:t>
      </w:r>
      <w:r>
        <w:t xml:space="preserve">  I also offer a proposal relating to pre-investment review of future investments in coal plants to meet environmental standards.     </w:t>
      </w:r>
    </w:p>
    <w:p w:rsidR="00D63ECC" w:rsidRDefault="00FF5AF1">
      <w:pPr>
        <w:widowControl w:val="0"/>
        <w:spacing w:line="480" w:lineRule="auto"/>
        <w:ind w:left="720" w:firstLine="720"/>
      </w:pPr>
      <w:r>
        <w:lastRenderedPageBreak/>
        <w:t xml:space="preserve">Ms. Cindy A. Crane addresses Staff’s supplemental testimony regarding alleged increases in coal costs in fall 2013.  Ms. Crane reaffirms that there were no increases in coal costs in fall 2013 that materially changed the economics of the Jim Bridger SCRs.  Ms. Crane demonstrates that Staff’s supplemental analysis, when corrected, ultimately supports the prudence of the Jim Bridger SCRs.   </w:t>
      </w:r>
    </w:p>
    <w:p w:rsidR="00D63ECC" w:rsidRDefault="00FF5AF1">
      <w:pPr>
        <w:widowControl w:val="0"/>
        <w:spacing w:line="480" w:lineRule="auto"/>
        <w:ind w:left="720" w:hanging="720"/>
      </w:pPr>
      <w:r>
        <w:tab/>
      </w:r>
      <w:r>
        <w:tab/>
        <w:t>Mr. Rick T. Link responds to Staff’s new position that the Company should have updated its SCR analysis in January 2014</w:t>
      </w:r>
      <w:r w:rsidR="004B3AFD">
        <w:t>.</w:t>
      </w:r>
      <w:r>
        <w:t xml:space="preserve">  Mr. Link explains that Staff’s position improperly relies on hindsight review past the date of issuance of the FNTP, an approach that Staff specifically argued against in its initial round of testimony. </w:t>
      </w:r>
    </w:p>
    <w:p w:rsidR="00D63ECC" w:rsidRDefault="00FF5AF1">
      <w:pPr>
        <w:pStyle w:val="Heading1"/>
      </w:pPr>
      <w:bookmarkStart w:id="1" w:name="_Toc450767110"/>
      <w:r>
        <w:t>OVERVIEW OF EVIDENCE DEMONSTRATING COMPANY’S PRUDENCE</w:t>
      </w:r>
      <w:bookmarkEnd w:id="1"/>
    </w:p>
    <w:p w:rsidR="00D63ECC" w:rsidRDefault="00FF5AF1">
      <w:pPr>
        <w:widowControl w:val="0"/>
        <w:spacing w:line="480" w:lineRule="auto"/>
        <w:ind w:left="720" w:hanging="720"/>
        <w:rPr>
          <w:b/>
        </w:rPr>
      </w:pPr>
      <w:r>
        <w:rPr>
          <w:b/>
        </w:rPr>
        <w:t>Q.</w:t>
      </w:r>
      <w:r>
        <w:rPr>
          <w:b/>
        </w:rPr>
        <w:tab/>
        <w:t xml:space="preserve">Does Staff’s approach to a prudence determination in this case ignore significant, relevant evidence?   </w:t>
      </w:r>
    </w:p>
    <w:p w:rsidR="00D63ECC" w:rsidRDefault="00FF5AF1">
      <w:pPr>
        <w:widowControl w:val="0"/>
        <w:spacing w:line="480" w:lineRule="auto"/>
        <w:ind w:left="720" w:hanging="720"/>
      </w:pPr>
      <w:r>
        <w:t>A.</w:t>
      </w:r>
      <w:r>
        <w:tab/>
        <w:t>Yes.  Staff argues that the Commission should review the Company’s decision based on a snap-shot from a single day, which changed from December 1, 2013, to January 1, 2014, after Staff realized that the earlier date did not support a claim that the Company was imprudent.  Staff’s approach disregards virtually all of the evidence that the Company handled this complex investment decision in a sophisticated and responsible manner, holding the interests of its customers paramount at all times.</w:t>
      </w:r>
    </w:p>
    <w:p w:rsidR="00D63ECC" w:rsidRDefault="00FF5AF1">
      <w:pPr>
        <w:widowControl w:val="0"/>
        <w:spacing w:line="480" w:lineRule="auto"/>
        <w:ind w:left="720" w:hanging="720"/>
        <w:rPr>
          <w:b/>
        </w:rPr>
      </w:pPr>
      <w:r>
        <w:rPr>
          <w:b/>
        </w:rPr>
        <w:t>Q.</w:t>
      </w:r>
      <w:r>
        <w:rPr>
          <w:b/>
        </w:rPr>
        <w:tab/>
        <w:t xml:space="preserve">Please summarize the evidence supporting the prudence of the Jim Bridger SCRs. </w:t>
      </w:r>
    </w:p>
    <w:p w:rsidR="00D63ECC" w:rsidRDefault="00FF5AF1">
      <w:pPr>
        <w:widowControl w:val="0"/>
        <w:spacing w:line="480" w:lineRule="auto"/>
        <w:ind w:left="720" w:hanging="720"/>
      </w:pPr>
      <w:r>
        <w:t>A.</w:t>
      </w:r>
      <w:r>
        <w:tab/>
        <w:t xml:space="preserve">In assessing the prudence of the Jim Bridger SCRs, the Commission must review whether the Company made a reasonable business decision in light of the facts and circumstances known or reasonably knowable to the Company in May 2013, subject </w:t>
      </w:r>
      <w:r>
        <w:lastRenderedPageBreak/>
        <w:t>to reassessment for major changes through December 1, 2013.  Viewed objectively and holistically, the evidence shows that the Company acted reasonably.  In fact, it would have been difficult for the Company to justify the prudence of any decision other than</w:t>
      </w:r>
      <w:r w:rsidR="0073063F">
        <w:t xml:space="preserve"> installing</w:t>
      </w:r>
      <w:r>
        <w:t xml:space="preserve"> the Jim Bridger SCRs, since the economic analysis at all times favored this investment over other options.  </w:t>
      </w:r>
    </w:p>
    <w:p w:rsidR="00D63ECC" w:rsidRDefault="00FF5AF1">
      <w:pPr>
        <w:widowControl w:val="0"/>
        <w:spacing w:line="480" w:lineRule="auto"/>
        <w:ind w:left="720" w:hanging="720"/>
      </w:pPr>
      <w:r>
        <w:tab/>
      </w:r>
      <w:r>
        <w:tab/>
        <w:t>In 2012, the Company was facing fast-approaching Regional Haze compliance deadlines for Jim Bridger Units 3 and 4.  These units are the workhorses of the Company’s generation in the west control area and are critical to providing reliable and affordable electric services to Washington customers.  The analysis showed that early retirement of these units was never a viable economic option.  The Company had two Regional Haze compliance options:  invest in the Jim Bridger SCRs</w:t>
      </w:r>
      <w:r w:rsidR="0073063F">
        <w:t>,</w:t>
      </w:r>
      <w:r>
        <w:t xml:space="preserve"> or propose conversion of the units to natural gas.  </w:t>
      </w:r>
    </w:p>
    <w:p w:rsidR="00D63ECC" w:rsidRDefault="00FF5AF1">
      <w:pPr>
        <w:widowControl w:val="0"/>
        <w:spacing w:line="480" w:lineRule="auto"/>
        <w:ind w:left="720" w:hanging="720"/>
      </w:pPr>
      <w:r>
        <w:tab/>
      </w:r>
      <w:r>
        <w:tab/>
        <w:t>Using its System Optimizer model, the Company developed economic analysis to compare these options under a range of scenarios using different natural gas curves and carbon prices.  The analysis showed that the SCR investment was the most cost-effective compliance option for customers by several hundred million dollars.  Based on this analysis, in August 2012, the Company filed for a certificate of public convenience and necessity (CPCN) in Wyoming and for</w:t>
      </w:r>
      <w:r w:rsidR="0073063F">
        <w:t xml:space="preserve"> voluntary</w:t>
      </w:r>
      <w:r>
        <w:t xml:space="preserve"> SCR investment pre-approval in Utah.  In February 2013, the Company comprehensively updated and refined its SCR analysis in these cases using its September 2012 </w:t>
      </w:r>
      <w:r w:rsidR="008A03CA">
        <w:t>official forward price curve (</w:t>
      </w:r>
      <w:r>
        <w:t>OFPC</w:t>
      </w:r>
      <w:r w:rsidR="008A03CA">
        <w:t>)</w:t>
      </w:r>
      <w:r w:rsidR="0073063F">
        <w:t xml:space="preserve"> and its January 2013 long-term fueling p</w:t>
      </w:r>
      <w:r>
        <w:t xml:space="preserve">lan for the Jim Bridger plant.  The results again decisively favored the Jim Bridger SCRs, this time by approximately </w:t>
      </w:r>
      <w:r w:rsidR="005D5EFB" w:rsidRPr="005D5EFB">
        <w:rPr>
          <w:highlight w:val="black"/>
        </w:rPr>
        <w:t>----------------</w:t>
      </w:r>
      <w:r>
        <w:t xml:space="preserve">.  </w:t>
      </w:r>
    </w:p>
    <w:p w:rsidR="00D63ECC" w:rsidRDefault="00FF5AF1">
      <w:pPr>
        <w:widowControl w:val="0"/>
        <w:spacing w:line="480" w:lineRule="auto"/>
        <w:ind w:left="720" w:hanging="720"/>
      </w:pPr>
      <w:r>
        <w:lastRenderedPageBreak/>
        <w:tab/>
      </w:r>
      <w:r>
        <w:tab/>
        <w:t>The Company incorporated its updated SCR analysis from February 2013 into its 2013 integrated resource plan (IRP), filed in March 2013, with minor updates that increased the benefits of the Jim Bridger SCRs.</w:t>
      </w:r>
    </w:p>
    <w:p w:rsidR="00D63ECC" w:rsidRDefault="00FF5AF1">
      <w:pPr>
        <w:widowControl w:val="0"/>
        <w:spacing w:line="480" w:lineRule="auto"/>
        <w:ind w:left="720" w:hanging="720"/>
      </w:pPr>
      <w:r>
        <w:tab/>
      </w:r>
      <w:r>
        <w:tab/>
        <w:t xml:space="preserve">The Company’s SCR analysis was fully litigated in Utah and Wyoming.  In May 2013, both commissions concluded that the SCR investment was the least-cost, least-risk compliance option available to the Company.  Sierra Club participated in both cases, unsuccessfully raising many issues similar to issues it has raised in this case. </w:t>
      </w:r>
    </w:p>
    <w:p w:rsidR="00D63ECC" w:rsidRDefault="00FF5AF1">
      <w:pPr>
        <w:widowControl w:val="0"/>
        <w:spacing w:line="480" w:lineRule="auto"/>
        <w:ind w:left="720" w:hanging="720"/>
      </w:pPr>
      <w:r>
        <w:tab/>
      </w:r>
      <w:r>
        <w:tab/>
        <w:t xml:space="preserve">After the Wyoming and Utah commissions approved the Jim Bridger SCRs, the Company conducted another review to support its decision to execute the EPC contract, which was supported by voluminous documentation and analysis.  In late May 2013, the Company’s President and Chief Executive Officer authorized the Jim Bridger SCRs based on this analysis, in accordance with the Company’s governance policies. </w:t>
      </w:r>
    </w:p>
    <w:p w:rsidR="00D63ECC" w:rsidRDefault="00FF5AF1">
      <w:pPr>
        <w:widowControl w:val="0"/>
        <w:spacing w:line="480" w:lineRule="auto"/>
        <w:ind w:left="720" w:hanging="720"/>
      </w:pPr>
      <w:r>
        <w:tab/>
      </w:r>
      <w:r>
        <w:tab/>
        <w:t xml:space="preserve">To minimize the risks of the Jim Bridger SCRs for customers, the Company negotiated an innovative EPC contract that allowed the Company to delay significant investment in the Jim Bridger SCRs to the last possible date, December 1, 2013, while still </w:t>
      </w:r>
      <w:r w:rsidR="00A72577">
        <w:t>ensuring</w:t>
      </w:r>
      <w:r>
        <w:t xml:space="preserve"> that the Company could cost-effectively meet its compliance deadlines.  </w:t>
      </w:r>
      <w:r w:rsidR="005305F9">
        <w:t>T</w:t>
      </w:r>
      <w:r>
        <w:t xml:space="preserve">he EPC contract </w:t>
      </w:r>
      <w:r w:rsidR="005305F9">
        <w:t xml:space="preserve">allows the Company to withdraw </w:t>
      </w:r>
      <w:r>
        <w:t xml:space="preserve">without penalty if material changes before December 1, 2013, impacted the economics or the Company’s ability to implement the SCR projects. </w:t>
      </w:r>
    </w:p>
    <w:p w:rsidR="00D63ECC" w:rsidRDefault="00FF5AF1">
      <w:pPr>
        <w:widowControl w:val="0"/>
        <w:spacing w:line="480" w:lineRule="auto"/>
        <w:ind w:left="720" w:hanging="720"/>
      </w:pPr>
      <w:r>
        <w:tab/>
      </w:r>
      <w:r>
        <w:tab/>
        <w:t>Before issuing the FNTP, the Company reviewed all key decision factors, including: (1) its most recent OFPC (dated September 2013), whi</w:t>
      </w:r>
      <w:r w:rsidR="00A72577">
        <w:t xml:space="preserve">ch remained well </w:t>
      </w:r>
      <w:r w:rsidR="00A72577">
        <w:lastRenderedPageBreak/>
        <w:t>above the SCR’s</w:t>
      </w:r>
      <w:r>
        <w:t xml:space="preserve"> break-even point; (2) 10-year budget projections that showed that Jim Bridger coal costs were not projected to increase significantly; and (3) a </w:t>
      </w:r>
      <w:r w:rsidR="00B50BBC">
        <w:br/>
      </w:r>
      <w:r w:rsidR="00B50BBC" w:rsidRPr="005D5EFB">
        <w:rPr>
          <w:highlight w:val="black"/>
        </w:rPr>
        <w:t>-</w:t>
      </w:r>
      <w:r w:rsidR="00B50BBC">
        <w:rPr>
          <w:highlight w:val="black"/>
        </w:rPr>
        <w:t>----------</w:t>
      </w:r>
      <w:r w:rsidR="00B50BBC" w:rsidRPr="005D5EFB">
        <w:rPr>
          <w:highlight w:val="black"/>
        </w:rPr>
        <w:t>---</w:t>
      </w:r>
      <w:r>
        <w:t xml:space="preserve"> cost reduction the Company negotiated in the EPC contract.  The Company also verified that none of its third-party forecast providers had projected increases in carbon costs in response to </w:t>
      </w:r>
      <w:r w:rsidR="002C7B03">
        <w:t>President Obama’s June 2013 Presidential Memorandum regarding carbon emissions</w:t>
      </w:r>
      <w:bookmarkStart w:id="2" w:name="_GoBack"/>
      <w:bookmarkEnd w:id="2"/>
      <w:r>
        <w:t xml:space="preserve">.  The Company’s update responded to the Commission’s 2013 IRP acknowledgement letter in November 2013, which asked the Company to review the natural gas and carbon price assumptions in its SCR analysis.  The Company reported the results of its review to the Commission in a separate appendix to its 2013 IRP Update.  </w:t>
      </w:r>
    </w:p>
    <w:p w:rsidR="00D63ECC" w:rsidRDefault="00FF5AF1">
      <w:pPr>
        <w:widowControl w:val="0"/>
        <w:spacing w:line="480" w:lineRule="auto"/>
        <w:ind w:left="720" w:hanging="720"/>
      </w:pPr>
      <w:r>
        <w:tab/>
      </w:r>
      <w:r>
        <w:tab/>
        <w:t xml:space="preserve">I personally conducted this review of the Jim Bridger SCR investment and recommended issuance of the FNTP.  I would not have recommended issuance of the FNTP without considering all material factors and determining that the SCR investment remained the best compliance choice for customers.  During the same timeframe, the Company elected to close other coal plants or pursue conversion to natural gas.  In each case, the Company’s decision was based on the economics of the compliance option for customers, not a predetermined preference or investment agenda.     </w:t>
      </w:r>
    </w:p>
    <w:p w:rsidR="00D63ECC" w:rsidRDefault="00FF5AF1">
      <w:pPr>
        <w:widowControl w:val="0"/>
        <w:spacing w:line="480" w:lineRule="auto"/>
        <w:ind w:left="720" w:hanging="720"/>
      </w:pPr>
      <w:r>
        <w:tab/>
      </w:r>
      <w:r>
        <w:tab/>
        <w:t xml:space="preserve">The Company carefully managed the Jim Bridger SCR EPC contract and </w:t>
      </w:r>
      <w:r w:rsidR="00A72577">
        <w:t>ensured</w:t>
      </w:r>
      <w:r>
        <w:t xml:space="preserve"> that the Jim Bridger Unit 3 SCR was completed on time and under budget.  Jim Bridger Unit 3 would not currently be operable and serving customers but for the SCR investment.  The SCR at Jim Bridger Unit 4 is also on time and under budget, and the Company expects to meet the Regional Haze compliance deadline for that </w:t>
      </w:r>
      <w:r>
        <w:lastRenderedPageBreak/>
        <w:t xml:space="preserve">unit, avoiding any unanticipated disruption in service.  </w:t>
      </w:r>
    </w:p>
    <w:p w:rsidR="00D63ECC" w:rsidRDefault="00FF5AF1">
      <w:pPr>
        <w:spacing w:line="480" w:lineRule="auto"/>
        <w:ind w:left="720" w:hanging="720"/>
      </w:pPr>
      <w:bookmarkStart w:id="3" w:name="_Toc450767111"/>
      <w:r>
        <w:rPr>
          <w:b/>
        </w:rPr>
        <w:t>Q.</w:t>
      </w:r>
      <w:r>
        <w:rPr>
          <w:b/>
        </w:rPr>
        <w:tab/>
        <w:t>Does Staff’s updated analysis take into account all of the information that the Company knew as of December 2013?</w:t>
      </w:r>
    </w:p>
    <w:p w:rsidR="00D63ECC" w:rsidRDefault="00FF5AF1">
      <w:pPr>
        <w:spacing w:line="480" w:lineRule="auto"/>
        <w:ind w:left="720" w:hanging="720"/>
      </w:pPr>
      <w:r>
        <w:t>A.</w:t>
      </w:r>
      <w:r>
        <w:tab/>
        <w:t xml:space="preserve">No.  As I described above, Staff’s supplemental testimony ignores much of the evidence in this case demonstrating the prudence of the Jim Bridger SCRs.  Among these facts is the increase in SCR benefits associated with the </w:t>
      </w:r>
      <w:r w:rsidR="00B50BBC" w:rsidRPr="005D5EFB">
        <w:rPr>
          <w:highlight w:val="black"/>
        </w:rPr>
        <w:t>-</w:t>
      </w:r>
      <w:r w:rsidR="00B50BBC">
        <w:rPr>
          <w:highlight w:val="black"/>
        </w:rPr>
        <w:t>------------</w:t>
      </w:r>
      <w:r>
        <w:t xml:space="preserve"> reduction in EPC contract costs known at the time.  </w:t>
      </w:r>
    </w:p>
    <w:p w:rsidR="00D63ECC" w:rsidRDefault="00FF5AF1">
      <w:pPr>
        <w:pStyle w:val="Heading1"/>
        <w:rPr>
          <w:szCs w:val="20"/>
        </w:rPr>
      </w:pPr>
      <w:bookmarkStart w:id="4" w:name="_Toc450767112"/>
      <w:bookmarkEnd w:id="3"/>
      <w:r>
        <w:t>POST-FNTP CANCELLATION</w:t>
      </w:r>
      <w:bookmarkEnd w:id="4"/>
    </w:p>
    <w:p w:rsidR="00D63ECC" w:rsidRDefault="00FF5AF1">
      <w:pPr>
        <w:spacing w:line="480" w:lineRule="auto"/>
        <w:ind w:left="720" w:hanging="720"/>
        <w:rPr>
          <w:b/>
        </w:rPr>
      </w:pPr>
      <w:r>
        <w:rPr>
          <w:b/>
        </w:rPr>
        <w:t>Q.</w:t>
      </w:r>
      <w:r>
        <w:rPr>
          <w:b/>
        </w:rPr>
        <w:tab/>
        <w:t>Staff contends that the Company could have reversed its decision to issue the FNTP and pursued natural gas conversion in January 2014 by simply paying a termination fee under the EPC contract.  Is this correct?</w:t>
      </w:r>
    </w:p>
    <w:p w:rsidR="00D63ECC" w:rsidRDefault="00FF5AF1">
      <w:pPr>
        <w:spacing w:line="480" w:lineRule="auto"/>
        <w:ind w:left="720" w:hanging="720"/>
      </w:pPr>
      <w:r>
        <w:t>A.</w:t>
      </w:r>
      <w:r>
        <w:tab/>
        <w:t>No.  Cancelling a major environmental compliance project mid-stream is much more than just a paper exercise, as those objecting to the Jim Bridger SCRs would lead the Commission to believe.  As described in my rebuttal testimony, prudent management of a complex multi-year, multi-jurisdictional project like the Jim Bridger SCRs included parallel path environmental agency permitting, regulatory reviews</w:t>
      </w:r>
      <w:r w:rsidR="00A72577">
        <w:t>,</w:t>
      </w:r>
      <w:r>
        <w:t xml:space="preserve"> and major commercial negotiations.  If the Company changed course in January 2014 with less than two years before the initial compliance deadline at Jim Bridger Unit 3, the costs and risks of natural gas conversion would have been higher than </w:t>
      </w:r>
      <w:r w:rsidR="00A72577">
        <w:t xml:space="preserve">was </w:t>
      </w:r>
      <w:r>
        <w:t xml:space="preserve">projected in the SCR analysis, which assumed normal permitting and construction timelines.  For these reasons, cancelling the SCRs in January 2014 would have been imprudent absent an undisputable reversal of project economics, new or changed </w:t>
      </w:r>
      <w:r>
        <w:lastRenderedPageBreak/>
        <w:t>environmental compliance requirements, changes to legislative policies impacting the resource for all customers, or similar major events.</w:t>
      </w:r>
      <w:r w:rsidR="005305F9">
        <w:t xml:space="preserve">  None of those things occurred.</w:t>
      </w:r>
    </w:p>
    <w:p w:rsidR="00D63ECC" w:rsidRDefault="00FF5AF1">
      <w:pPr>
        <w:spacing w:line="480" w:lineRule="auto"/>
        <w:ind w:left="720" w:hanging="720"/>
      </w:pPr>
      <w:r>
        <w:rPr>
          <w:b/>
        </w:rPr>
        <w:t>Q.</w:t>
      </w:r>
      <w:r>
        <w:rPr>
          <w:b/>
        </w:rPr>
        <w:tab/>
        <w:t>Please explain why the costs of natural gas conversion would have been higher than assumed in the Company’s SCR analysis if the Company cancelled the EPC contract on January 1, 2014.</w:t>
      </w:r>
    </w:p>
    <w:p w:rsidR="00D63ECC" w:rsidRDefault="00FF5AF1">
      <w:pPr>
        <w:spacing w:line="480" w:lineRule="auto"/>
        <w:ind w:left="720" w:hanging="720"/>
      </w:pPr>
      <w:r>
        <w:t>A.</w:t>
      </w:r>
      <w:r>
        <w:tab/>
        <w:t>Staff suggests that the only cost increase and impact as</w:t>
      </w:r>
      <w:r w:rsidR="00A72577">
        <w:t>sociated with a January 1, 2014</w:t>
      </w:r>
      <w:r>
        <w:t xml:space="preserve"> cancellation of the EPC contract is the termination fee (which was </w:t>
      </w:r>
      <w:r w:rsidR="00B50BBC" w:rsidRPr="005D5EFB">
        <w:rPr>
          <w:highlight w:val="black"/>
        </w:rPr>
        <w:t>-</w:t>
      </w:r>
      <w:r w:rsidR="00B50BBC">
        <w:rPr>
          <w:highlight w:val="black"/>
        </w:rPr>
        <w:t>----------</w:t>
      </w:r>
      <w:r w:rsidR="00B50BBC" w:rsidRPr="005D5EFB">
        <w:rPr>
          <w:highlight w:val="black"/>
        </w:rPr>
        <w:t>---</w:t>
      </w:r>
      <w:r>
        <w:t>more than the termination fee associated with not issuing the FNTP in December 2013),</w:t>
      </w:r>
      <w:r>
        <w:rPr>
          <w:rStyle w:val="FootnoteReference"/>
        </w:rPr>
        <w:footnoteReference w:id="1"/>
      </w:r>
      <w:r>
        <w:t xml:space="preserve"> but this would have been only one part of the impact.  </w:t>
      </w:r>
    </w:p>
    <w:p w:rsidR="00D63ECC" w:rsidRDefault="00FF5AF1">
      <w:pPr>
        <w:spacing w:line="480" w:lineRule="auto"/>
        <w:ind w:left="720" w:firstLine="720"/>
      </w:pPr>
      <w:r>
        <w:t xml:space="preserve">The natural gas conversion costs included in the SCR analysis assumed normal project permitting, review, and construction schedules, which would have </w:t>
      </w:r>
      <w:r w:rsidR="005305F9">
        <w:t>begun</w:t>
      </w:r>
      <w:r>
        <w:t xml:space="preserve"> in 2012 and would have resulted in in-service dates for the natural gas conversions shortly after the prescribed compliance deadlines for the units and before the 2016 and 2017 peak capacity seasons, respectively.  But if the Company chose to pursue </w:t>
      </w:r>
      <w:r w:rsidR="005305F9">
        <w:t xml:space="preserve">natural </w:t>
      </w:r>
      <w:r>
        <w:t xml:space="preserve">gas conversion on January 1, 2014, as Staff suggests, the permitting, procurement, and construction schedules for the </w:t>
      </w:r>
      <w:r w:rsidR="005305F9">
        <w:t xml:space="preserve">natural </w:t>
      </w:r>
      <w:r>
        <w:t xml:space="preserve">gas conversion projects would </w:t>
      </w:r>
      <w:r w:rsidR="00C20CFE">
        <w:t>have required</w:t>
      </w:r>
      <w:r>
        <w:t xml:space="preserve"> significant compression to attempt completion of the projects before the 2016 and 2017 summer peak capacity seasons, if that </w:t>
      </w:r>
      <w:r w:rsidR="00C20CFE">
        <w:t xml:space="preserve">were </w:t>
      </w:r>
      <w:r>
        <w:t xml:space="preserve">possible at all.  Before beginning construction, the Company would </w:t>
      </w:r>
      <w:r w:rsidR="00C20CFE">
        <w:t xml:space="preserve">have </w:t>
      </w:r>
      <w:r>
        <w:t>need</w:t>
      </w:r>
      <w:r w:rsidR="00C20CFE">
        <w:t>ed</w:t>
      </w:r>
      <w:r>
        <w:t xml:space="preserve"> to secure necessary permits and environmental agency approvals, rescind and resubmit necessary regulatory filings including those affecting a CPCN from the Wyoming commission, and procure and execute a new EPC contract.  Ba</w:t>
      </w:r>
      <w:r w:rsidR="00C20CFE">
        <w:t xml:space="preserve">sed </w:t>
      </w:r>
      <w:r>
        <w:t xml:space="preserve">on the Company’s experience with Regional Haze permit and state implementation plan amendments in the state of </w:t>
      </w:r>
      <w:r>
        <w:lastRenderedPageBreak/>
        <w:t>Wyoming, this proce</w:t>
      </w:r>
      <w:r w:rsidR="00C20CFE">
        <w:t xml:space="preserve">ss could have conservatively taken 24 </w:t>
      </w:r>
      <w:r>
        <w:t xml:space="preserve">months to complete for conversion of Jim Bridger Units 3 and 4.  Applying this timeframe to a decision in January 2014, the Company would </w:t>
      </w:r>
      <w:r w:rsidR="00C20CFE">
        <w:t>have been</w:t>
      </w:r>
      <w:r>
        <w:t xml:space="preserve"> approved to proceed </w:t>
      </w:r>
      <w:r w:rsidR="00C20CFE">
        <w:t xml:space="preserve">by </w:t>
      </w:r>
      <w:r>
        <w:t xml:space="preserve">year-end 2015, leaving an impracticable six months to implement the Jim Bridger Unit 3 project before the 2016 summer peak season.  Such a timeline would necessarily increase the analyzed costs of the gas conversion scenario, either because the project would need to be expedited or because the unit would need to be shuttered for noncompliance pending completion of the retrofit, or both. </w:t>
      </w:r>
      <w:r w:rsidR="00C20CFE">
        <w:t xml:space="preserve"> </w:t>
      </w:r>
      <w:r>
        <w:t>See Exhibit CAT-</w:t>
      </w:r>
      <w:r w:rsidR="00C20CFE">
        <w:t>41</w:t>
      </w:r>
      <w:r>
        <w:t xml:space="preserve"> for a representative timeline of </w:t>
      </w:r>
      <w:r w:rsidR="00204E75">
        <w:t>the activities required to convert Bridger Units 3 and 4 to natural gas under this hypothetical.</w:t>
      </w:r>
    </w:p>
    <w:p w:rsidR="00D63ECC" w:rsidRDefault="00FF5AF1">
      <w:pPr>
        <w:spacing w:line="480" w:lineRule="auto"/>
        <w:ind w:left="720" w:firstLine="720"/>
      </w:pPr>
      <w:r>
        <w:t>In addition, by January 2014</w:t>
      </w:r>
      <w:r w:rsidR="00204E75">
        <w:t>, based on information from the competitive market bids</w:t>
      </w:r>
      <w:r>
        <w:t xml:space="preserve"> for the Naughton Unit 3 natu</w:t>
      </w:r>
      <w:r w:rsidR="00204E75">
        <w:t xml:space="preserve">ral gas conversion EPC contract, the Company knew </w:t>
      </w:r>
      <w:r>
        <w:t xml:space="preserve">that implementation costs for that project were significantly </w:t>
      </w:r>
      <w:r w:rsidR="005305F9">
        <w:t>higher—</w:t>
      </w:r>
      <w:r>
        <w:t>on</w:t>
      </w:r>
      <w:r w:rsidR="005305F9">
        <w:t xml:space="preserve"> </w:t>
      </w:r>
      <w:r>
        <w:t xml:space="preserve">an order of magnitude of </w:t>
      </w:r>
      <w:r w:rsidR="00B50BBC" w:rsidRPr="005D5EFB">
        <w:rPr>
          <w:highlight w:val="black"/>
        </w:rPr>
        <w:t>-</w:t>
      </w:r>
      <w:r w:rsidR="00B50BBC">
        <w:rPr>
          <w:highlight w:val="black"/>
        </w:rPr>
        <w:t>------------</w:t>
      </w:r>
      <w:r w:rsidR="005305F9">
        <w:t xml:space="preserve">—than </w:t>
      </w:r>
      <w:r>
        <w:t xml:space="preserve">originally anticipated. </w:t>
      </w:r>
      <w:r w:rsidR="00C20CFE">
        <w:t xml:space="preserve"> </w:t>
      </w:r>
      <w:r>
        <w:t>Correlating that information to a</w:t>
      </w:r>
      <w:r w:rsidR="00204E75">
        <w:t>n assessmen</w:t>
      </w:r>
      <w:r w:rsidR="005305F9">
        <w:t>t of natural gas conversion for</w:t>
      </w:r>
      <w:r>
        <w:t xml:space="preserve"> </w:t>
      </w:r>
      <w:r w:rsidR="00204E75">
        <w:t>Jim Bridger Units 3 and 4 in January 2014, the Company would have understood that its original cost projections for this alternative were understated.  This would have negatively impacted the competitiveness of the natural gas conversion alternative in the Company’s assessment and associated decision-making.</w:t>
      </w:r>
    </w:p>
    <w:p w:rsidR="00D63ECC" w:rsidRDefault="00FF5AF1">
      <w:pPr>
        <w:spacing w:line="480" w:lineRule="auto"/>
        <w:ind w:left="720" w:hanging="720"/>
      </w:pPr>
      <w:r>
        <w:rPr>
          <w:b/>
        </w:rPr>
        <w:t>Q.</w:t>
      </w:r>
      <w:r>
        <w:rPr>
          <w:b/>
        </w:rPr>
        <w:tab/>
        <w:t>Are there any other factors that the Company</w:t>
      </w:r>
      <w:r w:rsidR="005305F9">
        <w:rPr>
          <w:b/>
        </w:rPr>
        <w:t xml:space="preserve"> would have considered</w:t>
      </w:r>
      <w:r>
        <w:rPr>
          <w:b/>
        </w:rPr>
        <w:t xml:space="preserve"> if conditions had dictated terminating the EPC contract?</w:t>
      </w:r>
    </w:p>
    <w:p w:rsidR="00D63ECC" w:rsidRDefault="00FF5AF1">
      <w:pPr>
        <w:spacing w:line="480" w:lineRule="auto"/>
        <w:ind w:left="720" w:hanging="720"/>
      </w:pPr>
      <w:r>
        <w:t>A.</w:t>
      </w:r>
      <w:r>
        <w:tab/>
        <w:t xml:space="preserve">Yes.  Jim Bridger provides low-cost, base load generation to serve Washington customers, and it is the backbone of the Company’s generating plants included in the </w:t>
      </w:r>
      <w:r>
        <w:lastRenderedPageBreak/>
        <w:t>west control area.  Mr. Link’s direct testimony indicated that the SCR analysis produced substantially greater benefits for Washington customers if the analysis was conducted on a west control area basis.</w:t>
      </w:r>
      <w:r>
        <w:rPr>
          <w:rStyle w:val="FootnoteReference"/>
        </w:rPr>
        <w:footnoteReference w:id="2"/>
      </w:r>
      <w:r>
        <w:t xml:space="preserve">  Although the Company did not rely </w:t>
      </w:r>
      <w:r w:rsidR="005305F9">
        <w:t xml:space="preserve">on </w:t>
      </w:r>
      <w:r>
        <w:t xml:space="preserve">a west control area analysis in its decision-making, this analysis provides quantitative and qualitative evidence that the Jim Bridger SCRs are in the best interests of Washington customers and that </w:t>
      </w:r>
      <w:r w:rsidR="00204E75">
        <w:t xml:space="preserve">a different compliance decision would </w:t>
      </w:r>
      <w:r>
        <w:t>have an amplified negative affect on those customers.</w:t>
      </w:r>
    </w:p>
    <w:p w:rsidR="00D63ECC" w:rsidRDefault="00FF5AF1">
      <w:pPr>
        <w:pStyle w:val="Heading1"/>
      </w:pPr>
      <w:r>
        <w:t>PROPOSAL FOR FUTURE PRE-INVESTMENT REVIEW</w:t>
      </w:r>
    </w:p>
    <w:p w:rsidR="00D63ECC" w:rsidRDefault="00FF5AF1">
      <w:pPr>
        <w:widowControl w:val="0"/>
        <w:spacing w:line="480" w:lineRule="auto"/>
        <w:ind w:left="720" w:hanging="720"/>
        <w:rPr>
          <w:b/>
        </w:rPr>
      </w:pPr>
      <w:r>
        <w:rPr>
          <w:b/>
        </w:rPr>
        <w:t>Q.</w:t>
      </w:r>
      <w:r>
        <w:rPr>
          <w:b/>
        </w:rPr>
        <w:tab/>
        <w:t xml:space="preserve">Does the Company have a proposal to avoid this kind of litigation over the prudence of future environmental compliance investments in coal plants in the west control area? </w:t>
      </w:r>
    </w:p>
    <w:p w:rsidR="00D63ECC" w:rsidRDefault="00FF5AF1">
      <w:pPr>
        <w:widowControl w:val="0"/>
        <w:spacing w:line="480" w:lineRule="auto"/>
        <w:ind w:left="720" w:hanging="720"/>
      </w:pPr>
      <w:r>
        <w:t>A.</w:t>
      </w:r>
      <w:r>
        <w:tab/>
        <w:t xml:space="preserve">Yes.  To avoid future controversies in Washington regarding major compliance investments in coal plants in the west control area (including Jim Bridger Units 1 and 2), the Company proposes to bring any such decision to the Commission before the investment is made, allowing the Commission an opportunity to review the investment.  Through such a process, the Commission can ensure that future environmental compliance investments in coal plants are economically viable for Washington customers before the Company makes final investment decisions.      </w:t>
      </w:r>
    </w:p>
    <w:p w:rsidR="00D63ECC" w:rsidRDefault="00FF5AF1">
      <w:pPr>
        <w:spacing w:line="480" w:lineRule="auto"/>
        <w:ind w:left="720" w:hanging="720"/>
        <w:rPr>
          <w:b/>
        </w:rPr>
      </w:pPr>
      <w:r>
        <w:rPr>
          <w:b/>
        </w:rPr>
        <w:t>Q.</w:t>
      </w:r>
      <w:r>
        <w:rPr>
          <w:b/>
        </w:rPr>
        <w:tab/>
        <w:t xml:space="preserve">Has the Commission indicated an openness to engaging with utilities earlier in decision-making processes for coal-related investments? </w:t>
      </w:r>
    </w:p>
    <w:p w:rsidR="00D63ECC" w:rsidRDefault="00FF5AF1">
      <w:pPr>
        <w:spacing w:line="480" w:lineRule="auto"/>
        <w:ind w:left="720" w:hanging="720"/>
      </w:pPr>
      <w:r>
        <w:t>A.</w:t>
      </w:r>
      <w:r>
        <w:tab/>
        <w:t xml:space="preserve">Yes.  I understand that when acknowledging Puget Sound Energy’s (PSE) 2013 IRP in 2014, the Commission noted that it has historically used post-investment prudence </w:t>
      </w:r>
      <w:r>
        <w:lastRenderedPageBreak/>
        <w:t>reviews “to protect ratepayers from excessively risky investment.”</w:t>
      </w:r>
      <w:r>
        <w:rPr>
          <w:rStyle w:val="FootnoteReference"/>
        </w:rPr>
        <w:footnoteReference w:id="3"/>
      </w:r>
      <w:r>
        <w:t xml:space="preserve">  The Commission observed, however, that reliance on that regulatory mechanism would not necessarily serve the public inte</w:t>
      </w:r>
      <w:r w:rsidR="005305F9">
        <w:t>rest for coal-</w:t>
      </w:r>
      <w:r>
        <w:t>plant-related investments.</w:t>
      </w:r>
      <w:r>
        <w:rPr>
          <w:rStyle w:val="FootnoteReference"/>
        </w:rPr>
        <w:footnoteReference w:id="4"/>
      </w:r>
      <w:r>
        <w:t xml:space="preserve">  Thus, the Commission suggested that PSE work with Staff to consider a pre-approval process to determine the prudence of future coal plant investments.</w:t>
      </w:r>
      <w:r>
        <w:rPr>
          <w:rStyle w:val="FootnoteReference"/>
        </w:rPr>
        <w:footnoteReference w:id="5"/>
      </w:r>
      <w:r>
        <w:t xml:space="preserve">  The Company would support a similar approach if the Commission believes it would be helpful in evaluating future decisions for coal-related investments in the west control area.</w:t>
      </w:r>
    </w:p>
    <w:p w:rsidR="00D63ECC" w:rsidRDefault="00FF5AF1">
      <w:pPr>
        <w:tabs>
          <w:tab w:val="left" w:pos="720"/>
        </w:tabs>
        <w:spacing w:line="480" w:lineRule="auto"/>
        <w:ind w:left="720" w:hanging="720"/>
        <w:rPr>
          <w:b/>
        </w:rPr>
      </w:pPr>
      <w:r>
        <w:rPr>
          <w:b/>
        </w:rPr>
        <w:t>Q.</w:t>
      </w:r>
      <w:r>
        <w:rPr>
          <w:b/>
        </w:rPr>
        <w:tab/>
        <w:t>Does this conclude your supplemental rebuttal testimony?</w:t>
      </w:r>
    </w:p>
    <w:p w:rsidR="00D63ECC" w:rsidRDefault="00FF5AF1">
      <w:pPr>
        <w:spacing w:line="480" w:lineRule="auto"/>
        <w:ind w:left="720" w:hanging="720"/>
      </w:pPr>
      <w:r>
        <w:t>A.</w:t>
      </w:r>
      <w:r>
        <w:tab/>
        <w:t>Yes.</w:t>
      </w:r>
    </w:p>
    <w:sectPr w:rsidR="00D63ECC">
      <w:headerReference w:type="default" r:id="rId9"/>
      <w:footerReference w:type="default" r:id="rId10"/>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AD9" w:rsidRDefault="00EC3AD9">
      <w:r>
        <w:separator/>
      </w:r>
    </w:p>
  </w:endnote>
  <w:endnote w:type="continuationSeparator" w:id="0">
    <w:p w:rsidR="00EC3AD9" w:rsidRDefault="00EC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CC" w:rsidRDefault="005D5EFB">
    <w:pPr>
      <w:pStyle w:val="Footer"/>
      <w:tabs>
        <w:tab w:val="clear" w:pos="8640"/>
        <w:tab w:val="right" w:pos="9000"/>
      </w:tabs>
    </w:pPr>
    <w:r>
      <w:t>Redacted</w:t>
    </w:r>
    <w:r w:rsidR="005F0EA1">
      <w:t xml:space="preserve"> </w:t>
    </w:r>
    <w:r w:rsidR="00FF5AF1">
      <w:t>Supplemental Rebuttal Testimony of Chad A. Teply</w:t>
    </w:r>
    <w:r w:rsidR="00FF5AF1">
      <w:tab/>
      <w:t>Exhibit No. CAT-40CT</w:t>
    </w:r>
  </w:p>
  <w:p w:rsidR="00D63ECC" w:rsidRDefault="00FF5AF1">
    <w:pPr>
      <w:pStyle w:val="Footer"/>
      <w:jc w:val="right"/>
    </w:pPr>
    <w:r>
      <w:t xml:space="preserve">Page </w:t>
    </w:r>
    <w:r>
      <w:fldChar w:fldCharType="begin"/>
    </w:r>
    <w:r>
      <w:instrText xml:space="preserve"> PAGE   \* MERGEFORMAT </w:instrText>
    </w:r>
    <w:r>
      <w:fldChar w:fldCharType="separate"/>
    </w:r>
    <w:r w:rsidR="002C7B03">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CC" w:rsidRDefault="005D5EFB">
    <w:pPr>
      <w:pStyle w:val="Footer"/>
      <w:tabs>
        <w:tab w:val="clear" w:pos="8640"/>
        <w:tab w:val="right" w:pos="9000"/>
      </w:tabs>
    </w:pPr>
    <w:r>
      <w:t>Redacted</w:t>
    </w:r>
    <w:r w:rsidR="005F0EA1">
      <w:t xml:space="preserve"> </w:t>
    </w:r>
    <w:r w:rsidR="00FF5AF1">
      <w:t>Supplemental Rebuttal Testimony of Chad A. Teply</w:t>
    </w:r>
    <w:r w:rsidR="00FF5AF1">
      <w:tab/>
      <w:t>Exhibit No. CAT-40CT</w:t>
    </w:r>
  </w:p>
  <w:p w:rsidR="00D63ECC" w:rsidRDefault="00FF5AF1">
    <w:pPr>
      <w:pStyle w:val="Footer"/>
      <w:jc w:val="right"/>
    </w:pPr>
    <w:r>
      <w:t xml:space="preserve">Page </w:t>
    </w:r>
    <w:r>
      <w:fldChar w:fldCharType="begin"/>
    </w:r>
    <w:r>
      <w:instrText xml:space="preserve"> PAGE   \* MERGEFORMAT </w:instrText>
    </w:r>
    <w:r>
      <w:fldChar w:fldCharType="separate"/>
    </w:r>
    <w:r w:rsidR="002C7B03">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AD9" w:rsidRDefault="00EC3AD9">
      <w:r>
        <w:separator/>
      </w:r>
    </w:p>
  </w:footnote>
  <w:footnote w:type="continuationSeparator" w:id="0">
    <w:p w:rsidR="00EC3AD9" w:rsidRDefault="00EC3AD9">
      <w:r>
        <w:continuationSeparator/>
      </w:r>
    </w:p>
  </w:footnote>
  <w:footnote w:id="1">
    <w:p w:rsidR="00D63ECC" w:rsidRDefault="00FF5AF1">
      <w:pPr>
        <w:pStyle w:val="FootnoteText"/>
      </w:pPr>
      <w:r>
        <w:rPr>
          <w:rStyle w:val="FootnoteReference"/>
        </w:rPr>
        <w:footnoteRef/>
      </w:r>
      <w:r>
        <w:t xml:space="preserve"> Twitchell, Exh. No. JBT-28HCT 30:1-14.</w:t>
      </w:r>
    </w:p>
  </w:footnote>
  <w:footnote w:id="2">
    <w:p w:rsidR="00D63ECC" w:rsidRDefault="00FF5AF1">
      <w:pPr>
        <w:pStyle w:val="FootnoteText"/>
      </w:pPr>
      <w:r>
        <w:rPr>
          <w:rStyle w:val="FootnoteReference"/>
        </w:rPr>
        <w:footnoteRef/>
      </w:r>
      <w:r>
        <w:t xml:space="preserve"> Link, Exh. No. RLT-1CT 14:9 – 18:2.</w:t>
      </w:r>
    </w:p>
  </w:footnote>
  <w:footnote w:id="3">
    <w:p w:rsidR="00D63ECC" w:rsidRDefault="00FF5AF1">
      <w:pPr>
        <w:pStyle w:val="FootnoteText"/>
      </w:pPr>
      <w:r>
        <w:rPr>
          <w:rStyle w:val="FootnoteReference"/>
        </w:rPr>
        <w:footnoteRef/>
      </w:r>
      <w:r>
        <w:t xml:space="preserve"> </w:t>
      </w:r>
      <w:r>
        <w:rPr>
          <w:i/>
        </w:rPr>
        <w:t>Puget Sound Energy’s 2013 Electric and Natural Gas Integrated Resource Plan</w:t>
      </w:r>
      <w:r>
        <w:t>, Dockets UE-120767 &amp; UG-120768, Acknowledgment Letter, Attachment B at 14-15 (Feb. 6, 2014).</w:t>
      </w:r>
    </w:p>
  </w:footnote>
  <w:footnote w:id="4">
    <w:p w:rsidR="00D63ECC" w:rsidRDefault="00FF5AF1">
      <w:pPr>
        <w:pStyle w:val="FootnoteText"/>
        <w:rPr>
          <w:i/>
        </w:rPr>
      </w:pPr>
      <w:r>
        <w:rPr>
          <w:rStyle w:val="FootnoteReference"/>
        </w:rPr>
        <w:footnoteRef/>
      </w:r>
      <w:r>
        <w:t xml:space="preserve"> </w:t>
      </w:r>
      <w:r>
        <w:rPr>
          <w:i/>
        </w:rPr>
        <w:t>Id.</w:t>
      </w:r>
    </w:p>
  </w:footnote>
  <w:footnote w:id="5">
    <w:p w:rsidR="00D63ECC" w:rsidRDefault="00FF5AF1">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CC" w:rsidRDefault="00D63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0A6D"/>
    <w:multiLevelType w:val="hybridMultilevel"/>
    <w:tmpl w:val="75300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A57EC0"/>
    <w:multiLevelType w:val="hybridMultilevel"/>
    <w:tmpl w:val="E5CEC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C0F99"/>
    <w:multiLevelType w:val="hybridMultilevel"/>
    <w:tmpl w:val="2C9820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657370"/>
    <w:multiLevelType w:val="hybridMultilevel"/>
    <w:tmpl w:val="B92ECDF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2672440"/>
    <w:multiLevelType w:val="hybridMultilevel"/>
    <w:tmpl w:val="CE2C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B7E84"/>
    <w:multiLevelType w:val="hybridMultilevel"/>
    <w:tmpl w:val="DA906F8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D9E6918"/>
    <w:multiLevelType w:val="hybridMultilevel"/>
    <w:tmpl w:val="F8AA4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B40E09"/>
    <w:multiLevelType w:val="hybridMultilevel"/>
    <w:tmpl w:val="24D09E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3D02D52"/>
    <w:multiLevelType w:val="hybridMultilevel"/>
    <w:tmpl w:val="FE7C8E8A"/>
    <w:lvl w:ilvl="0" w:tplc="B7B297BC">
      <w:start w:val="1"/>
      <w:numFmt w:val="decimal"/>
      <w:lvlText w:val="%1)"/>
      <w:lvlJc w:val="left"/>
      <w:pPr>
        <w:ind w:left="2160" w:hanging="360"/>
      </w:pPr>
      <w:rPr>
        <w:rFonts w:ascii="Times New Roman" w:eastAsia="SimSu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A175D71"/>
    <w:multiLevelType w:val="hybridMultilevel"/>
    <w:tmpl w:val="646278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65990"/>
    <w:multiLevelType w:val="hybridMultilevel"/>
    <w:tmpl w:val="86782B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70591"/>
    <w:multiLevelType w:val="hybridMultilevel"/>
    <w:tmpl w:val="7DF6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655B9"/>
    <w:multiLevelType w:val="hybridMultilevel"/>
    <w:tmpl w:val="AE601CD2"/>
    <w:lvl w:ilvl="0" w:tplc="1C2C42A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8683505"/>
    <w:multiLevelType w:val="hybridMultilevel"/>
    <w:tmpl w:val="5D560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81002"/>
    <w:multiLevelType w:val="hybridMultilevel"/>
    <w:tmpl w:val="C50020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52881"/>
    <w:multiLevelType w:val="hybridMultilevel"/>
    <w:tmpl w:val="429C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A1C48"/>
    <w:multiLevelType w:val="hybridMultilevel"/>
    <w:tmpl w:val="6714F2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3071385"/>
    <w:multiLevelType w:val="hybridMultilevel"/>
    <w:tmpl w:val="C8A28FAC"/>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F00C4"/>
    <w:multiLevelType w:val="hybridMultilevel"/>
    <w:tmpl w:val="36EC69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733639"/>
    <w:multiLevelType w:val="hybridMultilevel"/>
    <w:tmpl w:val="E46C856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574E6"/>
    <w:multiLevelType w:val="multilevel"/>
    <w:tmpl w:val="55422D6C"/>
    <w:name w:val="zzmpPBLPara2||PBL Para 2|2|3|1|1|2|32||1|0|0||1|0|0||1|0|0||1|0|0||1|0|0||1|0|0||1|0|0||mpNA||"/>
    <w:lvl w:ilvl="0">
      <w:start w:val="1"/>
      <w:numFmt w:val="decimal"/>
      <w:lvlRestart w:val="0"/>
      <w:pStyle w:val="PBLPara2L1"/>
      <w:lvlText w:val="UIEC REQUEST 1-%1:"/>
      <w:lvlJc w:val="left"/>
      <w:pPr>
        <w:tabs>
          <w:tab w:val="num" w:pos="4130"/>
        </w:tabs>
        <w:ind w:left="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pStyle w:val="PBLPara2L2"/>
      <w:lvlText w:val="(%2)"/>
      <w:lvlJc w:val="left"/>
      <w:pPr>
        <w:tabs>
          <w:tab w:val="num" w:pos="2250"/>
        </w:tabs>
        <w:ind w:left="90" w:firstLine="1440"/>
      </w:pPr>
      <w:rPr>
        <w:rFonts w:ascii="Times New Roman" w:hAnsi="Times New Roman" w:cs="Times New Roman"/>
        <w:b w:val="0"/>
        <w:i w:val="0"/>
        <w:caps w:val="0"/>
        <w:color w:val="auto"/>
        <w:u w:val="none"/>
      </w:rPr>
    </w:lvl>
    <w:lvl w:ilvl="2">
      <w:start w:val="1"/>
      <w:numFmt w:val="lowerRoman"/>
      <w:pStyle w:val="PBLPara2L3"/>
      <w:lvlText w:val="(%3)"/>
      <w:lvlJc w:val="left"/>
      <w:pPr>
        <w:tabs>
          <w:tab w:val="num" w:pos="2880"/>
        </w:tabs>
        <w:ind w:left="0" w:firstLine="2160"/>
      </w:pPr>
      <w:rPr>
        <w:rFonts w:ascii="Times New Roman" w:hAnsi="Times New Roman" w:cs="Times New Roman"/>
        <w:b w:val="0"/>
        <w:i w:val="0"/>
        <w:caps w:val="0"/>
        <w:color w:val="auto"/>
        <w:u w:val="none"/>
      </w:rPr>
    </w:lvl>
    <w:lvl w:ilvl="3">
      <w:start w:val="1"/>
      <w:numFmt w:val="upperLetter"/>
      <w:pStyle w:val="PBLPara2L4"/>
      <w:lvlText w:val="(%4)"/>
      <w:lvlJc w:val="left"/>
      <w:pPr>
        <w:tabs>
          <w:tab w:val="num" w:pos="3600"/>
        </w:tabs>
        <w:ind w:left="0" w:firstLine="2880"/>
      </w:pPr>
      <w:rPr>
        <w:rFonts w:ascii="Times New Roman" w:hAnsi="Times New Roman" w:cs="Times New Roman"/>
        <w:b w:val="0"/>
        <w:i w:val="0"/>
        <w:caps w:val="0"/>
        <w:color w:val="auto"/>
        <w:u w:val="none"/>
      </w:rPr>
    </w:lvl>
    <w:lvl w:ilvl="4">
      <w:start w:val="1"/>
      <w:numFmt w:val="decimal"/>
      <w:pStyle w:val="PBLPara2L5"/>
      <w:lvlText w:val="(%5)"/>
      <w:lvlJc w:val="left"/>
      <w:pPr>
        <w:tabs>
          <w:tab w:val="num" w:pos="4320"/>
        </w:tabs>
        <w:ind w:left="0" w:firstLine="3600"/>
      </w:pPr>
      <w:rPr>
        <w:rFonts w:ascii="Times New Roman" w:hAnsi="Times New Roman" w:cs="Times New Roman"/>
        <w:b w:val="0"/>
        <w:i w:val="0"/>
        <w:caps w:val="0"/>
        <w:color w:val="auto"/>
        <w:u w:val="none"/>
      </w:rPr>
    </w:lvl>
    <w:lvl w:ilvl="5">
      <w:start w:val="1"/>
      <w:numFmt w:val="lowerLetter"/>
      <w:pStyle w:val="PBLPara2L6"/>
      <w:lvlText w:val="%6."/>
      <w:lvlJc w:val="left"/>
      <w:pPr>
        <w:tabs>
          <w:tab w:val="num" w:pos="5040"/>
        </w:tabs>
        <w:ind w:left="0" w:firstLine="4320"/>
      </w:pPr>
      <w:rPr>
        <w:rFonts w:ascii="Times New Roman" w:hAnsi="Times New Roman" w:cs="Times New Roman"/>
        <w:b w:val="0"/>
        <w:i w:val="0"/>
        <w:caps w:val="0"/>
        <w:color w:val="auto"/>
        <w:u w:val="none"/>
      </w:rPr>
    </w:lvl>
    <w:lvl w:ilvl="6">
      <w:start w:val="1"/>
      <w:numFmt w:val="lowerRoman"/>
      <w:pStyle w:val="PBLPara2L7"/>
      <w:lvlText w:val="%7."/>
      <w:lvlJc w:val="left"/>
      <w:pPr>
        <w:tabs>
          <w:tab w:val="num" w:pos="5760"/>
        </w:tabs>
        <w:ind w:left="0" w:firstLine="5040"/>
      </w:pPr>
      <w:rPr>
        <w:rFonts w:ascii="Times New Roman" w:hAnsi="Times New Roman" w:cs="Times New Roman"/>
        <w:b w:val="0"/>
        <w:i w:val="0"/>
        <w:caps w:val="0"/>
        <w:color w:val="auto"/>
        <w:u w:val="none"/>
      </w:rPr>
    </w:lvl>
    <w:lvl w:ilvl="7">
      <w:start w:val="1"/>
      <w:numFmt w:val="upperLetter"/>
      <w:pStyle w:val="PBLPara2L8"/>
      <w:lvlText w:val="%8."/>
      <w:lvlJc w:val="left"/>
      <w:pPr>
        <w:tabs>
          <w:tab w:val="num" w:pos="6480"/>
        </w:tabs>
        <w:ind w:left="0" w:firstLine="5760"/>
      </w:pPr>
      <w:rPr>
        <w:rFonts w:ascii="Times New Roman" w:hAnsi="Times New Roman" w:cs="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cs="Times New Roman"/>
        <w:b w:val="0"/>
        <w:i w:val="0"/>
        <w:caps w:val="0"/>
        <w:color w:val="auto"/>
        <w:u w:val="none"/>
      </w:rPr>
    </w:lvl>
  </w:abstractNum>
  <w:abstractNum w:abstractNumId="21" w15:restartNumberingAfterBreak="0">
    <w:nsid w:val="529F57FD"/>
    <w:multiLevelType w:val="hybridMultilevel"/>
    <w:tmpl w:val="222440D0"/>
    <w:lvl w:ilvl="0" w:tplc="04090019">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952B50"/>
    <w:multiLevelType w:val="hybridMultilevel"/>
    <w:tmpl w:val="79F2D9B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DC8064A"/>
    <w:multiLevelType w:val="hybridMultilevel"/>
    <w:tmpl w:val="E61A025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1638F"/>
    <w:multiLevelType w:val="hybridMultilevel"/>
    <w:tmpl w:val="F6526F18"/>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5FBD0FDE"/>
    <w:multiLevelType w:val="hybridMultilevel"/>
    <w:tmpl w:val="C50020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F2EE3"/>
    <w:multiLevelType w:val="hybridMultilevel"/>
    <w:tmpl w:val="D336440E"/>
    <w:lvl w:ilvl="0" w:tplc="B8483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6502A"/>
    <w:multiLevelType w:val="hybridMultilevel"/>
    <w:tmpl w:val="7682D676"/>
    <w:lvl w:ilvl="0" w:tplc="9F8C5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95F23"/>
    <w:multiLevelType w:val="hybridMultilevel"/>
    <w:tmpl w:val="5D560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33848"/>
    <w:multiLevelType w:val="hybridMultilevel"/>
    <w:tmpl w:val="CA3CDC9A"/>
    <w:lvl w:ilvl="0" w:tplc="B8483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B2AE2"/>
    <w:multiLevelType w:val="hybridMultilevel"/>
    <w:tmpl w:val="C6D6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E06EE"/>
    <w:multiLevelType w:val="hybridMultilevel"/>
    <w:tmpl w:val="26807258"/>
    <w:lvl w:ilvl="0" w:tplc="2D6E30CC">
      <w:start w:val="1"/>
      <w:numFmt w:val="bullet"/>
      <w:lvlText w:val=""/>
      <w:lvlJc w:val="left"/>
      <w:pPr>
        <w:tabs>
          <w:tab w:val="num" w:pos="720"/>
        </w:tabs>
        <w:ind w:left="720" w:hanging="360"/>
      </w:pPr>
      <w:rPr>
        <w:rFonts w:ascii="Wingdings" w:hAnsi="Wingdings" w:hint="default"/>
      </w:rPr>
    </w:lvl>
    <w:lvl w:ilvl="1" w:tplc="67C45582" w:tentative="1">
      <w:start w:val="1"/>
      <w:numFmt w:val="bullet"/>
      <w:lvlText w:val=""/>
      <w:lvlJc w:val="left"/>
      <w:pPr>
        <w:tabs>
          <w:tab w:val="num" w:pos="1440"/>
        </w:tabs>
        <w:ind w:left="1440" w:hanging="360"/>
      </w:pPr>
      <w:rPr>
        <w:rFonts w:ascii="Wingdings" w:hAnsi="Wingdings" w:hint="default"/>
      </w:rPr>
    </w:lvl>
    <w:lvl w:ilvl="2" w:tplc="D0AAA9C4" w:tentative="1">
      <w:start w:val="1"/>
      <w:numFmt w:val="bullet"/>
      <w:lvlText w:val=""/>
      <w:lvlJc w:val="left"/>
      <w:pPr>
        <w:tabs>
          <w:tab w:val="num" w:pos="2160"/>
        </w:tabs>
        <w:ind w:left="2160" w:hanging="360"/>
      </w:pPr>
      <w:rPr>
        <w:rFonts w:ascii="Wingdings" w:hAnsi="Wingdings" w:hint="default"/>
      </w:rPr>
    </w:lvl>
    <w:lvl w:ilvl="3" w:tplc="6E6EF74E" w:tentative="1">
      <w:start w:val="1"/>
      <w:numFmt w:val="bullet"/>
      <w:lvlText w:val=""/>
      <w:lvlJc w:val="left"/>
      <w:pPr>
        <w:tabs>
          <w:tab w:val="num" w:pos="2880"/>
        </w:tabs>
        <w:ind w:left="2880" w:hanging="360"/>
      </w:pPr>
      <w:rPr>
        <w:rFonts w:ascii="Wingdings" w:hAnsi="Wingdings" w:hint="default"/>
      </w:rPr>
    </w:lvl>
    <w:lvl w:ilvl="4" w:tplc="0BC03A34" w:tentative="1">
      <w:start w:val="1"/>
      <w:numFmt w:val="bullet"/>
      <w:lvlText w:val=""/>
      <w:lvlJc w:val="left"/>
      <w:pPr>
        <w:tabs>
          <w:tab w:val="num" w:pos="3600"/>
        </w:tabs>
        <w:ind w:left="3600" w:hanging="360"/>
      </w:pPr>
      <w:rPr>
        <w:rFonts w:ascii="Wingdings" w:hAnsi="Wingdings" w:hint="default"/>
      </w:rPr>
    </w:lvl>
    <w:lvl w:ilvl="5" w:tplc="2D5C9F60" w:tentative="1">
      <w:start w:val="1"/>
      <w:numFmt w:val="bullet"/>
      <w:lvlText w:val=""/>
      <w:lvlJc w:val="left"/>
      <w:pPr>
        <w:tabs>
          <w:tab w:val="num" w:pos="4320"/>
        </w:tabs>
        <w:ind w:left="4320" w:hanging="360"/>
      </w:pPr>
      <w:rPr>
        <w:rFonts w:ascii="Wingdings" w:hAnsi="Wingdings" w:hint="default"/>
      </w:rPr>
    </w:lvl>
    <w:lvl w:ilvl="6" w:tplc="C820ED1C" w:tentative="1">
      <w:start w:val="1"/>
      <w:numFmt w:val="bullet"/>
      <w:lvlText w:val=""/>
      <w:lvlJc w:val="left"/>
      <w:pPr>
        <w:tabs>
          <w:tab w:val="num" w:pos="5040"/>
        </w:tabs>
        <w:ind w:left="5040" w:hanging="360"/>
      </w:pPr>
      <w:rPr>
        <w:rFonts w:ascii="Wingdings" w:hAnsi="Wingdings" w:hint="default"/>
      </w:rPr>
    </w:lvl>
    <w:lvl w:ilvl="7" w:tplc="F5C8B87C" w:tentative="1">
      <w:start w:val="1"/>
      <w:numFmt w:val="bullet"/>
      <w:lvlText w:val=""/>
      <w:lvlJc w:val="left"/>
      <w:pPr>
        <w:tabs>
          <w:tab w:val="num" w:pos="5760"/>
        </w:tabs>
        <w:ind w:left="5760" w:hanging="360"/>
      </w:pPr>
      <w:rPr>
        <w:rFonts w:ascii="Wingdings" w:hAnsi="Wingdings" w:hint="default"/>
      </w:rPr>
    </w:lvl>
    <w:lvl w:ilvl="8" w:tplc="E7C4EDA8"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9"/>
  </w:num>
  <w:num w:numId="3">
    <w:abstractNumId w:val="31"/>
  </w:num>
  <w:num w:numId="4">
    <w:abstractNumId w:val="7"/>
  </w:num>
  <w:num w:numId="5">
    <w:abstractNumId w:val="19"/>
  </w:num>
  <w:num w:numId="6">
    <w:abstractNumId w:val="4"/>
  </w:num>
  <w:num w:numId="7">
    <w:abstractNumId w:val="15"/>
  </w:num>
  <w:num w:numId="8">
    <w:abstractNumId w:val="8"/>
  </w:num>
  <w:num w:numId="9">
    <w:abstractNumId w:val="12"/>
  </w:num>
  <w:num w:numId="10">
    <w:abstractNumId w:val="14"/>
  </w:num>
  <w:num w:numId="11">
    <w:abstractNumId w:val="23"/>
  </w:num>
  <w:num w:numId="12">
    <w:abstractNumId w:val="1"/>
  </w:num>
  <w:num w:numId="13">
    <w:abstractNumId w:val="21"/>
  </w:num>
  <w:num w:numId="14">
    <w:abstractNumId w:val="16"/>
  </w:num>
  <w:num w:numId="15">
    <w:abstractNumId w:val="3"/>
  </w:num>
  <w:num w:numId="16">
    <w:abstractNumId w:val="27"/>
  </w:num>
  <w:num w:numId="17">
    <w:abstractNumId w:val="17"/>
  </w:num>
  <w:num w:numId="18">
    <w:abstractNumId w:val="10"/>
  </w:num>
  <w:num w:numId="19">
    <w:abstractNumId w:val="5"/>
  </w:num>
  <w:num w:numId="20">
    <w:abstractNumId w:val="18"/>
  </w:num>
  <w:num w:numId="21">
    <w:abstractNumId w:val="13"/>
  </w:num>
  <w:num w:numId="22">
    <w:abstractNumId w:val="9"/>
  </w:num>
  <w:num w:numId="23">
    <w:abstractNumId w:val="28"/>
  </w:num>
  <w:num w:numId="24">
    <w:abstractNumId w:val="20"/>
  </w:num>
  <w:num w:numId="25">
    <w:abstractNumId w:val="11"/>
  </w:num>
  <w:num w:numId="26">
    <w:abstractNumId w:val="24"/>
  </w:num>
  <w:num w:numId="27">
    <w:abstractNumId w:val="22"/>
  </w:num>
  <w:num w:numId="28">
    <w:abstractNumId w:val="25"/>
  </w:num>
  <w:num w:numId="29">
    <w:abstractNumId w:val="0"/>
  </w:num>
  <w:num w:numId="30">
    <w:abstractNumId w:val="2"/>
  </w:num>
  <w:num w:numId="31">
    <w:abstractNumId w:val="3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CC"/>
    <w:rsid w:val="0001114B"/>
    <w:rsid w:val="00067309"/>
    <w:rsid w:val="001B17C5"/>
    <w:rsid w:val="00204E75"/>
    <w:rsid w:val="0028754D"/>
    <w:rsid w:val="002A3F0C"/>
    <w:rsid w:val="002C7B03"/>
    <w:rsid w:val="00376160"/>
    <w:rsid w:val="003F480C"/>
    <w:rsid w:val="004B3AFD"/>
    <w:rsid w:val="005305F9"/>
    <w:rsid w:val="00587A27"/>
    <w:rsid w:val="005D5EFB"/>
    <w:rsid w:val="005F0EA1"/>
    <w:rsid w:val="0073063F"/>
    <w:rsid w:val="008A03CA"/>
    <w:rsid w:val="00A72577"/>
    <w:rsid w:val="00B50BBC"/>
    <w:rsid w:val="00B85B31"/>
    <w:rsid w:val="00C20CFE"/>
    <w:rsid w:val="00C6495A"/>
    <w:rsid w:val="00D63ECC"/>
    <w:rsid w:val="00D707CD"/>
    <w:rsid w:val="00EA6F13"/>
    <w:rsid w:val="00EC3AD9"/>
    <w:rsid w:val="00FF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pPr>
      <w:keepNext/>
      <w:keepLines/>
      <w:spacing w:line="480" w:lineRule="auto"/>
      <w:jc w:val="center"/>
      <w:outlineLvl w:val="0"/>
    </w:pPr>
    <w:rPr>
      <w:rFonts w:ascii="Times New Roman Bold" w:eastAsiaTheme="majorEastAsia" w:hAnsi="Times New Roman Bold" w:cstheme="majorBidi"/>
      <w:b/>
      <w:caps/>
      <w:szCs w:val="32"/>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9"/>
    <w:qFormat/>
    <w:pPr>
      <w:keepNext/>
      <w:spacing w:line="480" w:lineRule="auto"/>
      <w:jc w:val="both"/>
      <w:outlineLvl w:val="4"/>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Times New Roman" w:eastAsia="Times New Roman" w:hAnsi="Times New Roman" w:cs="Times New Roman"/>
      <w:b/>
      <w:sz w:val="24"/>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SimSun" w:hAnsi="Times New Roman" w:cs="Times New Roman"/>
      <w:sz w:val="24"/>
      <w:szCs w:val="24"/>
      <w:lang w:eastAsia="zh-C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Pr>
      <w:color w:val="0000FF"/>
      <w:u w:val="single"/>
    </w:rPr>
  </w:style>
  <w:style w:type="paragraph" w:customStyle="1" w:styleId="Question">
    <w:name w:val="Question"/>
    <w:basedOn w:val="Normal"/>
    <w:link w:val="QuestionChar1"/>
    <w:uiPriority w:val="99"/>
    <w:pPr>
      <w:spacing w:line="480" w:lineRule="auto"/>
      <w:ind w:left="720" w:hanging="720"/>
      <w:jc w:val="both"/>
    </w:pPr>
    <w:rPr>
      <w:rFonts w:eastAsia="Times New Roman"/>
      <w:b/>
      <w:bCs/>
      <w:lang w:eastAsia="en-US"/>
    </w:rPr>
  </w:style>
  <w:style w:type="paragraph" w:customStyle="1" w:styleId="Answer">
    <w:name w:val="Answer"/>
    <w:basedOn w:val="Normal"/>
    <w:link w:val="AnswerChar1"/>
    <w:pPr>
      <w:spacing w:line="480" w:lineRule="auto"/>
      <w:ind w:left="720" w:hanging="720"/>
      <w:jc w:val="both"/>
    </w:pPr>
    <w:rPr>
      <w:rFonts w:eastAsia="Times New Roman"/>
      <w:lang w:eastAsia="en-US"/>
    </w:rPr>
  </w:style>
  <w:style w:type="character" w:customStyle="1" w:styleId="QuestionChar1">
    <w:name w:val="Question Char1"/>
    <w:basedOn w:val="DefaultParagraphFont"/>
    <w:link w:val="Question"/>
    <w:uiPriority w:val="99"/>
    <w:locked/>
    <w:rPr>
      <w:rFonts w:ascii="Times New Roman" w:eastAsia="Times New Roman" w:hAnsi="Times New Roman" w:cs="Times New Roman"/>
      <w:b/>
      <w:bCs/>
      <w:sz w:val="24"/>
      <w:szCs w:val="24"/>
    </w:rPr>
  </w:style>
  <w:style w:type="character" w:customStyle="1" w:styleId="AnswerChar1">
    <w:name w:val="Answer Char1"/>
    <w:basedOn w:val="DefaultParagraphFont"/>
    <w:link w:val="Answer"/>
    <w:locked/>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
    <w:basedOn w:val="Normal"/>
    <w:link w:val="FootnoteTextChar"/>
    <w:uiPriority w:val="99"/>
    <w:qFormat/>
    <w:rPr>
      <w:rFonts w:eastAsia="Times New Roman"/>
      <w:sz w:val="20"/>
      <w:szCs w:val="20"/>
      <w:lang w:eastAsia="en-U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Pr>
      <w:rFonts w:cs="Times New Roman"/>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eastAsia="SimSun" w:hAnsi="Times New Roman" w:cs="Times New Roman"/>
      <w:sz w:val="24"/>
      <w:szCs w:val="24"/>
      <w:lang w:eastAsia="zh-CN"/>
    </w:rPr>
  </w:style>
  <w:style w:type="paragraph" w:customStyle="1" w:styleId="PBLPara2L1">
    <w:name w:val="PBLPara2_L1"/>
    <w:basedOn w:val="Normal"/>
    <w:next w:val="BalloonText"/>
    <w:pPr>
      <w:numPr>
        <w:numId w:val="24"/>
      </w:numPr>
      <w:spacing w:line="480" w:lineRule="auto"/>
      <w:jc w:val="both"/>
      <w:outlineLvl w:val="0"/>
    </w:pPr>
    <w:rPr>
      <w:rFonts w:eastAsia="Times New Roman"/>
      <w:szCs w:val="20"/>
    </w:rPr>
  </w:style>
  <w:style w:type="paragraph" w:customStyle="1" w:styleId="PBLPara2L2">
    <w:name w:val="PBLPara2_L2"/>
    <w:basedOn w:val="PBLPara2L1"/>
    <w:next w:val="BodyText"/>
    <w:pPr>
      <w:numPr>
        <w:ilvl w:val="1"/>
      </w:numPr>
      <w:outlineLvl w:val="1"/>
    </w:pPr>
  </w:style>
  <w:style w:type="paragraph" w:customStyle="1" w:styleId="PBLPara2L3">
    <w:name w:val="PBLPara2_L3"/>
    <w:basedOn w:val="PBLPara2L2"/>
    <w:next w:val="BodyText"/>
    <w:pPr>
      <w:numPr>
        <w:ilvl w:val="2"/>
      </w:numPr>
      <w:outlineLvl w:val="2"/>
    </w:pPr>
  </w:style>
  <w:style w:type="paragraph" w:customStyle="1" w:styleId="PBLPara2L4">
    <w:name w:val="PBLPara2_L4"/>
    <w:basedOn w:val="PBLPara2L3"/>
    <w:next w:val="BodyText"/>
    <w:pPr>
      <w:numPr>
        <w:ilvl w:val="3"/>
      </w:numPr>
      <w:outlineLvl w:val="3"/>
    </w:pPr>
  </w:style>
  <w:style w:type="paragraph" w:customStyle="1" w:styleId="PBLPara2L5">
    <w:name w:val="PBLPara2_L5"/>
    <w:basedOn w:val="PBLPara2L4"/>
    <w:next w:val="BodyText"/>
    <w:pPr>
      <w:numPr>
        <w:ilvl w:val="4"/>
      </w:numPr>
      <w:outlineLvl w:val="4"/>
    </w:pPr>
  </w:style>
  <w:style w:type="paragraph" w:customStyle="1" w:styleId="PBLPara2L6">
    <w:name w:val="PBLPara2_L6"/>
    <w:basedOn w:val="PBLPara2L5"/>
    <w:next w:val="BodyText"/>
    <w:pPr>
      <w:numPr>
        <w:ilvl w:val="5"/>
      </w:numPr>
      <w:outlineLvl w:val="5"/>
    </w:pPr>
  </w:style>
  <w:style w:type="paragraph" w:customStyle="1" w:styleId="PBLPara2L7">
    <w:name w:val="PBLPara2_L7"/>
    <w:basedOn w:val="PBLPara2L6"/>
    <w:next w:val="BodyText"/>
    <w:pPr>
      <w:numPr>
        <w:ilvl w:val="6"/>
      </w:numPr>
      <w:outlineLvl w:val="6"/>
    </w:pPr>
  </w:style>
  <w:style w:type="paragraph" w:customStyle="1" w:styleId="PBLPara2L8">
    <w:name w:val="PBLPara2_L8"/>
    <w:basedOn w:val="PBLPara2L7"/>
    <w:next w:val="BodyText"/>
    <w:pPr>
      <w:numPr>
        <w:ilvl w:val="7"/>
      </w:numPr>
      <w:outlineLvl w:val="7"/>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SimSun" w:hAnsi="Times New Roman" w:cs="Times New Roman"/>
      <w:sz w:val="24"/>
      <w:szCs w:val="24"/>
      <w:lang w:eastAsia="zh-CN"/>
    </w:rPr>
  </w:style>
  <w:style w:type="character" w:customStyle="1" w:styleId="ptext-25">
    <w:name w:val="ptext-25"/>
    <w:basedOn w:val="DefaultParagraphFont"/>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uiPriority w:val="99"/>
    <w:rPr>
      <w:sz w:val="20"/>
      <w:szCs w:val="20"/>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caps/>
      <w:sz w:val="24"/>
      <w:szCs w:val="32"/>
      <w:lang w:eastAsia="zh-CN"/>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spacing w:before="480" w:line="276" w:lineRule="auto"/>
      <w:jc w:val="left"/>
      <w:outlineLvl w:val="9"/>
    </w:pPr>
    <w:rPr>
      <w:rFonts w:asciiTheme="majorHAnsi" w:hAnsiTheme="majorHAnsi"/>
      <w:bCs/>
      <w:caps w:val="0"/>
      <w:color w:val="365F91" w:themeColor="accent1" w:themeShade="BF"/>
      <w:sz w:val="28"/>
      <w:szCs w:val="28"/>
      <w:lang w:eastAsia="ja-JP"/>
    </w:rPr>
  </w:style>
  <w:style w:type="paragraph" w:styleId="TOC1">
    <w:name w:val="toc 1"/>
    <w:basedOn w:val="Normal"/>
    <w:next w:val="Normal"/>
    <w:autoRedefine/>
    <w:uiPriority w:val="39"/>
    <w:unhideWhenUs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665573">
      <w:bodyDiv w:val="1"/>
      <w:marLeft w:val="0"/>
      <w:marRight w:val="0"/>
      <w:marTop w:val="0"/>
      <w:marBottom w:val="0"/>
      <w:divBdr>
        <w:top w:val="none" w:sz="0" w:space="0" w:color="auto"/>
        <w:left w:val="none" w:sz="0" w:space="0" w:color="auto"/>
        <w:bottom w:val="none" w:sz="0" w:space="0" w:color="auto"/>
        <w:right w:val="none" w:sz="0" w:space="0" w:color="auto"/>
      </w:divBdr>
      <w:divsChild>
        <w:div w:id="1836653808">
          <w:marLeft w:val="547"/>
          <w:marRight w:val="0"/>
          <w:marTop w:val="72"/>
          <w:marBottom w:val="0"/>
          <w:divBdr>
            <w:top w:val="none" w:sz="0" w:space="0" w:color="auto"/>
            <w:left w:val="none" w:sz="0" w:space="0" w:color="auto"/>
            <w:bottom w:val="none" w:sz="0" w:space="0" w:color="auto"/>
            <w:right w:val="none" w:sz="0" w:space="0" w:color="auto"/>
          </w:divBdr>
        </w:div>
      </w:divsChild>
    </w:div>
    <w:div w:id="1370833712">
      <w:bodyDiv w:val="1"/>
      <w:marLeft w:val="0"/>
      <w:marRight w:val="0"/>
      <w:marTop w:val="0"/>
      <w:marBottom w:val="0"/>
      <w:divBdr>
        <w:top w:val="none" w:sz="0" w:space="0" w:color="auto"/>
        <w:left w:val="none" w:sz="0" w:space="0" w:color="auto"/>
        <w:bottom w:val="none" w:sz="0" w:space="0" w:color="auto"/>
        <w:right w:val="none" w:sz="0" w:space="0" w:color="auto"/>
      </w:divBdr>
    </w:div>
    <w:div w:id="21304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2016-05-13T07:00:00+00:00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CECD87-ADEB-4A2A-9297-C7861F03BDCD}"/>
</file>

<file path=customXml/itemProps2.xml><?xml version="1.0" encoding="utf-8"?>
<ds:datastoreItem xmlns:ds="http://schemas.openxmlformats.org/officeDocument/2006/customXml" ds:itemID="{D8738366-BEB2-46B8-BB5E-123C25C07A6B}"/>
</file>

<file path=customXml/itemProps3.xml><?xml version="1.0" encoding="utf-8"?>
<ds:datastoreItem xmlns:ds="http://schemas.openxmlformats.org/officeDocument/2006/customXml" ds:itemID="{0972637C-B25F-43CA-A9F9-7790868417AD}"/>
</file>

<file path=customXml/itemProps4.xml><?xml version="1.0" encoding="utf-8"?>
<ds:datastoreItem xmlns:ds="http://schemas.openxmlformats.org/officeDocument/2006/customXml" ds:itemID="{AC07C4F1-9A87-4C37-86BD-54295392F935}"/>
</file>

<file path=customXml/itemProps5.xml><?xml version="1.0" encoding="utf-8"?>
<ds:datastoreItem xmlns:ds="http://schemas.openxmlformats.org/officeDocument/2006/customXml" ds:itemID="{EE62CCBE-B956-4594-B1EB-50FBDA85A8D5}"/>
</file>

<file path=docProps/app.xml><?xml version="1.0" encoding="utf-8"?>
<Properties xmlns="http://schemas.openxmlformats.org/officeDocument/2006/extended-properties" xmlns:vt="http://schemas.openxmlformats.org/officeDocument/2006/docPropsVTypes">
  <Template>Normal</Template>
  <TotalTime>0</TotalTime>
  <Pages>11</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2016-05-13T18:37:00Z</dcterms:created>
  <dcterms:modified xsi:type="dcterms:W3CDTF">2016-05-13T19:20:00Z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