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61609A">
        <w:t>17</w:t>
      </w:r>
      <w:r w:rsidR="00026F23">
        <w:t>______</w:t>
      </w:r>
    </w:p>
    <w:p w:rsidR="00B2507F" w:rsidRPr="00BC7FA7" w:rsidRDefault="00B2507F">
      <w:pPr>
        <w:tabs>
          <w:tab w:val="left" w:pos="1260"/>
        </w:tabs>
        <w:spacing w:line="480" w:lineRule="auto"/>
        <w:jc w:val="center"/>
      </w:pPr>
      <w:r w:rsidRPr="00190EEA">
        <w:t xml:space="preserve">DOCKET NO. </w:t>
      </w:r>
      <w:r w:rsidRPr="00BC7FA7">
        <w:t>UG-</w:t>
      </w:r>
      <w:r w:rsidR="0061609A">
        <w:t>17</w:t>
      </w:r>
      <w:r w:rsidR="00026F23">
        <w:t>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E7155F">
          <w:headerReference w:type="default" r:id="rId8"/>
          <w:footerReference w:type="default" r:id="rId9"/>
          <w:headerReference w:type="first" r:id="rId10"/>
          <w:footerReference w:type="first" r:id="rId11"/>
          <w:type w:val="continuous"/>
          <w:pgSz w:w="12240" w:h="15840" w:code="1"/>
          <w:pgMar w:top="1440" w:right="1440" w:bottom="1728"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355291">
      <w:pPr>
        <w:pStyle w:val="Heading5"/>
        <w:rPr>
          <w:rStyle w:val="PageNumber"/>
          <w:u w:val="single"/>
        </w:rPr>
      </w:pPr>
      <w:r>
        <w:rPr>
          <w:rStyle w:val="PageNumber"/>
          <w:u w:val="single"/>
        </w:rPr>
        <w:lastRenderedPageBreak/>
        <w:t xml:space="preserve">I. </w:t>
      </w:r>
      <w:r w:rsidR="00694F8A" w:rsidRPr="00345A0E">
        <w:rPr>
          <w:rStyle w:val="PageNumber"/>
          <w:u w:val="single"/>
        </w:rPr>
        <w:t xml:space="preserve">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820048" w:rsidP="004E2678">
      <w:pPr>
        <w:pStyle w:val="TestBody"/>
        <w:tabs>
          <w:tab w:val="left" w:pos="144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41F88" w:rsidRPr="00345A0E">
        <w:rPr>
          <w:rFonts w:ascii="Times New Roman" w:hAnsi="Times New Roman" w:cs="Times New Roman"/>
        </w:rPr>
        <w:t xml:space="preserve">My name is Scott L. Morris and I am employed as the Chairman of the Board, </w:t>
      </w:r>
      <w:r w:rsidR="00A8324E" w:rsidRPr="00345A0E">
        <w:rPr>
          <w:rFonts w:ascii="Times New Roman" w:hAnsi="Times New Roman" w:cs="Times New Roman"/>
        </w:rPr>
        <w:t xml:space="preserve">President </w:t>
      </w:r>
      <w:r w:rsidR="00941F88"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C25267" w:rsidRDefault="00820048" w:rsidP="00820048">
      <w:pPr>
        <w:pStyle w:val="TestBody"/>
        <w:tabs>
          <w:tab w:val="left" w:pos="1440"/>
        </w:tabs>
        <w:spacing w:line="480" w:lineRule="auto"/>
        <w:ind w:left="0" w:firstLine="720"/>
        <w:rPr>
          <w:rFonts w:ascii="Times New Roman" w:hAnsi="Times New Roman" w:cs="Times New Roman"/>
          <w:b/>
          <w:bCs/>
        </w:rPr>
      </w:pPr>
      <w:r w:rsidRPr="00C25267">
        <w:rPr>
          <w:rFonts w:ascii="Times New Roman" w:hAnsi="Times New Roman" w:cs="Times New Roman"/>
        </w:rPr>
        <w:t>A.</w:t>
      </w:r>
      <w:r w:rsidRPr="00C25267">
        <w:rPr>
          <w:rFonts w:ascii="Times New Roman" w:hAnsi="Times New Roman" w:cs="Times New Roman"/>
        </w:rPr>
        <w:tab/>
      </w:r>
      <w:r w:rsidR="00941F88" w:rsidRPr="00C25267">
        <w:rPr>
          <w:rFonts w:ascii="Times New Roman" w:hAnsi="Times New Roman" w:cs="Times New Roman"/>
        </w:rPr>
        <w:t xml:space="preserve">Yes. </w:t>
      </w:r>
      <w:r w:rsidR="00C25267" w:rsidRPr="00C25267">
        <w:rPr>
          <w:rFonts w:ascii="Times New Roman" w:hAnsi="Times New Roman" w:cs="Times New Roman"/>
        </w:rPr>
        <w:t xml:space="preserve"> </w:t>
      </w:r>
      <w:r w:rsidR="00941F88" w:rsidRPr="00C25267">
        <w:rPr>
          <w:rFonts w:ascii="Times New Roman" w:hAnsi="Times New Roman" w:cs="Times New Roman"/>
        </w:rPr>
        <w:t xml:space="preserve">I am a graduate of Gonzaga University with a </w:t>
      </w:r>
      <w:proofErr w:type="spellStart"/>
      <w:r w:rsidR="00941F88" w:rsidRPr="00C25267">
        <w:rPr>
          <w:rFonts w:ascii="Times New Roman" w:hAnsi="Times New Roman" w:cs="Times New Roman"/>
        </w:rPr>
        <w:t>Bachelors</w:t>
      </w:r>
      <w:proofErr w:type="spellEnd"/>
      <w:r w:rsidR="00941F88" w:rsidRPr="00C25267">
        <w:rPr>
          <w:rFonts w:ascii="Times New Roman" w:hAnsi="Times New Roman" w:cs="Times New Roman"/>
        </w:rPr>
        <w:t xml:space="preserve"> degree and a </w:t>
      </w:r>
      <w:proofErr w:type="spellStart"/>
      <w:r w:rsidR="00941F88" w:rsidRPr="00C25267">
        <w:rPr>
          <w:rFonts w:ascii="Times New Roman" w:hAnsi="Times New Roman" w:cs="Times New Roman"/>
        </w:rPr>
        <w:t>Masters</w:t>
      </w:r>
      <w:proofErr w:type="spellEnd"/>
      <w:r w:rsidR="00941F88" w:rsidRPr="00C25267">
        <w:rPr>
          <w:rFonts w:ascii="Times New Roman" w:hAnsi="Times New Roman" w:cs="Times New Roman"/>
        </w:rPr>
        <w:t xml:space="preserve">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504886" w:rsidRDefault="00471BD2" w:rsidP="00504886">
      <w:pPr>
        <w:tabs>
          <w:tab w:val="left" w:pos="0"/>
        </w:tabs>
        <w:spacing w:line="480" w:lineRule="auto"/>
        <w:ind w:firstLine="720"/>
        <w:jc w:val="both"/>
      </w:pPr>
      <w:r>
        <w:t>I am a member of the Edison Electric Institute board of directors, a member of the American Gas Association board of directors, a member of the Washington Roundtable, and I also serve on the board of trustees of Greater Spokane Incorporated.  I am also on the board of directors of the Federal Reserve Bank of San Francisco, Seattle Branch</w:t>
      </w:r>
      <w:r w:rsidR="00D00230">
        <w:t>,</w:t>
      </w:r>
      <w:r>
        <w:t xml:space="preserve"> and Gonzaga University board of trustees and I currently serve as Chair for both organizations</w:t>
      </w:r>
      <w:r w:rsidR="00941F88" w:rsidRPr="00345A0E">
        <w:t>.</w:t>
      </w:r>
      <w:r w:rsidR="00504886">
        <w:br w:type="page"/>
      </w:r>
    </w:p>
    <w:bookmarkEnd w:id="0"/>
    <w:p w:rsidR="00941F88" w:rsidRPr="00345A0E" w:rsidRDefault="00941F88" w:rsidP="00504886">
      <w:pPr>
        <w:tabs>
          <w:tab w:val="left" w:pos="0"/>
        </w:tabs>
        <w:spacing w:line="480" w:lineRule="auto"/>
        <w:ind w:firstLine="720"/>
        <w:jc w:val="both"/>
        <w:rPr>
          <w:b/>
          <w:bCs/>
          <w:iCs/>
        </w:rPr>
      </w:pPr>
      <w:r w:rsidRPr="00834488">
        <w:rPr>
          <w:b/>
          <w:bCs/>
        </w:rPr>
        <w:lastRenderedPageBreak/>
        <w:t>Q.</w:t>
      </w:r>
      <w:r w:rsidRPr="00834488">
        <w:rPr>
          <w:b/>
          <w:bCs/>
        </w:rPr>
        <w:tab/>
        <w:t>What is the scope of your testimony in this proceeding?</w:t>
      </w:r>
    </w:p>
    <w:p w:rsidR="00564D58" w:rsidRPr="00323F2C" w:rsidRDefault="009A45B8" w:rsidP="00323F2C">
      <w:pPr>
        <w:pStyle w:val="TestBody"/>
        <w:numPr>
          <w:ilvl w:val="0"/>
          <w:numId w:val="10"/>
        </w:numPr>
        <w:spacing w:line="480" w:lineRule="auto"/>
        <w:ind w:left="0" w:firstLine="720"/>
        <w:rPr>
          <w:rFonts w:ascii="Times New Roman" w:hAnsi="Times New Roman"/>
        </w:rPr>
      </w:pPr>
      <w:r w:rsidRPr="00564D58">
        <w:rPr>
          <w:rFonts w:ascii="Times New Roman" w:hAnsi="Times New Roman"/>
        </w:rPr>
        <w:t>I will</w:t>
      </w:r>
      <w:r w:rsidR="004C5D29" w:rsidRPr="00564D58">
        <w:rPr>
          <w:rFonts w:ascii="Times New Roman" w:hAnsi="Times New Roman"/>
        </w:rPr>
        <w:t xml:space="preserve"> summ</w:t>
      </w:r>
      <w:r w:rsidR="00134FFD">
        <w:rPr>
          <w:rFonts w:ascii="Times New Roman" w:hAnsi="Times New Roman"/>
        </w:rPr>
        <w:t>arize the Company’s proposal</w:t>
      </w:r>
      <w:r w:rsidR="004C5D29" w:rsidRPr="00564D58">
        <w:rPr>
          <w:rFonts w:ascii="Times New Roman" w:hAnsi="Times New Roman"/>
        </w:rPr>
        <w:t xml:space="preserve"> in this filing</w:t>
      </w:r>
      <w:r w:rsidR="00B41FCF">
        <w:rPr>
          <w:rFonts w:ascii="Times New Roman" w:hAnsi="Times New Roman"/>
        </w:rPr>
        <w:t xml:space="preserve"> for a Three-Year Rate Plan</w:t>
      </w:r>
      <w:r w:rsidR="00E64B06" w:rsidRPr="00564D58">
        <w:rPr>
          <w:rFonts w:ascii="Times New Roman" w:hAnsi="Times New Roman"/>
        </w:rPr>
        <w:t xml:space="preserve">, </w:t>
      </w:r>
      <w:r w:rsidR="00323F2C">
        <w:rPr>
          <w:rFonts w:ascii="Times New Roman" w:hAnsi="Times New Roman"/>
        </w:rPr>
        <w:t>and general rate case “stay-out’ period.  I will explain</w:t>
      </w:r>
      <w:r w:rsidR="00E64B06" w:rsidRPr="00323F2C">
        <w:rPr>
          <w:rFonts w:ascii="Times New Roman" w:hAnsi="Times New Roman"/>
        </w:rPr>
        <w:t xml:space="preserve"> </w:t>
      </w:r>
      <w:r w:rsidR="004C5D29" w:rsidRPr="00323F2C">
        <w:rPr>
          <w:rFonts w:ascii="Times New Roman" w:hAnsi="Times New Roman"/>
        </w:rPr>
        <w:t xml:space="preserve">why </w:t>
      </w:r>
      <w:r w:rsidR="00922679" w:rsidRPr="00323F2C">
        <w:rPr>
          <w:rFonts w:ascii="Times New Roman" w:hAnsi="Times New Roman"/>
        </w:rPr>
        <w:t xml:space="preserve">there </w:t>
      </w:r>
      <w:r w:rsidR="007F40A3" w:rsidRPr="00323F2C">
        <w:rPr>
          <w:rFonts w:ascii="Times New Roman" w:hAnsi="Times New Roman"/>
        </w:rPr>
        <w:t>is a continuing need for retail rate</w:t>
      </w:r>
      <w:r w:rsidR="00E64B06" w:rsidRPr="00323F2C">
        <w:rPr>
          <w:rFonts w:ascii="Times New Roman" w:hAnsi="Times New Roman"/>
        </w:rPr>
        <w:t xml:space="preserve"> increase</w:t>
      </w:r>
      <w:r w:rsidR="007F40A3" w:rsidRPr="00323F2C">
        <w:rPr>
          <w:rFonts w:ascii="Times New Roman" w:hAnsi="Times New Roman"/>
        </w:rPr>
        <w:t>s</w:t>
      </w:r>
      <w:r w:rsidR="00E64B06" w:rsidRPr="00323F2C">
        <w:rPr>
          <w:rFonts w:ascii="Times New Roman" w:hAnsi="Times New Roman"/>
        </w:rPr>
        <w:t>, not just for Avista, but for the electric and natural gas utility industry in general.</w:t>
      </w:r>
      <w:r w:rsidR="004C5D29" w:rsidRPr="00323F2C">
        <w:rPr>
          <w:rFonts w:ascii="Times New Roman" w:hAnsi="Times New Roman"/>
        </w:rPr>
        <w:t xml:space="preserve">  </w:t>
      </w:r>
      <w:r w:rsidR="00323F2C">
        <w:rPr>
          <w:rFonts w:ascii="Times New Roman" w:hAnsi="Times New Roman"/>
        </w:rPr>
        <w:t>I will address</w:t>
      </w:r>
      <w:r w:rsidR="00564D58" w:rsidRPr="00323F2C">
        <w:rPr>
          <w:rFonts w:ascii="Times New Roman" w:hAnsi="Times New Roman"/>
        </w:rPr>
        <w:t xml:space="preserve"> our </w:t>
      </w:r>
      <w:r w:rsidR="00323F2C">
        <w:rPr>
          <w:rFonts w:ascii="Times New Roman" w:hAnsi="Times New Roman"/>
        </w:rPr>
        <w:t xml:space="preserve">continuing </w:t>
      </w:r>
      <w:r w:rsidR="00564D58" w:rsidRPr="00323F2C">
        <w:rPr>
          <w:rFonts w:ascii="Times New Roman" w:hAnsi="Times New Roman"/>
        </w:rPr>
        <w:t>capital investment</w:t>
      </w:r>
      <w:r w:rsidR="00323F2C">
        <w:rPr>
          <w:rFonts w:ascii="Times New Roman" w:hAnsi="Times New Roman"/>
        </w:rPr>
        <w:t>s, and how they are</w:t>
      </w:r>
      <w:r w:rsidR="00564D58" w:rsidRPr="00323F2C">
        <w:rPr>
          <w:rFonts w:ascii="Times New Roman" w:hAnsi="Times New Roman"/>
        </w:rPr>
        <w:t xml:space="preserve"> designed to accompl</w:t>
      </w:r>
      <w:r w:rsidR="00323F2C">
        <w:rPr>
          <w:rFonts w:ascii="Times New Roman" w:hAnsi="Times New Roman"/>
        </w:rPr>
        <w:t>ish</w:t>
      </w:r>
      <w:r w:rsidR="001849A1">
        <w:rPr>
          <w:rFonts w:ascii="Times New Roman" w:hAnsi="Times New Roman"/>
        </w:rPr>
        <w:t>,</w:t>
      </w:r>
      <w:r w:rsidR="00323F2C">
        <w:rPr>
          <w:rFonts w:ascii="Times New Roman" w:hAnsi="Times New Roman"/>
        </w:rPr>
        <w:t xml:space="preserve"> </w:t>
      </w:r>
      <w:r w:rsidR="008E0CAC">
        <w:rPr>
          <w:rFonts w:ascii="Times New Roman" w:hAnsi="Times New Roman"/>
        </w:rPr>
        <w:t>and balance</w:t>
      </w:r>
      <w:r w:rsidR="001849A1">
        <w:rPr>
          <w:rFonts w:ascii="Times New Roman" w:hAnsi="Times New Roman"/>
        </w:rPr>
        <w:t>,</w:t>
      </w:r>
      <w:r w:rsidR="008E0CAC">
        <w:rPr>
          <w:rFonts w:ascii="Times New Roman" w:hAnsi="Times New Roman"/>
        </w:rPr>
        <w:t xml:space="preserve"> </w:t>
      </w:r>
      <w:r w:rsidR="00323F2C">
        <w:rPr>
          <w:rFonts w:ascii="Times New Roman" w:hAnsi="Times New Roman"/>
        </w:rPr>
        <w:t>three primary objectives: 1) provide safe, reliable service; 2)</w:t>
      </w:r>
      <w:r w:rsidR="00564D58" w:rsidRPr="00323F2C">
        <w:rPr>
          <w:rFonts w:ascii="Times New Roman" w:hAnsi="Times New Roman"/>
        </w:rPr>
        <w:t xml:space="preserve"> </w:t>
      </w:r>
      <w:r w:rsidR="00323F2C">
        <w:rPr>
          <w:rFonts w:ascii="Times New Roman" w:hAnsi="Times New Roman"/>
        </w:rPr>
        <w:t xml:space="preserve">achieve </w:t>
      </w:r>
      <w:r w:rsidR="00564D58" w:rsidRPr="00323F2C">
        <w:rPr>
          <w:rFonts w:ascii="Times New Roman" w:hAnsi="Times New Roman"/>
        </w:rPr>
        <w:t>high customer satisf</w:t>
      </w:r>
      <w:r w:rsidR="00323F2C">
        <w:rPr>
          <w:rFonts w:ascii="Times New Roman" w:hAnsi="Times New Roman"/>
        </w:rPr>
        <w:t>action; and 3) maintain</w:t>
      </w:r>
      <w:r w:rsidR="00564D58" w:rsidRPr="00323F2C">
        <w:rPr>
          <w:rFonts w:ascii="Times New Roman" w:hAnsi="Times New Roman"/>
        </w:rPr>
        <w:t xml:space="preserve"> a reaso</w:t>
      </w:r>
      <w:r w:rsidR="007F7B5D" w:rsidRPr="00323F2C">
        <w:rPr>
          <w:rFonts w:ascii="Times New Roman" w:hAnsi="Times New Roman"/>
        </w:rPr>
        <w:t>nable cost to customers.</w:t>
      </w:r>
    </w:p>
    <w:p w:rsidR="008763A5" w:rsidRPr="00564D58" w:rsidRDefault="00564D58" w:rsidP="00564D58">
      <w:pPr>
        <w:pStyle w:val="TestBody"/>
        <w:spacing w:line="480" w:lineRule="auto"/>
        <w:ind w:left="0" w:firstLine="720"/>
        <w:rPr>
          <w:rFonts w:ascii="Times New Roman" w:hAnsi="Times New Roman"/>
        </w:rPr>
      </w:pPr>
      <w:r w:rsidRPr="00564D58">
        <w:rPr>
          <w:rFonts w:ascii="Times New Roman" w:hAnsi="Times New Roman"/>
        </w:rPr>
        <w:t xml:space="preserve">I will </w:t>
      </w:r>
      <w:r w:rsidR="00134FFD">
        <w:rPr>
          <w:rFonts w:ascii="Times New Roman" w:hAnsi="Times New Roman"/>
        </w:rPr>
        <w:t>also briefly summarize the four ratemaking studies presented by Avista to demonstrate our need for electric and natural gas rate increases for the proposed Three-Year Rate Plan beginning May 1, 2018.</w:t>
      </w:r>
    </w:p>
    <w:p w:rsidR="00CD6899" w:rsidRDefault="00CD6899" w:rsidP="00CD6899">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CD6899" w:rsidRPr="00345A0E" w:rsidRDefault="00CD6899" w:rsidP="00CD6899">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Page</w:t>
      </w:r>
    </w:p>
    <w:p w:rsidR="00CD6899" w:rsidRPr="00345A0E" w:rsidRDefault="00CD6899" w:rsidP="00CD6899">
      <w:pPr>
        <w:tabs>
          <w:tab w:val="left" w:pos="0"/>
          <w:tab w:val="right" w:pos="8280"/>
        </w:tabs>
        <w:spacing w:line="360" w:lineRule="auto"/>
        <w:ind w:left="1440" w:right="-173" w:hanging="720"/>
        <w:jc w:val="both"/>
      </w:pPr>
      <w:r w:rsidRPr="00345A0E">
        <w:t>I.</w:t>
      </w:r>
      <w:r w:rsidRPr="00345A0E">
        <w:tab/>
        <w:t>Introduction</w:t>
      </w:r>
      <w:r w:rsidRPr="00345A0E">
        <w:tab/>
      </w:r>
      <w:r>
        <w:t>1</w:t>
      </w:r>
    </w:p>
    <w:p w:rsidR="00CD6899" w:rsidRDefault="00CD6899" w:rsidP="00CD6899">
      <w:pPr>
        <w:tabs>
          <w:tab w:val="left" w:pos="0"/>
          <w:tab w:val="right" w:pos="8280"/>
        </w:tabs>
        <w:spacing w:line="360" w:lineRule="auto"/>
        <w:ind w:left="1440" w:right="-173" w:hanging="720"/>
        <w:jc w:val="both"/>
      </w:pPr>
      <w:r w:rsidRPr="00345A0E">
        <w:t>II.</w:t>
      </w:r>
      <w:r w:rsidRPr="00345A0E">
        <w:tab/>
        <w:t xml:space="preserve">Summary of </w:t>
      </w:r>
      <w:r w:rsidR="00B41FCF">
        <w:t>Three-Year Rate Plan</w:t>
      </w:r>
      <w:r w:rsidR="009F27E4">
        <w:t xml:space="preserve"> and Stay-Out</w:t>
      </w:r>
      <w:r w:rsidR="00B41FCF">
        <w:tab/>
        <w:t>3</w:t>
      </w:r>
      <w:r>
        <w:tab/>
      </w:r>
    </w:p>
    <w:p w:rsidR="00CD6899" w:rsidRDefault="00CD6899" w:rsidP="00CD6899">
      <w:pPr>
        <w:tabs>
          <w:tab w:val="left" w:pos="0"/>
          <w:tab w:val="right" w:pos="8280"/>
        </w:tabs>
        <w:spacing w:line="360" w:lineRule="auto"/>
        <w:ind w:left="1440" w:right="-173" w:hanging="720"/>
        <w:jc w:val="both"/>
      </w:pPr>
      <w:r>
        <w:t>III</w:t>
      </w:r>
      <w:r w:rsidRPr="00345A0E">
        <w:t>.</w:t>
      </w:r>
      <w:r w:rsidRPr="00345A0E">
        <w:tab/>
      </w:r>
      <w:r>
        <w:t>Why the Continuing Need for Retail Rate Increases</w:t>
      </w:r>
      <w:r>
        <w:tab/>
      </w:r>
      <w:r w:rsidR="001319F2">
        <w:t>9</w:t>
      </w:r>
    </w:p>
    <w:p w:rsidR="00CD6899" w:rsidRDefault="00CD6899" w:rsidP="00CD6899">
      <w:pPr>
        <w:tabs>
          <w:tab w:val="left" w:pos="0"/>
          <w:tab w:val="right" w:pos="8280"/>
        </w:tabs>
        <w:spacing w:line="360" w:lineRule="auto"/>
        <w:ind w:left="1440" w:right="-173" w:hanging="720"/>
        <w:jc w:val="both"/>
      </w:pPr>
      <w:r>
        <w:t>IV.</w:t>
      </w:r>
      <w:r>
        <w:tab/>
      </w:r>
      <w:r w:rsidR="006B283F">
        <w:t xml:space="preserve">Need for </w:t>
      </w:r>
      <w:r w:rsidR="001319F2">
        <w:t>Continuing Capital Investment</w:t>
      </w:r>
      <w:r w:rsidR="001319F2">
        <w:tab/>
        <w:t>19</w:t>
      </w:r>
      <w:r>
        <w:tab/>
      </w:r>
    </w:p>
    <w:p w:rsidR="00CD6899" w:rsidRDefault="00CD6899" w:rsidP="00CD6899">
      <w:pPr>
        <w:tabs>
          <w:tab w:val="left" w:pos="0"/>
          <w:tab w:val="right" w:pos="8280"/>
        </w:tabs>
        <w:spacing w:line="360" w:lineRule="auto"/>
        <w:ind w:left="1440" w:right="-173" w:hanging="720"/>
        <w:jc w:val="both"/>
      </w:pPr>
      <w:r w:rsidRPr="00345A0E">
        <w:t>V.</w:t>
      </w:r>
      <w:r w:rsidRPr="00345A0E">
        <w:tab/>
      </w:r>
      <w:r w:rsidR="001319F2">
        <w:t>O&amp;M and A&amp;G Cost Management</w:t>
      </w:r>
      <w:r w:rsidR="001319F2">
        <w:tab/>
        <w:t>35</w:t>
      </w:r>
      <w:r>
        <w:tab/>
      </w:r>
    </w:p>
    <w:p w:rsidR="001F1E6D" w:rsidRDefault="00CD6899" w:rsidP="00CD6899">
      <w:pPr>
        <w:tabs>
          <w:tab w:val="left" w:pos="0"/>
          <w:tab w:val="right" w:pos="8280"/>
        </w:tabs>
        <w:spacing w:line="360" w:lineRule="auto"/>
        <w:ind w:left="1440" w:right="-173" w:hanging="720"/>
        <w:jc w:val="both"/>
      </w:pPr>
      <w:r>
        <w:t>VI</w:t>
      </w:r>
      <w:r w:rsidRPr="00345A0E">
        <w:t>.</w:t>
      </w:r>
      <w:r w:rsidRPr="00345A0E">
        <w:tab/>
      </w:r>
      <w:r w:rsidR="001319F2">
        <w:t>Avista Ratemaking Studies</w:t>
      </w:r>
      <w:r w:rsidR="001319F2">
        <w:tab/>
        <w:t>38</w:t>
      </w:r>
    </w:p>
    <w:p w:rsidR="00CD6899" w:rsidRDefault="001319F2" w:rsidP="00CD6899">
      <w:pPr>
        <w:tabs>
          <w:tab w:val="left" w:pos="0"/>
          <w:tab w:val="right" w:pos="8280"/>
        </w:tabs>
        <w:spacing w:line="360" w:lineRule="auto"/>
        <w:ind w:left="1440" w:right="-173" w:hanging="720"/>
        <w:jc w:val="both"/>
      </w:pPr>
      <w:r>
        <w:t>VII.</w:t>
      </w:r>
      <w:r>
        <w:tab/>
        <w:t>Utility into the Future</w:t>
      </w:r>
      <w:r>
        <w:tab/>
        <w:t>50</w:t>
      </w:r>
      <w:r w:rsidR="00CD6899">
        <w:tab/>
      </w:r>
    </w:p>
    <w:p w:rsidR="001F1E6D" w:rsidRPr="00345A0E" w:rsidRDefault="001F1E6D" w:rsidP="00CD6899">
      <w:pPr>
        <w:tabs>
          <w:tab w:val="left" w:pos="0"/>
          <w:tab w:val="right" w:pos="8280"/>
        </w:tabs>
        <w:spacing w:line="360" w:lineRule="auto"/>
        <w:ind w:left="1440" w:right="-173" w:hanging="720"/>
        <w:jc w:val="both"/>
      </w:pPr>
      <w:r>
        <w:t>VIII.</w:t>
      </w:r>
      <w:r>
        <w:tab/>
      </w:r>
      <w:r w:rsidR="001319F2">
        <w:t>Communications with Customers</w:t>
      </w:r>
      <w:r w:rsidR="001319F2">
        <w:tab/>
        <w:t>52</w:t>
      </w:r>
    </w:p>
    <w:p w:rsidR="00834488" w:rsidRDefault="00834488" w:rsidP="000C276C">
      <w:pPr>
        <w:tabs>
          <w:tab w:val="left" w:pos="0"/>
          <w:tab w:val="right" w:pos="8280"/>
        </w:tabs>
        <w:spacing w:line="360" w:lineRule="auto"/>
        <w:ind w:right="-173"/>
        <w:jc w:val="both"/>
      </w:pPr>
    </w:p>
    <w:p w:rsidR="00941F88" w:rsidRPr="00345A0E" w:rsidRDefault="00CE2811" w:rsidP="007541F9">
      <w:pPr>
        <w:tabs>
          <w:tab w:val="left" w:pos="0"/>
        </w:tabs>
        <w:spacing w:before="120"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773372" w:rsidRDefault="00941F88" w:rsidP="00773372">
      <w:pPr>
        <w:tabs>
          <w:tab w:val="left" w:pos="0"/>
        </w:tabs>
        <w:spacing w:line="480" w:lineRule="auto"/>
        <w:ind w:firstLine="720"/>
        <w:jc w:val="both"/>
      </w:pPr>
      <w:r w:rsidRPr="00345A0E">
        <w:t>A.</w:t>
      </w:r>
      <w:r w:rsidRPr="00345A0E">
        <w:tab/>
        <w:t xml:space="preserve">Yes.  I am sponsoring </w:t>
      </w:r>
      <w:r w:rsidR="00834488">
        <w:t>four</w:t>
      </w:r>
      <w:r w:rsidR="00CE2811">
        <w:t xml:space="preserve"> exhibits</w:t>
      </w:r>
      <w:r w:rsidR="000C276C">
        <w:t>:</w:t>
      </w:r>
      <w:r w:rsidR="008D162C">
        <w:t xml:space="preserve">  Exh. SLM-2 includes </w:t>
      </w:r>
      <w:r w:rsidR="00E35704">
        <w:t>a summary of witnesses representing Avista in thi</w:t>
      </w:r>
      <w:r w:rsidR="000C276C">
        <w:t>s proceeding;</w:t>
      </w:r>
      <w:r w:rsidR="00834488">
        <w:t xml:space="preserve"> Exh. </w:t>
      </w:r>
      <w:r w:rsidR="00E35704">
        <w:t xml:space="preserve">SLM-3 </w:t>
      </w:r>
      <w:r w:rsidR="00834488">
        <w:t xml:space="preserve">is </w:t>
      </w:r>
      <w:r w:rsidR="00E35704">
        <w:t>Avista Utilities</w:t>
      </w:r>
      <w:r w:rsidR="00D00230">
        <w:t>’</w:t>
      </w:r>
      <w:r w:rsidR="00E35704">
        <w:t xml:space="preserve"> “</w:t>
      </w:r>
      <w:r w:rsidR="000C276C">
        <w:t>Infrastructure Investment Plan”;</w:t>
      </w:r>
      <w:r w:rsidR="00E35704">
        <w:t xml:space="preserve"> Exh. SLM-4 is </w:t>
      </w:r>
      <w:r w:rsidR="003E620F">
        <w:t xml:space="preserve">an overview of Avista and its utility and </w:t>
      </w:r>
      <w:r w:rsidR="003E620F">
        <w:lastRenderedPageBreak/>
        <w:t xml:space="preserve">subsidiary </w:t>
      </w:r>
      <w:r w:rsidR="009B51C0">
        <w:t xml:space="preserve">operations, as well as </w:t>
      </w:r>
      <w:r w:rsidR="00EE1100" w:rsidRPr="00345A0E">
        <w:t>a diagram of Avista’s corporate structure</w:t>
      </w:r>
      <w:r w:rsidR="000C276C">
        <w:t>;</w:t>
      </w:r>
      <w:r w:rsidR="00863C50">
        <w:t xml:space="preserve"> and</w:t>
      </w:r>
      <w:r w:rsidR="0027677D">
        <w:t xml:space="preserve"> </w:t>
      </w:r>
      <w:r w:rsidR="00834488">
        <w:t>Exh. SLM-5</w:t>
      </w:r>
      <w:r w:rsidRPr="00345A0E">
        <w:t xml:space="preserve"> includes a map showing Avista’s electric and n</w:t>
      </w:r>
      <w:r w:rsidR="00AA5012">
        <w:t xml:space="preserve">atural gas service areas.  </w:t>
      </w:r>
    </w:p>
    <w:p w:rsidR="00B84BE6" w:rsidRDefault="00B84BE6" w:rsidP="00773372">
      <w:pPr>
        <w:tabs>
          <w:tab w:val="left" w:pos="0"/>
        </w:tabs>
        <w:spacing w:line="480" w:lineRule="auto"/>
        <w:ind w:firstLine="720"/>
        <w:jc w:val="both"/>
      </w:pPr>
    </w:p>
    <w:p w:rsidR="00E8707B" w:rsidRDefault="00E949A8" w:rsidP="00E8707B">
      <w:pPr>
        <w:tabs>
          <w:tab w:val="left" w:pos="0"/>
        </w:tabs>
        <w:spacing w:line="480" w:lineRule="auto"/>
        <w:ind w:firstLine="720"/>
        <w:jc w:val="center"/>
        <w:rPr>
          <w:b/>
          <w:u w:val="single"/>
        </w:rPr>
      </w:pPr>
      <w:r>
        <w:rPr>
          <w:b/>
          <w:u w:val="single"/>
        </w:rPr>
        <w:t>II. SUM</w:t>
      </w:r>
      <w:r w:rsidR="007467D9">
        <w:rPr>
          <w:b/>
          <w:u w:val="single"/>
        </w:rPr>
        <w:t>MARY OF THREE-YEAR RATE PLAN AND STAY-OUT</w:t>
      </w:r>
    </w:p>
    <w:p w:rsidR="000A1579" w:rsidRPr="00BF3827" w:rsidRDefault="000A1579" w:rsidP="000A1579">
      <w:pPr>
        <w:pStyle w:val="P31"/>
        <w:jc w:val="both"/>
        <w:rPr>
          <w:rFonts w:ascii="Times New Roman" w:hAnsi="Times New Roman" w:cs="Times New Roman"/>
          <w:b/>
          <w:szCs w:val="24"/>
        </w:rPr>
      </w:pPr>
      <w:r w:rsidRPr="00A057F7">
        <w:rPr>
          <w:rFonts w:ascii="Times New Roman" w:hAnsi="Times New Roman" w:cs="Times New Roman"/>
          <w:b/>
          <w:szCs w:val="24"/>
        </w:rPr>
        <w:t>Q</w:t>
      </w:r>
      <w:r w:rsidRPr="00BF3827">
        <w:rPr>
          <w:rFonts w:ascii="Times New Roman" w:hAnsi="Times New Roman" w:cs="Times New Roman"/>
          <w:b/>
          <w:szCs w:val="24"/>
        </w:rPr>
        <w:t>.</w:t>
      </w:r>
      <w:r w:rsidRPr="00BF3827">
        <w:rPr>
          <w:rFonts w:ascii="Times New Roman" w:hAnsi="Times New Roman" w:cs="Times New Roman"/>
          <w:b/>
          <w:szCs w:val="24"/>
        </w:rPr>
        <w:tab/>
      </w:r>
      <w:r w:rsidR="00FA74DD">
        <w:rPr>
          <w:rFonts w:ascii="Times New Roman" w:hAnsi="Times New Roman" w:cs="Times New Roman"/>
          <w:b/>
          <w:szCs w:val="24"/>
        </w:rPr>
        <w:t>Would you p</w:t>
      </w:r>
      <w:r w:rsidR="00B84BE6">
        <w:rPr>
          <w:rStyle w:val="LineNumber"/>
          <w:b/>
        </w:rPr>
        <w:t xml:space="preserve">lease summarize the Company’s proposals included in this </w:t>
      </w:r>
      <w:r w:rsidR="00FA74DD">
        <w:rPr>
          <w:rStyle w:val="LineNumber"/>
          <w:b/>
        </w:rPr>
        <w:t xml:space="preserve">electric and natural gas </w:t>
      </w:r>
      <w:r w:rsidR="00B84BE6">
        <w:rPr>
          <w:rStyle w:val="LineNumber"/>
          <w:b/>
        </w:rPr>
        <w:t>general rate case filing</w:t>
      </w:r>
      <w:r w:rsidR="00FA74DD">
        <w:rPr>
          <w:rStyle w:val="LineNumber"/>
          <w:b/>
        </w:rPr>
        <w:t>?</w:t>
      </w:r>
    </w:p>
    <w:p w:rsidR="007C274D" w:rsidRPr="007C274D" w:rsidRDefault="000A1579" w:rsidP="007C274D">
      <w:pPr>
        <w:pStyle w:val="BodyTextIndent"/>
        <w:tabs>
          <w:tab w:val="left" w:pos="1440"/>
        </w:tabs>
        <w:ind w:firstLine="720"/>
        <w:jc w:val="both"/>
        <w:rPr>
          <w:rFonts w:ascii="Times New Roman" w:hAnsi="Times New Roman" w:cs="Times New Roman"/>
          <w:b w:val="0"/>
        </w:rPr>
      </w:pPr>
      <w:r w:rsidRPr="007C274D">
        <w:rPr>
          <w:rFonts w:ascii="Times New Roman" w:hAnsi="Times New Roman" w:cs="Times New Roman"/>
          <w:b w:val="0"/>
        </w:rPr>
        <w:t>A.</w:t>
      </w:r>
      <w:r w:rsidRPr="007C274D">
        <w:rPr>
          <w:rFonts w:ascii="Times New Roman" w:hAnsi="Times New Roman" w:cs="Times New Roman"/>
          <w:b w:val="0"/>
        </w:rPr>
        <w:tab/>
        <w:t>Yes.  In this filing</w:t>
      </w:r>
      <w:r w:rsidR="007C274D">
        <w:rPr>
          <w:rFonts w:ascii="Times New Roman" w:hAnsi="Times New Roman" w:cs="Times New Roman"/>
          <w:b w:val="0"/>
        </w:rPr>
        <w:t xml:space="preserve"> the Comp</w:t>
      </w:r>
      <w:r w:rsidR="007C274D" w:rsidRPr="007C274D">
        <w:rPr>
          <w:rFonts w:ascii="Times New Roman" w:hAnsi="Times New Roman" w:cs="Times New Roman"/>
          <w:b w:val="0"/>
        </w:rPr>
        <w:t>any is proposing a Three-Year Rate Plan</w:t>
      </w:r>
      <w:r w:rsidR="00DE4EC6">
        <w:rPr>
          <w:rFonts w:ascii="Times New Roman" w:hAnsi="Times New Roman" w:cs="Times New Roman"/>
          <w:b w:val="0"/>
        </w:rPr>
        <w:t>, which would begin with new rates effective</w:t>
      </w:r>
      <w:r w:rsidR="007C274D" w:rsidRPr="007C274D">
        <w:rPr>
          <w:rFonts w:ascii="Times New Roman" w:hAnsi="Times New Roman" w:cs="Times New Roman"/>
          <w:b w:val="0"/>
        </w:rPr>
        <w:t xml:space="preserve"> </w:t>
      </w:r>
      <w:r w:rsidR="007C274D" w:rsidRPr="007C274D">
        <w:rPr>
          <w:rStyle w:val="LineNumber"/>
          <w:b w:val="0"/>
        </w:rPr>
        <w:t>May 1, 2018</w:t>
      </w:r>
      <w:r w:rsidR="00021DAB">
        <w:rPr>
          <w:rStyle w:val="LineNumber"/>
          <w:b w:val="0"/>
        </w:rPr>
        <w:t>, an</w:t>
      </w:r>
      <w:r w:rsidR="00DE4EC6">
        <w:rPr>
          <w:rStyle w:val="LineNumber"/>
          <w:b w:val="0"/>
        </w:rPr>
        <w:t>d</w:t>
      </w:r>
      <w:r w:rsidR="00021DAB">
        <w:rPr>
          <w:rStyle w:val="LineNumber"/>
          <w:b w:val="0"/>
        </w:rPr>
        <w:t xml:space="preserve"> run</w:t>
      </w:r>
      <w:r w:rsidR="007C274D" w:rsidRPr="007C274D">
        <w:rPr>
          <w:rStyle w:val="LineNumber"/>
          <w:b w:val="0"/>
        </w:rPr>
        <w:t xml:space="preserve"> through April 30, 202</w:t>
      </w:r>
      <w:r w:rsidR="00021DAB">
        <w:rPr>
          <w:rStyle w:val="LineNumber"/>
          <w:b w:val="0"/>
        </w:rPr>
        <w:t>1.  Avista is pr</w:t>
      </w:r>
      <w:r w:rsidR="00041A4C">
        <w:rPr>
          <w:rStyle w:val="LineNumber"/>
          <w:b w:val="0"/>
        </w:rPr>
        <w:t>oposing electric and natural gas</w:t>
      </w:r>
      <w:r w:rsidR="00021DAB">
        <w:rPr>
          <w:rStyle w:val="LineNumber"/>
          <w:b w:val="0"/>
        </w:rPr>
        <w:t xml:space="preserve"> revenue increases</w:t>
      </w:r>
      <w:r w:rsidR="00041A4C">
        <w:rPr>
          <w:rStyle w:val="LineNumber"/>
          <w:b w:val="0"/>
        </w:rPr>
        <w:t xml:space="preserve"> to</w:t>
      </w:r>
      <w:r w:rsidR="00021DAB">
        <w:rPr>
          <w:rStyle w:val="LineNumber"/>
          <w:b w:val="0"/>
        </w:rPr>
        <w:t xml:space="preserve"> occur</w:t>
      </w:r>
      <w:r w:rsidR="007C274D" w:rsidRPr="007C274D">
        <w:rPr>
          <w:rFonts w:ascii="Times New Roman" w:hAnsi="Times New Roman" w:cs="Times New Roman"/>
          <w:b w:val="0"/>
        </w:rPr>
        <w:t xml:space="preserve"> May 1, 2018, </w:t>
      </w:r>
      <w:r w:rsidR="00021DAB">
        <w:rPr>
          <w:rFonts w:ascii="Times New Roman" w:hAnsi="Times New Roman" w:cs="Times New Roman"/>
          <w:b w:val="0"/>
        </w:rPr>
        <w:t xml:space="preserve">May 1, </w:t>
      </w:r>
      <w:r w:rsidR="007C274D" w:rsidRPr="007C274D">
        <w:rPr>
          <w:rFonts w:ascii="Times New Roman" w:hAnsi="Times New Roman" w:cs="Times New Roman"/>
          <w:b w:val="0"/>
        </w:rPr>
        <w:t xml:space="preserve">2019 and </w:t>
      </w:r>
      <w:r w:rsidR="00021DAB">
        <w:rPr>
          <w:rFonts w:ascii="Times New Roman" w:hAnsi="Times New Roman" w:cs="Times New Roman"/>
          <w:b w:val="0"/>
        </w:rPr>
        <w:t xml:space="preserve">May 1, </w:t>
      </w:r>
      <w:r w:rsidR="007C274D" w:rsidRPr="007C274D">
        <w:rPr>
          <w:rFonts w:ascii="Times New Roman" w:hAnsi="Times New Roman" w:cs="Times New Roman"/>
          <w:b w:val="0"/>
        </w:rPr>
        <w:t>202</w:t>
      </w:r>
      <w:r w:rsidR="009733F0">
        <w:rPr>
          <w:rFonts w:ascii="Times New Roman" w:hAnsi="Times New Roman" w:cs="Times New Roman"/>
          <w:b w:val="0"/>
        </w:rPr>
        <w:t>0</w:t>
      </w:r>
      <w:r w:rsidR="007C274D" w:rsidRPr="007C274D">
        <w:rPr>
          <w:rFonts w:ascii="Times New Roman" w:hAnsi="Times New Roman" w:cs="Times New Roman"/>
          <w:b w:val="0"/>
        </w:rPr>
        <w:t xml:space="preserve">.  </w:t>
      </w:r>
    </w:p>
    <w:p w:rsidR="007C274D" w:rsidRDefault="00000C55" w:rsidP="007C274D">
      <w:pPr>
        <w:pStyle w:val="BodyTextIndent"/>
        <w:tabs>
          <w:tab w:val="left" w:pos="1440"/>
        </w:tabs>
        <w:ind w:firstLine="720"/>
        <w:jc w:val="both"/>
        <w:rPr>
          <w:rFonts w:ascii="Times New Roman" w:hAnsi="Times New Roman" w:cs="Times New Roman"/>
          <w:b w:val="0"/>
        </w:rPr>
      </w:pPr>
      <w:r>
        <w:rPr>
          <w:rFonts w:ascii="Times New Roman" w:hAnsi="Times New Roman" w:cs="Times New Roman"/>
          <w:b w:val="0"/>
        </w:rPr>
        <w:t>The Three-Y</w:t>
      </w:r>
      <w:r w:rsidR="005D72E0">
        <w:rPr>
          <w:rFonts w:ascii="Times New Roman" w:hAnsi="Times New Roman" w:cs="Times New Roman"/>
          <w:b w:val="0"/>
        </w:rPr>
        <w:t xml:space="preserve">ear </w:t>
      </w:r>
      <w:r>
        <w:rPr>
          <w:rFonts w:ascii="Times New Roman" w:hAnsi="Times New Roman" w:cs="Times New Roman"/>
          <w:b w:val="0"/>
        </w:rPr>
        <w:t>Rate P</w:t>
      </w:r>
      <w:r w:rsidR="005D72E0">
        <w:rPr>
          <w:rFonts w:ascii="Times New Roman" w:hAnsi="Times New Roman" w:cs="Times New Roman"/>
          <w:b w:val="0"/>
        </w:rPr>
        <w:t xml:space="preserve">lan is designed to accomplish a number of objectives.  </w:t>
      </w:r>
      <w:r w:rsidR="00650F8C">
        <w:rPr>
          <w:rFonts w:ascii="Times New Roman" w:hAnsi="Times New Roman" w:cs="Times New Roman"/>
          <w:b w:val="0"/>
        </w:rPr>
        <w:t>First, this</w:t>
      </w:r>
      <w:r w:rsidR="005D72E0">
        <w:rPr>
          <w:rFonts w:ascii="Times New Roman" w:hAnsi="Times New Roman" w:cs="Times New Roman"/>
          <w:b w:val="0"/>
        </w:rPr>
        <w:t xml:space="preserve"> filing</w:t>
      </w:r>
      <w:r w:rsidR="007C274D" w:rsidRPr="007C274D">
        <w:rPr>
          <w:rFonts w:ascii="Times New Roman" w:hAnsi="Times New Roman" w:cs="Times New Roman"/>
          <w:b w:val="0"/>
        </w:rPr>
        <w:t xml:space="preserve"> in </w:t>
      </w:r>
      <w:r w:rsidR="005D72E0">
        <w:rPr>
          <w:rFonts w:ascii="Times New Roman" w:hAnsi="Times New Roman" w:cs="Times New Roman"/>
          <w:b w:val="0"/>
        </w:rPr>
        <w:t>late May 2017</w:t>
      </w:r>
      <w:r w:rsidR="007C274D" w:rsidRPr="007C274D">
        <w:rPr>
          <w:rFonts w:ascii="Times New Roman" w:hAnsi="Times New Roman" w:cs="Times New Roman"/>
          <w:b w:val="0"/>
        </w:rPr>
        <w:t xml:space="preserve"> </w:t>
      </w:r>
      <w:r w:rsidR="005D72E0">
        <w:rPr>
          <w:rFonts w:ascii="Times New Roman" w:hAnsi="Times New Roman" w:cs="Times New Roman"/>
          <w:b w:val="0"/>
        </w:rPr>
        <w:t>will have the effect of changing</w:t>
      </w:r>
      <w:r w:rsidR="007C274D" w:rsidRPr="007C274D">
        <w:rPr>
          <w:rFonts w:ascii="Times New Roman" w:hAnsi="Times New Roman" w:cs="Times New Roman"/>
          <w:b w:val="0"/>
        </w:rPr>
        <w:t xml:space="preserve"> the “cycle” of base rate adjustments from the middle o</w:t>
      </w:r>
      <w:r w:rsidR="005D72E0">
        <w:rPr>
          <w:rFonts w:ascii="Times New Roman" w:hAnsi="Times New Roman" w:cs="Times New Roman"/>
          <w:b w:val="0"/>
        </w:rPr>
        <w:t>f winter to approximately May 1</w:t>
      </w:r>
      <w:r w:rsidR="005D72E0" w:rsidRPr="005D72E0">
        <w:rPr>
          <w:rFonts w:ascii="Times New Roman" w:hAnsi="Times New Roman" w:cs="Times New Roman"/>
          <w:b w:val="0"/>
          <w:vertAlign w:val="superscript"/>
        </w:rPr>
        <w:t>st</w:t>
      </w:r>
      <w:r w:rsidR="000C7313">
        <w:rPr>
          <w:rFonts w:ascii="Times New Roman" w:hAnsi="Times New Roman" w:cs="Times New Roman"/>
          <w:b w:val="0"/>
        </w:rPr>
        <w:t xml:space="preserve"> – </w:t>
      </w:r>
      <w:r w:rsidR="00650F8C">
        <w:rPr>
          <w:rFonts w:ascii="Times New Roman" w:hAnsi="Times New Roman" w:cs="Times New Roman"/>
          <w:b w:val="0"/>
        </w:rPr>
        <w:t>after</w:t>
      </w:r>
      <w:r w:rsidR="005D72E0">
        <w:rPr>
          <w:rFonts w:ascii="Times New Roman" w:hAnsi="Times New Roman" w:cs="Times New Roman"/>
          <w:b w:val="0"/>
        </w:rPr>
        <w:t xml:space="preserve"> the end of the winter heating season.</w:t>
      </w:r>
      <w:r w:rsidR="007C274D" w:rsidRPr="007C274D">
        <w:rPr>
          <w:rFonts w:ascii="Times New Roman" w:hAnsi="Times New Roman" w:cs="Times New Roman"/>
          <w:b w:val="0"/>
        </w:rPr>
        <w:t xml:space="preserve">  </w:t>
      </w:r>
      <w:r w:rsidR="005D72E0">
        <w:rPr>
          <w:rFonts w:ascii="Times New Roman" w:hAnsi="Times New Roman" w:cs="Times New Roman"/>
          <w:b w:val="0"/>
        </w:rPr>
        <w:t>Customer</w:t>
      </w:r>
      <w:r w:rsidR="00650F8C">
        <w:rPr>
          <w:rFonts w:ascii="Times New Roman" w:hAnsi="Times New Roman" w:cs="Times New Roman"/>
          <w:b w:val="0"/>
        </w:rPr>
        <w:t>s</w:t>
      </w:r>
      <w:r w:rsidR="005D72E0">
        <w:rPr>
          <w:rFonts w:ascii="Times New Roman" w:hAnsi="Times New Roman" w:cs="Times New Roman"/>
          <w:b w:val="0"/>
        </w:rPr>
        <w:t xml:space="preserve"> will</w:t>
      </w:r>
      <w:r w:rsidR="007C274D" w:rsidRPr="007C274D">
        <w:rPr>
          <w:rFonts w:ascii="Times New Roman" w:hAnsi="Times New Roman" w:cs="Times New Roman"/>
          <w:b w:val="0"/>
        </w:rPr>
        <w:t xml:space="preserve"> not experience a base rate increase in the middle of winter.  </w:t>
      </w:r>
    </w:p>
    <w:p w:rsidR="00DE4EC6" w:rsidRDefault="009867D0" w:rsidP="000C7313">
      <w:pPr>
        <w:pStyle w:val="BodyTextIndent"/>
        <w:tabs>
          <w:tab w:val="left" w:pos="1440"/>
        </w:tabs>
        <w:ind w:firstLine="720"/>
        <w:jc w:val="both"/>
        <w:rPr>
          <w:rFonts w:ascii="Times New Roman" w:hAnsi="Times New Roman" w:cs="Times New Roman"/>
          <w:b w:val="0"/>
        </w:rPr>
      </w:pPr>
      <w:r>
        <w:rPr>
          <w:rFonts w:ascii="Times New Roman" w:hAnsi="Times New Roman" w:cs="Times New Roman"/>
          <w:b w:val="0"/>
        </w:rPr>
        <w:t xml:space="preserve">Second, the multi-year rate plan </w:t>
      </w:r>
      <w:r w:rsidR="000C7313">
        <w:rPr>
          <w:rFonts w:ascii="Times New Roman" w:hAnsi="Times New Roman" w:cs="Times New Roman"/>
          <w:b w:val="0"/>
        </w:rPr>
        <w:t>will reduce the burden to all stakeholders of processing a</w:t>
      </w:r>
      <w:r w:rsidR="00DE4EC6">
        <w:rPr>
          <w:rFonts w:ascii="Times New Roman" w:hAnsi="Times New Roman" w:cs="Times New Roman"/>
          <w:b w:val="0"/>
        </w:rPr>
        <w:t xml:space="preserve"> general rate case every year.  The Three-Year Rate Plan would result in a “stay-out” period such that Avista would not file another general rate case prior to June 1, 2020.</w:t>
      </w:r>
    </w:p>
    <w:p w:rsidR="00504886" w:rsidRPr="00504886" w:rsidRDefault="000C7313" w:rsidP="00504886">
      <w:pPr>
        <w:pStyle w:val="BodyTextIndent"/>
        <w:tabs>
          <w:tab w:val="left" w:pos="1440"/>
        </w:tabs>
        <w:ind w:firstLine="720"/>
        <w:jc w:val="both"/>
        <w:rPr>
          <w:rFonts w:ascii="Times New Roman" w:hAnsi="Times New Roman" w:cs="Times New Roman"/>
          <w:b w:val="0"/>
        </w:rPr>
      </w:pPr>
      <w:r>
        <w:rPr>
          <w:rFonts w:ascii="Times New Roman" w:hAnsi="Times New Roman" w:cs="Times New Roman"/>
          <w:b w:val="0"/>
        </w:rPr>
        <w:t>Third, the rate p</w:t>
      </w:r>
      <w:r w:rsidR="007C274D" w:rsidRPr="007C274D">
        <w:rPr>
          <w:rFonts w:ascii="Times New Roman" w:hAnsi="Times New Roman" w:cs="Times New Roman"/>
          <w:b w:val="0"/>
        </w:rPr>
        <w:t xml:space="preserve">lan </w:t>
      </w:r>
      <w:r>
        <w:rPr>
          <w:rFonts w:ascii="Times New Roman" w:hAnsi="Times New Roman" w:cs="Times New Roman"/>
          <w:b w:val="0"/>
        </w:rPr>
        <w:t xml:space="preserve">will </w:t>
      </w:r>
      <w:r w:rsidR="007C274D" w:rsidRPr="007C274D">
        <w:rPr>
          <w:rFonts w:ascii="Times New Roman" w:hAnsi="Times New Roman" w:cs="Times New Roman"/>
          <w:b w:val="0"/>
        </w:rPr>
        <w:t xml:space="preserve">provide a degree of </w:t>
      </w:r>
      <w:r>
        <w:rPr>
          <w:rFonts w:ascii="Times New Roman" w:hAnsi="Times New Roman" w:cs="Times New Roman"/>
          <w:b w:val="0"/>
        </w:rPr>
        <w:t xml:space="preserve">predictability of retail rates for customers for the next three years.  Finally, the multi-year plan will provide </w:t>
      </w:r>
      <w:r w:rsidR="007C274D" w:rsidRPr="007C274D">
        <w:rPr>
          <w:rFonts w:ascii="Times New Roman" w:hAnsi="Times New Roman" w:cs="Times New Roman"/>
          <w:b w:val="0"/>
        </w:rPr>
        <w:t xml:space="preserve">an incentive for Avista to manage its costs in order to </w:t>
      </w:r>
      <w:r>
        <w:rPr>
          <w:rFonts w:ascii="Times New Roman" w:hAnsi="Times New Roman" w:cs="Times New Roman"/>
          <w:b w:val="0"/>
        </w:rPr>
        <w:t>have the opportunity to earn the</w:t>
      </w:r>
      <w:r w:rsidR="007C274D" w:rsidRPr="007C274D">
        <w:rPr>
          <w:rFonts w:ascii="Times New Roman" w:hAnsi="Times New Roman" w:cs="Times New Roman"/>
          <w:b w:val="0"/>
        </w:rPr>
        <w:t xml:space="preserve"> authorized rate of return </w:t>
      </w:r>
      <w:r>
        <w:rPr>
          <w:rFonts w:ascii="Times New Roman" w:hAnsi="Times New Roman" w:cs="Times New Roman"/>
          <w:b w:val="0"/>
        </w:rPr>
        <w:t>during</w:t>
      </w:r>
      <w:r w:rsidR="007C274D" w:rsidRPr="007C274D">
        <w:rPr>
          <w:rFonts w:ascii="Times New Roman" w:hAnsi="Times New Roman" w:cs="Times New Roman"/>
          <w:b w:val="0"/>
        </w:rPr>
        <w:t xml:space="preserve"> the </w:t>
      </w:r>
      <w:r>
        <w:rPr>
          <w:rFonts w:ascii="Times New Roman" w:hAnsi="Times New Roman" w:cs="Times New Roman"/>
          <w:b w:val="0"/>
        </w:rPr>
        <w:t>r</w:t>
      </w:r>
      <w:r w:rsidR="007C274D" w:rsidRPr="007C274D">
        <w:rPr>
          <w:rFonts w:ascii="Times New Roman" w:hAnsi="Times New Roman" w:cs="Times New Roman"/>
          <w:b w:val="0"/>
        </w:rPr>
        <w:t xml:space="preserve">ate </w:t>
      </w:r>
      <w:r>
        <w:rPr>
          <w:rFonts w:ascii="Times New Roman" w:hAnsi="Times New Roman" w:cs="Times New Roman"/>
          <w:b w:val="0"/>
        </w:rPr>
        <w:t>p</w:t>
      </w:r>
      <w:r w:rsidR="007C274D" w:rsidRPr="007C274D">
        <w:rPr>
          <w:rFonts w:ascii="Times New Roman" w:hAnsi="Times New Roman" w:cs="Times New Roman"/>
          <w:b w:val="0"/>
        </w:rPr>
        <w:t>lan period.</w:t>
      </w:r>
      <w:r w:rsidR="00504886">
        <w:rPr>
          <w:rFonts w:ascii="Times New Roman" w:hAnsi="Times New Roman" w:cs="Times New Roman"/>
          <w:b w:val="0"/>
        </w:rPr>
        <w:br w:type="page"/>
      </w:r>
    </w:p>
    <w:p w:rsidR="00B84BE6" w:rsidRDefault="004D13A9" w:rsidP="004D13A9">
      <w:pPr>
        <w:tabs>
          <w:tab w:val="left" w:pos="0"/>
        </w:tabs>
        <w:spacing w:line="480" w:lineRule="auto"/>
        <w:jc w:val="both"/>
        <w:rPr>
          <w:b/>
          <w:bCs/>
        </w:rPr>
      </w:pPr>
      <w:r>
        <w:rPr>
          <w:b/>
          <w:bCs/>
        </w:rPr>
        <w:lastRenderedPageBreak/>
        <w:tab/>
      </w:r>
      <w:r w:rsidR="000A1579" w:rsidRPr="00345A0E">
        <w:rPr>
          <w:b/>
          <w:bCs/>
        </w:rPr>
        <w:t>Q.</w:t>
      </w:r>
      <w:r w:rsidR="000A1579" w:rsidRPr="00345A0E">
        <w:rPr>
          <w:b/>
          <w:bCs/>
        </w:rPr>
        <w:tab/>
      </w:r>
      <w:r w:rsidR="00B84BE6">
        <w:rPr>
          <w:b/>
          <w:bCs/>
        </w:rPr>
        <w:t xml:space="preserve">What are the revenue increases proposed for Avista’s </w:t>
      </w:r>
      <w:r w:rsidR="00B84BE6" w:rsidRPr="00B84BE6">
        <w:rPr>
          <w:b/>
          <w:bCs/>
          <w:u w:val="single"/>
        </w:rPr>
        <w:t>electric</w:t>
      </w:r>
      <w:r w:rsidR="00B84BE6">
        <w:rPr>
          <w:b/>
          <w:bCs/>
        </w:rPr>
        <w:t xml:space="preserve"> operations?</w:t>
      </w:r>
    </w:p>
    <w:p w:rsidR="00141AB5" w:rsidRDefault="000A1579" w:rsidP="00141AB5">
      <w:pPr>
        <w:spacing w:line="480" w:lineRule="auto"/>
        <w:ind w:firstLine="720"/>
        <w:jc w:val="both"/>
      </w:pPr>
      <w:r w:rsidRPr="00345A0E">
        <w:t>A.</w:t>
      </w:r>
      <w:r w:rsidRPr="00345A0E">
        <w:tab/>
      </w:r>
      <w:r w:rsidR="00B50819">
        <w:t>The proposed elec</w:t>
      </w:r>
      <w:r w:rsidR="00B07788">
        <w:t>tric revenue increases for the Three-Year Rate P</w:t>
      </w:r>
      <w:r w:rsidR="00B50819">
        <w:t xml:space="preserve">lan are shown in </w:t>
      </w:r>
      <w:r w:rsidR="004568DA">
        <w:t>Table No. 1</w:t>
      </w:r>
      <w:r w:rsidR="00B50819">
        <w:t xml:space="preserve"> below:</w:t>
      </w:r>
    </w:p>
    <w:p w:rsidR="004568DA" w:rsidRDefault="004568DA" w:rsidP="004568DA">
      <w:pPr>
        <w:spacing w:line="480" w:lineRule="auto"/>
        <w:jc w:val="both"/>
      </w:pPr>
      <w:r w:rsidRPr="00413DD7">
        <w:rPr>
          <w:b/>
          <w:u w:val="single"/>
        </w:rPr>
        <w:t xml:space="preserve">Table </w:t>
      </w:r>
      <w:r>
        <w:rPr>
          <w:b/>
          <w:u w:val="single"/>
        </w:rPr>
        <w:t>No. 1 – Three-Year Rate Plan Summary - Electric</w:t>
      </w:r>
    </w:p>
    <w:p w:rsidR="00B50819" w:rsidRPr="00FE1040" w:rsidRDefault="005A5AAC" w:rsidP="005A5AAC">
      <w:pPr>
        <w:tabs>
          <w:tab w:val="center" w:pos="4320"/>
          <w:tab w:val="center" w:pos="6300"/>
          <w:tab w:val="center" w:pos="7920"/>
        </w:tabs>
        <w:jc w:val="both"/>
        <w:rPr>
          <w:b/>
        </w:rPr>
      </w:pPr>
      <w:r w:rsidRPr="00FE1040">
        <w:rPr>
          <w:b/>
        </w:rPr>
        <w:tab/>
        <w:t>Proposed</w:t>
      </w:r>
      <w:r w:rsidR="003E50DE">
        <w:rPr>
          <w:b/>
        </w:rPr>
        <w:t xml:space="preserve"> Electric</w:t>
      </w:r>
      <w:r w:rsidRPr="00FE1040">
        <w:rPr>
          <w:b/>
        </w:rPr>
        <w:tab/>
        <w:t>Base %</w:t>
      </w:r>
      <w:r w:rsidRPr="00FE1040">
        <w:rPr>
          <w:b/>
        </w:rPr>
        <w:tab/>
        <w:t>Billed %</w:t>
      </w:r>
      <w:r w:rsidR="00910D74">
        <w:rPr>
          <w:rStyle w:val="FootnoteReference"/>
          <w:b/>
        </w:rPr>
        <w:footnoteReference w:id="1"/>
      </w:r>
    </w:p>
    <w:p w:rsidR="005A5AAC" w:rsidRPr="00FE1040" w:rsidRDefault="005A5AAC" w:rsidP="005A5AAC">
      <w:pPr>
        <w:tabs>
          <w:tab w:val="center" w:pos="4320"/>
          <w:tab w:val="center" w:pos="6300"/>
          <w:tab w:val="center" w:pos="7920"/>
        </w:tabs>
        <w:jc w:val="both"/>
        <w:rPr>
          <w:b/>
        </w:rPr>
      </w:pPr>
      <w:r w:rsidRPr="00FE1040">
        <w:rPr>
          <w:b/>
        </w:rPr>
        <w:tab/>
      </w:r>
      <w:r w:rsidRPr="00FE1040">
        <w:rPr>
          <w:b/>
          <w:u w:val="single"/>
        </w:rPr>
        <w:t xml:space="preserve">Revenue Increase </w:t>
      </w:r>
      <w:r w:rsidRPr="00FE1040">
        <w:rPr>
          <w:b/>
        </w:rPr>
        <w:tab/>
      </w:r>
      <w:proofErr w:type="spellStart"/>
      <w:r w:rsidRPr="00FE1040">
        <w:rPr>
          <w:b/>
          <w:u w:val="single"/>
        </w:rPr>
        <w:t>Increase</w:t>
      </w:r>
      <w:proofErr w:type="spellEnd"/>
      <w:r w:rsidRPr="00FE1040">
        <w:rPr>
          <w:b/>
        </w:rPr>
        <w:tab/>
      </w:r>
      <w:proofErr w:type="spellStart"/>
      <w:r w:rsidRPr="00FE1040">
        <w:rPr>
          <w:b/>
          <w:u w:val="single"/>
        </w:rPr>
        <w:t>Increase</w:t>
      </w:r>
      <w:proofErr w:type="spellEnd"/>
    </w:p>
    <w:p w:rsidR="005A5AAC" w:rsidRDefault="005A5AAC" w:rsidP="005A5AAC">
      <w:pPr>
        <w:tabs>
          <w:tab w:val="center" w:pos="4320"/>
          <w:tab w:val="center" w:pos="6300"/>
          <w:tab w:val="center" w:pos="7920"/>
        </w:tabs>
        <w:jc w:val="both"/>
      </w:pPr>
    </w:p>
    <w:p w:rsidR="005A5AAC" w:rsidRDefault="005A5AAC" w:rsidP="005A5AAC">
      <w:pPr>
        <w:tabs>
          <w:tab w:val="center" w:pos="4320"/>
          <w:tab w:val="center" w:pos="6300"/>
          <w:tab w:val="center" w:pos="7920"/>
        </w:tabs>
        <w:ind w:firstLine="720"/>
        <w:jc w:val="both"/>
      </w:pPr>
      <w:r>
        <w:t>May 1, 2018</w:t>
      </w:r>
      <w:r>
        <w:tab/>
        <w:t>$61.4 million</w:t>
      </w:r>
      <w:r>
        <w:tab/>
        <w:t>12.5%</w:t>
      </w:r>
      <w:r>
        <w:tab/>
        <w:t>8.8%</w:t>
      </w:r>
    </w:p>
    <w:p w:rsidR="005A5AAC" w:rsidRDefault="005A5AAC" w:rsidP="005A5AAC">
      <w:pPr>
        <w:tabs>
          <w:tab w:val="center" w:pos="4320"/>
          <w:tab w:val="center" w:pos="6300"/>
          <w:tab w:val="center" w:pos="7920"/>
        </w:tabs>
        <w:ind w:firstLine="720"/>
        <w:jc w:val="both"/>
      </w:pPr>
    </w:p>
    <w:p w:rsidR="005A5AAC" w:rsidRDefault="005A5AAC" w:rsidP="005A5AAC">
      <w:pPr>
        <w:tabs>
          <w:tab w:val="center" w:pos="4320"/>
          <w:tab w:val="center" w:pos="6300"/>
          <w:tab w:val="center" w:pos="7920"/>
        </w:tabs>
        <w:ind w:firstLine="720"/>
        <w:jc w:val="both"/>
      </w:pPr>
      <w:r>
        <w:t>May 1, 2019</w:t>
      </w:r>
      <w:r>
        <w:tab/>
      </w:r>
      <w:r w:rsidR="00E35591">
        <w:t>$14.0 million</w:t>
      </w:r>
      <w:r w:rsidR="00E35591">
        <w:tab/>
      </w:r>
      <w:r w:rsidR="00B00313">
        <w:t>2.5%</w:t>
      </w:r>
      <w:r w:rsidR="00E35591">
        <w:rPr>
          <w:rStyle w:val="FootnoteReference"/>
        </w:rPr>
        <w:footnoteReference w:id="2"/>
      </w:r>
      <w:r>
        <w:tab/>
        <w:t>2.4%</w:t>
      </w:r>
    </w:p>
    <w:p w:rsidR="005A5AAC" w:rsidRDefault="005A5AAC" w:rsidP="005A5AAC">
      <w:pPr>
        <w:tabs>
          <w:tab w:val="center" w:pos="4320"/>
          <w:tab w:val="center" w:pos="6300"/>
          <w:tab w:val="center" w:pos="7920"/>
        </w:tabs>
        <w:ind w:firstLine="720"/>
        <w:jc w:val="both"/>
      </w:pPr>
    </w:p>
    <w:p w:rsidR="005A5AAC" w:rsidRDefault="005A5AAC" w:rsidP="005A5AAC">
      <w:pPr>
        <w:tabs>
          <w:tab w:val="center" w:pos="4320"/>
          <w:tab w:val="center" w:pos="6300"/>
          <w:tab w:val="center" w:pos="7920"/>
        </w:tabs>
        <w:ind w:firstLine="720"/>
        <w:jc w:val="both"/>
      </w:pPr>
      <w:r>
        <w:t>May 1, 2020</w:t>
      </w:r>
      <w:r>
        <w:tab/>
      </w:r>
      <w:r w:rsidR="00FE1040">
        <w:t>$14.4 million</w:t>
      </w:r>
      <w:r w:rsidR="00FE1040">
        <w:tab/>
      </w:r>
      <w:r w:rsidR="00B00313">
        <w:t>2.5%</w:t>
      </w:r>
      <w:r w:rsidR="00E35591" w:rsidRPr="00E35591">
        <w:rPr>
          <w:vertAlign w:val="superscript"/>
        </w:rPr>
        <w:t>2</w:t>
      </w:r>
      <w:r w:rsidR="00B00313">
        <w:tab/>
        <w:t>2.5</w:t>
      </w:r>
      <w:r w:rsidR="00FE1040">
        <w:t>%</w:t>
      </w:r>
    </w:p>
    <w:p w:rsidR="005A5AAC" w:rsidRDefault="005A5AAC" w:rsidP="005A5AAC">
      <w:pPr>
        <w:tabs>
          <w:tab w:val="center" w:pos="6300"/>
        </w:tabs>
        <w:spacing w:line="480" w:lineRule="auto"/>
        <w:ind w:firstLine="720"/>
        <w:jc w:val="both"/>
      </w:pPr>
    </w:p>
    <w:p w:rsidR="00FB3DF3" w:rsidRDefault="00FB3DF3" w:rsidP="00FB3DF3">
      <w:pPr>
        <w:tabs>
          <w:tab w:val="center" w:pos="6300"/>
        </w:tabs>
        <w:spacing w:line="480" w:lineRule="auto"/>
        <w:ind w:firstLine="720"/>
        <w:jc w:val="both"/>
        <w:rPr>
          <w:rFonts w:eastAsiaTheme="minorEastAsia"/>
          <w:noProof/>
        </w:rPr>
      </w:pPr>
      <w:r>
        <w:rPr>
          <w:rFonts w:eastAsiaTheme="minorEastAsia"/>
          <w:noProof/>
        </w:rPr>
        <w:t>The Company’s</w:t>
      </w:r>
      <w:r w:rsidR="00800DE0">
        <w:rPr>
          <w:rFonts w:eastAsiaTheme="minorEastAsia"/>
          <w:noProof/>
        </w:rPr>
        <w:t xml:space="preserve"> electric and natural gas</w:t>
      </w:r>
      <w:r>
        <w:rPr>
          <w:rFonts w:eastAsiaTheme="minorEastAsia"/>
          <w:noProof/>
        </w:rPr>
        <w:t xml:space="preserve"> request</w:t>
      </w:r>
      <w:r w:rsidR="00800DE0">
        <w:rPr>
          <w:rFonts w:eastAsiaTheme="minorEastAsia"/>
          <w:noProof/>
        </w:rPr>
        <w:t>s are</w:t>
      </w:r>
      <w:r>
        <w:rPr>
          <w:rFonts w:eastAsiaTheme="minorEastAsia"/>
          <w:noProof/>
        </w:rPr>
        <w:t xml:space="preserve"> based on a proposed rate of return of 7.76%</w:t>
      </w:r>
      <w:r w:rsidR="00800DE0">
        <w:rPr>
          <w:rFonts w:eastAsiaTheme="minorEastAsia"/>
          <w:noProof/>
        </w:rPr>
        <w:t>,</w:t>
      </w:r>
      <w:r>
        <w:rPr>
          <w:rFonts w:eastAsiaTheme="minorEastAsia"/>
          <w:noProof/>
        </w:rPr>
        <w:t xml:space="preserve"> wi</w:t>
      </w:r>
      <w:r w:rsidR="00342DE6">
        <w:rPr>
          <w:rFonts w:eastAsiaTheme="minorEastAsia"/>
          <w:noProof/>
        </w:rPr>
        <w:t>th a common equity ratio of 50</w:t>
      </w:r>
      <w:r>
        <w:rPr>
          <w:rFonts w:eastAsiaTheme="minorEastAsia"/>
          <w:noProof/>
        </w:rPr>
        <w:t>% and a 9.9% return on equity</w:t>
      </w:r>
      <w:r w:rsidR="00B07788">
        <w:rPr>
          <w:rFonts w:eastAsiaTheme="minorEastAsia"/>
          <w:noProof/>
        </w:rPr>
        <w:t xml:space="preserve"> (ROE)</w:t>
      </w:r>
      <w:r>
        <w:rPr>
          <w:rFonts w:eastAsiaTheme="minorEastAsia"/>
          <w:noProof/>
        </w:rPr>
        <w:t xml:space="preserve">.  </w:t>
      </w:r>
    </w:p>
    <w:p w:rsidR="005A5AAC" w:rsidRDefault="00910D74" w:rsidP="00FB3DF3">
      <w:pPr>
        <w:spacing w:line="480" w:lineRule="auto"/>
        <w:ind w:firstLine="720"/>
        <w:jc w:val="both"/>
        <w:rPr>
          <w:b/>
        </w:rPr>
      </w:pPr>
      <w:r w:rsidRPr="006F2D1A">
        <w:rPr>
          <w:b/>
        </w:rPr>
        <w:t>Q.</w:t>
      </w:r>
      <w:r w:rsidR="00FB3DF3">
        <w:rPr>
          <w:b/>
        </w:rPr>
        <w:tab/>
      </w:r>
      <w:r w:rsidRPr="006F2D1A">
        <w:rPr>
          <w:b/>
        </w:rPr>
        <w:t xml:space="preserve">Why is the Billed percentage increase for May 1, 2018 </w:t>
      </w:r>
      <w:r w:rsidR="000F21AD">
        <w:rPr>
          <w:b/>
        </w:rPr>
        <w:t xml:space="preserve">of 8.8% </w:t>
      </w:r>
      <w:r w:rsidRPr="006F2D1A">
        <w:rPr>
          <w:b/>
        </w:rPr>
        <w:t>so much lower than the Base percentage</w:t>
      </w:r>
      <w:r w:rsidR="002F7720">
        <w:rPr>
          <w:b/>
        </w:rPr>
        <w:t xml:space="preserve"> of 12.5%</w:t>
      </w:r>
      <w:r w:rsidR="006F2D1A">
        <w:rPr>
          <w:b/>
        </w:rPr>
        <w:t>?</w:t>
      </w:r>
    </w:p>
    <w:p w:rsidR="006F2D1A" w:rsidRPr="006F2D1A" w:rsidRDefault="006F2D1A" w:rsidP="00506842">
      <w:pPr>
        <w:spacing w:line="480" w:lineRule="auto"/>
        <w:ind w:firstLine="720"/>
        <w:jc w:val="both"/>
      </w:pPr>
      <w:r w:rsidRPr="006F2D1A">
        <w:t>A.</w:t>
      </w:r>
      <w:r w:rsidRPr="006F2D1A">
        <w:tab/>
      </w:r>
      <w:r w:rsidR="000F21AD">
        <w:t>T</w:t>
      </w:r>
      <w:r w:rsidR="008F7C15">
        <w:t>he</w:t>
      </w:r>
      <w:r w:rsidR="002502C2">
        <w:t xml:space="preserve"> primary</w:t>
      </w:r>
      <w:r w:rsidR="000F21AD">
        <w:t xml:space="preserve"> reason for the difference is the proposed Power Cost Rate Adjustment </w:t>
      </w:r>
      <w:r w:rsidR="007079F1">
        <w:t xml:space="preserve">also </w:t>
      </w:r>
      <w:r w:rsidR="000F21AD">
        <w:t>filed by Avista on May 26, 2017</w:t>
      </w:r>
      <w:r w:rsidR="00FD38E1">
        <w:t>,</w:t>
      </w:r>
      <w:r w:rsidR="000F21AD">
        <w:t xml:space="preserve"> to become effective September</w:t>
      </w:r>
      <w:r w:rsidR="00783A77">
        <w:t xml:space="preserve"> 1, 2017.  Power supply costs were not updated at the conclusion of our last general rate case at the end of 2016, and the costs </w:t>
      </w:r>
      <w:r w:rsidR="001E1EED">
        <w:t xml:space="preserve">in 2017 </w:t>
      </w:r>
      <w:r w:rsidR="00783A77">
        <w:t>are significan</w:t>
      </w:r>
      <w:r w:rsidR="001E1EED">
        <w:t>tly higher</w:t>
      </w:r>
      <w:r w:rsidR="00783A77">
        <w:t xml:space="preserve"> than in 2016, due primarily to the expiration of the capacity sale agreement with Portland General Electric on December 31, 2016.  </w:t>
      </w:r>
      <w:r w:rsidR="00B07788">
        <w:t>If the proposed Power C</w:t>
      </w:r>
      <w:r w:rsidR="00FE6E14">
        <w:t xml:space="preserve">ost </w:t>
      </w:r>
      <w:r w:rsidR="00B07788">
        <w:t>Rate A</w:t>
      </w:r>
      <w:r w:rsidR="00FE6E14">
        <w:t xml:space="preserve">djustment is approved, billed rates will increase by </w:t>
      </w:r>
      <w:r w:rsidR="007E6B10">
        <w:lastRenderedPageBreak/>
        <w:t>$15.0 million</w:t>
      </w:r>
      <w:r w:rsidR="00FB3DF3">
        <w:t xml:space="preserve"> (</w:t>
      </w:r>
      <w:r w:rsidR="00FE6E14">
        <w:t>2.92%</w:t>
      </w:r>
      <w:r w:rsidR="00FB3DF3">
        <w:t>)</w:t>
      </w:r>
      <w:r w:rsidR="007E6B10">
        <w:t>,</w:t>
      </w:r>
      <w:r w:rsidR="00FE6E14">
        <w:t xml:space="preserve"> on September 1, 2017, which would reduce the incremental </w:t>
      </w:r>
      <w:r w:rsidR="002502C2">
        <w:t xml:space="preserve">(billed) </w:t>
      </w:r>
      <w:r w:rsidR="00FE6E14">
        <w:t>revenue increase needed for May 1, 2018.</w:t>
      </w:r>
      <w:r w:rsidR="00FE6E14">
        <w:rPr>
          <w:rStyle w:val="FootnoteReference"/>
        </w:rPr>
        <w:footnoteReference w:id="3"/>
      </w:r>
    </w:p>
    <w:p w:rsidR="005A5AAC" w:rsidRPr="00464A8E" w:rsidRDefault="00464A8E" w:rsidP="00506842">
      <w:pPr>
        <w:spacing w:line="480" w:lineRule="auto"/>
        <w:ind w:firstLine="720"/>
        <w:jc w:val="both"/>
        <w:rPr>
          <w:b/>
        </w:rPr>
      </w:pPr>
      <w:r w:rsidRPr="00464A8E">
        <w:rPr>
          <w:b/>
        </w:rPr>
        <w:t>Q.</w:t>
      </w:r>
      <w:r w:rsidRPr="00464A8E">
        <w:rPr>
          <w:b/>
        </w:rPr>
        <w:tab/>
        <w:t>How is the Company proposing to spread the May 1, 2018</w:t>
      </w:r>
      <w:r w:rsidR="006F35FA">
        <w:rPr>
          <w:b/>
        </w:rPr>
        <w:t xml:space="preserve"> electric</w:t>
      </w:r>
      <w:r w:rsidRPr="00464A8E">
        <w:rPr>
          <w:b/>
        </w:rPr>
        <w:t xml:space="preserve"> increase to each of the customer rate schedules?</w:t>
      </w:r>
    </w:p>
    <w:p w:rsidR="00FE6E14" w:rsidRDefault="00464A8E" w:rsidP="00506842">
      <w:pPr>
        <w:spacing w:line="480" w:lineRule="auto"/>
        <w:ind w:firstLine="720"/>
        <w:jc w:val="both"/>
        <w:rPr>
          <w:rFonts w:eastAsiaTheme="minorEastAsia"/>
          <w:noProof/>
        </w:rPr>
      </w:pPr>
      <w:r>
        <w:rPr>
          <w:rFonts w:eastAsiaTheme="minorEastAsia"/>
          <w:noProof/>
        </w:rPr>
        <w:t>A.</w:t>
      </w:r>
      <w:r>
        <w:rPr>
          <w:rFonts w:eastAsiaTheme="minorEastAsia"/>
          <w:noProof/>
        </w:rPr>
        <w:tab/>
      </w:r>
      <w:r w:rsidR="006878BE">
        <w:rPr>
          <w:rFonts w:eastAsiaTheme="minorEastAsia"/>
          <w:noProof/>
        </w:rPr>
        <w:t>The proposed electric increase to each customer rate schedule effective May 1</w:t>
      </w:r>
      <w:r w:rsidR="00993614">
        <w:rPr>
          <w:rFonts w:eastAsiaTheme="minorEastAsia"/>
          <w:noProof/>
        </w:rPr>
        <w:t>, 2018 is shown in Illustration</w:t>
      </w:r>
      <w:r w:rsidR="004F2C1D">
        <w:rPr>
          <w:rFonts w:eastAsiaTheme="minorEastAsia"/>
          <w:noProof/>
        </w:rPr>
        <w:t xml:space="preserve"> </w:t>
      </w:r>
      <w:r w:rsidR="0071657B">
        <w:rPr>
          <w:rFonts w:eastAsiaTheme="minorEastAsia"/>
          <w:noProof/>
        </w:rPr>
        <w:t xml:space="preserve">No. </w:t>
      </w:r>
      <w:r w:rsidR="006878BE">
        <w:rPr>
          <w:rFonts w:eastAsiaTheme="minorEastAsia"/>
          <w:noProof/>
        </w:rPr>
        <w:t>1 below.  The proposed increases to the Residential and General Service schedules are different than the overall proposed increase, in order to move the revenues for these schedules closer to the costs to serve these schedules.</w:t>
      </w:r>
      <w:r w:rsidR="006878BE">
        <w:rPr>
          <w:rStyle w:val="FootnoteReference"/>
          <w:rFonts w:eastAsiaTheme="minorEastAsia"/>
          <w:noProof/>
        </w:rPr>
        <w:footnoteReference w:id="4"/>
      </w:r>
    </w:p>
    <w:p w:rsidR="00B10907" w:rsidRDefault="00B10907" w:rsidP="00B10907">
      <w:pPr>
        <w:tabs>
          <w:tab w:val="left" w:pos="0"/>
          <w:tab w:val="left" w:pos="720"/>
          <w:tab w:val="left" w:pos="6030"/>
        </w:tabs>
        <w:spacing w:line="480" w:lineRule="auto"/>
        <w:jc w:val="both"/>
        <w:rPr>
          <w:b/>
          <w:u w:val="single"/>
        </w:rPr>
      </w:pPr>
      <w:r w:rsidRPr="007F631B">
        <w:rPr>
          <w:noProof/>
        </w:rPr>
        <w:drawing>
          <wp:anchor distT="0" distB="0" distL="114300" distR="114300" simplePos="0" relativeHeight="251670528" behindDoc="1" locked="0" layoutInCell="1" allowOverlap="1" wp14:anchorId="4525DC40" wp14:editId="587F5765">
            <wp:simplePos x="0" y="0"/>
            <wp:positionH relativeFrom="column">
              <wp:posOffset>529722</wp:posOffset>
            </wp:positionH>
            <wp:positionV relativeFrom="paragraph">
              <wp:posOffset>353060</wp:posOffset>
            </wp:positionV>
            <wp:extent cx="4822190" cy="18459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219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614">
        <w:rPr>
          <w:b/>
          <w:bCs/>
          <w:u w:val="single"/>
        </w:rPr>
        <w:t>Illustration</w:t>
      </w:r>
      <w:r w:rsidR="000A1579">
        <w:rPr>
          <w:b/>
          <w:bCs/>
          <w:u w:val="single"/>
        </w:rPr>
        <w:t xml:space="preserve"> </w:t>
      </w:r>
      <w:r w:rsidR="000F6050">
        <w:rPr>
          <w:b/>
          <w:bCs/>
          <w:u w:val="single"/>
        </w:rPr>
        <w:t xml:space="preserve">No. </w:t>
      </w:r>
      <w:r w:rsidR="000A1579">
        <w:rPr>
          <w:b/>
          <w:bCs/>
          <w:u w:val="single"/>
        </w:rPr>
        <w:t>1</w:t>
      </w:r>
      <w:r w:rsidR="0071657B">
        <w:rPr>
          <w:b/>
          <w:bCs/>
          <w:u w:val="single"/>
        </w:rPr>
        <w:t xml:space="preserve"> </w:t>
      </w:r>
      <w:r w:rsidR="0071657B" w:rsidRPr="00990BCA">
        <w:rPr>
          <w:b/>
          <w:u w:val="single"/>
        </w:rPr>
        <w:t>– Proposed % Electric Increase by Schedule</w:t>
      </w:r>
    </w:p>
    <w:p w:rsidR="000A1579" w:rsidRDefault="000A1579" w:rsidP="00B10907">
      <w:pPr>
        <w:tabs>
          <w:tab w:val="left" w:pos="0"/>
          <w:tab w:val="left" w:pos="720"/>
          <w:tab w:val="left" w:pos="6030"/>
        </w:tabs>
        <w:spacing w:line="480" w:lineRule="auto"/>
        <w:jc w:val="both"/>
        <w:rPr>
          <w:b/>
          <w:bCs/>
        </w:rPr>
      </w:pPr>
    </w:p>
    <w:p w:rsidR="000A1579" w:rsidRDefault="000A1579" w:rsidP="00B10907">
      <w:pPr>
        <w:tabs>
          <w:tab w:val="left" w:pos="0"/>
        </w:tabs>
        <w:spacing w:line="480" w:lineRule="auto"/>
        <w:ind w:right="-173" w:firstLine="720"/>
        <w:jc w:val="both"/>
        <w:rPr>
          <w:b/>
          <w:bCs/>
        </w:rPr>
      </w:pPr>
    </w:p>
    <w:p w:rsidR="000A1579" w:rsidRDefault="000A1579" w:rsidP="000A1579">
      <w:pPr>
        <w:tabs>
          <w:tab w:val="left" w:pos="0"/>
        </w:tabs>
        <w:spacing w:line="480" w:lineRule="auto"/>
        <w:ind w:right="-173" w:firstLine="720"/>
        <w:jc w:val="both"/>
        <w:rPr>
          <w:b/>
          <w:bCs/>
        </w:rPr>
      </w:pPr>
    </w:p>
    <w:p w:rsidR="00CF2B2E" w:rsidRDefault="00CF2B2E" w:rsidP="000A1579">
      <w:pPr>
        <w:tabs>
          <w:tab w:val="left" w:pos="0"/>
        </w:tabs>
        <w:spacing w:line="480" w:lineRule="auto"/>
        <w:ind w:right="-173" w:firstLine="720"/>
        <w:jc w:val="both"/>
        <w:rPr>
          <w:b/>
          <w:bCs/>
        </w:rPr>
      </w:pPr>
    </w:p>
    <w:p w:rsidR="00CF2B2E" w:rsidRDefault="00CF2B2E" w:rsidP="000A1579">
      <w:pPr>
        <w:tabs>
          <w:tab w:val="left" w:pos="0"/>
        </w:tabs>
        <w:spacing w:line="480" w:lineRule="auto"/>
        <w:ind w:right="-173" w:firstLine="720"/>
        <w:jc w:val="both"/>
        <w:rPr>
          <w:b/>
          <w:bCs/>
        </w:rPr>
      </w:pPr>
    </w:p>
    <w:p w:rsidR="00C4147C" w:rsidRDefault="00C4147C" w:rsidP="000A1579">
      <w:pPr>
        <w:tabs>
          <w:tab w:val="left" w:pos="0"/>
        </w:tabs>
        <w:spacing w:line="480" w:lineRule="auto"/>
        <w:ind w:right="-173" w:firstLine="720"/>
        <w:jc w:val="both"/>
        <w:rPr>
          <w:b/>
          <w:bCs/>
        </w:rPr>
      </w:pPr>
    </w:p>
    <w:p w:rsidR="00AD2FA6" w:rsidRDefault="00AD2FA6" w:rsidP="000A1579">
      <w:pPr>
        <w:tabs>
          <w:tab w:val="left" w:pos="0"/>
        </w:tabs>
        <w:spacing w:line="480" w:lineRule="auto"/>
        <w:ind w:firstLine="720"/>
        <w:jc w:val="both"/>
        <w:rPr>
          <w:b/>
          <w:bCs/>
        </w:rPr>
      </w:pPr>
      <w:r>
        <w:rPr>
          <w:b/>
          <w:bCs/>
        </w:rPr>
        <w:t>Q.</w:t>
      </w:r>
      <w:r>
        <w:rPr>
          <w:b/>
          <w:bCs/>
        </w:rPr>
        <w:tab/>
      </w:r>
      <w:r w:rsidR="003907FF">
        <w:rPr>
          <w:b/>
          <w:bCs/>
        </w:rPr>
        <w:t>I</w:t>
      </w:r>
      <w:r>
        <w:rPr>
          <w:b/>
          <w:bCs/>
        </w:rPr>
        <w:t xml:space="preserve">s Avista proposing to update power supply costs each year of the </w:t>
      </w:r>
      <w:r w:rsidR="00B07788">
        <w:rPr>
          <w:b/>
          <w:bCs/>
        </w:rPr>
        <w:t>Three-Year Rate P</w:t>
      </w:r>
      <w:r w:rsidR="003907FF">
        <w:rPr>
          <w:b/>
          <w:bCs/>
        </w:rPr>
        <w:t>lan?</w:t>
      </w:r>
    </w:p>
    <w:p w:rsidR="00BE6C21" w:rsidRDefault="00AD2FA6" w:rsidP="00BE6C21">
      <w:pPr>
        <w:pStyle w:val="P130"/>
        <w:tabs>
          <w:tab w:val="clear" w:pos="629"/>
        </w:tabs>
        <w:ind w:left="0" w:firstLine="720"/>
        <w:jc w:val="both"/>
        <w:rPr>
          <w:rFonts w:ascii="Times New Roman" w:hAnsi="Times New Roman" w:cs="Times New Roman"/>
          <w:b w:val="0"/>
        </w:rPr>
      </w:pPr>
      <w:r w:rsidRPr="00BE6C21">
        <w:rPr>
          <w:rFonts w:ascii="Times New Roman" w:hAnsi="Times New Roman" w:cs="Times New Roman"/>
          <w:b w:val="0"/>
          <w:bCs/>
        </w:rPr>
        <w:t>A.</w:t>
      </w:r>
      <w:r w:rsidRPr="00BE6C21">
        <w:rPr>
          <w:rFonts w:ascii="Times New Roman" w:hAnsi="Times New Roman" w:cs="Times New Roman"/>
          <w:b w:val="0"/>
          <w:bCs/>
        </w:rPr>
        <w:tab/>
      </w:r>
      <w:r w:rsidR="003907FF" w:rsidRPr="00BE6C21">
        <w:rPr>
          <w:rFonts w:ascii="Times New Roman" w:hAnsi="Times New Roman" w:cs="Times New Roman"/>
          <w:b w:val="0"/>
          <w:bCs/>
        </w:rPr>
        <w:t>Yes.</w:t>
      </w:r>
      <w:r w:rsidR="003907FF" w:rsidRPr="00BE6C21">
        <w:rPr>
          <w:rFonts w:ascii="Times New Roman" w:hAnsi="Times New Roman" w:cs="Times New Roman"/>
          <w:bCs/>
        </w:rPr>
        <w:t xml:space="preserve">  </w:t>
      </w:r>
      <w:r w:rsidR="00BE6C21">
        <w:rPr>
          <w:rFonts w:ascii="Times New Roman" w:hAnsi="Times New Roman" w:cs="Times New Roman"/>
          <w:b w:val="0"/>
        </w:rPr>
        <w:t>I</w:t>
      </w:r>
      <w:r w:rsidR="00BE6C21" w:rsidRPr="00BE6C21">
        <w:rPr>
          <w:rFonts w:ascii="Times New Roman" w:hAnsi="Times New Roman" w:cs="Times New Roman"/>
          <w:b w:val="0"/>
        </w:rPr>
        <w:t>t is important that the level of power supply</w:t>
      </w:r>
      <w:r w:rsidR="00B07788">
        <w:rPr>
          <w:rFonts w:ascii="Times New Roman" w:hAnsi="Times New Roman" w:cs="Times New Roman"/>
          <w:b w:val="0"/>
        </w:rPr>
        <w:t xml:space="preserve"> costs in customer</w:t>
      </w:r>
      <w:r w:rsidR="00BE6C21">
        <w:rPr>
          <w:rFonts w:ascii="Times New Roman" w:hAnsi="Times New Roman" w:cs="Times New Roman"/>
          <w:b w:val="0"/>
        </w:rPr>
        <w:t>s</w:t>
      </w:r>
      <w:r w:rsidR="00B07788">
        <w:rPr>
          <w:rFonts w:ascii="Times New Roman" w:hAnsi="Times New Roman" w:cs="Times New Roman"/>
          <w:b w:val="0"/>
        </w:rPr>
        <w:t>’</w:t>
      </w:r>
      <w:r w:rsidR="00BE6C21">
        <w:rPr>
          <w:rFonts w:ascii="Times New Roman" w:hAnsi="Times New Roman" w:cs="Times New Roman"/>
          <w:b w:val="0"/>
        </w:rPr>
        <w:t xml:space="preserve"> rates closely reflect</w:t>
      </w:r>
      <w:r w:rsidR="00D00230">
        <w:rPr>
          <w:rFonts w:ascii="Times New Roman" w:hAnsi="Times New Roman" w:cs="Times New Roman"/>
          <w:b w:val="0"/>
        </w:rPr>
        <w:t>s</w:t>
      </w:r>
      <w:r w:rsidR="00BE6C21">
        <w:rPr>
          <w:rFonts w:ascii="Times New Roman" w:hAnsi="Times New Roman" w:cs="Times New Roman"/>
          <w:b w:val="0"/>
        </w:rPr>
        <w:t xml:space="preserve"> the wholesale power and natural gas prices that Avista is actually </w:t>
      </w:r>
      <w:r w:rsidR="00BE6C21">
        <w:rPr>
          <w:rFonts w:ascii="Times New Roman" w:hAnsi="Times New Roman" w:cs="Times New Roman"/>
          <w:b w:val="0"/>
        </w:rPr>
        <w:lastRenderedPageBreak/>
        <w:t>experiencing, especially in the context of a multi-year rate plan.  The opportunity to update power supply co</w:t>
      </w:r>
      <w:r w:rsidR="009733F0">
        <w:rPr>
          <w:rFonts w:ascii="Times New Roman" w:hAnsi="Times New Roman" w:cs="Times New Roman"/>
          <w:b w:val="0"/>
        </w:rPr>
        <w:t>sts on an annual basis is</w:t>
      </w:r>
      <w:r w:rsidR="00BE6C21">
        <w:rPr>
          <w:rFonts w:ascii="Times New Roman" w:hAnsi="Times New Roman" w:cs="Times New Roman"/>
          <w:b w:val="0"/>
        </w:rPr>
        <w:t xml:space="preserve"> an i</w:t>
      </w:r>
      <w:r w:rsidR="00AD4C0D">
        <w:rPr>
          <w:rFonts w:ascii="Times New Roman" w:hAnsi="Times New Roman" w:cs="Times New Roman"/>
          <w:b w:val="0"/>
        </w:rPr>
        <w:t>ntegral part of the Three-Year Rate P</w:t>
      </w:r>
      <w:r w:rsidR="00BE6C21">
        <w:rPr>
          <w:rFonts w:ascii="Times New Roman" w:hAnsi="Times New Roman" w:cs="Times New Roman"/>
          <w:b w:val="0"/>
        </w:rPr>
        <w:t xml:space="preserve">lan.  </w:t>
      </w:r>
    </w:p>
    <w:p w:rsidR="007F5A54" w:rsidRDefault="008C2B90" w:rsidP="00840942">
      <w:pPr>
        <w:pStyle w:val="P130"/>
        <w:tabs>
          <w:tab w:val="clear" w:pos="629"/>
        </w:tabs>
        <w:ind w:left="0" w:firstLine="720"/>
        <w:jc w:val="both"/>
        <w:rPr>
          <w:rFonts w:ascii="Times New Roman" w:hAnsi="Times New Roman" w:cs="Times New Roman"/>
          <w:b w:val="0"/>
        </w:rPr>
      </w:pPr>
      <w:r>
        <w:rPr>
          <w:rFonts w:ascii="Times New Roman" w:hAnsi="Times New Roman" w:cs="Times New Roman"/>
          <w:b w:val="0"/>
        </w:rPr>
        <w:t xml:space="preserve">The annual power supply cost updates would be </w:t>
      </w:r>
      <w:r w:rsidR="007C7E07">
        <w:rPr>
          <w:rFonts w:ascii="Times New Roman" w:hAnsi="Times New Roman" w:cs="Times New Roman"/>
          <w:b w:val="0"/>
        </w:rPr>
        <w:t xml:space="preserve">essentially </w:t>
      </w:r>
      <w:r>
        <w:rPr>
          <w:rFonts w:ascii="Times New Roman" w:hAnsi="Times New Roman" w:cs="Times New Roman"/>
          <w:b w:val="0"/>
        </w:rPr>
        <w:t>the same as those i</w:t>
      </w:r>
      <w:r w:rsidRPr="00C61C7B">
        <w:rPr>
          <w:rFonts w:ascii="Times New Roman" w:hAnsi="Times New Roman" w:cs="Times New Roman"/>
          <w:b w:val="0"/>
        </w:rPr>
        <w:t>n the Company’s 2</w:t>
      </w:r>
      <w:r>
        <w:rPr>
          <w:rFonts w:ascii="Times New Roman" w:hAnsi="Times New Roman" w:cs="Times New Roman"/>
          <w:b w:val="0"/>
        </w:rPr>
        <w:t>014 and 2015 general rate cases.   A</w:t>
      </w:r>
      <w:r w:rsidRPr="00C61C7B">
        <w:rPr>
          <w:rFonts w:ascii="Times New Roman" w:hAnsi="Times New Roman" w:cs="Times New Roman"/>
          <w:b w:val="0"/>
        </w:rPr>
        <w:t>s a part of settlements, Avista agreed to file power supply updates 60 days before new rates were to go in</w:t>
      </w:r>
      <w:r w:rsidR="007C7E07">
        <w:rPr>
          <w:rFonts w:ascii="Times New Roman" w:hAnsi="Times New Roman" w:cs="Times New Roman"/>
          <w:b w:val="0"/>
        </w:rPr>
        <w:t>to effect.  The purpose of the</w:t>
      </w:r>
      <w:r w:rsidRPr="00C61C7B">
        <w:rPr>
          <w:rFonts w:ascii="Times New Roman" w:hAnsi="Times New Roman" w:cs="Times New Roman"/>
          <w:b w:val="0"/>
        </w:rPr>
        <w:t xml:space="preserve"> power supply updates was to: 1) </w:t>
      </w:r>
      <w:r w:rsidR="007C7E07">
        <w:rPr>
          <w:rFonts w:ascii="Times New Roman" w:hAnsi="Times New Roman" w:cs="Times New Roman"/>
          <w:b w:val="0"/>
        </w:rPr>
        <w:t>reflect the most recent</w:t>
      </w:r>
      <w:r w:rsidRPr="00C61C7B">
        <w:rPr>
          <w:rFonts w:ascii="Times New Roman" w:hAnsi="Times New Roman" w:cs="Times New Roman"/>
          <w:b w:val="0"/>
        </w:rPr>
        <w:t xml:space="preserve"> natural gas and electricity </w:t>
      </w:r>
      <w:r w:rsidR="00581EAB">
        <w:rPr>
          <w:rFonts w:ascii="Times New Roman" w:hAnsi="Times New Roman" w:cs="Times New Roman"/>
          <w:b w:val="0"/>
        </w:rPr>
        <w:t xml:space="preserve">wholesale </w:t>
      </w:r>
      <w:r w:rsidRPr="00C61C7B">
        <w:rPr>
          <w:rFonts w:ascii="Times New Roman" w:hAnsi="Times New Roman" w:cs="Times New Roman"/>
          <w:b w:val="0"/>
        </w:rPr>
        <w:t>market</w:t>
      </w:r>
      <w:r w:rsidR="007C7E07">
        <w:rPr>
          <w:rFonts w:ascii="Times New Roman" w:hAnsi="Times New Roman" w:cs="Times New Roman"/>
          <w:b w:val="0"/>
        </w:rPr>
        <w:t xml:space="preserve"> prices</w:t>
      </w:r>
      <w:r w:rsidRPr="00C61C7B">
        <w:rPr>
          <w:rFonts w:ascii="Times New Roman" w:hAnsi="Times New Roman" w:cs="Times New Roman"/>
          <w:b w:val="0"/>
        </w:rPr>
        <w:t xml:space="preserve">; 2) include new short-term </w:t>
      </w:r>
      <w:r w:rsidR="007C7E07">
        <w:rPr>
          <w:rFonts w:ascii="Times New Roman" w:hAnsi="Times New Roman" w:cs="Times New Roman"/>
          <w:b w:val="0"/>
        </w:rPr>
        <w:t>electric and natural gas contracts</w:t>
      </w:r>
      <w:r w:rsidRPr="00C61C7B">
        <w:rPr>
          <w:rFonts w:ascii="Times New Roman" w:hAnsi="Times New Roman" w:cs="Times New Roman"/>
          <w:b w:val="0"/>
        </w:rPr>
        <w:t xml:space="preserve">; and 3) update </w:t>
      </w:r>
      <w:r w:rsidR="007C7E07">
        <w:rPr>
          <w:rFonts w:ascii="Times New Roman" w:hAnsi="Times New Roman" w:cs="Times New Roman"/>
          <w:b w:val="0"/>
        </w:rPr>
        <w:t>for known changes to power and transmission</w:t>
      </w:r>
      <w:r w:rsidRPr="00C61C7B">
        <w:rPr>
          <w:rFonts w:ascii="Times New Roman" w:hAnsi="Times New Roman" w:cs="Times New Roman"/>
          <w:b w:val="0"/>
        </w:rPr>
        <w:t xml:space="preserve"> contracts for the </w:t>
      </w:r>
      <w:r w:rsidR="007C7E07">
        <w:rPr>
          <w:rFonts w:ascii="Times New Roman" w:hAnsi="Times New Roman" w:cs="Times New Roman"/>
          <w:b w:val="0"/>
        </w:rPr>
        <w:t xml:space="preserve">coming </w:t>
      </w:r>
      <w:r w:rsidR="00840942">
        <w:rPr>
          <w:rFonts w:ascii="Times New Roman" w:hAnsi="Times New Roman" w:cs="Times New Roman"/>
          <w:b w:val="0"/>
        </w:rPr>
        <w:t xml:space="preserve">rate year.  </w:t>
      </w:r>
      <w:r w:rsidR="007F5A54">
        <w:rPr>
          <w:rFonts w:ascii="Times New Roman" w:hAnsi="Times New Roman" w:cs="Times New Roman"/>
          <w:b w:val="0"/>
        </w:rPr>
        <w:t>The proposed annual po</w:t>
      </w:r>
      <w:r w:rsidR="00581EAB">
        <w:rPr>
          <w:rFonts w:ascii="Times New Roman" w:hAnsi="Times New Roman" w:cs="Times New Roman"/>
          <w:b w:val="0"/>
        </w:rPr>
        <w:t>wer supply cost updates are</w:t>
      </w:r>
      <w:r w:rsidR="007F5A54">
        <w:rPr>
          <w:rFonts w:ascii="Times New Roman" w:hAnsi="Times New Roman" w:cs="Times New Roman"/>
          <w:b w:val="0"/>
        </w:rPr>
        <w:t xml:space="preserve"> very similar to the updates that Puget Sound Energy has made</w:t>
      </w:r>
      <w:r w:rsidR="00BE6C21" w:rsidRPr="0011662D">
        <w:rPr>
          <w:rFonts w:ascii="Times New Roman" w:hAnsi="Times New Roman" w:cs="Times New Roman"/>
          <w:b w:val="0"/>
        </w:rPr>
        <w:t xml:space="preserve"> through its </w:t>
      </w:r>
      <w:r w:rsidR="007F5A54">
        <w:rPr>
          <w:rFonts w:ascii="Times New Roman" w:hAnsi="Times New Roman" w:cs="Times New Roman"/>
          <w:b w:val="0"/>
        </w:rPr>
        <w:t>Power Cost Only Rate Case (</w:t>
      </w:r>
      <w:r w:rsidR="00BE6C21" w:rsidRPr="0011662D">
        <w:rPr>
          <w:rFonts w:ascii="Times New Roman" w:hAnsi="Times New Roman" w:cs="Times New Roman"/>
          <w:b w:val="0"/>
        </w:rPr>
        <w:t>PCORC</w:t>
      </w:r>
      <w:r w:rsidR="007F5A54">
        <w:rPr>
          <w:rFonts w:ascii="Times New Roman" w:hAnsi="Times New Roman" w:cs="Times New Roman"/>
          <w:b w:val="0"/>
        </w:rPr>
        <w:t>)</w:t>
      </w:r>
      <w:r w:rsidR="00BE6C21" w:rsidRPr="0011662D">
        <w:rPr>
          <w:rFonts w:ascii="Times New Roman" w:hAnsi="Times New Roman" w:cs="Times New Roman"/>
          <w:b w:val="0"/>
        </w:rPr>
        <w:t xml:space="preserve"> mechanism</w:t>
      </w:r>
      <w:r w:rsidR="007F5A54">
        <w:rPr>
          <w:rFonts w:ascii="Times New Roman" w:hAnsi="Times New Roman" w:cs="Times New Roman"/>
          <w:b w:val="0"/>
        </w:rPr>
        <w:t>.</w:t>
      </w:r>
    </w:p>
    <w:p w:rsidR="00AD2FA6" w:rsidRDefault="00BE6C21" w:rsidP="00E746D0">
      <w:pPr>
        <w:pStyle w:val="P106"/>
        <w:tabs>
          <w:tab w:val="clear" w:pos="810"/>
          <w:tab w:val="left" w:pos="720"/>
        </w:tabs>
        <w:jc w:val="both"/>
        <w:rPr>
          <w:rFonts w:ascii="Times New Roman" w:hAnsi="Times New Roman" w:cs="Times New Roman"/>
        </w:rPr>
      </w:pPr>
      <w:r>
        <w:rPr>
          <w:rFonts w:ascii="Times New Roman" w:hAnsi="Times New Roman" w:cs="Times New Roman"/>
        </w:rPr>
        <w:t>The Company would file with the Commission</w:t>
      </w:r>
      <w:r w:rsidRPr="006F3F1C">
        <w:rPr>
          <w:rFonts w:ascii="Times New Roman" w:hAnsi="Times New Roman" w:cs="Times New Roman"/>
        </w:rPr>
        <w:t xml:space="preserve"> </w:t>
      </w:r>
      <w:r>
        <w:rPr>
          <w:rFonts w:ascii="Times New Roman" w:hAnsi="Times New Roman" w:cs="Times New Roman"/>
        </w:rPr>
        <w:t>electric tariff Schedule 93 on or before February 15</w:t>
      </w:r>
      <w:r w:rsidR="00E746D0">
        <w:rPr>
          <w:rFonts w:ascii="Times New Roman" w:hAnsi="Times New Roman" w:cs="Times New Roman"/>
        </w:rPr>
        <w:t xml:space="preserve">, 2019 </w:t>
      </w:r>
      <w:r>
        <w:rPr>
          <w:rFonts w:ascii="Times New Roman" w:hAnsi="Times New Roman" w:cs="Times New Roman"/>
        </w:rPr>
        <w:t xml:space="preserve">for the May 1, 2019 </w:t>
      </w:r>
      <w:r w:rsidR="00E746D0">
        <w:rPr>
          <w:rFonts w:ascii="Times New Roman" w:hAnsi="Times New Roman" w:cs="Times New Roman"/>
        </w:rPr>
        <w:t xml:space="preserve">update, </w:t>
      </w:r>
      <w:r>
        <w:rPr>
          <w:rFonts w:ascii="Times New Roman" w:hAnsi="Times New Roman" w:cs="Times New Roman"/>
        </w:rPr>
        <w:t>and February 15, 202</w:t>
      </w:r>
      <w:r w:rsidR="00E746D0">
        <w:rPr>
          <w:rFonts w:ascii="Times New Roman" w:hAnsi="Times New Roman" w:cs="Times New Roman"/>
        </w:rPr>
        <w:t xml:space="preserve">0 </w:t>
      </w:r>
      <w:r>
        <w:rPr>
          <w:rFonts w:ascii="Times New Roman" w:hAnsi="Times New Roman" w:cs="Times New Roman"/>
        </w:rPr>
        <w:t xml:space="preserve">for the </w:t>
      </w:r>
      <w:r w:rsidR="00E746D0">
        <w:rPr>
          <w:rFonts w:ascii="Times New Roman" w:hAnsi="Times New Roman" w:cs="Times New Roman"/>
        </w:rPr>
        <w:t>May 1, 2020 update, to reflect changes (up or down) in power supply costs.</w:t>
      </w:r>
      <w:r w:rsidR="00E746D0" w:rsidRPr="00E746D0">
        <w:rPr>
          <w:rStyle w:val="FootnoteReference"/>
          <w:rFonts w:ascii="Times New Roman" w:hAnsi="Times New Roman"/>
          <w:b/>
        </w:rPr>
        <w:t xml:space="preserve"> </w:t>
      </w:r>
      <w:r w:rsidR="00E746D0" w:rsidRPr="009733F0">
        <w:rPr>
          <w:rStyle w:val="FootnoteReference"/>
          <w:rFonts w:ascii="Times New Roman" w:hAnsi="Times New Roman"/>
        </w:rPr>
        <w:footnoteReference w:id="5"/>
      </w:r>
    </w:p>
    <w:p w:rsidR="000A1579" w:rsidRPr="00345A0E" w:rsidRDefault="00B84BE6" w:rsidP="000A1579">
      <w:pPr>
        <w:tabs>
          <w:tab w:val="left" w:pos="0"/>
        </w:tabs>
        <w:spacing w:line="480" w:lineRule="auto"/>
        <w:ind w:firstLine="720"/>
        <w:jc w:val="both"/>
        <w:rPr>
          <w:b/>
          <w:bCs/>
        </w:rPr>
      </w:pPr>
      <w:r>
        <w:rPr>
          <w:b/>
          <w:bCs/>
        </w:rPr>
        <w:t>Q.</w:t>
      </w:r>
      <w:r>
        <w:rPr>
          <w:b/>
          <w:bCs/>
        </w:rPr>
        <w:tab/>
        <w:t xml:space="preserve">What are the revenue increases proposed for </w:t>
      </w:r>
      <w:r w:rsidR="000A1579" w:rsidRPr="00345A0E">
        <w:rPr>
          <w:b/>
          <w:bCs/>
        </w:rPr>
        <w:t>Avista’s</w:t>
      </w:r>
      <w:r w:rsidR="000A1579">
        <w:rPr>
          <w:b/>
          <w:bCs/>
        </w:rPr>
        <w:t xml:space="preserve"> </w:t>
      </w:r>
      <w:r w:rsidR="000A1579" w:rsidRPr="00345A0E">
        <w:rPr>
          <w:b/>
          <w:bCs/>
          <w:u w:val="single"/>
        </w:rPr>
        <w:t>natural gas</w:t>
      </w:r>
      <w:r w:rsidR="000A1579">
        <w:rPr>
          <w:b/>
          <w:bCs/>
        </w:rPr>
        <w:t xml:space="preserve"> </w:t>
      </w:r>
      <w:r>
        <w:rPr>
          <w:b/>
          <w:bCs/>
        </w:rPr>
        <w:t>operations</w:t>
      </w:r>
      <w:r w:rsidR="000A1579" w:rsidRPr="00345A0E">
        <w:rPr>
          <w:b/>
          <w:bCs/>
        </w:rPr>
        <w:t>?</w:t>
      </w:r>
    </w:p>
    <w:p w:rsidR="00EB76B2" w:rsidRDefault="000A1579" w:rsidP="00141AB5">
      <w:pPr>
        <w:spacing w:line="480" w:lineRule="auto"/>
        <w:ind w:firstLine="720"/>
        <w:jc w:val="both"/>
      </w:pPr>
      <w:r w:rsidRPr="00345A0E">
        <w:t>A.</w:t>
      </w:r>
      <w:r w:rsidRPr="00345A0E">
        <w:tab/>
      </w:r>
      <w:r w:rsidR="00EB76B2">
        <w:t>The proposed natural</w:t>
      </w:r>
      <w:r w:rsidR="001C0616">
        <w:t xml:space="preserve"> gas revenue increases for the Three-Year Rate P</w:t>
      </w:r>
      <w:r w:rsidR="00EB76B2">
        <w:t xml:space="preserve">lan are shown in </w:t>
      </w:r>
      <w:r w:rsidR="003C20F8">
        <w:t>Table No. 2</w:t>
      </w:r>
      <w:r w:rsidR="00EB76B2">
        <w:t xml:space="preserve"> below:</w:t>
      </w:r>
      <w:r w:rsidR="00141AB5">
        <w:br w:type="page"/>
      </w:r>
    </w:p>
    <w:p w:rsidR="003C20F8" w:rsidRDefault="003C20F8" w:rsidP="003C20F8">
      <w:pPr>
        <w:spacing w:line="480" w:lineRule="auto"/>
        <w:jc w:val="both"/>
        <w:rPr>
          <w:b/>
        </w:rPr>
      </w:pPr>
      <w:r w:rsidRPr="00413DD7">
        <w:rPr>
          <w:b/>
          <w:u w:val="single"/>
        </w:rPr>
        <w:lastRenderedPageBreak/>
        <w:t xml:space="preserve">Table </w:t>
      </w:r>
      <w:r>
        <w:rPr>
          <w:b/>
          <w:u w:val="single"/>
        </w:rPr>
        <w:t>No. 2 – Three-Year Rate Plan Summary – Natural Gas</w:t>
      </w:r>
    </w:p>
    <w:p w:rsidR="003C20F8" w:rsidRDefault="003C20F8" w:rsidP="00EB76B2">
      <w:pPr>
        <w:tabs>
          <w:tab w:val="center" w:pos="4320"/>
          <w:tab w:val="center" w:pos="6300"/>
          <w:tab w:val="center" w:pos="7920"/>
        </w:tabs>
        <w:jc w:val="both"/>
        <w:rPr>
          <w:b/>
        </w:rPr>
      </w:pPr>
    </w:p>
    <w:p w:rsidR="00EB76B2" w:rsidRPr="00FE1040" w:rsidRDefault="00EB76B2" w:rsidP="00EB76B2">
      <w:pPr>
        <w:tabs>
          <w:tab w:val="center" w:pos="4320"/>
          <w:tab w:val="center" w:pos="6300"/>
          <w:tab w:val="center" w:pos="7920"/>
        </w:tabs>
        <w:jc w:val="both"/>
        <w:rPr>
          <w:b/>
        </w:rPr>
      </w:pPr>
      <w:r w:rsidRPr="00FE1040">
        <w:rPr>
          <w:b/>
        </w:rPr>
        <w:tab/>
        <w:t>Proposed</w:t>
      </w:r>
      <w:r w:rsidR="00E35591">
        <w:rPr>
          <w:b/>
        </w:rPr>
        <w:t xml:space="preserve"> Natural Gas</w:t>
      </w:r>
      <w:r w:rsidRPr="00FE1040">
        <w:rPr>
          <w:b/>
        </w:rPr>
        <w:tab/>
        <w:t>Base %</w:t>
      </w:r>
      <w:r w:rsidRPr="00FE1040">
        <w:rPr>
          <w:b/>
        </w:rPr>
        <w:tab/>
        <w:t>Billed %</w:t>
      </w:r>
      <w:r>
        <w:rPr>
          <w:rStyle w:val="FootnoteReference"/>
          <w:b/>
        </w:rPr>
        <w:footnoteReference w:id="6"/>
      </w:r>
    </w:p>
    <w:p w:rsidR="00EB76B2" w:rsidRPr="00FE1040" w:rsidRDefault="00EB76B2" w:rsidP="00EB76B2">
      <w:pPr>
        <w:tabs>
          <w:tab w:val="center" w:pos="4320"/>
          <w:tab w:val="center" w:pos="6300"/>
          <w:tab w:val="center" w:pos="7920"/>
        </w:tabs>
        <w:jc w:val="both"/>
        <w:rPr>
          <w:b/>
        </w:rPr>
      </w:pPr>
      <w:r w:rsidRPr="00FE1040">
        <w:rPr>
          <w:b/>
        </w:rPr>
        <w:tab/>
      </w:r>
      <w:r w:rsidRPr="00FE1040">
        <w:rPr>
          <w:b/>
          <w:u w:val="single"/>
        </w:rPr>
        <w:t xml:space="preserve">Revenue Increase </w:t>
      </w:r>
      <w:r w:rsidRPr="00FE1040">
        <w:rPr>
          <w:b/>
        </w:rPr>
        <w:tab/>
      </w:r>
      <w:proofErr w:type="spellStart"/>
      <w:r w:rsidRPr="00FE1040">
        <w:rPr>
          <w:b/>
          <w:u w:val="single"/>
        </w:rPr>
        <w:t>Increase</w:t>
      </w:r>
      <w:proofErr w:type="spellEnd"/>
      <w:r w:rsidRPr="00FE1040">
        <w:rPr>
          <w:b/>
        </w:rPr>
        <w:tab/>
      </w:r>
      <w:proofErr w:type="spellStart"/>
      <w:r w:rsidRPr="00FE1040">
        <w:rPr>
          <w:b/>
          <w:u w:val="single"/>
        </w:rPr>
        <w:t>Increase</w:t>
      </w:r>
      <w:proofErr w:type="spellEnd"/>
    </w:p>
    <w:p w:rsidR="00EB76B2" w:rsidRDefault="00EB76B2" w:rsidP="00EB76B2">
      <w:pPr>
        <w:tabs>
          <w:tab w:val="center" w:pos="4320"/>
          <w:tab w:val="center" w:pos="6300"/>
          <w:tab w:val="center" w:pos="7920"/>
        </w:tabs>
        <w:jc w:val="both"/>
      </w:pPr>
    </w:p>
    <w:p w:rsidR="00EB76B2" w:rsidRDefault="00EB76B2" w:rsidP="00EB76B2">
      <w:pPr>
        <w:tabs>
          <w:tab w:val="center" w:pos="4320"/>
          <w:tab w:val="center" w:pos="6300"/>
          <w:tab w:val="center" w:pos="7920"/>
        </w:tabs>
        <w:ind w:firstLine="720"/>
        <w:jc w:val="both"/>
      </w:pPr>
      <w:r>
        <w:t>May 1, 2018</w:t>
      </w:r>
      <w:r>
        <w:tab/>
      </w:r>
      <w:r w:rsidR="00F94D53">
        <w:t>$8.3</w:t>
      </w:r>
      <w:r>
        <w:t xml:space="preserve"> million</w:t>
      </w:r>
      <w:r w:rsidR="00F94D53">
        <w:tab/>
        <w:t>9.3%</w:t>
      </w:r>
      <w:r w:rsidR="00F94D53">
        <w:tab/>
        <w:t>5.4</w:t>
      </w:r>
      <w:r>
        <w:t>%</w:t>
      </w:r>
    </w:p>
    <w:p w:rsidR="00EB76B2" w:rsidRDefault="00EB76B2" w:rsidP="00EB76B2">
      <w:pPr>
        <w:tabs>
          <w:tab w:val="center" w:pos="4320"/>
          <w:tab w:val="center" w:pos="6300"/>
          <w:tab w:val="center" w:pos="7920"/>
        </w:tabs>
        <w:ind w:firstLine="720"/>
        <w:jc w:val="both"/>
      </w:pPr>
    </w:p>
    <w:p w:rsidR="00EB76B2" w:rsidRDefault="00EB76B2" w:rsidP="00EB76B2">
      <w:pPr>
        <w:tabs>
          <w:tab w:val="center" w:pos="4320"/>
          <w:tab w:val="center" w:pos="6300"/>
          <w:tab w:val="center" w:pos="7920"/>
        </w:tabs>
        <w:ind w:firstLine="720"/>
        <w:jc w:val="both"/>
      </w:pPr>
      <w:r>
        <w:t>May 1, 2019</w:t>
      </w:r>
      <w:r>
        <w:tab/>
      </w:r>
      <w:r w:rsidR="00F94D53">
        <w:t>$4.2</w:t>
      </w:r>
      <w:r w:rsidR="00B51045">
        <w:t xml:space="preserve"> million</w:t>
      </w:r>
      <w:r w:rsidR="00B51045">
        <w:tab/>
      </w:r>
      <w:r w:rsidR="002219B2">
        <w:t>4.4%</w:t>
      </w:r>
      <w:r w:rsidR="00F94D53">
        <w:rPr>
          <w:rStyle w:val="FootnoteReference"/>
        </w:rPr>
        <w:footnoteReference w:id="7"/>
      </w:r>
      <w:r w:rsidR="00F94D53">
        <w:tab/>
        <w:t>2.6</w:t>
      </w:r>
      <w:r>
        <w:t>%</w:t>
      </w:r>
    </w:p>
    <w:p w:rsidR="00EB76B2" w:rsidRDefault="00EB76B2" w:rsidP="00EB76B2">
      <w:pPr>
        <w:tabs>
          <w:tab w:val="center" w:pos="4320"/>
          <w:tab w:val="center" w:pos="6300"/>
          <w:tab w:val="center" w:pos="7920"/>
        </w:tabs>
        <w:ind w:firstLine="720"/>
        <w:jc w:val="both"/>
      </w:pPr>
    </w:p>
    <w:p w:rsidR="00EB76B2" w:rsidRDefault="00EB76B2" w:rsidP="00EB76B2">
      <w:pPr>
        <w:tabs>
          <w:tab w:val="center" w:pos="4320"/>
          <w:tab w:val="center" w:pos="6300"/>
          <w:tab w:val="center" w:pos="7920"/>
        </w:tabs>
        <w:ind w:firstLine="720"/>
        <w:jc w:val="both"/>
      </w:pPr>
      <w:r>
        <w:t>May 1, 2020</w:t>
      </w:r>
      <w:r>
        <w:tab/>
      </w:r>
      <w:r w:rsidR="00F94D53">
        <w:t>$4.4</w:t>
      </w:r>
      <w:r w:rsidR="00B51045">
        <w:t xml:space="preserve"> million</w:t>
      </w:r>
      <w:r w:rsidR="00B51045">
        <w:tab/>
      </w:r>
      <w:r w:rsidR="002219B2">
        <w:t>4.4%</w:t>
      </w:r>
      <w:r w:rsidR="00F94D53" w:rsidRPr="00F94D53">
        <w:rPr>
          <w:vertAlign w:val="superscript"/>
        </w:rPr>
        <w:t>7</w:t>
      </w:r>
      <w:r w:rsidR="00F94D53">
        <w:tab/>
        <w:t>2.7</w:t>
      </w:r>
      <w:r>
        <w:t>%</w:t>
      </w:r>
    </w:p>
    <w:p w:rsidR="00EB76B2" w:rsidRDefault="00EB76B2" w:rsidP="00867882">
      <w:pPr>
        <w:pStyle w:val="BodyText2"/>
        <w:tabs>
          <w:tab w:val="left" w:pos="0"/>
          <w:tab w:val="left" w:pos="720"/>
          <w:tab w:val="left" w:pos="1440"/>
          <w:tab w:val="left" w:pos="6030"/>
        </w:tabs>
        <w:ind w:firstLine="720"/>
        <w:jc w:val="both"/>
      </w:pPr>
    </w:p>
    <w:p w:rsidR="00177BC4" w:rsidRPr="00464A8E" w:rsidRDefault="00177BC4" w:rsidP="00177BC4">
      <w:pPr>
        <w:spacing w:line="480" w:lineRule="auto"/>
        <w:ind w:firstLine="720"/>
        <w:jc w:val="both"/>
        <w:rPr>
          <w:b/>
        </w:rPr>
      </w:pPr>
      <w:r w:rsidRPr="00464A8E">
        <w:rPr>
          <w:b/>
        </w:rPr>
        <w:t>Q.</w:t>
      </w:r>
      <w:r w:rsidRPr="00464A8E">
        <w:rPr>
          <w:b/>
        </w:rPr>
        <w:tab/>
        <w:t xml:space="preserve">How is the Company proposing to spread the May 1, 2018 </w:t>
      </w:r>
      <w:r>
        <w:rPr>
          <w:b/>
        </w:rPr>
        <w:t xml:space="preserve">natural gas </w:t>
      </w:r>
      <w:r w:rsidRPr="00464A8E">
        <w:rPr>
          <w:b/>
        </w:rPr>
        <w:t>increase to each of the customer rate schedules?</w:t>
      </w:r>
    </w:p>
    <w:p w:rsidR="00177BC4" w:rsidRDefault="00177BC4" w:rsidP="00177BC4">
      <w:pPr>
        <w:spacing w:line="480" w:lineRule="auto"/>
        <w:ind w:firstLine="720"/>
        <w:jc w:val="both"/>
        <w:rPr>
          <w:rFonts w:eastAsiaTheme="minorEastAsia"/>
          <w:noProof/>
        </w:rPr>
      </w:pPr>
      <w:r>
        <w:rPr>
          <w:rFonts w:eastAsiaTheme="minorEastAsia"/>
          <w:noProof/>
        </w:rPr>
        <w:t>A.</w:t>
      </w:r>
      <w:r>
        <w:rPr>
          <w:rFonts w:eastAsiaTheme="minorEastAsia"/>
          <w:noProof/>
        </w:rPr>
        <w:tab/>
        <w:t>T</w:t>
      </w:r>
      <w:r w:rsidR="001F37B0">
        <w:rPr>
          <w:rFonts w:eastAsiaTheme="minorEastAsia"/>
          <w:noProof/>
        </w:rPr>
        <w:t>he proposed natural gas</w:t>
      </w:r>
      <w:r>
        <w:rPr>
          <w:rFonts w:eastAsiaTheme="minorEastAsia"/>
          <w:noProof/>
        </w:rPr>
        <w:t xml:space="preserve"> increase to each customer rate schedule effective May 1,</w:t>
      </w:r>
      <w:r w:rsidR="00993614">
        <w:rPr>
          <w:rFonts w:eastAsiaTheme="minorEastAsia"/>
          <w:noProof/>
        </w:rPr>
        <w:t xml:space="preserve"> 2018 is shown in Illustration</w:t>
      </w:r>
      <w:r w:rsidR="00EB52A7">
        <w:rPr>
          <w:rFonts w:eastAsiaTheme="minorEastAsia"/>
          <w:noProof/>
        </w:rPr>
        <w:t xml:space="preserve"> </w:t>
      </w:r>
      <w:r w:rsidR="0071657B">
        <w:rPr>
          <w:rFonts w:eastAsiaTheme="minorEastAsia"/>
          <w:noProof/>
        </w:rPr>
        <w:t xml:space="preserve">No. </w:t>
      </w:r>
      <w:r w:rsidR="001F37B0">
        <w:rPr>
          <w:rFonts w:eastAsiaTheme="minorEastAsia"/>
          <w:noProof/>
        </w:rPr>
        <w:t>2 below</w:t>
      </w:r>
      <w:r>
        <w:rPr>
          <w:rFonts w:eastAsiaTheme="minorEastAsia"/>
          <w:noProof/>
        </w:rPr>
        <w:t>.</w:t>
      </w:r>
      <w:r>
        <w:rPr>
          <w:rStyle w:val="FootnoteReference"/>
          <w:rFonts w:eastAsiaTheme="minorEastAsia"/>
          <w:noProof/>
        </w:rPr>
        <w:footnoteReference w:id="8"/>
      </w:r>
    </w:p>
    <w:p w:rsidR="000A1579" w:rsidRPr="00345A0E" w:rsidRDefault="007F631B" w:rsidP="000A1579">
      <w:pPr>
        <w:tabs>
          <w:tab w:val="left" w:pos="0"/>
        </w:tabs>
        <w:spacing w:line="480" w:lineRule="auto"/>
        <w:ind w:right="-173"/>
        <w:jc w:val="both"/>
        <w:rPr>
          <w:b/>
          <w:bCs/>
          <w:u w:val="single"/>
        </w:rPr>
      </w:pPr>
      <w:r w:rsidRPr="007F631B">
        <w:rPr>
          <w:noProof/>
        </w:rPr>
        <w:drawing>
          <wp:anchor distT="0" distB="0" distL="114300" distR="114300" simplePos="0" relativeHeight="251669504" behindDoc="1" locked="0" layoutInCell="1" allowOverlap="1" wp14:anchorId="740B890F" wp14:editId="79960BEB">
            <wp:simplePos x="0" y="0"/>
            <wp:positionH relativeFrom="column">
              <wp:posOffset>596492</wp:posOffset>
            </wp:positionH>
            <wp:positionV relativeFrom="paragraph">
              <wp:posOffset>354330</wp:posOffset>
            </wp:positionV>
            <wp:extent cx="4822190" cy="18027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219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47C">
        <w:rPr>
          <w:b/>
          <w:bCs/>
          <w:u w:val="single"/>
        </w:rPr>
        <w:t>I</w:t>
      </w:r>
      <w:r w:rsidR="00993614">
        <w:rPr>
          <w:b/>
          <w:bCs/>
          <w:u w:val="single"/>
        </w:rPr>
        <w:t>llustration</w:t>
      </w:r>
      <w:r w:rsidR="001D7870">
        <w:rPr>
          <w:b/>
          <w:bCs/>
          <w:u w:val="single"/>
        </w:rPr>
        <w:t xml:space="preserve"> </w:t>
      </w:r>
      <w:r w:rsidR="0071657B">
        <w:rPr>
          <w:b/>
          <w:bCs/>
          <w:u w:val="single"/>
        </w:rPr>
        <w:t xml:space="preserve">No. </w:t>
      </w:r>
      <w:r w:rsidR="001D7870">
        <w:rPr>
          <w:b/>
          <w:bCs/>
          <w:u w:val="single"/>
        </w:rPr>
        <w:t>2</w:t>
      </w:r>
      <w:r w:rsidR="0071657B">
        <w:rPr>
          <w:b/>
          <w:bCs/>
          <w:u w:val="single"/>
        </w:rPr>
        <w:t xml:space="preserve"> </w:t>
      </w:r>
      <w:r w:rsidR="0071657B" w:rsidRPr="00AD3844">
        <w:rPr>
          <w:b/>
          <w:u w:val="single"/>
        </w:rPr>
        <w:t>- Proposed % Natural Gas Increase by Schedule</w:t>
      </w:r>
    </w:p>
    <w:p w:rsidR="000A1579" w:rsidRDefault="000A1579" w:rsidP="000A1579">
      <w:pPr>
        <w:tabs>
          <w:tab w:val="left" w:pos="0"/>
        </w:tabs>
        <w:spacing w:line="480" w:lineRule="auto"/>
        <w:ind w:right="-173"/>
      </w:pPr>
      <w:r w:rsidRPr="00345A0E">
        <w:tab/>
      </w:r>
    </w:p>
    <w:p w:rsidR="000A1579" w:rsidRDefault="000A1579" w:rsidP="000A1579">
      <w:pPr>
        <w:tabs>
          <w:tab w:val="left" w:pos="0"/>
        </w:tabs>
        <w:spacing w:line="480" w:lineRule="auto"/>
        <w:ind w:right="-173"/>
      </w:pPr>
    </w:p>
    <w:p w:rsidR="000A1579" w:rsidRDefault="000A1579" w:rsidP="000A1579">
      <w:pPr>
        <w:tabs>
          <w:tab w:val="left" w:pos="0"/>
        </w:tabs>
        <w:spacing w:line="480" w:lineRule="auto"/>
        <w:ind w:right="-173" w:firstLine="720"/>
        <w:rPr>
          <w:b/>
        </w:rPr>
      </w:pPr>
    </w:p>
    <w:p w:rsidR="000A1579" w:rsidRDefault="000A1579" w:rsidP="000A1579">
      <w:pPr>
        <w:tabs>
          <w:tab w:val="left" w:pos="0"/>
        </w:tabs>
        <w:spacing w:line="480" w:lineRule="auto"/>
        <w:ind w:right="-173" w:firstLine="720"/>
        <w:rPr>
          <w:b/>
        </w:rPr>
      </w:pPr>
    </w:p>
    <w:p w:rsidR="000A1579" w:rsidRDefault="000A1579" w:rsidP="000A1579">
      <w:pPr>
        <w:tabs>
          <w:tab w:val="left" w:pos="0"/>
        </w:tabs>
        <w:spacing w:line="480" w:lineRule="auto"/>
        <w:ind w:right="-173"/>
        <w:jc w:val="both"/>
        <w:rPr>
          <w:b/>
          <w:bCs/>
        </w:rPr>
      </w:pPr>
    </w:p>
    <w:p w:rsidR="000A1579" w:rsidRDefault="000A1579" w:rsidP="000A1579">
      <w:pPr>
        <w:tabs>
          <w:tab w:val="left" w:pos="0"/>
        </w:tabs>
        <w:spacing w:line="480" w:lineRule="auto"/>
        <w:ind w:right="-173" w:firstLine="720"/>
        <w:jc w:val="both"/>
        <w:rPr>
          <w:b/>
          <w:bCs/>
        </w:rPr>
      </w:pPr>
    </w:p>
    <w:p w:rsidR="00D94208" w:rsidRPr="00D94208" w:rsidRDefault="00D94208" w:rsidP="00E746D0">
      <w:pPr>
        <w:tabs>
          <w:tab w:val="left" w:pos="0"/>
        </w:tabs>
        <w:spacing w:line="480" w:lineRule="auto"/>
        <w:ind w:firstLine="720"/>
        <w:jc w:val="both"/>
        <w:rPr>
          <w:b/>
          <w:bCs/>
        </w:rPr>
      </w:pPr>
      <w:r w:rsidRPr="00D94208">
        <w:rPr>
          <w:b/>
          <w:bCs/>
        </w:rPr>
        <w:lastRenderedPageBreak/>
        <w:t>Q.</w:t>
      </w:r>
      <w:r w:rsidRPr="00D94208">
        <w:rPr>
          <w:b/>
          <w:bCs/>
        </w:rPr>
        <w:tab/>
      </w:r>
      <w:r w:rsidR="00516660">
        <w:rPr>
          <w:b/>
          <w:bCs/>
        </w:rPr>
        <w:t>For both the electric and natural gas operations, the proposed revenue increases are hi</w:t>
      </w:r>
      <w:r w:rsidR="00484528">
        <w:rPr>
          <w:b/>
          <w:bCs/>
        </w:rPr>
        <w:t>gher for the first year of the Three-Year Rate P</w:t>
      </w:r>
      <w:r w:rsidR="00516660">
        <w:rPr>
          <w:b/>
          <w:bCs/>
        </w:rPr>
        <w:t>lan, than for years two and three.  W</w:t>
      </w:r>
      <w:r w:rsidRPr="00D94208">
        <w:rPr>
          <w:b/>
          <w:bCs/>
        </w:rPr>
        <w:t xml:space="preserve">hy </w:t>
      </w:r>
      <w:r w:rsidR="00516660">
        <w:rPr>
          <w:b/>
          <w:bCs/>
        </w:rPr>
        <w:t>is that the case</w:t>
      </w:r>
      <w:r w:rsidRPr="00D94208">
        <w:rPr>
          <w:b/>
          <w:bCs/>
        </w:rPr>
        <w:t>?</w:t>
      </w:r>
    </w:p>
    <w:p w:rsidR="00E746D0" w:rsidRDefault="00BA03D7" w:rsidP="00452A52">
      <w:pPr>
        <w:pStyle w:val="P130"/>
        <w:tabs>
          <w:tab w:val="clear" w:pos="629"/>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00484528">
        <w:rPr>
          <w:rFonts w:ascii="Times New Roman" w:hAnsi="Times New Roman" w:cs="Times New Roman"/>
          <w:b w:val="0"/>
        </w:rPr>
        <w:t>The electric and natural gas revenue increases for Year-1 of the Three-Year Rate Plan are higher due primarily to the absen</w:t>
      </w:r>
      <w:r w:rsidR="0057465F">
        <w:rPr>
          <w:rFonts w:ascii="Times New Roman" w:hAnsi="Times New Roman" w:cs="Times New Roman"/>
          <w:b w:val="0"/>
        </w:rPr>
        <w:t>ce of revenue</w:t>
      </w:r>
      <w:r w:rsidR="00484528">
        <w:rPr>
          <w:rFonts w:ascii="Times New Roman" w:hAnsi="Times New Roman" w:cs="Times New Roman"/>
          <w:b w:val="0"/>
        </w:rPr>
        <w:t xml:space="preserve"> increases in January 2017.  The rejection of </w:t>
      </w:r>
      <w:r w:rsidR="00716B90">
        <w:rPr>
          <w:rFonts w:ascii="Times New Roman" w:hAnsi="Times New Roman" w:cs="Times New Roman"/>
          <w:b w:val="0"/>
        </w:rPr>
        <w:t>Avista’s</w:t>
      </w:r>
      <w:r w:rsidR="00484528">
        <w:rPr>
          <w:rFonts w:ascii="Times New Roman" w:hAnsi="Times New Roman" w:cs="Times New Roman"/>
          <w:b w:val="0"/>
        </w:rPr>
        <w:t xml:space="preserve"> proposed revenue increases for 2017 compounds the need for revenue increases at the conclusion of this case.  </w:t>
      </w:r>
      <w:r w:rsidR="00D00230">
        <w:rPr>
          <w:rFonts w:ascii="Times New Roman" w:hAnsi="Times New Roman" w:cs="Times New Roman"/>
          <w:b w:val="0"/>
        </w:rPr>
        <w:t>Base r</w:t>
      </w:r>
      <w:r w:rsidR="009733F0">
        <w:rPr>
          <w:rFonts w:ascii="Times New Roman" w:hAnsi="Times New Roman" w:cs="Times New Roman"/>
          <w:b w:val="0"/>
        </w:rPr>
        <w:t xml:space="preserve">etail </w:t>
      </w:r>
      <w:r w:rsidR="00484528">
        <w:rPr>
          <w:rFonts w:ascii="Times New Roman" w:hAnsi="Times New Roman" w:cs="Times New Roman"/>
          <w:b w:val="0"/>
        </w:rPr>
        <w:t xml:space="preserve">rates were last </w:t>
      </w:r>
      <w:r w:rsidR="009733F0">
        <w:rPr>
          <w:rFonts w:ascii="Times New Roman" w:hAnsi="Times New Roman" w:cs="Times New Roman"/>
          <w:b w:val="0"/>
        </w:rPr>
        <w:t>adjusted in January 2016.</w:t>
      </w:r>
      <w:r w:rsidR="009733F0">
        <w:rPr>
          <w:rStyle w:val="FootnoteReference"/>
          <w:rFonts w:ascii="Times New Roman" w:hAnsi="Times New Roman"/>
          <w:b w:val="0"/>
        </w:rPr>
        <w:footnoteReference w:id="9"/>
      </w:r>
    </w:p>
    <w:p w:rsidR="000E0155" w:rsidRDefault="000E0155" w:rsidP="00452A52">
      <w:pPr>
        <w:pStyle w:val="P130"/>
        <w:tabs>
          <w:tab w:val="clear" w:pos="629"/>
        </w:tabs>
        <w:ind w:left="0" w:firstLine="720"/>
        <w:jc w:val="both"/>
        <w:rPr>
          <w:rFonts w:ascii="Times New Roman" w:hAnsi="Times New Roman" w:cs="Times New Roman"/>
          <w:b w:val="0"/>
        </w:rPr>
      </w:pPr>
      <w:r>
        <w:rPr>
          <w:rFonts w:ascii="Times New Roman" w:hAnsi="Times New Roman" w:cs="Times New Roman"/>
          <w:b w:val="0"/>
        </w:rPr>
        <w:t>It is also noteworthy that, for electric customers, the last base rate increase occurred in January 2015.  The base rate adjustment in January 2016 for electric custome</w:t>
      </w:r>
      <w:r w:rsidR="00716B90">
        <w:rPr>
          <w:rFonts w:ascii="Times New Roman" w:hAnsi="Times New Roman" w:cs="Times New Roman"/>
          <w:b w:val="0"/>
        </w:rPr>
        <w:t>rs was a rate reduction of 1.6</w:t>
      </w:r>
      <w:r>
        <w:rPr>
          <w:rFonts w:ascii="Times New Roman" w:hAnsi="Times New Roman" w:cs="Times New Roman"/>
          <w:b w:val="0"/>
        </w:rPr>
        <w:t xml:space="preserve">%, and as indicated above, no base rate increase was approved for customers for 2017.  </w:t>
      </w:r>
    </w:p>
    <w:p w:rsidR="000F6050" w:rsidRPr="008D09DC" w:rsidRDefault="000F6050" w:rsidP="000F6050">
      <w:pPr>
        <w:pStyle w:val="P130"/>
        <w:tabs>
          <w:tab w:val="clear" w:pos="629"/>
        </w:tabs>
        <w:ind w:left="0" w:firstLine="720"/>
        <w:jc w:val="both"/>
        <w:rPr>
          <w:rFonts w:ascii="Times New Roman" w:hAnsi="Times New Roman" w:cs="Times New Roman"/>
        </w:rPr>
      </w:pPr>
      <w:r w:rsidRPr="008D09DC">
        <w:rPr>
          <w:rFonts w:ascii="Times New Roman" w:hAnsi="Times New Roman" w:cs="Times New Roman"/>
        </w:rPr>
        <w:t>Q.</w:t>
      </w:r>
      <w:r w:rsidRPr="008D09DC">
        <w:rPr>
          <w:rFonts w:ascii="Times New Roman" w:hAnsi="Times New Roman" w:cs="Times New Roman"/>
        </w:rPr>
        <w:tab/>
      </w:r>
      <w:r>
        <w:rPr>
          <w:rFonts w:ascii="Times New Roman" w:hAnsi="Times New Roman" w:cs="Times New Roman"/>
        </w:rPr>
        <w:t>Are there</w:t>
      </w:r>
      <w:r w:rsidRPr="008D09DC">
        <w:rPr>
          <w:rFonts w:ascii="Times New Roman" w:hAnsi="Times New Roman" w:cs="Times New Roman"/>
        </w:rPr>
        <w:t xml:space="preserve"> some “che</w:t>
      </w:r>
      <w:r w:rsidR="00D00230">
        <w:rPr>
          <w:rFonts w:ascii="Times New Roman" w:hAnsi="Times New Roman" w:cs="Times New Roman"/>
        </w:rPr>
        <w:t>cks and balances” as part of Avista’s</w:t>
      </w:r>
      <w:r w:rsidRPr="008D09DC">
        <w:rPr>
          <w:rFonts w:ascii="Times New Roman" w:hAnsi="Times New Roman" w:cs="Times New Roman"/>
        </w:rPr>
        <w:t xml:space="preserve"> Three-Y</w:t>
      </w:r>
      <w:r>
        <w:rPr>
          <w:rFonts w:ascii="Times New Roman" w:hAnsi="Times New Roman" w:cs="Times New Roman"/>
        </w:rPr>
        <w:t>ear Rate Plan proposal to ensure that retail rates are</w:t>
      </w:r>
      <w:r w:rsidRPr="008D09DC">
        <w:rPr>
          <w:rFonts w:ascii="Times New Roman" w:hAnsi="Times New Roman" w:cs="Times New Roman"/>
        </w:rPr>
        <w:t xml:space="preserve"> fair for customers throughout the multi-year plan?</w:t>
      </w:r>
    </w:p>
    <w:p w:rsidR="000F6050" w:rsidRPr="005B5D30" w:rsidRDefault="000F6050" w:rsidP="000F6050">
      <w:pPr>
        <w:pStyle w:val="BodyTextIndent"/>
        <w:ind w:firstLine="720"/>
        <w:jc w:val="both"/>
        <w:rPr>
          <w:rFonts w:ascii="Times New Roman" w:hAnsi="Times New Roman" w:cs="Times New Roman"/>
          <w:b w:val="0"/>
          <w:u w:val="single"/>
        </w:rPr>
      </w:pPr>
      <w:r>
        <w:rPr>
          <w:rFonts w:ascii="Times New Roman" w:hAnsi="Times New Roman" w:cs="Times New Roman"/>
          <w:b w:val="0"/>
        </w:rPr>
        <w:t>A.</w:t>
      </w:r>
      <w:r>
        <w:rPr>
          <w:rFonts w:ascii="Times New Roman" w:hAnsi="Times New Roman" w:cs="Times New Roman"/>
          <w:b w:val="0"/>
        </w:rPr>
        <w:tab/>
        <w:t>Yes.  Through the existing</w:t>
      </w:r>
      <w:r w:rsidRPr="005B5D30">
        <w:rPr>
          <w:rFonts w:ascii="Times New Roman" w:hAnsi="Times New Roman" w:cs="Times New Roman"/>
          <w:b w:val="0"/>
        </w:rPr>
        <w:t xml:space="preserve"> electric and natural gas Decoupling Mechanisms Avista is subject to</w:t>
      </w:r>
      <w:r>
        <w:rPr>
          <w:rFonts w:ascii="Times New Roman" w:hAnsi="Times New Roman" w:cs="Times New Roman"/>
          <w:b w:val="0"/>
        </w:rPr>
        <w:t xml:space="preserve"> separate one-way earnings tests</w:t>
      </w:r>
      <w:r w:rsidRPr="005B5D30">
        <w:rPr>
          <w:rFonts w:ascii="Times New Roman" w:hAnsi="Times New Roman" w:cs="Times New Roman"/>
          <w:b w:val="0"/>
        </w:rPr>
        <w:t xml:space="preserve"> for each of its Washington electr</w:t>
      </w:r>
      <w:r>
        <w:rPr>
          <w:rFonts w:ascii="Times New Roman" w:hAnsi="Times New Roman" w:cs="Times New Roman"/>
          <w:b w:val="0"/>
        </w:rPr>
        <w:t xml:space="preserve">ic and natural gas operations.  </w:t>
      </w:r>
      <w:r w:rsidRPr="005B5D30">
        <w:rPr>
          <w:rFonts w:ascii="Times New Roman" w:hAnsi="Times New Roman" w:cs="Times New Roman"/>
          <w:b w:val="0"/>
        </w:rPr>
        <w:t xml:space="preserve">If Avista were to over-earn during the Three-Year Rate Plan, Avista </w:t>
      </w:r>
      <w:r>
        <w:rPr>
          <w:rFonts w:ascii="Times New Roman" w:hAnsi="Times New Roman" w:cs="Times New Roman"/>
          <w:b w:val="0"/>
        </w:rPr>
        <w:t>would share half of the</w:t>
      </w:r>
      <w:r w:rsidRPr="005B5D30">
        <w:rPr>
          <w:rFonts w:ascii="Times New Roman" w:hAnsi="Times New Roman" w:cs="Times New Roman"/>
          <w:b w:val="0"/>
        </w:rPr>
        <w:t xml:space="preserve"> overearnings, protecting customers.  However, if Avista under-earns there is no protection for the Co</w:t>
      </w:r>
      <w:r>
        <w:rPr>
          <w:rFonts w:ascii="Times New Roman" w:hAnsi="Times New Roman" w:cs="Times New Roman"/>
          <w:b w:val="0"/>
        </w:rPr>
        <w:t>mpany under these circumstances;</w:t>
      </w:r>
      <w:r w:rsidRPr="005B5D30">
        <w:rPr>
          <w:rFonts w:ascii="Times New Roman" w:hAnsi="Times New Roman" w:cs="Times New Roman"/>
          <w:b w:val="0"/>
        </w:rPr>
        <w:t xml:space="preserve"> Avista simpl</w:t>
      </w:r>
      <w:r>
        <w:rPr>
          <w:rFonts w:ascii="Times New Roman" w:hAnsi="Times New Roman" w:cs="Times New Roman"/>
          <w:b w:val="0"/>
        </w:rPr>
        <w:t>y would not</w:t>
      </w:r>
      <w:r w:rsidRPr="005B5D30">
        <w:rPr>
          <w:rFonts w:ascii="Times New Roman" w:hAnsi="Times New Roman" w:cs="Times New Roman"/>
          <w:b w:val="0"/>
        </w:rPr>
        <w:t xml:space="preserve"> earn its authorized rate of return.</w:t>
      </w:r>
    </w:p>
    <w:p w:rsidR="00FD5A0F" w:rsidRDefault="000F6050" w:rsidP="006A5B11">
      <w:pPr>
        <w:spacing w:line="480" w:lineRule="auto"/>
        <w:ind w:firstLine="720"/>
        <w:jc w:val="both"/>
      </w:pPr>
      <w:r>
        <w:lastRenderedPageBreak/>
        <w:t>In addition, f</w:t>
      </w:r>
      <w:r w:rsidRPr="004A543B">
        <w:t>or Rate Years 2 and 3</w:t>
      </w:r>
      <w:r>
        <w:t>, beginning</w:t>
      </w:r>
      <w:r w:rsidRPr="004A543B">
        <w:t xml:space="preserve"> May 1, 2019 and May 1, 2020, the Company is proposing to file with this Commission an Annual Washington Electric and Natural Gas Capital Report by February 15, 2019 and February </w:t>
      </w:r>
      <w:r>
        <w:t>15, 2020</w:t>
      </w:r>
      <w:r w:rsidRPr="004A543B">
        <w:t xml:space="preserve">.  The annual report would provide actual year-end </w:t>
      </w:r>
      <w:r>
        <w:t>(end of period</w:t>
      </w:r>
      <w:r w:rsidRPr="004A543B">
        <w:t>) rate base balances as of December 31</w:t>
      </w:r>
      <w:r w:rsidRPr="004A543B">
        <w:rPr>
          <w:vertAlign w:val="superscript"/>
        </w:rPr>
        <w:t>st</w:t>
      </w:r>
      <w:r w:rsidRPr="004A543B">
        <w:t xml:space="preserve"> of the</w:t>
      </w:r>
      <w:r>
        <w:t xml:space="preserve"> recently completed year, and will provide an opportunity for review of the rate base additions </w:t>
      </w:r>
      <w:r w:rsidRPr="004A543B">
        <w:t>prior to new rates going into effect</w:t>
      </w:r>
      <w:r>
        <w:t>.</w:t>
      </w:r>
      <w:r w:rsidRPr="004A543B">
        <w:t xml:space="preserve">  </w:t>
      </w:r>
      <w:r>
        <w:t>This</w:t>
      </w:r>
      <w:r w:rsidRPr="004A543B">
        <w:t xml:space="preserve"> would provide assurance to the Commission that the rate increases approved effective May 1, 2019 and May 1, 2020, would include utility</w:t>
      </w:r>
      <w:r>
        <w:t xml:space="preserve"> plant that</w:t>
      </w:r>
      <w:r w:rsidRPr="004A543B">
        <w:t xml:space="preserve"> is in-service serving customers prior to new rates going into effect.</w:t>
      </w:r>
      <w:r w:rsidRPr="000F6050">
        <w:rPr>
          <w:rStyle w:val="FootnoteReference"/>
        </w:rPr>
        <w:t xml:space="preserve"> </w:t>
      </w:r>
      <w:r w:rsidRPr="00932774">
        <w:rPr>
          <w:rStyle w:val="FootnoteReference"/>
        </w:rPr>
        <w:footnoteReference w:id="10"/>
      </w:r>
    </w:p>
    <w:p w:rsidR="007107AC" w:rsidRDefault="007107AC" w:rsidP="000F6050">
      <w:pPr>
        <w:spacing w:line="480" w:lineRule="auto"/>
        <w:jc w:val="both"/>
        <w:rPr>
          <w:b/>
        </w:rPr>
      </w:pPr>
    </w:p>
    <w:p w:rsidR="00764077" w:rsidRPr="00CC5EF0" w:rsidRDefault="00141AB5" w:rsidP="00141AB5">
      <w:pPr>
        <w:tabs>
          <w:tab w:val="left" w:pos="0"/>
        </w:tabs>
        <w:spacing w:line="480" w:lineRule="auto"/>
        <w:rPr>
          <w:b/>
          <w:u w:val="single"/>
        </w:rPr>
      </w:pPr>
      <w:r>
        <w:rPr>
          <w:bCs/>
        </w:rPr>
        <w:tab/>
      </w:r>
      <w:r w:rsidR="00764077">
        <w:rPr>
          <w:b/>
          <w:u w:val="single"/>
        </w:rPr>
        <w:t>III</w:t>
      </w:r>
      <w:proofErr w:type="gramStart"/>
      <w:r w:rsidR="00764077">
        <w:rPr>
          <w:b/>
          <w:u w:val="single"/>
        </w:rPr>
        <w:t xml:space="preserve">.  </w:t>
      </w:r>
      <w:r w:rsidR="004B47E6">
        <w:rPr>
          <w:b/>
          <w:u w:val="single"/>
        </w:rPr>
        <w:t>WHY</w:t>
      </w:r>
      <w:proofErr w:type="gramEnd"/>
      <w:r w:rsidR="004B47E6">
        <w:rPr>
          <w:b/>
          <w:u w:val="single"/>
        </w:rPr>
        <w:t xml:space="preserve"> THE </w:t>
      </w:r>
      <w:r w:rsidR="00764077">
        <w:rPr>
          <w:b/>
          <w:u w:val="single"/>
        </w:rPr>
        <w:t>CONTINUING NEED FOR RETAIL RATE INCREASES</w:t>
      </w:r>
    </w:p>
    <w:p w:rsidR="00764077" w:rsidRPr="00345A0E" w:rsidRDefault="00764077" w:rsidP="00764077">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Pr>
          <w:rFonts w:ascii="Times New Roman" w:hAnsi="Times New Roman" w:cs="Times New Roman"/>
          <w:b/>
          <w:bCs/>
        </w:rPr>
        <w:t>Why</w:t>
      </w:r>
      <w:r w:rsidR="0091294D">
        <w:rPr>
          <w:rFonts w:ascii="Times New Roman" w:hAnsi="Times New Roman" w:cs="Times New Roman"/>
          <w:b/>
          <w:bCs/>
        </w:rPr>
        <w:t xml:space="preserve"> is there a continuing need for annual</w:t>
      </w:r>
      <w:r>
        <w:rPr>
          <w:rFonts w:ascii="Times New Roman" w:hAnsi="Times New Roman" w:cs="Times New Roman"/>
          <w:b/>
          <w:bCs/>
        </w:rPr>
        <w:t xml:space="preserve"> retail rate increases?</w:t>
      </w:r>
    </w:p>
    <w:p w:rsidR="004F4814" w:rsidRDefault="00764077" w:rsidP="006276FF">
      <w:pPr>
        <w:tabs>
          <w:tab w:val="left" w:pos="0"/>
        </w:tabs>
        <w:spacing w:line="480" w:lineRule="auto"/>
        <w:ind w:firstLine="720"/>
        <w:jc w:val="both"/>
        <w:rPr>
          <w:bCs/>
        </w:rPr>
      </w:pPr>
      <w:r w:rsidRPr="00345A0E">
        <w:rPr>
          <w:bCs/>
        </w:rPr>
        <w:t>A.</w:t>
      </w:r>
      <w:r w:rsidRPr="00345A0E">
        <w:rPr>
          <w:bCs/>
        </w:rPr>
        <w:tab/>
      </w:r>
      <w:r w:rsidR="004F4814">
        <w:rPr>
          <w:bCs/>
        </w:rPr>
        <w:t xml:space="preserve">A review of historical data </w:t>
      </w:r>
      <w:r w:rsidR="008F5FB2">
        <w:rPr>
          <w:bCs/>
        </w:rPr>
        <w:t>goes</w:t>
      </w:r>
      <w:r w:rsidR="006276FF">
        <w:rPr>
          <w:bCs/>
        </w:rPr>
        <w:t xml:space="preserve"> to the “heart” of why there is a co</w:t>
      </w:r>
      <w:r w:rsidR="00ED4AC5">
        <w:rPr>
          <w:bCs/>
        </w:rPr>
        <w:t>ntinuing need for annual rate</w:t>
      </w:r>
      <w:r w:rsidR="006276FF">
        <w:rPr>
          <w:bCs/>
        </w:rPr>
        <w:t xml:space="preserve"> increases.  </w:t>
      </w:r>
      <w:r w:rsidR="004F4814">
        <w:rPr>
          <w:bCs/>
        </w:rPr>
        <w:t xml:space="preserve">The </w:t>
      </w:r>
      <w:r w:rsidR="006276FF">
        <w:rPr>
          <w:bCs/>
        </w:rPr>
        <w:t>illustrations below</w:t>
      </w:r>
      <w:r w:rsidR="004F4814">
        <w:rPr>
          <w:bCs/>
        </w:rPr>
        <w:t xml:space="preserve"> show the changes over time </w:t>
      </w:r>
      <w:r w:rsidR="00E127C7">
        <w:rPr>
          <w:bCs/>
        </w:rPr>
        <w:t xml:space="preserve">from 1889 to 2016 </w:t>
      </w:r>
      <w:r w:rsidR="004F4814">
        <w:rPr>
          <w:bCs/>
        </w:rPr>
        <w:t>for the following sets of data related to Avista’s electric utility operations:</w:t>
      </w:r>
    </w:p>
    <w:p w:rsidR="004F4814" w:rsidRDefault="004F4814" w:rsidP="004F4814">
      <w:pPr>
        <w:tabs>
          <w:tab w:val="left" w:pos="0"/>
        </w:tabs>
        <w:ind w:firstLine="720"/>
        <w:jc w:val="both"/>
        <w:rPr>
          <w:bCs/>
        </w:rPr>
      </w:pPr>
      <w:r w:rsidRPr="00D5288A">
        <w:rPr>
          <w:bCs/>
        </w:rPr>
        <w:t>a.</w:t>
      </w:r>
      <w:r w:rsidRPr="00D5288A">
        <w:rPr>
          <w:bCs/>
        </w:rPr>
        <w:tab/>
        <w:t>Net plant investment</w:t>
      </w:r>
      <w:r w:rsidR="00ED4AC5">
        <w:rPr>
          <w:bCs/>
        </w:rPr>
        <w:t xml:space="preserve"> (essentially rate base);</w:t>
      </w:r>
    </w:p>
    <w:p w:rsidR="004F4814" w:rsidRDefault="004F4814" w:rsidP="004F4814">
      <w:pPr>
        <w:tabs>
          <w:tab w:val="left" w:pos="0"/>
        </w:tabs>
        <w:ind w:firstLine="720"/>
        <w:jc w:val="both"/>
        <w:rPr>
          <w:bCs/>
        </w:rPr>
      </w:pPr>
      <w:r>
        <w:rPr>
          <w:bCs/>
        </w:rPr>
        <w:t>b.</w:t>
      </w:r>
      <w:r>
        <w:rPr>
          <w:bCs/>
        </w:rPr>
        <w:tab/>
        <w:t>Number of residential customers</w:t>
      </w:r>
      <w:r w:rsidR="00ED4AC5">
        <w:rPr>
          <w:bCs/>
        </w:rPr>
        <w:t>;</w:t>
      </w:r>
    </w:p>
    <w:p w:rsidR="004F4814" w:rsidRDefault="004F4814" w:rsidP="004F4814">
      <w:pPr>
        <w:tabs>
          <w:tab w:val="left" w:pos="0"/>
        </w:tabs>
        <w:ind w:firstLine="720"/>
        <w:jc w:val="both"/>
        <w:rPr>
          <w:bCs/>
        </w:rPr>
      </w:pPr>
      <w:r>
        <w:rPr>
          <w:bCs/>
        </w:rPr>
        <w:t>c.</w:t>
      </w:r>
      <w:r>
        <w:rPr>
          <w:bCs/>
        </w:rPr>
        <w:tab/>
        <w:t>Residential use-per-customer</w:t>
      </w:r>
      <w:r w:rsidR="00ED4AC5">
        <w:rPr>
          <w:bCs/>
        </w:rPr>
        <w:t>; and</w:t>
      </w:r>
    </w:p>
    <w:p w:rsidR="006276FF" w:rsidRDefault="004F4814" w:rsidP="005E6017">
      <w:pPr>
        <w:tabs>
          <w:tab w:val="left" w:pos="0"/>
        </w:tabs>
        <w:ind w:firstLine="720"/>
        <w:jc w:val="both"/>
        <w:rPr>
          <w:bCs/>
        </w:rPr>
      </w:pPr>
      <w:r>
        <w:rPr>
          <w:bCs/>
        </w:rPr>
        <w:t>d.</w:t>
      </w:r>
      <w:r>
        <w:rPr>
          <w:bCs/>
        </w:rPr>
        <w:tab/>
        <w:t>Residential retail rate per kilowatt-hour (kWh)</w:t>
      </w:r>
      <w:r w:rsidR="00ED4AC5">
        <w:rPr>
          <w:bCs/>
        </w:rPr>
        <w:t>.</w:t>
      </w:r>
    </w:p>
    <w:p w:rsidR="006B49CC" w:rsidRDefault="004F4814" w:rsidP="004F4814">
      <w:pPr>
        <w:tabs>
          <w:tab w:val="left" w:pos="0"/>
        </w:tabs>
        <w:spacing w:line="480" w:lineRule="auto"/>
        <w:ind w:firstLine="720"/>
        <w:jc w:val="both"/>
        <w:rPr>
          <w:bCs/>
        </w:rPr>
      </w:pPr>
      <w:r>
        <w:rPr>
          <w:bCs/>
        </w:rPr>
        <w:t xml:space="preserve">The level of retail rates is influenced heavily by </w:t>
      </w:r>
      <w:r w:rsidRPr="00A32BA1">
        <w:rPr>
          <w:bCs/>
          <w:u w:val="single"/>
        </w:rPr>
        <w:t>changes in net plant investment over time</w:t>
      </w:r>
      <w:r>
        <w:rPr>
          <w:bCs/>
        </w:rPr>
        <w:t xml:space="preserve">, </w:t>
      </w:r>
      <w:r w:rsidRPr="00A32BA1">
        <w:rPr>
          <w:bCs/>
          <w:u w:val="single"/>
        </w:rPr>
        <w:t>growth in the number of customers</w:t>
      </w:r>
      <w:r>
        <w:rPr>
          <w:bCs/>
        </w:rPr>
        <w:t xml:space="preserve">, and </w:t>
      </w:r>
      <w:r w:rsidRPr="00A32BA1">
        <w:rPr>
          <w:bCs/>
          <w:u w:val="single"/>
        </w:rPr>
        <w:t>changes in the use-per-customer</w:t>
      </w:r>
      <w:r>
        <w:rPr>
          <w:bCs/>
        </w:rPr>
        <w:t xml:space="preserve">.  </w:t>
      </w:r>
      <w:r w:rsidR="00A32BA1">
        <w:rPr>
          <w:bCs/>
        </w:rPr>
        <w:t>The data</w:t>
      </w:r>
      <w:r>
        <w:rPr>
          <w:bCs/>
        </w:rPr>
        <w:t xml:space="preserve"> </w:t>
      </w:r>
      <w:r>
        <w:rPr>
          <w:bCs/>
        </w:rPr>
        <w:lastRenderedPageBreak/>
        <w:t>presented in the line graphs</w:t>
      </w:r>
      <w:r w:rsidR="00A32BA1">
        <w:rPr>
          <w:bCs/>
        </w:rPr>
        <w:t xml:space="preserve"> below</w:t>
      </w:r>
      <w:r>
        <w:rPr>
          <w:bCs/>
        </w:rPr>
        <w:t xml:space="preserve"> illustrate visually why Avista, as well as </w:t>
      </w:r>
      <w:r w:rsidR="00ED4AC5">
        <w:rPr>
          <w:bCs/>
        </w:rPr>
        <w:t xml:space="preserve">many </w:t>
      </w:r>
      <w:r>
        <w:rPr>
          <w:bCs/>
        </w:rPr>
        <w:t>other ut</w:t>
      </w:r>
      <w:r w:rsidR="00C55461">
        <w:rPr>
          <w:bCs/>
        </w:rPr>
        <w:t>ili</w:t>
      </w:r>
      <w:r w:rsidR="00ED4AC5">
        <w:rPr>
          <w:bCs/>
        </w:rPr>
        <w:t>ties, are seeking retail rate increases on a regular</w:t>
      </w:r>
      <w:r>
        <w:rPr>
          <w:bCs/>
        </w:rPr>
        <w:t xml:space="preserve"> basis.  </w:t>
      </w:r>
    </w:p>
    <w:p w:rsidR="004F4814" w:rsidRPr="00D5288A" w:rsidRDefault="004F4814" w:rsidP="004F4814">
      <w:pPr>
        <w:tabs>
          <w:tab w:val="left" w:pos="0"/>
        </w:tabs>
        <w:spacing w:line="480" w:lineRule="auto"/>
        <w:ind w:firstLine="720"/>
        <w:jc w:val="both"/>
        <w:rPr>
          <w:b/>
          <w:bCs/>
        </w:rPr>
      </w:pPr>
      <w:r w:rsidRPr="00D5288A">
        <w:rPr>
          <w:b/>
          <w:bCs/>
        </w:rPr>
        <w:t>Q.</w:t>
      </w:r>
      <w:r w:rsidRPr="00D5288A">
        <w:rPr>
          <w:b/>
          <w:bCs/>
        </w:rPr>
        <w:tab/>
        <w:t xml:space="preserve">How has Avista’s </w:t>
      </w:r>
      <w:r w:rsidRPr="00C55461">
        <w:rPr>
          <w:b/>
          <w:bCs/>
          <w:u w:val="single"/>
        </w:rPr>
        <w:t>net plant investment</w:t>
      </w:r>
      <w:r w:rsidRPr="00D5288A">
        <w:rPr>
          <w:b/>
          <w:bCs/>
        </w:rPr>
        <w:t xml:space="preserve"> for its electric operations changed from 1889 to 201</w:t>
      </w:r>
      <w:r w:rsidR="00655356">
        <w:rPr>
          <w:b/>
          <w:bCs/>
        </w:rPr>
        <w:t>6</w:t>
      </w:r>
      <w:r w:rsidRPr="00D5288A">
        <w:rPr>
          <w:b/>
          <w:bCs/>
        </w:rPr>
        <w:t>?</w:t>
      </w:r>
    </w:p>
    <w:p w:rsidR="00141AB5" w:rsidRDefault="004F4814" w:rsidP="00655356">
      <w:pPr>
        <w:tabs>
          <w:tab w:val="left" w:pos="0"/>
        </w:tabs>
        <w:spacing w:line="480" w:lineRule="auto"/>
        <w:ind w:firstLine="720"/>
        <w:jc w:val="both"/>
        <w:rPr>
          <w:bCs/>
        </w:rPr>
      </w:pPr>
      <w:r w:rsidRPr="00D5288A">
        <w:rPr>
          <w:bCs/>
        </w:rPr>
        <w:t>A.</w:t>
      </w:r>
      <w:r w:rsidRPr="00D5288A">
        <w:rPr>
          <w:bCs/>
        </w:rPr>
        <w:tab/>
        <w:t>Th</w:t>
      </w:r>
      <w:r w:rsidR="00993614">
        <w:rPr>
          <w:bCs/>
        </w:rPr>
        <w:t>e line graph in Illustration</w:t>
      </w:r>
      <w:r w:rsidR="0071657B">
        <w:rPr>
          <w:bCs/>
        </w:rPr>
        <w:t xml:space="preserve"> </w:t>
      </w:r>
      <w:r w:rsidR="0029586C">
        <w:rPr>
          <w:bCs/>
        </w:rPr>
        <w:t xml:space="preserve">No. </w:t>
      </w:r>
      <w:r w:rsidR="0071657B">
        <w:rPr>
          <w:bCs/>
        </w:rPr>
        <w:t>3</w:t>
      </w:r>
      <w:r w:rsidRPr="00D5288A">
        <w:rPr>
          <w:bCs/>
        </w:rPr>
        <w:t xml:space="preserve"> below shows the </w:t>
      </w:r>
      <w:r w:rsidR="009900E8">
        <w:rPr>
          <w:bCs/>
        </w:rPr>
        <w:t xml:space="preserve">cumulative </w:t>
      </w:r>
      <w:r w:rsidRPr="00D5288A">
        <w:rPr>
          <w:bCs/>
        </w:rPr>
        <w:t>growth in Avista’s net plant investment for its electric operations from 1889 to 201</w:t>
      </w:r>
      <w:r w:rsidR="00655356">
        <w:rPr>
          <w:bCs/>
        </w:rPr>
        <w:t>6</w:t>
      </w:r>
      <w:r w:rsidRPr="00D5288A">
        <w:rPr>
          <w:bCs/>
        </w:rPr>
        <w:t>.  The data have been presented in five-year i</w:t>
      </w:r>
      <w:r w:rsidR="000050D2">
        <w:rPr>
          <w:bCs/>
        </w:rPr>
        <w:t xml:space="preserve">ncrements for ease of viewing. </w:t>
      </w:r>
    </w:p>
    <w:p w:rsidR="004F4814" w:rsidRPr="000050D2" w:rsidRDefault="00993614" w:rsidP="00141AB5">
      <w:pPr>
        <w:tabs>
          <w:tab w:val="left" w:pos="0"/>
        </w:tabs>
        <w:spacing w:line="480" w:lineRule="auto"/>
        <w:jc w:val="both"/>
        <w:rPr>
          <w:bCs/>
        </w:rPr>
      </w:pPr>
      <w:r>
        <w:rPr>
          <w:b/>
          <w:bCs/>
          <w:u w:val="single"/>
        </w:rPr>
        <w:t>Illustration</w:t>
      </w:r>
      <w:r w:rsidR="004F4814" w:rsidRPr="00D5288A">
        <w:rPr>
          <w:b/>
          <w:bCs/>
          <w:u w:val="single"/>
        </w:rPr>
        <w:t xml:space="preserve"> </w:t>
      </w:r>
      <w:r w:rsidR="0029586C">
        <w:rPr>
          <w:b/>
          <w:bCs/>
          <w:u w:val="single"/>
        </w:rPr>
        <w:t xml:space="preserve">No. </w:t>
      </w:r>
      <w:r w:rsidR="0071657B">
        <w:rPr>
          <w:b/>
          <w:bCs/>
          <w:u w:val="single"/>
        </w:rPr>
        <w:t>3</w:t>
      </w:r>
      <w:r w:rsidR="004F4814" w:rsidRPr="003631F2">
        <w:rPr>
          <w:b/>
          <w:bCs/>
          <w:u w:val="single"/>
        </w:rPr>
        <w:t xml:space="preserve"> </w:t>
      </w:r>
    </w:p>
    <w:p w:rsidR="004F4814" w:rsidRDefault="002640A6" w:rsidP="004F4814">
      <w:pPr>
        <w:tabs>
          <w:tab w:val="left" w:pos="0"/>
        </w:tabs>
        <w:spacing w:line="480" w:lineRule="auto"/>
        <w:ind w:firstLine="720"/>
        <w:jc w:val="both"/>
        <w:rPr>
          <w:bCs/>
          <w:noProof/>
        </w:rPr>
      </w:pPr>
      <w:r w:rsidRPr="002640A6">
        <w:rPr>
          <w:noProof/>
        </w:rPr>
        <w:drawing>
          <wp:anchor distT="0" distB="0" distL="114300" distR="114300" simplePos="0" relativeHeight="251745280" behindDoc="1" locked="0" layoutInCell="1" allowOverlap="1" wp14:anchorId="066650E8" wp14:editId="1E3A8C54">
            <wp:simplePos x="0" y="0"/>
            <wp:positionH relativeFrom="column">
              <wp:posOffset>568523</wp:posOffset>
            </wp:positionH>
            <wp:positionV relativeFrom="paragraph">
              <wp:posOffset>45201</wp:posOffset>
            </wp:positionV>
            <wp:extent cx="4750130" cy="349880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0130" cy="34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814" w:rsidRDefault="004F4814" w:rsidP="004F4814">
      <w:pPr>
        <w:tabs>
          <w:tab w:val="left" w:pos="0"/>
        </w:tabs>
        <w:spacing w:line="480" w:lineRule="auto"/>
        <w:ind w:firstLine="720"/>
        <w:jc w:val="both"/>
        <w:rPr>
          <w:bCs/>
          <w:noProof/>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B5B17" w:rsidP="004F4814">
      <w:pPr>
        <w:tabs>
          <w:tab w:val="left" w:pos="0"/>
        </w:tabs>
        <w:spacing w:line="480" w:lineRule="auto"/>
        <w:ind w:firstLine="720"/>
        <w:jc w:val="both"/>
        <w:rPr>
          <w:bCs/>
        </w:rPr>
      </w:pPr>
      <w:r>
        <w:rPr>
          <w:bCs/>
        </w:rPr>
        <w:t>The</w:t>
      </w:r>
      <w:r w:rsidR="004F4814" w:rsidRPr="000A3B1D">
        <w:rPr>
          <w:bCs/>
        </w:rPr>
        <w:t xml:space="preserve"> line on the graph illustrates, among other things, the rapid expansion of net plant investment </w:t>
      </w:r>
      <w:r w:rsidR="00F67036">
        <w:rPr>
          <w:bCs/>
        </w:rPr>
        <w:t>beginning in</w:t>
      </w:r>
      <w:r w:rsidR="00C55461">
        <w:rPr>
          <w:bCs/>
        </w:rPr>
        <w:t xml:space="preserve"> the 1950s</w:t>
      </w:r>
      <w:r w:rsidR="004F4814" w:rsidRPr="000A3B1D">
        <w:rPr>
          <w:bCs/>
        </w:rPr>
        <w:t xml:space="preserve"> following World War II, where net plant investment </w:t>
      </w:r>
      <w:r w:rsidR="004F4814">
        <w:rPr>
          <w:bCs/>
        </w:rPr>
        <w:t>nearly</w:t>
      </w:r>
      <w:r w:rsidR="004F4814" w:rsidRPr="000A3B1D">
        <w:rPr>
          <w:bCs/>
        </w:rPr>
        <w:t xml:space="preserve"> doubled in a relative short period of</w:t>
      </w:r>
      <w:r w:rsidR="004F4814">
        <w:rPr>
          <w:bCs/>
        </w:rPr>
        <w:t xml:space="preserve"> time</w:t>
      </w:r>
      <w:r w:rsidR="004F4814" w:rsidRPr="000A3B1D">
        <w:rPr>
          <w:bCs/>
        </w:rPr>
        <w:t xml:space="preserve">.  </w:t>
      </w:r>
      <w:r>
        <w:rPr>
          <w:bCs/>
        </w:rPr>
        <w:t>The</w:t>
      </w:r>
      <w:r w:rsidR="004F4814" w:rsidRPr="000A3B1D">
        <w:rPr>
          <w:bCs/>
        </w:rPr>
        <w:t xml:space="preserve"> line also shows that net plant investment in recent years has </w:t>
      </w:r>
      <w:r>
        <w:rPr>
          <w:bCs/>
        </w:rPr>
        <w:t xml:space="preserve">continued to grow.  Later in my testimony I will address how Avista identifies </w:t>
      </w:r>
      <w:r>
        <w:rPr>
          <w:bCs/>
        </w:rPr>
        <w:lastRenderedPageBreak/>
        <w:t xml:space="preserve">and prioritizes capital investment to ensure that the capital investments are necessary in the time frame in which they are </w:t>
      </w:r>
      <w:r w:rsidR="00D00230">
        <w:rPr>
          <w:bCs/>
        </w:rPr>
        <w:t>completed</w:t>
      </w:r>
      <w:r>
        <w:rPr>
          <w:bCs/>
        </w:rPr>
        <w:t>.</w:t>
      </w:r>
    </w:p>
    <w:p w:rsidR="004F4814" w:rsidRPr="004E4B79" w:rsidRDefault="00240316" w:rsidP="004F4814">
      <w:pPr>
        <w:tabs>
          <w:tab w:val="left" w:pos="0"/>
        </w:tabs>
        <w:spacing w:line="480" w:lineRule="auto"/>
        <w:ind w:firstLine="720"/>
        <w:jc w:val="both"/>
        <w:rPr>
          <w:b/>
          <w:bCs/>
        </w:rPr>
      </w:pPr>
      <w:proofErr w:type="gramStart"/>
      <w:r>
        <w:rPr>
          <w:b/>
          <w:bCs/>
        </w:rPr>
        <w:t>Q.</w:t>
      </w:r>
      <w:r>
        <w:rPr>
          <w:b/>
          <w:bCs/>
        </w:rPr>
        <w:tab/>
        <w:t>How have</w:t>
      </w:r>
      <w:r w:rsidR="004F4814" w:rsidRPr="004E4B79">
        <w:rPr>
          <w:b/>
          <w:bCs/>
        </w:rPr>
        <w:t xml:space="preserve"> Avista</w:t>
      </w:r>
      <w:proofErr w:type="gramEnd"/>
      <w:r w:rsidR="004F4814" w:rsidRPr="004E4B79">
        <w:rPr>
          <w:b/>
          <w:bCs/>
        </w:rPr>
        <w:t xml:space="preserve">’s </w:t>
      </w:r>
      <w:r w:rsidR="004F4814" w:rsidRPr="00AE7DD9">
        <w:rPr>
          <w:b/>
          <w:bCs/>
          <w:u w:val="single"/>
        </w:rPr>
        <w:t>number of customers</w:t>
      </w:r>
      <w:r w:rsidR="004F4814" w:rsidRPr="004E4B79">
        <w:rPr>
          <w:b/>
          <w:bCs/>
        </w:rPr>
        <w:t xml:space="preserve"> and </w:t>
      </w:r>
      <w:r w:rsidR="004F4814" w:rsidRPr="00AE7DD9">
        <w:rPr>
          <w:b/>
          <w:bCs/>
          <w:u w:val="single"/>
        </w:rPr>
        <w:t>use-per-customer</w:t>
      </w:r>
      <w:r w:rsidR="004F4814" w:rsidRPr="004E4B79">
        <w:rPr>
          <w:b/>
          <w:bCs/>
        </w:rPr>
        <w:t xml:space="preserve"> changed from 1889</w:t>
      </w:r>
      <w:r w:rsidR="0033610E">
        <w:rPr>
          <w:b/>
          <w:bCs/>
        </w:rPr>
        <w:t xml:space="preserve"> to 2016</w:t>
      </w:r>
      <w:r w:rsidR="004F4814" w:rsidRPr="004E4B79">
        <w:rPr>
          <w:b/>
          <w:bCs/>
        </w:rPr>
        <w:t>?</w:t>
      </w:r>
    </w:p>
    <w:p w:rsidR="004F4814" w:rsidRDefault="004F4814" w:rsidP="004F4814">
      <w:pPr>
        <w:tabs>
          <w:tab w:val="left" w:pos="0"/>
        </w:tabs>
        <w:spacing w:line="480" w:lineRule="auto"/>
        <w:ind w:firstLine="720"/>
        <w:jc w:val="both"/>
        <w:rPr>
          <w:bCs/>
        </w:rPr>
      </w:pPr>
      <w:r>
        <w:rPr>
          <w:bCs/>
        </w:rPr>
        <w:t>A.</w:t>
      </w:r>
      <w:r>
        <w:rPr>
          <w:bCs/>
        </w:rPr>
        <w:tab/>
        <w:t>Th</w:t>
      </w:r>
      <w:r w:rsidR="00993614">
        <w:rPr>
          <w:bCs/>
        </w:rPr>
        <w:t>e line graph in Illustration</w:t>
      </w:r>
      <w:r>
        <w:rPr>
          <w:bCs/>
        </w:rPr>
        <w:t xml:space="preserve"> </w:t>
      </w:r>
      <w:r w:rsidR="009B7478">
        <w:rPr>
          <w:bCs/>
        </w:rPr>
        <w:t xml:space="preserve">No. </w:t>
      </w:r>
      <w:r w:rsidR="0071657B">
        <w:rPr>
          <w:bCs/>
        </w:rPr>
        <w:t>4</w:t>
      </w:r>
      <w:r>
        <w:rPr>
          <w:bCs/>
        </w:rPr>
        <w:t xml:space="preserve"> below shows the change over time in both the number of residential customers (blue line) and the residential use-per-customer (red line) for the period 1889 to 20</w:t>
      </w:r>
      <w:r w:rsidR="001266F6">
        <w:rPr>
          <w:bCs/>
        </w:rPr>
        <w:t>16</w:t>
      </w:r>
      <w:r>
        <w:rPr>
          <w:bCs/>
        </w:rPr>
        <w:t>.  The data, again, are presented in five-year increments for ease of viewing.</w:t>
      </w:r>
    </w:p>
    <w:p w:rsidR="004F4814" w:rsidRPr="00EE5FB5" w:rsidRDefault="00993614" w:rsidP="00A95B6B">
      <w:pPr>
        <w:tabs>
          <w:tab w:val="left" w:pos="0"/>
        </w:tabs>
        <w:spacing w:line="480" w:lineRule="auto"/>
        <w:jc w:val="both"/>
        <w:rPr>
          <w:b/>
          <w:bCs/>
          <w:u w:val="single"/>
        </w:rPr>
      </w:pPr>
      <w:r>
        <w:rPr>
          <w:b/>
          <w:bCs/>
          <w:u w:val="single"/>
        </w:rPr>
        <w:t>Illustration</w:t>
      </w:r>
      <w:r w:rsidR="004F4814" w:rsidRPr="00EE5FB5">
        <w:rPr>
          <w:b/>
          <w:bCs/>
          <w:u w:val="single"/>
        </w:rPr>
        <w:t xml:space="preserve"> </w:t>
      </w:r>
      <w:r w:rsidR="009B7478">
        <w:rPr>
          <w:b/>
          <w:bCs/>
          <w:u w:val="single"/>
        </w:rPr>
        <w:t xml:space="preserve">No. </w:t>
      </w:r>
      <w:r w:rsidR="0071657B">
        <w:rPr>
          <w:b/>
          <w:bCs/>
          <w:u w:val="single"/>
        </w:rPr>
        <w:t>4</w:t>
      </w:r>
    </w:p>
    <w:p w:rsidR="004F4814" w:rsidRDefault="0033610E" w:rsidP="004F4814">
      <w:pPr>
        <w:tabs>
          <w:tab w:val="left" w:pos="0"/>
        </w:tabs>
        <w:spacing w:line="480" w:lineRule="auto"/>
        <w:ind w:firstLine="720"/>
        <w:jc w:val="both"/>
        <w:rPr>
          <w:bCs/>
        </w:rPr>
      </w:pPr>
      <w:r w:rsidRPr="0033610E">
        <w:rPr>
          <w:noProof/>
        </w:rPr>
        <w:drawing>
          <wp:anchor distT="0" distB="0" distL="114300" distR="114300" simplePos="0" relativeHeight="251743232" behindDoc="1" locked="0" layoutInCell="1" allowOverlap="1" wp14:anchorId="613602DB" wp14:editId="701876B4">
            <wp:simplePos x="0" y="0"/>
            <wp:positionH relativeFrom="column">
              <wp:posOffset>331148</wp:posOffset>
            </wp:positionH>
            <wp:positionV relativeFrom="paragraph">
              <wp:posOffset>15677</wp:posOffset>
            </wp:positionV>
            <wp:extent cx="5208801" cy="33369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8801" cy="33369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r>
        <w:rPr>
          <w:bCs/>
        </w:rPr>
        <w:t xml:space="preserve">Among the observations from the line graph, two are very significant and quite relevant to retail </w:t>
      </w:r>
      <w:r w:rsidR="00865AAE">
        <w:rPr>
          <w:bCs/>
        </w:rPr>
        <w:t>rate adjustments</w:t>
      </w:r>
      <w:r w:rsidR="00D00230">
        <w:rPr>
          <w:bCs/>
        </w:rPr>
        <w:t xml:space="preserve"> during the 127</w:t>
      </w:r>
      <w:r w:rsidR="00464A7F">
        <w:rPr>
          <w:bCs/>
        </w:rPr>
        <w:t xml:space="preserve"> year period, as well as today.</w:t>
      </w:r>
      <w:r>
        <w:rPr>
          <w:bCs/>
        </w:rPr>
        <w:t xml:space="preserve">  First, from the 1950s through roughly 1980, there was steady growth in the number of customers (blue line), which was also combined with </w:t>
      </w:r>
      <w:r w:rsidRPr="002C0780">
        <w:rPr>
          <w:bCs/>
          <w:u w:val="single"/>
        </w:rPr>
        <w:t>rapid growth</w:t>
      </w:r>
      <w:r>
        <w:rPr>
          <w:bCs/>
        </w:rPr>
        <w:t xml:space="preserve"> in use-per-customer (red line).  Second, </w:t>
      </w:r>
      <w:r>
        <w:rPr>
          <w:bCs/>
        </w:rPr>
        <w:lastRenderedPageBreak/>
        <w:t>beginning around 1980, the use-per-customer began to decline dramatically.  The decline in use-per-customer was due in part to Avista’s energy efficiency programs that began in 1978, as well as the regional and national efforts generally to encourage consumers to use energy more efficiently.  The change from rapid growth in use-per-customer to a significant reduction in use-per-customer beginning around 1980 had a direct impact on Avista’s retail rates.</w:t>
      </w:r>
    </w:p>
    <w:p w:rsidR="004F4814" w:rsidRPr="0073025C" w:rsidRDefault="004F4814" w:rsidP="004F4814">
      <w:pPr>
        <w:tabs>
          <w:tab w:val="left" w:pos="0"/>
        </w:tabs>
        <w:spacing w:line="480" w:lineRule="auto"/>
        <w:ind w:firstLine="720"/>
        <w:jc w:val="both"/>
        <w:rPr>
          <w:b/>
          <w:bCs/>
        </w:rPr>
      </w:pPr>
      <w:r w:rsidRPr="0073025C">
        <w:rPr>
          <w:b/>
          <w:bCs/>
        </w:rPr>
        <w:t>Q.</w:t>
      </w:r>
      <w:r w:rsidRPr="0073025C">
        <w:rPr>
          <w:b/>
          <w:bCs/>
        </w:rPr>
        <w:tab/>
        <w:t>What were Avista’s retail rates from 1889 to 201</w:t>
      </w:r>
      <w:r w:rsidR="001266F6">
        <w:rPr>
          <w:b/>
          <w:bCs/>
        </w:rPr>
        <w:t>6</w:t>
      </w:r>
      <w:r w:rsidRPr="0073025C">
        <w:rPr>
          <w:b/>
          <w:bCs/>
        </w:rPr>
        <w:t>, and how were they affected by the growth in net plant investment, number of customers and use-per-customer?</w:t>
      </w:r>
    </w:p>
    <w:p w:rsidR="00430AA9" w:rsidRDefault="004F4814" w:rsidP="00430AA9">
      <w:pPr>
        <w:tabs>
          <w:tab w:val="left" w:pos="0"/>
        </w:tabs>
        <w:spacing w:line="480" w:lineRule="auto"/>
        <w:ind w:firstLine="720"/>
        <w:jc w:val="both"/>
        <w:rPr>
          <w:bCs/>
        </w:rPr>
      </w:pPr>
      <w:r>
        <w:rPr>
          <w:bCs/>
        </w:rPr>
        <w:t>A.</w:t>
      </w:r>
      <w:r>
        <w:rPr>
          <w:bCs/>
        </w:rPr>
        <w:tab/>
        <w:t xml:space="preserve">The </w:t>
      </w:r>
      <w:r w:rsidR="00993614">
        <w:rPr>
          <w:bCs/>
        </w:rPr>
        <w:t>line graph in Illustration</w:t>
      </w:r>
      <w:r w:rsidR="0071657B">
        <w:rPr>
          <w:bCs/>
        </w:rPr>
        <w:t xml:space="preserve"> </w:t>
      </w:r>
      <w:r w:rsidR="009B7478">
        <w:rPr>
          <w:bCs/>
        </w:rPr>
        <w:t xml:space="preserve">No. </w:t>
      </w:r>
      <w:r w:rsidR="0071657B">
        <w:rPr>
          <w:bCs/>
        </w:rPr>
        <w:t>5</w:t>
      </w:r>
      <w:r>
        <w:rPr>
          <w:bCs/>
        </w:rPr>
        <w:t xml:space="preserve"> below shows Avista’s retail rate per kWh for its residential customers (blue line) for the period 1889 to 201</w:t>
      </w:r>
      <w:r w:rsidR="001266F6">
        <w:rPr>
          <w:bCs/>
        </w:rPr>
        <w:t>6</w:t>
      </w:r>
      <w:r>
        <w:rPr>
          <w:bCs/>
        </w:rPr>
        <w:t>.  The red line on the graph is t</w:t>
      </w:r>
      <w:r w:rsidR="00CF2EA7">
        <w:rPr>
          <w:bCs/>
        </w:rPr>
        <w:t>he same use-per-customer line from</w:t>
      </w:r>
      <w:r w:rsidR="00454391">
        <w:rPr>
          <w:bCs/>
        </w:rPr>
        <w:t xml:space="preserve"> the graph in Illustration</w:t>
      </w:r>
      <w:r w:rsidR="00CF2EA7">
        <w:rPr>
          <w:bCs/>
        </w:rPr>
        <w:t xml:space="preserve"> </w:t>
      </w:r>
      <w:r w:rsidR="009B7478">
        <w:rPr>
          <w:bCs/>
        </w:rPr>
        <w:t xml:space="preserve">No. </w:t>
      </w:r>
      <w:r w:rsidR="00CF2EA7">
        <w:rPr>
          <w:bCs/>
        </w:rPr>
        <w:t>4</w:t>
      </w:r>
      <w:r>
        <w:rPr>
          <w:bCs/>
        </w:rPr>
        <w:t xml:space="preserve"> above.  The graph shows that Avista’s retail rates were flat to declining for approximately 50-60 years, up until about 1980 when they began to rise.</w:t>
      </w:r>
      <w:r w:rsidR="00430AA9">
        <w:rPr>
          <w:bCs/>
        </w:rPr>
        <w:br w:type="page"/>
      </w:r>
    </w:p>
    <w:p w:rsidR="004F4814" w:rsidRPr="005B390E" w:rsidRDefault="00993614" w:rsidP="00A95B6B">
      <w:pPr>
        <w:tabs>
          <w:tab w:val="left" w:pos="0"/>
        </w:tabs>
        <w:spacing w:line="480" w:lineRule="auto"/>
        <w:jc w:val="both"/>
        <w:rPr>
          <w:b/>
          <w:bCs/>
          <w:u w:val="single"/>
        </w:rPr>
      </w:pPr>
      <w:r>
        <w:rPr>
          <w:b/>
          <w:bCs/>
          <w:u w:val="single"/>
        </w:rPr>
        <w:lastRenderedPageBreak/>
        <w:t xml:space="preserve">Illustration </w:t>
      </w:r>
      <w:r w:rsidR="009B7478">
        <w:rPr>
          <w:b/>
          <w:bCs/>
          <w:u w:val="single"/>
        </w:rPr>
        <w:t xml:space="preserve">No. </w:t>
      </w:r>
      <w:r w:rsidR="0071657B">
        <w:rPr>
          <w:b/>
          <w:bCs/>
          <w:u w:val="single"/>
        </w:rPr>
        <w:t>5</w:t>
      </w:r>
      <w:r w:rsidR="004F4814" w:rsidRPr="003631F2">
        <w:rPr>
          <w:b/>
          <w:bCs/>
          <w:u w:val="single"/>
        </w:rPr>
        <w:t xml:space="preserve"> </w:t>
      </w:r>
    </w:p>
    <w:p w:rsidR="004F4814" w:rsidRDefault="0033610E" w:rsidP="004F4814">
      <w:pPr>
        <w:tabs>
          <w:tab w:val="left" w:pos="0"/>
        </w:tabs>
        <w:spacing w:line="480" w:lineRule="auto"/>
        <w:ind w:firstLine="720"/>
        <w:jc w:val="both"/>
        <w:rPr>
          <w:bCs/>
        </w:rPr>
      </w:pPr>
      <w:r w:rsidRPr="0033610E">
        <w:rPr>
          <w:noProof/>
        </w:rPr>
        <w:drawing>
          <wp:anchor distT="0" distB="0" distL="114300" distR="114300" simplePos="0" relativeHeight="251744256" behindDoc="1" locked="0" layoutInCell="1" allowOverlap="1" wp14:anchorId="2D23E6A6" wp14:editId="555441D9">
            <wp:simplePos x="0" y="0"/>
            <wp:positionH relativeFrom="column">
              <wp:posOffset>544772</wp:posOffset>
            </wp:positionH>
            <wp:positionV relativeFrom="paragraph">
              <wp:posOffset>88809</wp:posOffset>
            </wp:positionV>
            <wp:extent cx="4925054" cy="31476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5054" cy="31476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p>
    <w:p w:rsidR="00A45D63" w:rsidRDefault="00A45D63" w:rsidP="004F4814">
      <w:pPr>
        <w:tabs>
          <w:tab w:val="left" w:pos="0"/>
        </w:tabs>
        <w:spacing w:line="480" w:lineRule="auto"/>
        <w:ind w:firstLine="720"/>
        <w:jc w:val="both"/>
        <w:rPr>
          <w:bCs/>
        </w:rPr>
      </w:pPr>
    </w:p>
    <w:p w:rsidR="0033610E" w:rsidRDefault="0033610E" w:rsidP="004F4814">
      <w:pPr>
        <w:tabs>
          <w:tab w:val="left" w:pos="0"/>
        </w:tabs>
        <w:spacing w:line="480" w:lineRule="auto"/>
        <w:ind w:firstLine="720"/>
        <w:jc w:val="both"/>
        <w:rPr>
          <w:bCs/>
        </w:rPr>
      </w:pPr>
    </w:p>
    <w:p w:rsidR="004F4814" w:rsidRDefault="004F4814" w:rsidP="004F4814">
      <w:pPr>
        <w:tabs>
          <w:tab w:val="left" w:pos="0"/>
        </w:tabs>
        <w:spacing w:line="480" w:lineRule="auto"/>
        <w:ind w:firstLine="720"/>
        <w:jc w:val="both"/>
        <w:rPr>
          <w:bCs/>
        </w:rPr>
      </w:pPr>
      <w:r>
        <w:rPr>
          <w:bCs/>
        </w:rPr>
        <w:t xml:space="preserve">The </w:t>
      </w:r>
      <w:r w:rsidRPr="00EE5FB5">
        <w:rPr>
          <w:bCs/>
        </w:rPr>
        <w:t>three</w:t>
      </w:r>
      <w:r>
        <w:rPr>
          <w:bCs/>
        </w:rPr>
        <w:t xml:space="preserve"> graphs above, taken together, illustrate </w:t>
      </w:r>
      <w:r w:rsidRPr="00B83597">
        <w:rPr>
          <w:bCs/>
          <w:u w:val="single"/>
        </w:rPr>
        <w:t>the significance of the relationship over time of the rate of growth in net plant investment, number of customers, and use-per-customer</w:t>
      </w:r>
      <w:r>
        <w:rPr>
          <w:bCs/>
        </w:rPr>
        <w:t>.  During the 1950s, for example, there was rapid growth in net plant investment, but it was accompanied by rapid growth in use-per-customer, combined with steady growth in the number of customers</w:t>
      </w:r>
      <w:r w:rsidRPr="00D00230">
        <w:rPr>
          <w:bCs/>
        </w:rPr>
        <w:t xml:space="preserve">.  </w:t>
      </w:r>
      <w:r w:rsidR="00C211FB" w:rsidRPr="00D00230">
        <w:rPr>
          <w:bCs/>
          <w:u w:val="single"/>
        </w:rPr>
        <w:t>The net result was retail rates</w:t>
      </w:r>
      <w:r w:rsidRPr="00D00230">
        <w:rPr>
          <w:bCs/>
          <w:u w:val="single"/>
        </w:rPr>
        <w:t xml:space="preserve"> that were either flat or declining, due in large part to the annual growth in revenues being sufficient to cover the annual growth in costs.</w:t>
      </w:r>
      <w:r>
        <w:rPr>
          <w:bCs/>
        </w:rPr>
        <w:t xml:space="preserve">  During the 1950s, Avista added new major baseload generating resources (Cabinet Gorge in 1952, and Noxon Rapids in 1959), and yet retail prices continued to be flat or declining, due primarily to the strong growth in kWh sales.</w:t>
      </w:r>
    </w:p>
    <w:p w:rsidR="004F4814" w:rsidRDefault="004F4814" w:rsidP="00C211FB">
      <w:pPr>
        <w:tabs>
          <w:tab w:val="left" w:pos="0"/>
        </w:tabs>
        <w:spacing w:line="480" w:lineRule="auto"/>
        <w:ind w:firstLine="720"/>
        <w:jc w:val="both"/>
        <w:rPr>
          <w:bCs/>
        </w:rPr>
      </w:pPr>
      <w:r>
        <w:rPr>
          <w:bCs/>
        </w:rPr>
        <w:t>In contrast, retail prices began to increase in 1980 due, at least in part, to the significant decline in use per customer, which resulted in lower annual sales growth.</w:t>
      </w:r>
      <w:r w:rsidR="00C211FB">
        <w:rPr>
          <w:bCs/>
        </w:rPr>
        <w:t xml:space="preserve">  </w:t>
      </w:r>
      <w:r w:rsidR="001666D6">
        <w:rPr>
          <w:bCs/>
        </w:rPr>
        <w:t>Post-1980 – because annual costs were</w:t>
      </w:r>
      <w:r>
        <w:rPr>
          <w:bCs/>
        </w:rPr>
        <w:t xml:space="preserve"> growing at a </w:t>
      </w:r>
      <w:r w:rsidR="001666D6">
        <w:rPr>
          <w:bCs/>
        </w:rPr>
        <w:t>faster pace than revenues, it was</w:t>
      </w:r>
      <w:r>
        <w:rPr>
          <w:bCs/>
        </w:rPr>
        <w:t xml:space="preserve"> necessary to increase retail </w:t>
      </w:r>
      <w:r>
        <w:rPr>
          <w:bCs/>
        </w:rPr>
        <w:lastRenderedPageBreak/>
        <w:t xml:space="preserve">rates each year so that total </w:t>
      </w:r>
      <w:r w:rsidR="001666D6">
        <w:rPr>
          <w:bCs/>
        </w:rPr>
        <w:t>revenues were</w:t>
      </w:r>
      <w:r>
        <w:rPr>
          <w:bCs/>
        </w:rPr>
        <w:t xml:space="preserve"> equal to total costs.  These are the circumstances </w:t>
      </w:r>
      <w:r w:rsidR="001666D6">
        <w:rPr>
          <w:bCs/>
        </w:rPr>
        <w:t xml:space="preserve">currently </w:t>
      </w:r>
      <w:r>
        <w:rPr>
          <w:bCs/>
        </w:rPr>
        <w:t>facing not just Avista, but many investor-owned and consumer-owned utilities across the country, and it is the primary reason Avista has requested electric and natural gas revenue increases through this filing.</w:t>
      </w:r>
    </w:p>
    <w:p w:rsidR="009360E8" w:rsidRPr="00345A0E" w:rsidRDefault="009360E8" w:rsidP="009360E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471BD2">
        <w:rPr>
          <w:rFonts w:ascii="Times New Roman" w:hAnsi="Times New Roman" w:cs="Times New Roman"/>
          <w:b/>
        </w:rPr>
        <w:t>As Avista removes old</w:t>
      </w:r>
      <w:r>
        <w:rPr>
          <w:rFonts w:ascii="Times New Roman" w:hAnsi="Times New Roman" w:cs="Times New Roman"/>
          <w:b/>
        </w:rPr>
        <w:t xml:space="preserve"> equipment and replaces it with new, does the depreciation component currently included in retail rates cover the cost to replace facilities</w:t>
      </w:r>
      <w:r w:rsidRPr="00345A0E">
        <w:rPr>
          <w:rFonts w:ascii="Times New Roman" w:hAnsi="Times New Roman" w:cs="Times New Roman"/>
          <w:b/>
        </w:rPr>
        <w:t>?</w:t>
      </w:r>
    </w:p>
    <w:p w:rsidR="009360E8" w:rsidRDefault="009360E8" w:rsidP="00EB7A5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CA6A1C">
        <w:rPr>
          <w:rFonts w:ascii="Times New Roman" w:hAnsi="Times New Roman" w:cs="Times New Roman"/>
        </w:rPr>
        <w:t xml:space="preserve">No.  </w:t>
      </w:r>
      <w:r w:rsidR="00EB7A5E">
        <w:rPr>
          <w:rFonts w:ascii="Times New Roman" w:hAnsi="Times New Roman" w:cs="Times New Roman"/>
        </w:rPr>
        <w:t xml:space="preserve">The depreciation component currently included in retail rates generally covers a very small amount of the new facilities and equipment placed into service, especially for the long-lived assets.  </w:t>
      </w:r>
      <w:r w:rsidRPr="00345A0E">
        <w:rPr>
          <w:rFonts w:ascii="Times New Roman" w:hAnsi="Times New Roman" w:cs="Times New Roman"/>
        </w:rPr>
        <w:t xml:space="preserve">Avista’s retail rates are </w:t>
      </w:r>
      <w:r w:rsidRPr="00376BBC">
        <w:rPr>
          <w:rFonts w:ascii="Times New Roman" w:hAnsi="Times New Roman" w:cs="Times New Roman"/>
          <w:u w:val="single"/>
        </w:rPr>
        <w:t>cost-based</w:t>
      </w:r>
      <w:r w:rsidRPr="00345A0E">
        <w:rPr>
          <w:rFonts w:ascii="Times New Roman" w:hAnsi="Times New Roman" w:cs="Times New Roman"/>
        </w:rPr>
        <w:t>, which means the</w:t>
      </w:r>
      <w:r>
        <w:rPr>
          <w:rFonts w:ascii="Times New Roman" w:hAnsi="Times New Roman" w:cs="Times New Roman"/>
        </w:rPr>
        <w:t xml:space="preserve"> prices customers are paying today</w:t>
      </w:r>
      <w:r w:rsidRPr="00345A0E">
        <w:rPr>
          <w:rFonts w:ascii="Times New Roman" w:hAnsi="Times New Roman" w:cs="Times New Roman"/>
        </w:rPr>
        <w:t xml:space="preserve"> for transformers, distribution poles, substations, and transmission lines, among other facilities, are based on the cost to install those facilities, in some cases, </w:t>
      </w:r>
      <w:r w:rsidR="00471BD2">
        <w:rPr>
          <w:rFonts w:ascii="Times New Roman" w:hAnsi="Times New Roman" w:cs="Times New Roman"/>
        </w:rPr>
        <w:t>40</w:t>
      </w:r>
      <w:r>
        <w:rPr>
          <w:rFonts w:ascii="Times New Roman" w:hAnsi="Times New Roman" w:cs="Times New Roman"/>
        </w:rPr>
        <w:t>, 5</w:t>
      </w:r>
      <w:r w:rsidRPr="00345A0E">
        <w:rPr>
          <w:rFonts w:ascii="Times New Roman" w:hAnsi="Times New Roman" w:cs="Times New Roman"/>
        </w:rPr>
        <w:t>0, and even</w:t>
      </w:r>
      <w:r w:rsidR="00471BD2">
        <w:rPr>
          <w:rFonts w:ascii="Times New Roman" w:hAnsi="Times New Roman" w:cs="Times New Roman"/>
        </w:rPr>
        <w:t xml:space="preserve"> 60 </w:t>
      </w:r>
      <w:r w:rsidRPr="00345A0E">
        <w:rPr>
          <w:rFonts w:ascii="Times New Roman" w:hAnsi="Times New Roman" w:cs="Times New Roman"/>
        </w:rPr>
        <w:t>years ago.  The cost</w:t>
      </w:r>
      <w:r w:rsidR="00C2205B">
        <w:rPr>
          <w:rFonts w:ascii="Times New Roman" w:hAnsi="Times New Roman" w:cs="Times New Roman"/>
        </w:rPr>
        <w:t>s</w:t>
      </w:r>
      <w:r w:rsidRPr="00345A0E">
        <w:rPr>
          <w:rFonts w:ascii="Times New Roman" w:hAnsi="Times New Roman" w:cs="Times New Roman"/>
        </w:rPr>
        <w:t xml:space="preserve"> of the same equipment and facilities today are </w:t>
      </w:r>
      <w:r>
        <w:rPr>
          <w:rFonts w:ascii="Times New Roman" w:hAnsi="Times New Roman" w:cs="Times New Roman"/>
        </w:rPr>
        <w:t>many</w:t>
      </w:r>
      <w:r w:rsidRPr="00345A0E">
        <w:rPr>
          <w:rFonts w:ascii="Times New Roman" w:hAnsi="Times New Roman" w:cs="Times New Roman"/>
        </w:rPr>
        <w:t xml:space="preserve"> t</w:t>
      </w:r>
      <w:r>
        <w:rPr>
          <w:rFonts w:ascii="Times New Roman" w:hAnsi="Times New Roman" w:cs="Times New Roman"/>
        </w:rPr>
        <w:t xml:space="preserve">imes more expensive.  The depreciation component built into retail rates today is based on the much lower cost to install those facilities many years ago.  Therefore, the depreciation component in retail rates covers only a small fraction of the annual costs associated with the </w:t>
      </w:r>
      <w:r w:rsidR="00EB7A5E">
        <w:rPr>
          <w:rFonts w:ascii="Times New Roman" w:hAnsi="Times New Roman" w:cs="Times New Roman"/>
        </w:rPr>
        <w:t>new investment in</w:t>
      </w:r>
      <w:r>
        <w:rPr>
          <w:rFonts w:ascii="Times New Roman" w:hAnsi="Times New Roman" w:cs="Times New Roman"/>
        </w:rPr>
        <w:t xml:space="preserve"> facilities.</w:t>
      </w:r>
    </w:p>
    <w:p w:rsidR="007E2B50" w:rsidRDefault="007E2B50" w:rsidP="007E2B50">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Pr>
          <w:rFonts w:ascii="Times New Roman" w:hAnsi="Times New Roman" w:cs="Times New Roman"/>
          <w:b/>
        </w:rPr>
        <w:t>How does Avista’s growth in net plant investment and operating expenses com</w:t>
      </w:r>
      <w:r w:rsidR="00063A05">
        <w:rPr>
          <w:rFonts w:ascii="Times New Roman" w:hAnsi="Times New Roman" w:cs="Times New Roman"/>
          <w:b/>
        </w:rPr>
        <w:t xml:space="preserve">pare with the growth in retail sales, </w:t>
      </w:r>
      <w:r>
        <w:rPr>
          <w:rFonts w:ascii="Times New Roman" w:hAnsi="Times New Roman" w:cs="Times New Roman"/>
          <w:b/>
        </w:rPr>
        <w:t xml:space="preserve">for the </w:t>
      </w:r>
      <w:r w:rsidR="00063A05">
        <w:rPr>
          <w:rFonts w:ascii="Times New Roman" w:hAnsi="Times New Roman" w:cs="Times New Roman"/>
          <w:b/>
        </w:rPr>
        <w:t xml:space="preserve">more </w:t>
      </w:r>
      <w:r>
        <w:rPr>
          <w:rFonts w:ascii="Times New Roman" w:hAnsi="Times New Roman" w:cs="Times New Roman"/>
          <w:b/>
        </w:rPr>
        <w:t xml:space="preserve">recent historical period as well as </w:t>
      </w:r>
      <w:r w:rsidR="00063A05">
        <w:rPr>
          <w:rFonts w:ascii="Times New Roman" w:hAnsi="Times New Roman" w:cs="Times New Roman"/>
          <w:b/>
        </w:rPr>
        <w:t>in the near future</w:t>
      </w:r>
      <w:r>
        <w:rPr>
          <w:rFonts w:ascii="Times New Roman" w:hAnsi="Times New Roman" w:cs="Times New Roman"/>
          <w:b/>
        </w:rPr>
        <w:t>?</w:t>
      </w:r>
    </w:p>
    <w:p w:rsidR="007E2B50" w:rsidRDefault="007E2B50" w:rsidP="007E2B50">
      <w:pPr>
        <w:spacing w:line="480" w:lineRule="auto"/>
        <w:ind w:firstLine="720"/>
        <w:jc w:val="both"/>
      </w:pPr>
      <w:r>
        <w:t>A.</w:t>
      </w:r>
      <w:r w:rsidR="00993614">
        <w:tab/>
        <w:t>The graph in Illustration</w:t>
      </w:r>
      <w:r w:rsidR="0071657B">
        <w:t xml:space="preserve"> </w:t>
      </w:r>
      <w:r w:rsidR="00943529">
        <w:t xml:space="preserve">No. </w:t>
      </w:r>
      <w:r w:rsidR="0071657B">
        <w:t>6</w:t>
      </w:r>
      <w:r>
        <w:t xml:space="preserve"> below shows actual information for the period 2007 to 2016, and forecast information for 2017 to 2020.</w:t>
      </w:r>
      <w:r w:rsidR="006152FD">
        <w:t xml:space="preserve">  The information in the graph is for </w:t>
      </w:r>
      <w:r w:rsidR="006152FD">
        <w:lastRenderedPageBreak/>
        <w:t>all of Avista Utilities’ combined electric and natural gas operations in Washington, Idaho and Oregon.</w:t>
      </w:r>
    </w:p>
    <w:p w:rsidR="007E2B50" w:rsidRPr="000E3A4A" w:rsidRDefault="00993614" w:rsidP="00AE7DD9">
      <w:pPr>
        <w:spacing w:line="480" w:lineRule="auto"/>
        <w:jc w:val="both"/>
        <w:rPr>
          <w:b/>
          <w:u w:val="single"/>
        </w:rPr>
      </w:pPr>
      <w:r>
        <w:rPr>
          <w:b/>
          <w:u w:val="single"/>
        </w:rPr>
        <w:t>Illustration</w:t>
      </w:r>
      <w:r w:rsidR="0071657B">
        <w:rPr>
          <w:b/>
          <w:u w:val="single"/>
        </w:rPr>
        <w:t xml:space="preserve"> </w:t>
      </w:r>
      <w:r w:rsidR="00943529">
        <w:rPr>
          <w:b/>
          <w:u w:val="single"/>
        </w:rPr>
        <w:t xml:space="preserve">No. </w:t>
      </w:r>
      <w:r w:rsidR="0071657B">
        <w:rPr>
          <w:b/>
          <w:u w:val="single"/>
        </w:rPr>
        <w:t>6</w:t>
      </w:r>
      <w:r w:rsidR="00943529">
        <w:rPr>
          <w:b/>
          <w:u w:val="single"/>
        </w:rPr>
        <w:t xml:space="preserve"> - </w:t>
      </w:r>
      <w:r w:rsidR="00AE7DD9">
        <w:rPr>
          <w:b/>
          <w:u w:val="single"/>
        </w:rPr>
        <w:t>Avista Utilities’ System Electric and Natural Gas Operations</w:t>
      </w:r>
    </w:p>
    <w:p w:rsidR="007E2B50" w:rsidRDefault="007E2B50" w:rsidP="007E2B50">
      <w:pPr>
        <w:tabs>
          <w:tab w:val="left" w:pos="0"/>
        </w:tabs>
        <w:spacing w:line="480" w:lineRule="auto"/>
        <w:ind w:firstLine="720"/>
        <w:jc w:val="both"/>
      </w:pPr>
      <w:r w:rsidRPr="003A1899">
        <w:rPr>
          <w:noProof/>
        </w:rPr>
        <w:drawing>
          <wp:anchor distT="0" distB="0" distL="114300" distR="114300" simplePos="0" relativeHeight="251677696" behindDoc="1" locked="0" layoutInCell="1" allowOverlap="1" wp14:anchorId="2C3A6007" wp14:editId="5682C0C3">
            <wp:simplePos x="0" y="0"/>
            <wp:positionH relativeFrom="column">
              <wp:posOffset>163002</wp:posOffset>
            </wp:positionH>
            <wp:positionV relativeFrom="paragraph">
              <wp:posOffset>4776</wp:posOffset>
            </wp:positionV>
            <wp:extent cx="5661025" cy="3355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1025" cy="335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B50" w:rsidRDefault="007E2B50" w:rsidP="007E2B50">
      <w:pPr>
        <w:tabs>
          <w:tab w:val="left" w:pos="0"/>
        </w:tabs>
        <w:spacing w:line="480" w:lineRule="auto"/>
        <w:ind w:firstLine="720"/>
        <w:jc w:val="both"/>
      </w:pPr>
      <w:r w:rsidRPr="00744AC5">
        <w:t xml:space="preserve"> </w:t>
      </w:r>
      <w:r>
        <w:t xml:space="preserve"> </w:t>
      </w: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F1352E" w:rsidRDefault="00F1352E" w:rsidP="007E2B50">
      <w:pPr>
        <w:pStyle w:val="TestBody"/>
        <w:spacing w:line="480" w:lineRule="auto"/>
        <w:ind w:left="0" w:firstLine="720"/>
        <w:rPr>
          <w:rFonts w:ascii="Times New Roman" w:hAnsi="Times New Roman" w:cs="Times New Roman"/>
        </w:rPr>
      </w:pPr>
    </w:p>
    <w:p w:rsidR="00F1352E" w:rsidRDefault="00F1352E" w:rsidP="007E2B50">
      <w:pPr>
        <w:pStyle w:val="TestBody"/>
        <w:spacing w:line="480" w:lineRule="auto"/>
        <w:ind w:left="0" w:firstLine="720"/>
        <w:rPr>
          <w:rFonts w:ascii="Times New Roman" w:hAnsi="Times New Roman" w:cs="Times New Roman"/>
        </w:rPr>
      </w:pPr>
    </w:p>
    <w:p w:rsidR="00EF2790" w:rsidRDefault="007E2B50" w:rsidP="007E2B50">
      <w:pPr>
        <w:pStyle w:val="TestBody"/>
        <w:spacing w:line="480" w:lineRule="auto"/>
        <w:ind w:left="0" w:firstLine="720"/>
        <w:rPr>
          <w:rFonts w:ascii="Times New Roman" w:hAnsi="Times New Roman" w:cs="Times New Roman"/>
        </w:rPr>
      </w:pPr>
      <w:r>
        <w:rPr>
          <w:rFonts w:ascii="Times New Roman" w:hAnsi="Times New Roman" w:cs="Times New Roman"/>
        </w:rPr>
        <w:t xml:space="preserve">The red line on the graph shows the actual growth in net utility plant investment </w:t>
      </w:r>
      <w:r w:rsidR="00EF2790">
        <w:rPr>
          <w:rFonts w:ascii="Times New Roman" w:hAnsi="Times New Roman" w:cs="Times New Roman"/>
        </w:rPr>
        <w:t>(which is an indicator of rate base growth)</w:t>
      </w:r>
      <w:r>
        <w:rPr>
          <w:rFonts w:ascii="Times New Roman" w:hAnsi="Times New Roman" w:cs="Times New Roman"/>
        </w:rPr>
        <w:t xml:space="preserve"> </w:t>
      </w:r>
      <w:r w:rsidR="00EF2790">
        <w:rPr>
          <w:rFonts w:ascii="Times New Roman" w:hAnsi="Times New Roman" w:cs="Times New Roman"/>
        </w:rPr>
        <w:t xml:space="preserve">from 2007 </w:t>
      </w:r>
      <w:r>
        <w:rPr>
          <w:rFonts w:ascii="Times New Roman" w:hAnsi="Times New Roman" w:cs="Times New Roman"/>
        </w:rPr>
        <w:t xml:space="preserve">through 2016, and the expected growth for 2017 through 2020.  The purple and blue lines on the graph show the changes in retail kilowatt-hour (kWh) sales and retail therm sales, respectively, for the same time period.  </w:t>
      </w:r>
    </w:p>
    <w:p w:rsidR="007E2B50" w:rsidRPr="00820048" w:rsidRDefault="004F6E46" w:rsidP="007E2B50">
      <w:pPr>
        <w:pStyle w:val="TestBody"/>
        <w:spacing w:line="480" w:lineRule="auto"/>
        <w:ind w:left="0" w:firstLine="720"/>
        <w:rPr>
          <w:rFonts w:ascii="Times New Roman" w:hAnsi="Times New Roman" w:cs="Times New Roman"/>
        </w:rPr>
      </w:pPr>
      <w:r>
        <w:rPr>
          <w:rFonts w:ascii="Times New Roman" w:hAnsi="Times New Roman" w:cs="Times New Roman"/>
        </w:rPr>
        <w:t>The graph</w:t>
      </w:r>
      <w:r w:rsidR="007E2B50">
        <w:rPr>
          <w:rFonts w:ascii="Times New Roman" w:hAnsi="Times New Roman" w:cs="Times New Roman"/>
        </w:rPr>
        <w:t xml:space="preserve"> shows that net plant investment </w:t>
      </w:r>
      <w:r w:rsidR="00B43A6E">
        <w:rPr>
          <w:rFonts w:ascii="Times New Roman" w:hAnsi="Times New Roman" w:cs="Times New Roman"/>
        </w:rPr>
        <w:t>and</w:t>
      </w:r>
      <w:r w:rsidR="007E2B50">
        <w:rPr>
          <w:rFonts w:ascii="Times New Roman" w:hAnsi="Times New Roman" w:cs="Times New Roman"/>
        </w:rPr>
        <w:t xml:space="preserve"> non-fuel operations and maintenance (O&amp;M) expenses and administrative and general</w:t>
      </w:r>
      <w:r w:rsidR="00ED2A0F">
        <w:rPr>
          <w:rFonts w:ascii="Times New Roman" w:hAnsi="Times New Roman" w:cs="Times New Roman"/>
        </w:rPr>
        <w:t xml:space="preserve"> (A&amp;G) expenses are growing faster</w:t>
      </w:r>
      <w:r w:rsidR="00B43A6E">
        <w:rPr>
          <w:rFonts w:ascii="Times New Roman" w:hAnsi="Times New Roman" w:cs="Times New Roman"/>
        </w:rPr>
        <w:t xml:space="preserve"> than sales.  The growth in kWh sales and therm sales reflect the annual growth in revenue to the Company, absent any rate increases.  With costs growing faster than sales revenue, there is a </w:t>
      </w:r>
      <w:r w:rsidR="00B43A6E">
        <w:rPr>
          <w:rFonts w:ascii="Times New Roman" w:hAnsi="Times New Roman" w:cs="Times New Roman"/>
        </w:rPr>
        <w:lastRenderedPageBreak/>
        <w:t xml:space="preserve">gap </w:t>
      </w:r>
      <w:r w:rsidR="00F1352E">
        <w:rPr>
          <w:rFonts w:ascii="Times New Roman" w:hAnsi="Times New Roman" w:cs="Times New Roman"/>
        </w:rPr>
        <w:t>each year between costs</w:t>
      </w:r>
      <w:r w:rsidR="00D00230">
        <w:rPr>
          <w:rFonts w:ascii="Times New Roman" w:hAnsi="Times New Roman" w:cs="Times New Roman"/>
        </w:rPr>
        <w:t>,</w:t>
      </w:r>
      <w:r w:rsidR="00B43A6E">
        <w:rPr>
          <w:rFonts w:ascii="Times New Roman" w:hAnsi="Times New Roman" w:cs="Times New Roman"/>
        </w:rPr>
        <w:t xml:space="preserve"> and </w:t>
      </w:r>
      <w:r w:rsidR="00F1352E">
        <w:rPr>
          <w:rFonts w:ascii="Times New Roman" w:hAnsi="Times New Roman" w:cs="Times New Roman"/>
        </w:rPr>
        <w:t xml:space="preserve">the </w:t>
      </w:r>
      <w:r w:rsidR="00B43A6E">
        <w:rPr>
          <w:rFonts w:ascii="Times New Roman" w:hAnsi="Times New Roman" w:cs="Times New Roman"/>
        </w:rPr>
        <w:t>revenues to cov</w:t>
      </w:r>
      <w:r w:rsidR="00975877">
        <w:rPr>
          <w:rFonts w:ascii="Times New Roman" w:hAnsi="Times New Roman" w:cs="Times New Roman"/>
        </w:rPr>
        <w:t>er those co</w:t>
      </w:r>
      <w:r w:rsidR="00F1352E">
        <w:rPr>
          <w:rFonts w:ascii="Times New Roman" w:hAnsi="Times New Roman" w:cs="Times New Roman"/>
        </w:rPr>
        <w:t>sts, absent a rate increase.</w:t>
      </w:r>
      <w:r w:rsidR="00B43A6E">
        <w:rPr>
          <w:rFonts w:ascii="Times New Roman" w:hAnsi="Times New Roman" w:cs="Times New Roman"/>
        </w:rPr>
        <w:t xml:space="preserve">  A rate increase is necessary each year to cover that gap.</w:t>
      </w:r>
      <w:r w:rsidR="00885E89" w:rsidRPr="00885E89">
        <w:rPr>
          <w:rStyle w:val="FootnoteReference"/>
        </w:rPr>
        <w:t xml:space="preserve"> </w:t>
      </w:r>
      <w:r w:rsidR="00885E89">
        <w:rPr>
          <w:rStyle w:val="FootnoteReference"/>
        </w:rPr>
        <w:footnoteReference w:id="11"/>
      </w:r>
    </w:p>
    <w:p w:rsidR="009250F1" w:rsidRDefault="00885E89" w:rsidP="009250F1">
      <w:pPr>
        <w:tabs>
          <w:tab w:val="left" w:pos="0"/>
        </w:tabs>
        <w:spacing w:line="480" w:lineRule="auto"/>
        <w:ind w:firstLine="720"/>
        <w:jc w:val="both"/>
        <w:rPr>
          <w:b/>
        </w:rPr>
      </w:pPr>
      <w:r>
        <w:t xml:space="preserve">One of the reasons for this “gap” is Avista’s obligation to serve.  </w:t>
      </w:r>
      <w:r w:rsidR="009250F1" w:rsidRPr="000F31D7">
        <w:t>Unlike other businesses, Avista has a legal obligation to provide sa</w:t>
      </w:r>
      <w:r w:rsidR="0000785E">
        <w:t>fe and reliable service to</w:t>
      </w:r>
      <w:r>
        <w:t xml:space="preserve"> electric</w:t>
      </w:r>
      <w:r w:rsidR="009250F1" w:rsidRPr="000F31D7">
        <w:t xml:space="preserve"> customer</w:t>
      </w:r>
      <w:r w:rsidR="0000785E">
        <w:t>s</w:t>
      </w:r>
      <w:r w:rsidR="008279FE">
        <w:t xml:space="preserve"> that request</w:t>
      </w:r>
      <w:r w:rsidR="009250F1" w:rsidRPr="000F31D7">
        <w:t xml:space="preserve"> service from the Company.  When a new customer requests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  </w:t>
      </w:r>
    </w:p>
    <w:p w:rsidR="009250F1" w:rsidRPr="000F31D7" w:rsidRDefault="009250F1" w:rsidP="009250F1">
      <w:pPr>
        <w:pStyle w:val="BodyText"/>
        <w:tabs>
          <w:tab w:val="left" w:pos="720"/>
        </w:tabs>
        <w:spacing w:line="480" w:lineRule="auto"/>
        <w:ind w:firstLine="720"/>
        <w:jc w:val="both"/>
        <w:rPr>
          <w:b w:val="0"/>
        </w:rPr>
      </w:pPr>
      <w:r w:rsidRPr="000F31D7">
        <w:rPr>
          <w:b w:val="0"/>
        </w:rPr>
        <w:t xml:space="preserve">Without the obligation to serve, we could consider refusing to hook up new customers in order to avoid increased costs to our existing customers, or no longer serve some of the more remote, more costly areas to provide service, which would allow us to avoid further investment, and reduce labor and other operating costs.  </w:t>
      </w:r>
    </w:p>
    <w:p w:rsidR="009250F1" w:rsidRDefault="009250F1" w:rsidP="009250F1">
      <w:pPr>
        <w:pStyle w:val="TestBody"/>
        <w:spacing w:line="480" w:lineRule="auto"/>
        <w:ind w:left="0" w:firstLine="720"/>
        <w:rPr>
          <w:rFonts w:ascii="Times New Roman" w:hAnsi="Times New Roman" w:cs="Times New Roman"/>
        </w:rPr>
      </w:pPr>
      <w:r w:rsidRPr="00345A0E">
        <w:rPr>
          <w:rFonts w:ascii="Times New Roman" w:hAnsi="Times New Roman" w:cs="Times New Roman"/>
        </w:rPr>
        <w:t>Unregulated businesses have the opportunity to shut down aging facilities or under-producing retail outlets, eliminate product lines, and cut back on investm</w:t>
      </w:r>
      <w:r>
        <w:rPr>
          <w:rFonts w:ascii="Times New Roman" w:hAnsi="Times New Roman" w:cs="Times New Roman"/>
        </w:rPr>
        <w:t>ent and maintenance.  As an example, on January 14, 2016</w:t>
      </w:r>
      <w:r w:rsidR="00471BD2">
        <w:rPr>
          <w:rFonts w:ascii="Times New Roman" w:hAnsi="Times New Roman" w:cs="Times New Roman"/>
        </w:rPr>
        <w:t>,</w:t>
      </w:r>
      <w:r>
        <w:rPr>
          <w:rFonts w:ascii="Times New Roman" w:hAnsi="Times New Roman" w:cs="Times New Roman"/>
        </w:rPr>
        <w:t xml:space="preserve"> Walmart announced plans to close 269 underperforming retail stores of which 154 stores are in the United States.  In their news release</w:t>
      </w:r>
      <w:r w:rsidR="004F4E30">
        <w:rPr>
          <w:rStyle w:val="FootnoteReference"/>
          <w:rFonts w:ascii="Times New Roman" w:hAnsi="Times New Roman"/>
        </w:rPr>
        <w:footnoteReference w:id="12"/>
      </w:r>
      <w:r>
        <w:rPr>
          <w:rFonts w:ascii="Times New Roman" w:hAnsi="Times New Roman" w:cs="Times New Roman"/>
        </w:rPr>
        <w:t xml:space="preserve"> they explained that: </w:t>
      </w:r>
    </w:p>
    <w:p w:rsidR="009250F1" w:rsidRDefault="009250F1" w:rsidP="009250F1">
      <w:pPr>
        <w:pStyle w:val="story-body-text"/>
        <w:spacing w:before="0" w:beforeAutospacing="0" w:after="0" w:afterAutospacing="0"/>
        <w:ind w:left="720" w:right="1008"/>
        <w:jc w:val="both"/>
      </w:pPr>
      <w:r>
        <w:lastRenderedPageBreak/>
        <w:t>Closing stores is never an easy decision, but it is necessary to keep the company strong and positioned for the future, Doug McMillon, Walmart’s president and chief executive, said in a statement.</w:t>
      </w:r>
    </w:p>
    <w:p w:rsidR="002640B9" w:rsidRDefault="002640B9" w:rsidP="009250F1">
      <w:pPr>
        <w:pStyle w:val="TestBody"/>
        <w:spacing w:line="480" w:lineRule="auto"/>
        <w:ind w:left="0" w:firstLine="720"/>
        <w:rPr>
          <w:rFonts w:ascii="Times New Roman" w:hAnsi="Times New Roman" w:cs="Times New Roman"/>
        </w:rPr>
      </w:pPr>
    </w:p>
    <w:p w:rsidR="009250F1" w:rsidRPr="002640B9" w:rsidRDefault="009250F1" w:rsidP="002640B9">
      <w:pPr>
        <w:pStyle w:val="TestBody"/>
        <w:spacing w:line="480" w:lineRule="auto"/>
        <w:ind w:left="0" w:firstLine="720"/>
        <w:rPr>
          <w:rFonts w:ascii="Times New Roman" w:hAnsi="Times New Roman" w:cs="Times New Roman"/>
          <w:bCs/>
        </w:rPr>
      </w:pPr>
      <w:r w:rsidRPr="002640B9">
        <w:rPr>
          <w:rFonts w:ascii="Times New Roman" w:hAnsi="Times New Roman" w:cs="Times New Roman"/>
        </w:rPr>
        <w:t>In contrast, Avista has an obligation to continue to serve all existing customers with safe, reliable service, as well as hook up new customers upon their request.</w:t>
      </w:r>
    </w:p>
    <w:p w:rsidR="007475A2" w:rsidRDefault="00C34C6A" w:rsidP="007E2B50">
      <w:pPr>
        <w:spacing w:line="480" w:lineRule="auto"/>
        <w:ind w:firstLine="720"/>
        <w:jc w:val="both"/>
        <w:rPr>
          <w:b/>
        </w:rPr>
      </w:pPr>
      <w:r>
        <w:rPr>
          <w:b/>
        </w:rPr>
        <w:t>Q.</w:t>
      </w:r>
      <w:r>
        <w:rPr>
          <w:b/>
        </w:rPr>
        <w:tab/>
        <w:t>Are there other factors that contribute significantly to this “gap” between the growth in cos</w:t>
      </w:r>
      <w:r w:rsidR="00327AD0">
        <w:rPr>
          <w:b/>
        </w:rPr>
        <w:t>ts and the growth in sales revenue?</w:t>
      </w:r>
    </w:p>
    <w:p w:rsidR="00327AD0" w:rsidRDefault="00327AD0" w:rsidP="007E2B50">
      <w:pPr>
        <w:spacing w:line="480" w:lineRule="auto"/>
        <w:ind w:firstLine="720"/>
        <w:jc w:val="both"/>
      </w:pPr>
      <w:r w:rsidRPr="00327AD0">
        <w:t>A.</w:t>
      </w:r>
      <w:r w:rsidRPr="00327AD0">
        <w:tab/>
      </w:r>
      <w:r>
        <w:t xml:space="preserve">Yes.  </w:t>
      </w:r>
      <w:r w:rsidR="00F27AF1">
        <w:t xml:space="preserve">Electric and natural gas utilities, like Avista, are very unique businesses in that </w:t>
      </w:r>
      <w:r w:rsidR="00592DB8">
        <w:t xml:space="preserve">we </w:t>
      </w:r>
      <w:r w:rsidR="00F27AF1">
        <w:t>offer dollar</w:t>
      </w:r>
      <w:r w:rsidR="00592DB8">
        <w:t xml:space="preserve"> incentives to customers</w:t>
      </w:r>
      <w:r w:rsidR="00F27AF1">
        <w:t xml:space="preserve"> to </w:t>
      </w:r>
      <w:r w:rsidR="00F27AF1" w:rsidRPr="00592DB8">
        <w:rPr>
          <w:u w:val="single"/>
        </w:rPr>
        <w:t>not use our product</w:t>
      </w:r>
      <w:r w:rsidR="00592DB8">
        <w:t xml:space="preserve"> (through our energy efficiency programs)</w:t>
      </w:r>
      <w:r w:rsidR="00F27AF1">
        <w:t xml:space="preserve">.  </w:t>
      </w:r>
      <w:r w:rsidR="00D96037">
        <w:t>Furthermore</w:t>
      </w:r>
      <w:r w:rsidR="00F27AF1">
        <w:t xml:space="preserve">, our communication with our customers related to energy usage is to </w:t>
      </w:r>
      <w:r w:rsidR="00592DB8">
        <w:t xml:space="preserve">use </w:t>
      </w:r>
      <w:r w:rsidR="00592DB8" w:rsidRPr="00592DB8">
        <w:rPr>
          <w:u w:val="single"/>
        </w:rPr>
        <w:t>less of our product – not more</w:t>
      </w:r>
      <w:r w:rsidR="00592DB8">
        <w:t xml:space="preserve">. </w:t>
      </w:r>
    </w:p>
    <w:p w:rsidR="00894DB9" w:rsidRDefault="00894DB9" w:rsidP="00894DB9">
      <w:pPr>
        <w:tabs>
          <w:tab w:val="left" w:pos="0"/>
        </w:tabs>
        <w:spacing w:line="480" w:lineRule="auto"/>
        <w:ind w:firstLine="720"/>
        <w:jc w:val="both"/>
        <w:rPr>
          <w:bCs/>
        </w:rPr>
      </w:pPr>
      <w:r>
        <w:rPr>
          <w:bCs/>
        </w:rPr>
        <w:t>Avista continues to run its successful energy efficiency programs, which help existing and new customers, use less energy in their homes and businesses.  Avista’s energy efficiency programs include not only our direct incentive programs that help fund energy efficiency measures for customers, and engineering assistance to help design and implement energy efficient measures, but also extensive education and information to encourage customers to take steps to use energy more efficiently.</w:t>
      </w:r>
    </w:p>
    <w:p w:rsidR="00592DB8" w:rsidRPr="00327AD0" w:rsidRDefault="00894DB9" w:rsidP="00894DB9">
      <w:pPr>
        <w:spacing w:line="480" w:lineRule="auto"/>
        <w:ind w:firstLine="720"/>
        <w:jc w:val="both"/>
      </w:pPr>
      <w:r>
        <w:rPr>
          <w:bCs/>
        </w:rPr>
        <w:t xml:space="preserve">In the long-term, this investment in energy efficiency is absolutely the right thing to do and will allow us to avoid building or acquiring new, higher-cost generating resources in the future.  However, it also contributes to lower </w:t>
      </w:r>
      <w:r w:rsidR="009706E3">
        <w:rPr>
          <w:bCs/>
        </w:rPr>
        <w:t xml:space="preserve">sales </w:t>
      </w:r>
      <w:r>
        <w:rPr>
          <w:bCs/>
        </w:rPr>
        <w:t>revenue growth</w:t>
      </w:r>
      <w:r w:rsidR="009706E3">
        <w:rPr>
          <w:bCs/>
        </w:rPr>
        <w:t>,</w:t>
      </w:r>
      <w:r>
        <w:rPr>
          <w:bCs/>
        </w:rPr>
        <w:t xml:space="preserve"> </w:t>
      </w:r>
      <w:r w:rsidR="001B00AC">
        <w:rPr>
          <w:bCs/>
        </w:rPr>
        <w:t>and contributes to the “gap” in revenues to</w:t>
      </w:r>
      <w:r>
        <w:rPr>
          <w:bCs/>
        </w:rPr>
        <w:t xml:space="preserve"> co</w:t>
      </w:r>
      <w:r w:rsidR="001B00AC">
        <w:rPr>
          <w:bCs/>
        </w:rPr>
        <w:t>ver the costs associated with</w:t>
      </w:r>
      <w:r>
        <w:rPr>
          <w:bCs/>
        </w:rPr>
        <w:t xml:space="preserve"> maintain</w:t>
      </w:r>
      <w:r w:rsidR="001B00AC">
        <w:rPr>
          <w:bCs/>
        </w:rPr>
        <w:t>ing</w:t>
      </w:r>
      <w:r>
        <w:rPr>
          <w:bCs/>
        </w:rPr>
        <w:t xml:space="preserve"> a safe, reliable utility system to serve our customers.</w:t>
      </w:r>
    </w:p>
    <w:p w:rsidR="007E2B50" w:rsidRDefault="001F6903" w:rsidP="00E805EB">
      <w:pPr>
        <w:spacing w:line="480" w:lineRule="auto"/>
        <w:ind w:firstLine="720"/>
        <w:jc w:val="both"/>
        <w:rPr>
          <w:b/>
        </w:rPr>
      </w:pPr>
      <w:r>
        <w:rPr>
          <w:b/>
        </w:rPr>
        <w:lastRenderedPageBreak/>
        <w:t>Q.</w:t>
      </w:r>
      <w:r>
        <w:rPr>
          <w:b/>
        </w:rPr>
        <w:tab/>
        <w:t>The net plant, O&amp;M, and sales growth i</w:t>
      </w:r>
      <w:r w:rsidR="008279FE">
        <w:rPr>
          <w:b/>
        </w:rPr>
        <w:t xml:space="preserve">nformation in Illustration </w:t>
      </w:r>
      <w:r w:rsidR="002135BD">
        <w:rPr>
          <w:b/>
        </w:rPr>
        <w:t xml:space="preserve">No. </w:t>
      </w:r>
      <w:r w:rsidR="008279FE">
        <w:rPr>
          <w:b/>
        </w:rPr>
        <w:t>6</w:t>
      </w:r>
      <w:r>
        <w:rPr>
          <w:b/>
        </w:rPr>
        <w:t xml:space="preserve"> above is for Avista Utilities as a whole.  Has the Company prepared an analysis specific to Washington utility operations that shows the changes in costs and sales revenue over time</w:t>
      </w:r>
      <w:r w:rsidR="007E2B50">
        <w:rPr>
          <w:b/>
        </w:rPr>
        <w:t>?</w:t>
      </w:r>
    </w:p>
    <w:p w:rsidR="000A7007" w:rsidRDefault="007E2B50" w:rsidP="007E2B50">
      <w:pPr>
        <w:tabs>
          <w:tab w:val="left" w:pos="0"/>
        </w:tabs>
        <w:spacing w:line="480" w:lineRule="auto"/>
        <w:ind w:firstLine="720"/>
        <w:jc w:val="both"/>
      </w:pPr>
      <w:r w:rsidRPr="008D34C2">
        <w:t>A.</w:t>
      </w:r>
      <w:r w:rsidRPr="008D34C2">
        <w:tab/>
      </w:r>
      <w:r w:rsidR="001F6903">
        <w:t>Yes.  The chart in Illu</w:t>
      </w:r>
      <w:r w:rsidR="0071657B">
        <w:t xml:space="preserve">stration </w:t>
      </w:r>
      <w:r w:rsidR="008E2E28">
        <w:t xml:space="preserve">No. </w:t>
      </w:r>
      <w:r w:rsidR="0071657B">
        <w:t>7</w:t>
      </w:r>
      <w:r w:rsidR="001F6903">
        <w:t xml:space="preserve"> below shows the growth in costs for Avista’s Washington electric operations in recent years, as compared to the growth in sales revenue.  The left side of the chart shows the growth in Rate Base and O&amp;M/A&amp;G costs, for the one-</w:t>
      </w:r>
      <w:r w:rsidR="000A7007">
        <w:t xml:space="preserve">year period from 2014 to 2015, </w:t>
      </w:r>
      <w:r w:rsidR="001F6903">
        <w:t>as compared to the growth in sales revenue (Growth Margin) to cover those cost</w:t>
      </w:r>
      <w:r w:rsidR="008C6B5C">
        <w:t>s</w:t>
      </w:r>
      <w:r w:rsidR="00454391">
        <w:t>.  The chart shows that from 2014 to 2015 costs grew $22.6 million, as compared to margin growth of $1.5 million.</w:t>
      </w:r>
    </w:p>
    <w:p w:rsidR="00845A63" w:rsidRDefault="001F6903" w:rsidP="00A95B6B">
      <w:pPr>
        <w:tabs>
          <w:tab w:val="left" w:pos="0"/>
        </w:tabs>
        <w:spacing w:line="480" w:lineRule="auto"/>
        <w:ind w:firstLine="720"/>
        <w:jc w:val="both"/>
      </w:pPr>
      <w:r>
        <w:t xml:space="preserve">The middle section of the chart shows a similar comparison of the growth in costs versus the growth in </w:t>
      </w:r>
      <w:r w:rsidR="000A7007">
        <w:t xml:space="preserve">sales </w:t>
      </w:r>
      <w:r>
        <w:t xml:space="preserve">revenue, from 2015 to 2016.  And the </w:t>
      </w:r>
      <w:r w:rsidR="007B3A9E">
        <w:t>right side of the chart shows the growth in costs versus</w:t>
      </w:r>
      <w:r w:rsidR="000A7007">
        <w:t xml:space="preserve"> sales revenue from 2016 through the first rate year in this case beginning May 1, 2018.  The illustration shows that c</w:t>
      </w:r>
      <w:r w:rsidR="008C6B5C">
        <w:t>osts</w:t>
      </w:r>
      <w:r w:rsidR="000A7007">
        <w:t xml:space="preserve"> are</w:t>
      </w:r>
      <w:r w:rsidR="008C6B5C">
        <w:t xml:space="preserve"> growing more than </w:t>
      </w:r>
      <w:r w:rsidR="00D96037">
        <w:t>sales revenue growth</w:t>
      </w:r>
      <w:r w:rsidR="008C6B5C">
        <w:t xml:space="preserve"> on an annual basis.</w:t>
      </w:r>
      <w:r w:rsidR="00D9649F">
        <w:t xml:space="preserve">  Ms. Andrews provides additional information related to annual </w:t>
      </w:r>
      <w:r w:rsidR="003F5EA6">
        <w:t>cost</w:t>
      </w:r>
      <w:r w:rsidR="00D9649F">
        <w:t xml:space="preserve"> and sales revenue changes.</w:t>
      </w:r>
      <w:r w:rsidR="00845A63">
        <w:br w:type="page"/>
      </w:r>
    </w:p>
    <w:p w:rsidR="007E2B50" w:rsidRPr="002D33F5" w:rsidRDefault="00530BD2" w:rsidP="00B10907">
      <w:pPr>
        <w:tabs>
          <w:tab w:val="left" w:pos="0"/>
        </w:tabs>
        <w:spacing w:line="480" w:lineRule="auto"/>
        <w:jc w:val="both"/>
        <w:rPr>
          <w:b/>
          <w:u w:val="single"/>
        </w:rPr>
      </w:pPr>
      <w:r w:rsidRPr="00BE60D3">
        <w:rPr>
          <w:noProof/>
        </w:rPr>
        <w:lastRenderedPageBreak/>
        <w:drawing>
          <wp:anchor distT="0" distB="0" distL="114300" distR="114300" simplePos="0" relativeHeight="251685888" behindDoc="1" locked="0" layoutInCell="1" allowOverlap="1">
            <wp:simplePos x="0" y="0"/>
            <wp:positionH relativeFrom="column">
              <wp:posOffset>457200</wp:posOffset>
            </wp:positionH>
            <wp:positionV relativeFrom="paragraph">
              <wp:posOffset>168275</wp:posOffset>
            </wp:positionV>
            <wp:extent cx="4663440" cy="3505200"/>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344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940">
        <w:rPr>
          <w:b/>
          <w:u w:val="single"/>
        </w:rPr>
        <w:t>Illustration</w:t>
      </w:r>
      <w:r w:rsidR="00425940" w:rsidRPr="0071657B">
        <w:rPr>
          <w:b/>
          <w:u w:val="single"/>
        </w:rPr>
        <w:t xml:space="preserve"> </w:t>
      </w:r>
      <w:r w:rsidR="008E2E28">
        <w:rPr>
          <w:b/>
          <w:u w:val="single"/>
        </w:rPr>
        <w:t xml:space="preserve">No. </w:t>
      </w:r>
      <w:r w:rsidR="0071657B" w:rsidRPr="0071657B">
        <w:rPr>
          <w:b/>
          <w:u w:val="single"/>
        </w:rPr>
        <w:t xml:space="preserve">7 - </w:t>
      </w:r>
      <w:r w:rsidR="001F6903" w:rsidRPr="0071657B">
        <w:rPr>
          <w:b/>
          <w:u w:val="single"/>
        </w:rPr>
        <w:t>Washington Electric Operations</w:t>
      </w:r>
    </w:p>
    <w:p w:rsidR="007E2B50" w:rsidRDefault="007E2B50" w:rsidP="00B10907">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jc w:val="center"/>
        <w:rPr>
          <w:b/>
          <w:u w:val="single"/>
        </w:rPr>
      </w:pPr>
    </w:p>
    <w:p w:rsidR="007E2B50" w:rsidRDefault="007E2B50" w:rsidP="007E2B50">
      <w:pPr>
        <w:tabs>
          <w:tab w:val="left" w:pos="0"/>
        </w:tabs>
        <w:spacing w:line="480" w:lineRule="auto"/>
        <w:rPr>
          <w:b/>
          <w:u w:val="single"/>
        </w:rPr>
      </w:pPr>
    </w:p>
    <w:p w:rsidR="007E2B50" w:rsidRDefault="007E2B50" w:rsidP="007E2B50">
      <w:pPr>
        <w:tabs>
          <w:tab w:val="left" w:pos="0"/>
        </w:tabs>
        <w:spacing w:line="480" w:lineRule="auto"/>
        <w:jc w:val="center"/>
        <w:rPr>
          <w:b/>
          <w:u w:val="single"/>
        </w:rPr>
      </w:pPr>
    </w:p>
    <w:p w:rsidR="00845A63" w:rsidRDefault="00845A63" w:rsidP="00845A63">
      <w:pPr>
        <w:tabs>
          <w:tab w:val="left" w:pos="0"/>
        </w:tabs>
        <w:spacing w:line="480" w:lineRule="auto"/>
        <w:jc w:val="both"/>
      </w:pPr>
    </w:p>
    <w:p w:rsidR="00845A63" w:rsidRDefault="00845A63" w:rsidP="00845A63">
      <w:pPr>
        <w:tabs>
          <w:tab w:val="left" w:pos="0"/>
        </w:tabs>
        <w:spacing w:line="480" w:lineRule="auto"/>
        <w:jc w:val="both"/>
      </w:pPr>
    </w:p>
    <w:p w:rsidR="007E2B50" w:rsidRDefault="009079C0" w:rsidP="00FB5FA3">
      <w:pPr>
        <w:tabs>
          <w:tab w:val="left" w:pos="0"/>
        </w:tabs>
        <w:spacing w:line="480" w:lineRule="auto"/>
        <w:ind w:firstLine="720"/>
        <w:jc w:val="both"/>
      </w:pPr>
      <w:r>
        <w:t>Annual rate</w:t>
      </w:r>
      <w:r w:rsidR="00FB5FA3" w:rsidRPr="00FB5FA3">
        <w:t xml:space="preserve"> increases are necessary to cover this “gap” between the growth in costs and the growth in sales revenue.</w:t>
      </w:r>
    </w:p>
    <w:p w:rsidR="0005147B" w:rsidRDefault="0005147B" w:rsidP="00FB5FA3">
      <w:pPr>
        <w:tabs>
          <w:tab w:val="left" w:pos="0"/>
        </w:tabs>
        <w:spacing w:line="480" w:lineRule="auto"/>
        <w:ind w:firstLine="720"/>
        <w:jc w:val="both"/>
      </w:pPr>
    </w:p>
    <w:p w:rsidR="0005147B" w:rsidRPr="00471BD2" w:rsidRDefault="0005147B" w:rsidP="0005147B">
      <w:pPr>
        <w:tabs>
          <w:tab w:val="left" w:pos="0"/>
        </w:tabs>
        <w:spacing w:line="480" w:lineRule="auto"/>
        <w:ind w:firstLine="720"/>
        <w:jc w:val="center"/>
        <w:rPr>
          <w:b/>
          <w:bCs/>
          <w:u w:val="single"/>
        </w:rPr>
      </w:pPr>
      <w:r w:rsidRPr="00471BD2">
        <w:rPr>
          <w:b/>
          <w:bCs/>
          <w:u w:val="single"/>
        </w:rPr>
        <w:t>IV</w:t>
      </w:r>
      <w:proofErr w:type="gramStart"/>
      <w:r w:rsidRPr="00471BD2">
        <w:rPr>
          <w:b/>
          <w:bCs/>
          <w:u w:val="single"/>
        </w:rPr>
        <w:t>.  NEED</w:t>
      </w:r>
      <w:proofErr w:type="gramEnd"/>
      <w:r w:rsidRPr="00471BD2">
        <w:rPr>
          <w:b/>
          <w:bCs/>
          <w:u w:val="single"/>
        </w:rPr>
        <w:t xml:space="preserve"> FOR </w:t>
      </w:r>
      <w:r w:rsidR="00ED2BC8" w:rsidRPr="00471BD2">
        <w:rPr>
          <w:b/>
          <w:bCs/>
          <w:u w:val="single"/>
        </w:rPr>
        <w:t>CONTINUING CAPITAL INVESTMENT</w:t>
      </w:r>
    </w:p>
    <w:p w:rsidR="0005147B" w:rsidRPr="003E628C" w:rsidRDefault="0005147B" w:rsidP="0005147B">
      <w:pPr>
        <w:spacing w:line="480" w:lineRule="auto"/>
        <w:ind w:firstLine="720"/>
        <w:jc w:val="both"/>
        <w:rPr>
          <w:b/>
        </w:rPr>
      </w:pPr>
      <w:r w:rsidRPr="003E628C">
        <w:rPr>
          <w:b/>
        </w:rPr>
        <w:t>Q.</w:t>
      </w:r>
      <w:r w:rsidRPr="003E628C">
        <w:rPr>
          <w:b/>
        </w:rPr>
        <w:tab/>
        <w:t>In the last rate case, questions were raised related to the need for and timing of capital investments.  Please explain how Avista identifies and prioritizes capital investments, and why the investments are made in the time frame they are completed.</w:t>
      </w:r>
    </w:p>
    <w:p w:rsidR="0005147B" w:rsidRDefault="0005147B" w:rsidP="0005147B">
      <w:pPr>
        <w:spacing w:line="480" w:lineRule="auto"/>
        <w:ind w:firstLine="720"/>
        <w:jc w:val="both"/>
      </w:pPr>
      <w:r>
        <w:t>A.</w:t>
      </w:r>
      <w:r>
        <w:tab/>
        <w:t xml:space="preserve">I will summarize why Avista is making capital investments in the time frame they are being completed, and the process we use for identifying and prioritizing those investments.  Company witnesses Mr. Kinney, Ms. Rosentrater, and Mr. Kensok provide details of our capital projects in progress, as well as planned projects, and address why they </w:t>
      </w:r>
      <w:r>
        <w:lastRenderedPageBreak/>
        <w:t>need to be done in the planned time frame, and what the risks and consequences are of not completing the projects in that time frame.</w:t>
      </w:r>
    </w:p>
    <w:p w:rsidR="0005147B" w:rsidRPr="00A076A8" w:rsidRDefault="0005147B" w:rsidP="0005147B">
      <w:pPr>
        <w:spacing w:line="480" w:lineRule="auto"/>
        <w:ind w:firstLine="720"/>
        <w:jc w:val="both"/>
      </w:pPr>
      <w:r w:rsidRPr="00467565">
        <w:t>Our process to identify and prioritize capital investment is designed to meet the overall need for investment, in the appropria</w:t>
      </w:r>
      <w:r w:rsidR="00D7278F">
        <w:t>te time frame, in a manner that</w:t>
      </w:r>
      <w:r w:rsidRPr="00467565">
        <w:t xml:space="preserve"> best meets the future needs and expectations of our customers, in both the short-term and long-term.  </w:t>
      </w:r>
      <w:r>
        <w:t>T</w:t>
      </w:r>
      <w:r w:rsidRPr="00A076A8">
        <w:t xml:space="preserve">he Company’s practice </w:t>
      </w:r>
      <w:r>
        <w:t>has been to constrain the level of</w:t>
      </w:r>
      <w:r w:rsidRPr="00A076A8">
        <w:t xml:space="preserve"> capital investment each year, such t</w:t>
      </w:r>
      <w:r>
        <w:t>hat not all of the</w:t>
      </w:r>
      <w:r w:rsidRPr="00A076A8">
        <w:t xml:space="preserve"> prioritized projects and programs</w:t>
      </w:r>
      <w:r w:rsidRPr="00467565">
        <w:rPr>
          <w:rStyle w:val="FootnoteReference"/>
        </w:rPr>
        <w:footnoteReference w:id="13"/>
      </w:r>
      <w:r w:rsidRPr="00A076A8">
        <w:t xml:space="preserve"> </w:t>
      </w:r>
      <w:r>
        <w:t xml:space="preserve">will be funded in a given year at the level requested.  </w:t>
      </w:r>
      <w:r w:rsidRPr="00A076A8">
        <w:t>Avista believes that holding capital spending below the level requested accomplishes several important objectives, including:</w:t>
      </w:r>
    </w:p>
    <w:p w:rsidR="0005147B" w:rsidRPr="00A076A8" w:rsidRDefault="0005147B" w:rsidP="0005147B">
      <w:pPr>
        <w:numPr>
          <w:ilvl w:val="0"/>
          <w:numId w:val="15"/>
        </w:numPr>
        <w:autoSpaceDE/>
        <w:autoSpaceDN/>
        <w:contextualSpacing/>
        <w:jc w:val="both"/>
      </w:pPr>
      <w:r w:rsidRPr="00A076A8">
        <w:rPr>
          <w:b/>
          <w:i/>
        </w:rPr>
        <w:t>Promotes Innovation</w:t>
      </w:r>
      <w:r w:rsidRPr="00A076A8">
        <w:t xml:space="preserve"> - Encourages ways to satisfy the identified investment needs in a manner that may identify </w:t>
      </w:r>
      <w:r>
        <w:t>potential cost savings, defer</w:t>
      </w:r>
      <w:r w:rsidRPr="00A076A8">
        <w:t xml:space="preserve"> implementation, or other creative options or solutions.</w:t>
      </w:r>
    </w:p>
    <w:p w:rsidR="0005147B" w:rsidRPr="00A076A8" w:rsidRDefault="0005147B" w:rsidP="0005147B">
      <w:pPr>
        <w:numPr>
          <w:ilvl w:val="0"/>
          <w:numId w:val="15"/>
        </w:numPr>
        <w:autoSpaceDE/>
        <w:autoSpaceDN/>
        <w:contextualSpacing/>
        <w:jc w:val="both"/>
      </w:pPr>
      <w:r w:rsidRPr="00A076A8">
        <w:rPr>
          <w:b/>
          <w:i/>
        </w:rPr>
        <w:t>Balances Cost and Risk</w:t>
      </w:r>
      <w:r w:rsidRPr="00A076A8">
        <w:rPr>
          <w:b/>
        </w:rPr>
        <w:t xml:space="preserve"> </w:t>
      </w:r>
      <w:r w:rsidRPr="00A076A8">
        <w:t>– Captures the customer benefits of deferring needed investments by prudently managing the cost consequences and risks associated with such deferrals.</w:t>
      </w:r>
    </w:p>
    <w:p w:rsidR="0005147B" w:rsidRPr="00A076A8" w:rsidRDefault="0005147B" w:rsidP="0005147B">
      <w:pPr>
        <w:numPr>
          <w:ilvl w:val="0"/>
          <w:numId w:val="15"/>
        </w:numPr>
        <w:autoSpaceDE/>
        <w:autoSpaceDN/>
        <w:contextualSpacing/>
        <w:jc w:val="both"/>
      </w:pPr>
      <w:r w:rsidRPr="00A076A8">
        <w:rPr>
          <w:b/>
          <w:i/>
        </w:rPr>
        <w:t>Efficiently Allocates Capital</w:t>
      </w:r>
      <w:r w:rsidRPr="00A076A8">
        <w:rPr>
          <w:b/>
        </w:rPr>
        <w:t xml:space="preserve"> </w:t>
      </w:r>
      <w:r w:rsidRPr="00A076A8">
        <w:t xml:space="preserve">– </w:t>
      </w:r>
      <w:r>
        <w:t>E</w:t>
      </w:r>
      <w:r w:rsidRPr="00A076A8">
        <w:t>nsure</w:t>
      </w:r>
      <w:r>
        <w:t>s</w:t>
      </w:r>
      <w:r w:rsidRPr="00A076A8">
        <w:t xml:space="preserve"> that the highest-priority needs are adequately funded in the most efficient and effective way.</w:t>
      </w:r>
    </w:p>
    <w:p w:rsidR="0005147B" w:rsidRPr="00A076A8" w:rsidRDefault="0005147B" w:rsidP="0005147B">
      <w:pPr>
        <w:numPr>
          <w:ilvl w:val="0"/>
          <w:numId w:val="15"/>
        </w:numPr>
        <w:autoSpaceDE/>
        <w:autoSpaceDN/>
        <w:contextualSpacing/>
        <w:jc w:val="both"/>
      </w:pPr>
      <w:r w:rsidRPr="00A076A8">
        <w:rPr>
          <w:b/>
          <w:i/>
        </w:rPr>
        <w:t>Reduces Variability</w:t>
      </w:r>
      <w:r w:rsidRPr="00A076A8">
        <w:t xml:space="preserve"> - Moderates the magnitude of year-to-year variability</w:t>
      </w:r>
      <w:r>
        <w:t xml:space="preserve"> to avoid excessive rate impacts, and more efficiently optimizes the number and cost of personnel necessary to carry out the capital projects.</w:t>
      </w:r>
    </w:p>
    <w:p w:rsidR="0005147B" w:rsidRPr="00A076A8" w:rsidRDefault="0005147B" w:rsidP="0005147B">
      <w:pPr>
        <w:spacing w:line="480" w:lineRule="auto"/>
        <w:jc w:val="both"/>
      </w:pPr>
    </w:p>
    <w:p w:rsidR="0005147B" w:rsidRDefault="0005147B" w:rsidP="0005147B">
      <w:pPr>
        <w:spacing w:line="480" w:lineRule="auto"/>
        <w:ind w:firstLine="720"/>
        <w:jc w:val="both"/>
      </w:pPr>
      <w:r w:rsidRPr="00A076A8">
        <w:t>Avista</w:t>
      </w:r>
      <w:r>
        <w:t xml:space="preserve"> currently</w:t>
      </w:r>
      <w:r w:rsidRPr="00A076A8">
        <w:t xml:space="preserve"> has chosen to stabilize the level of annual capital spending at </w:t>
      </w:r>
      <w:r>
        <w:t xml:space="preserve">what can be described as a constrained level of </w:t>
      </w:r>
      <w:r w:rsidRPr="00A076A8">
        <w:t>$405 million</w:t>
      </w:r>
      <w:r>
        <w:t>,</w:t>
      </w:r>
      <w:r w:rsidRPr="00A076A8">
        <w:t xml:space="preserve"> in an effort to </w:t>
      </w:r>
      <w:r>
        <w:t>accomplish the objectives described above.</w:t>
      </w:r>
    </w:p>
    <w:p w:rsidR="0005147B" w:rsidRPr="00467565" w:rsidRDefault="0005147B" w:rsidP="0005147B">
      <w:pPr>
        <w:spacing w:line="480" w:lineRule="auto"/>
        <w:ind w:firstLine="720"/>
        <w:jc w:val="both"/>
      </w:pPr>
      <w:r w:rsidRPr="00467565">
        <w:rPr>
          <w:kern w:val="22"/>
        </w:rPr>
        <w:t xml:space="preserve">Whether the investment touches the customer directly, such as our customer service or metering systems, or indirectly, such as improving the capability and efficiency of our </w:t>
      </w:r>
      <w:r w:rsidRPr="00467565">
        <w:rPr>
          <w:kern w:val="22"/>
        </w:rPr>
        <w:lastRenderedPageBreak/>
        <w:t>employees and internal work processes, each dollar we invest ultimately supports three primary objectives:</w:t>
      </w:r>
      <w:r w:rsidRPr="00467565">
        <w:t xml:space="preserve">  </w:t>
      </w:r>
    </w:p>
    <w:p w:rsidR="0005147B" w:rsidRPr="00467565" w:rsidRDefault="0005147B" w:rsidP="00A867AD">
      <w:pPr>
        <w:ind w:firstLine="720"/>
        <w:jc w:val="both"/>
      </w:pPr>
      <w:r w:rsidRPr="00467565">
        <w:t xml:space="preserve">1)   </w:t>
      </w:r>
      <w:proofErr w:type="gramStart"/>
      <w:r w:rsidRPr="00467565">
        <w:t>to</w:t>
      </w:r>
      <w:proofErr w:type="gramEnd"/>
      <w:r w:rsidRPr="00467565">
        <w:t xml:space="preserve"> deliver </w:t>
      </w:r>
      <w:r w:rsidRPr="00467565">
        <w:rPr>
          <w:b/>
        </w:rPr>
        <w:t xml:space="preserve">safe and reliable service </w:t>
      </w:r>
      <w:r w:rsidR="001F396F">
        <w:t>to customers;</w:t>
      </w:r>
    </w:p>
    <w:p w:rsidR="0005147B" w:rsidRPr="00467565" w:rsidRDefault="0005147B" w:rsidP="00A867AD">
      <w:pPr>
        <w:ind w:left="720"/>
        <w:jc w:val="both"/>
      </w:pPr>
      <w:r w:rsidRPr="00467565">
        <w:t xml:space="preserve">2)   </w:t>
      </w:r>
      <w:proofErr w:type="gramStart"/>
      <w:r w:rsidRPr="00467565">
        <w:t>achieve</w:t>
      </w:r>
      <w:proofErr w:type="gramEnd"/>
      <w:r w:rsidRPr="00467565">
        <w:t xml:space="preserve"> </w:t>
      </w:r>
      <w:r w:rsidRPr="00467565">
        <w:rPr>
          <w:b/>
        </w:rPr>
        <w:t>high customer satisfaction</w:t>
      </w:r>
      <w:r w:rsidR="001F396F">
        <w:t xml:space="preserve">; </w:t>
      </w:r>
      <w:r w:rsidRPr="00467565">
        <w:t xml:space="preserve">and </w:t>
      </w:r>
    </w:p>
    <w:p w:rsidR="0005147B" w:rsidRDefault="0005147B" w:rsidP="00A867AD">
      <w:pPr>
        <w:ind w:left="720"/>
        <w:jc w:val="both"/>
        <w:rPr>
          <w:kern w:val="22"/>
        </w:rPr>
      </w:pPr>
      <w:r w:rsidRPr="00467565">
        <w:t xml:space="preserve">3)   </w:t>
      </w:r>
      <w:proofErr w:type="gramStart"/>
      <w:r w:rsidRPr="00467565">
        <w:t>at</w:t>
      </w:r>
      <w:proofErr w:type="gramEnd"/>
      <w:r w:rsidRPr="00467565">
        <w:t xml:space="preserve"> a </w:t>
      </w:r>
      <w:r w:rsidRPr="00467565">
        <w:rPr>
          <w:b/>
        </w:rPr>
        <w:t>reasonable cost to customers</w:t>
      </w:r>
      <w:r w:rsidRPr="00467565">
        <w:rPr>
          <w:kern w:val="22"/>
        </w:rPr>
        <w:t>.</w:t>
      </w:r>
    </w:p>
    <w:p w:rsidR="0005147B" w:rsidRPr="00467565" w:rsidRDefault="0005147B" w:rsidP="0005147B">
      <w:pPr>
        <w:spacing w:line="480" w:lineRule="auto"/>
        <w:ind w:left="720"/>
        <w:jc w:val="both"/>
      </w:pPr>
    </w:p>
    <w:p w:rsidR="0005147B" w:rsidRDefault="0005147B" w:rsidP="00AB5A31">
      <w:pPr>
        <w:spacing w:line="480" w:lineRule="auto"/>
        <w:ind w:firstLine="720"/>
        <w:jc w:val="both"/>
      </w:pPr>
      <w:r w:rsidRPr="00467565">
        <w:rPr>
          <w:b/>
        </w:rPr>
        <w:t>1.  Safe and Reliable Service</w:t>
      </w:r>
      <w:r w:rsidRPr="00467565">
        <w:t xml:space="preserve"> – “Reliability” encompasses every aspect of our service and the many infrastructure systems we rely on, along with a priority on the safety of our employees, our customers, and the communities we serve. </w:t>
      </w:r>
      <w:r>
        <w:t xml:space="preserve"> E</w:t>
      </w:r>
      <w:r w:rsidRPr="00467565">
        <w:t>ach year we track and report on how well our system has performed as measured by the number of service interruptions or electric outages (SAIFI), and the duration or length of time in minutes of interruptions (SAIDI) that are experienced by our customers.   The Company’s annual reliability performance for the years 2004 t</w:t>
      </w:r>
      <w:r w:rsidR="00673DA9">
        <w:t>hrough</w:t>
      </w:r>
      <w:r w:rsidR="00141AB5">
        <w:t xml:space="preserve"> </w:t>
      </w:r>
      <w:r w:rsidR="0071657B">
        <w:t xml:space="preserve">2016 is shown in Illustration </w:t>
      </w:r>
      <w:r w:rsidR="00DF5DBF">
        <w:t xml:space="preserve">No. </w:t>
      </w:r>
      <w:r w:rsidR="0071657B">
        <w:t>8</w:t>
      </w:r>
      <w:r w:rsidRPr="00467565">
        <w:t xml:space="preserve"> below.</w:t>
      </w:r>
    </w:p>
    <w:p w:rsidR="0005147B" w:rsidRDefault="0071657B" w:rsidP="00AB5A31">
      <w:pPr>
        <w:spacing w:line="480" w:lineRule="auto"/>
        <w:jc w:val="both"/>
        <w:rPr>
          <w:b/>
          <w:u w:val="single"/>
        </w:rPr>
      </w:pPr>
      <w:r>
        <w:rPr>
          <w:b/>
          <w:u w:val="single"/>
        </w:rPr>
        <w:t xml:space="preserve">Illustration </w:t>
      </w:r>
      <w:r w:rsidR="00DF5DBF">
        <w:rPr>
          <w:b/>
          <w:u w:val="single"/>
        </w:rPr>
        <w:t xml:space="preserve">No. </w:t>
      </w:r>
      <w:r>
        <w:rPr>
          <w:b/>
          <w:u w:val="single"/>
        </w:rPr>
        <w:t>8</w:t>
      </w:r>
      <w:r w:rsidR="0005147B" w:rsidRPr="00F62DE5">
        <w:rPr>
          <w:b/>
          <w:u w:val="single"/>
        </w:rPr>
        <w:t xml:space="preserve"> – Avista Electric System Reliability (2004 – 2016)</w:t>
      </w:r>
    </w:p>
    <w:p w:rsidR="0005147B" w:rsidRPr="00C5376C" w:rsidRDefault="0005147B" w:rsidP="00AB5A31">
      <w:pPr>
        <w:spacing w:line="480" w:lineRule="auto"/>
        <w:jc w:val="both"/>
        <w:rPr>
          <w:b/>
          <w:u w:val="single"/>
        </w:rPr>
      </w:pPr>
      <w:r w:rsidRPr="00F62DE5">
        <w:rPr>
          <w:noProof/>
        </w:rPr>
        <w:drawing>
          <wp:anchor distT="0" distB="0" distL="114300" distR="114300" simplePos="0" relativeHeight="251719680" behindDoc="1" locked="0" layoutInCell="1" allowOverlap="1" wp14:anchorId="13F89366" wp14:editId="423B7178">
            <wp:simplePos x="0" y="0"/>
            <wp:positionH relativeFrom="margin">
              <wp:align>left</wp:align>
            </wp:positionH>
            <wp:positionV relativeFrom="paragraph">
              <wp:posOffset>11761</wp:posOffset>
            </wp:positionV>
            <wp:extent cx="5943600" cy="316326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1632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Default="0005147B" w:rsidP="00AB5A31">
      <w:pPr>
        <w:spacing w:line="480" w:lineRule="auto"/>
        <w:jc w:val="center"/>
        <w:rPr>
          <w:noProof/>
        </w:rPr>
      </w:pPr>
    </w:p>
    <w:p w:rsidR="0005147B" w:rsidRPr="00D23815" w:rsidRDefault="00141AB5" w:rsidP="0005147B">
      <w:pPr>
        <w:spacing w:line="480" w:lineRule="auto"/>
        <w:ind w:firstLine="720"/>
        <w:jc w:val="both"/>
      </w:pPr>
      <w:r>
        <w:lastRenderedPageBreak/>
        <w:t xml:space="preserve">As shown in Illustration </w:t>
      </w:r>
      <w:r w:rsidR="00DF5DBF">
        <w:t xml:space="preserve">No. </w:t>
      </w:r>
      <w:r w:rsidR="0071657B">
        <w:t>8</w:t>
      </w:r>
      <w:r w:rsidR="0005147B">
        <w:t xml:space="preserve"> above, the Company’s </w:t>
      </w:r>
      <w:r w:rsidR="0005147B" w:rsidRPr="00D23815">
        <w:t xml:space="preserve">annual </w:t>
      </w:r>
      <w:r w:rsidR="0005147B">
        <w:t xml:space="preserve">level of </w:t>
      </w:r>
      <w:r w:rsidR="0005147B" w:rsidRPr="00D23815">
        <w:t xml:space="preserve">reliability </w:t>
      </w:r>
      <w:r w:rsidR="0005147B">
        <w:t xml:space="preserve">will </w:t>
      </w:r>
      <w:r w:rsidR="0005147B" w:rsidRPr="00D23815">
        <w:t>vary from year-to-year</w:t>
      </w:r>
      <w:r w:rsidR="0005147B">
        <w:t>.</w:t>
      </w:r>
      <w:r w:rsidR="0005147B" w:rsidRPr="00D23815">
        <w:t xml:space="preserve">  This fluctuation in outages is common i</w:t>
      </w:r>
      <w:r w:rsidR="000131E5">
        <w:t>n utility electric systems, and</w:t>
      </w:r>
      <w:r w:rsidR="0005147B" w:rsidRPr="00D23815">
        <w:t xml:space="preserve"> for Avista, is caused by events such as wind and ice storms, fires, heavy snowfall, animals, vehicles striking our poles and equipment, etc.</w:t>
      </w:r>
      <w:r w:rsidR="0005147B" w:rsidRPr="00D23815">
        <w:rPr>
          <w:vertAlign w:val="superscript"/>
        </w:rPr>
        <w:footnoteReference w:id="14"/>
      </w:r>
      <w:r w:rsidR="0005147B" w:rsidRPr="00D23815">
        <w:t xml:space="preserve">  Our </w:t>
      </w:r>
      <w:r w:rsidR="00647E5F">
        <w:t>capital investment plan</w:t>
      </w:r>
      <w:r w:rsidR="0005147B" w:rsidRPr="00D23815">
        <w:t xml:space="preserve"> is designed to achieve a reasonable balance of reliable service, which contributes to a high level of customer satisfaction, while at the same time keeping c</w:t>
      </w:r>
      <w:r w:rsidR="0005147B">
        <w:t xml:space="preserve">osts reasonable for customers.  </w:t>
      </w:r>
      <w:r w:rsidR="0005147B" w:rsidRPr="00D23815">
        <w:t>The reliability of our system is relatively stable, and we believe is at a level which effectively achieves this balance of reliability, customer satisfaction, and at a reasonable cost.</w:t>
      </w:r>
    </w:p>
    <w:p w:rsidR="0005147B" w:rsidRDefault="0005147B" w:rsidP="0005147B">
      <w:pPr>
        <w:spacing w:line="480" w:lineRule="auto"/>
        <w:ind w:firstLine="720"/>
        <w:jc w:val="both"/>
      </w:pPr>
      <w:r w:rsidRPr="00D23815">
        <w:t xml:space="preserve">This assessment is evidenced by our high level of customer satisfaction from our customer satisfaction surveys, by the low number of complaints we receive (and the state commissions receive) each year that are related to reliability issues, and by our measured level of reliability based on benchmarking with similar utilities.  As an example, in a </w:t>
      </w:r>
      <w:r>
        <w:t>preliminary</w:t>
      </w:r>
      <w:r w:rsidRPr="00D23815">
        <w:t xml:space="preserve"> study conducted by the Washington Utilities and Transportation Commission (WUTC), Avista’s reliability was compared with similar utilities across the country.  Avista’s results were generally within the range expected given the particulars of our system, including terrain, weather, and customer density, among other factors.</w:t>
      </w:r>
      <w:r>
        <w:rPr>
          <w:rStyle w:val="FootnoteReference"/>
        </w:rPr>
        <w:footnoteReference w:id="15"/>
      </w:r>
      <w:r>
        <w:t xml:space="preserve">  Our planned level of capital investment is designed to preserve the existing level of reliability, and generally not to improve it.</w:t>
      </w:r>
    </w:p>
    <w:p w:rsidR="0005147B" w:rsidRPr="00D23815" w:rsidRDefault="0005147B" w:rsidP="0005147B">
      <w:pPr>
        <w:spacing w:line="480" w:lineRule="auto"/>
        <w:ind w:firstLine="720"/>
        <w:jc w:val="both"/>
      </w:pPr>
      <w:r w:rsidRPr="00ED13E0">
        <w:rPr>
          <w:b/>
        </w:rPr>
        <w:t>2.  High Customer Satisfaction</w:t>
      </w:r>
      <w:r w:rsidRPr="00ED13E0">
        <w:t xml:space="preserve"> – Each year the Company surveys customers who have had recent contact with our customer service and field service employees to gauge the level of their satisfaction with the quality of our service and their experience doing business </w:t>
      </w:r>
      <w:r w:rsidRPr="00ED13E0">
        <w:lastRenderedPageBreak/>
        <w:t xml:space="preserve">with the Company. This survey, known as </w:t>
      </w:r>
      <w:r w:rsidRPr="00D23815">
        <w:t xml:space="preserve">“Voice of the Customer,” tracks many key service metrics such as wait time on the phone and the knowledge, experience and helpfulness of employees. In addition to equipping our employees to provide excellent service, we have also made major re-investments in technology systems, such as our new customer care and billing system, which enables us to deliver service more tailored to the preferences of our individual customers. The Company’s performance in meeting our objective to provide high customer satisfaction is measured, in part, by the results of the Voice of the Customer survey. </w:t>
      </w:r>
    </w:p>
    <w:p w:rsidR="00E741D5" w:rsidRDefault="0071657B" w:rsidP="0005147B">
      <w:pPr>
        <w:spacing w:line="480" w:lineRule="auto"/>
        <w:ind w:firstLine="720"/>
        <w:jc w:val="both"/>
      </w:pPr>
      <w:r>
        <w:t xml:space="preserve">As shown in Illustration </w:t>
      </w:r>
      <w:r w:rsidR="00DF5DBF">
        <w:t xml:space="preserve">No. </w:t>
      </w:r>
      <w:r>
        <w:t>9</w:t>
      </w:r>
      <w:r w:rsidR="0005147B">
        <w:t xml:space="preserve"> below, o</w:t>
      </w:r>
      <w:r w:rsidR="0005147B" w:rsidRPr="00D23815">
        <w:t xml:space="preserve">ur most recent 2016 year-end results show an overall customer satisfaction rating of </w:t>
      </w:r>
      <w:r w:rsidR="0005147B">
        <w:t>94</w:t>
      </w:r>
      <w:r w:rsidR="0005147B" w:rsidRPr="00D23815">
        <w:t>% for both electric and natural gas service across all our jurisdictions.</w:t>
      </w:r>
      <w:r w:rsidR="0005147B" w:rsidRPr="00D23815">
        <w:rPr>
          <w:vertAlign w:val="superscript"/>
        </w:rPr>
        <w:t xml:space="preserve">  </w:t>
      </w:r>
      <w:r w:rsidR="0005147B" w:rsidRPr="00D23815">
        <w:t xml:space="preserve"> This </w:t>
      </w:r>
      <w:r w:rsidR="0005147B">
        <w:t>94</w:t>
      </w:r>
      <w:r w:rsidR="0005147B" w:rsidRPr="00D23815">
        <w:t xml:space="preserve">% rating reflects customers that are either “satisfied” or “very satisfied” with the service they receive from Avista.  </w:t>
      </w:r>
    </w:p>
    <w:p w:rsidR="00845A63" w:rsidRDefault="0005147B" w:rsidP="00A95B6B">
      <w:pPr>
        <w:spacing w:line="480" w:lineRule="auto"/>
        <w:ind w:firstLine="720"/>
        <w:jc w:val="both"/>
      </w:pPr>
      <w:r w:rsidRPr="00D23815">
        <w:t>We believe our stable-to-improving performance in achieving high levels of customer satisfaction reflect</w:t>
      </w:r>
      <w:r>
        <w:t>s</w:t>
      </w:r>
      <w:r w:rsidRPr="00D23815">
        <w:t xml:space="preserve"> a reasonable level of investment in infrastructure and </w:t>
      </w:r>
      <w:r w:rsidRPr="00006006">
        <w:t>technology to deliver quality customer care</w:t>
      </w:r>
      <w:r w:rsidR="003B4E93">
        <w:t>.</w:t>
      </w:r>
      <w:r w:rsidR="0057135F">
        <w:t xml:space="preserve">  </w:t>
      </w:r>
      <w:r w:rsidR="00845A63">
        <w:br w:type="page"/>
      </w:r>
    </w:p>
    <w:p w:rsidR="0005147B" w:rsidRDefault="0071657B" w:rsidP="0005147B">
      <w:pPr>
        <w:spacing w:line="480" w:lineRule="auto"/>
        <w:rPr>
          <w:b/>
          <w:u w:val="single"/>
        </w:rPr>
      </w:pPr>
      <w:r>
        <w:rPr>
          <w:b/>
          <w:u w:val="single"/>
        </w:rPr>
        <w:lastRenderedPageBreak/>
        <w:t xml:space="preserve">Illustration </w:t>
      </w:r>
      <w:r w:rsidR="00DF5DBF">
        <w:rPr>
          <w:b/>
          <w:u w:val="single"/>
        </w:rPr>
        <w:t xml:space="preserve">No. </w:t>
      </w:r>
      <w:r>
        <w:rPr>
          <w:b/>
          <w:u w:val="single"/>
        </w:rPr>
        <w:t>9</w:t>
      </w:r>
      <w:r w:rsidR="0005147B" w:rsidRPr="00006006">
        <w:rPr>
          <w:b/>
          <w:u w:val="single"/>
        </w:rPr>
        <w:t xml:space="preserve"> – Avista Total Customer Satisfaction Ratings</w:t>
      </w:r>
    </w:p>
    <w:p w:rsidR="0005147B" w:rsidRDefault="00BA1A42" w:rsidP="00BA1A42">
      <w:pPr>
        <w:spacing w:line="480" w:lineRule="auto"/>
        <w:jc w:val="both"/>
      </w:pPr>
      <w:r w:rsidRPr="00BA1A42">
        <w:rPr>
          <w:noProof/>
        </w:rPr>
        <w:drawing>
          <wp:anchor distT="0" distB="0" distL="114300" distR="114300" simplePos="0" relativeHeight="251731968" behindDoc="1" locked="0" layoutInCell="1" allowOverlap="1">
            <wp:simplePos x="0" y="0"/>
            <wp:positionH relativeFrom="column">
              <wp:posOffset>0</wp:posOffset>
            </wp:positionH>
            <wp:positionV relativeFrom="paragraph">
              <wp:posOffset>0</wp:posOffset>
            </wp:positionV>
            <wp:extent cx="5674537" cy="32004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4537" cy="3200400"/>
                    </a:xfrm>
                    <a:prstGeom prst="rect">
                      <a:avLst/>
                    </a:prstGeom>
                    <a:noFill/>
                    <a:ln>
                      <a:noFill/>
                    </a:ln>
                  </pic:spPr>
                </pic:pic>
              </a:graphicData>
            </a:graphic>
            <wp14:sizeRelV relativeFrom="margin">
              <wp14:pctHeight>0</wp14:pctHeight>
            </wp14:sizeRelV>
          </wp:anchor>
        </w:drawing>
      </w: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BA1A42">
      <w:pPr>
        <w:spacing w:line="480" w:lineRule="auto"/>
        <w:jc w:val="center"/>
      </w:pPr>
    </w:p>
    <w:p w:rsidR="0005147B" w:rsidRDefault="0005147B" w:rsidP="0005147B">
      <w:pPr>
        <w:spacing w:line="480" w:lineRule="auto"/>
        <w:ind w:firstLine="720"/>
        <w:jc w:val="both"/>
      </w:pPr>
      <w:r w:rsidRPr="00886AC8">
        <w:rPr>
          <w:color w:val="000000" w:themeColor="text1"/>
        </w:rPr>
        <w:t xml:space="preserve">In addition, in 2015, working closely with WUTC Staff and others, Avista implemented a service quality measures program for tracking and reporting our performance in meeting a range of customer service </w:t>
      </w:r>
      <w:r w:rsidRPr="00D23815">
        <w:t>benchmarks</w:t>
      </w:r>
      <w:r>
        <w:t>.  The annual results</w:t>
      </w:r>
      <w:r w:rsidRPr="00D23815">
        <w:t xml:space="preserve"> are reported to our customers and to the </w:t>
      </w:r>
      <w:r>
        <w:t>WUTC each year. For 2016</w:t>
      </w:r>
      <w:r w:rsidRPr="00D23815">
        <w:t xml:space="preserve"> Avista reported the following results:</w:t>
      </w:r>
    </w:p>
    <w:p w:rsidR="0005147B" w:rsidRPr="00D23815" w:rsidRDefault="0005147B" w:rsidP="001A79BA">
      <w:pPr>
        <w:pStyle w:val="ListParagraph"/>
        <w:autoSpaceDE/>
        <w:autoSpaceDN/>
        <w:jc w:val="both"/>
      </w:pPr>
      <w:r w:rsidRPr="00D23815">
        <w:rPr>
          <w:b/>
          <w:color w:val="000000" w:themeColor="text1"/>
        </w:rPr>
        <w:t>Service Quality Performance</w:t>
      </w:r>
      <w:r w:rsidRPr="00D23815">
        <w:rPr>
          <w:color w:val="000000" w:themeColor="text1"/>
        </w:rPr>
        <w:t xml:space="preserve"> </w:t>
      </w:r>
      <w:r w:rsidRPr="00D23815">
        <w:t xml:space="preserve">– Avista exceeded each of the six performance targets  used to measure the quality of our customer service, including contact center and field services satisfaction, number of Commission complaints, and meeting call answer and field response time goals.  </w:t>
      </w:r>
    </w:p>
    <w:p w:rsidR="007E0504" w:rsidRDefault="007E0504" w:rsidP="001A79BA">
      <w:pPr>
        <w:pStyle w:val="ListParagraph"/>
        <w:autoSpaceDE/>
        <w:autoSpaceDN/>
        <w:jc w:val="both"/>
        <w:rPr>
          <w:b/>
          <w:color w:val="000000" w:themeColor="text1"/>
        </w:rPr>
      </w:pPr>
    </w:p>
    <w:p w:rsidR="0005147B" w:rsidRPr="00B2607E" w:rsidRDefault="0005147B" w:rsidP="001A79BA">
      <w:pPr>
        <w:pStyle w:val="ListParagraph"/>
        <w:autoSpaceDE/>
        <w:autoSpaceDN/>
        <w:jc w:val="both"/>
        <w:rPr>
          <w:vertAlign w:val="superscript"/>
        </w:rPr>
      </w:pPr>
      <w:r w:rsidRPr="00D23815">
        <w:rPr>
          <w:b/>
          <w:color w:val="000000" w:themeColor="text1"/>
        </w:rPr>
        <w:t>Customer Guarantees</w:t>
      </w:r>
      <w:r w:rsidRPr="00D23815">
        <w:rPr>
          <w:color w:val="000000" w:themeColor="text1"/>
        </w:rPr>
        <w:t xml:space="preserve"> </w:t>
      </w:r>
      <w:r w:rsidRPr="00D23815">
        <w:t>– Avista met 68,630 successful “Customer Service Guarantees” (which includes keeping our appointments, restoration of routine outages within 24 hours, and customer request deadlines, etc.) for an overall success rate of 99.5%.</w:t>
      </w:r>
    </w:p>
    <w:p w:rsidR="0005147B" w:rsidRPr="00D23815" w:rsidRDefault="0005147B" w:rsidP="0005147B">
      <w:pPr>
        <w:pStyle w:val="ListParagraph"/>
        <w:autoSpaceDE/>
        <w:autoSpaceDN/>
        <w:spacing w:line="480" w:lineRule="auto"/>
        <w:ind w:left="1440"/>
        <w:jc w:val="both"/>
        <w:rPr>
          <w:rStyle w:val="FootnoteReference"/>
        </w:rPr>
      </w:pPr>
    </w:p>
    <w:p w:rsidR="0005147B" w:rsidRPr="00D23815" w:rsidRDefault="0005147B" w:rsidP="0005147B">
      <w:pPr>
        <w:spacing w:line="480" w:lineRule="auto"/>
        <w:ind w:firstLine="720"/>
        <w:jc w:val="both"/>
      </w:pPr>
      <w:r w:rsidRPr="00D23815">
        <w:t>The 2016 Service Quality Measures Repo</w:t>
      </w:r>
      <w:r>
        <w:t>rt Card is attached as the l</w:t>
      </w:r>
      <w:r w:rsidR="00354C63">
        <w:t>ast page of Exh. SLM-3</w:t>
      </w:r>
      <w:r>
        <w:t>.</w:t>
      </w:r>
      <w:r w:rsidRPr="00D23815">
        <w:t xml:space="preserve">  These results </w:t>
      </w:r>
      <w:r>
        <w:t>are another indication of</w:t>
      </w:r>
      <w:r w:rsidRPr="00D23815">
        <w:t xml:space="preserve"> the Company’s success in delivering quality </w:t>
      </w:r>
      <w:r w:rsidRPr="00D23815">
        <w:lastRenderedPageBreak/>
        <w:t>services to our customers that meet our objectives of providing safe, reliable service, with a high level of customer satisfaction.</w:t>
      </w:r>
    </w:p>
    <w:p w:rsidR="0005147B" w:rsidRDefault="0005147B" w:rsidP="0005147B">
      <w:pPr>
        <w:spacing w:line="480" w:lineRule="auto"/>
        <w:ind w:firstLine="720"/>
        <w:jc w:val="both"/>
      </w:pPr>
      <w:r w:rsidRPr="00865B09">
        <w:rPr>
          <w:b/>
        </w:rPr>
        <w:t>3.  Reasonable Cost to Customers</w:t>
      </w:r>
      <w:r w:rsidRPr="00865B09">
        <w:t xml:space="preserve"> – The third primary objective related to our </w:t>
      </w:r>
      <w:r>
        <w:t>capital investments</w:t>
      </w:r>
      <w:r w:rsidRPr="00865B09">
        <w:t xml:space="preserve"> is to be mindful of the overall cost impacts to our customers over time.  </w:t>
      </w:r>
      <w:r w:rsidRPr="00D23815">
        <w:t>In recent years Avista has chosen to not fund all of the capital investment projects requested by the various departments in the Company, driven in large part by the Company’s desire to mitigate the retail rate impacts to customers.  The decision to delay funding on certain projects is made only in cases where the Company believes the amount of risk associated with the delay is reasonable and prudent.  As new, unexpected, high-priority capital projects arise, the capital projects for the year must be reprioritized to limit the total spend for the year to fall within the constrained overall capital spending level.  In other instances, some scheduled capital projects will encounter unexpected delays due to such things as permitting issues, delays in receipt of materials and equipment, etc.  A delay in one project may allow another project to be accelerated in time as part of managing the availability of our workforce and to continue to make progress on projects next in the “queue” that need to be done.  The continuing progress on projects in the queue is very important to avoid the creation of a large “bow-wave” of investment that needs to be done in a relatively short period of time.  This reprioritization occurs within the Capital Planning Group</w:t>
      </w:r>
      <w:r>
        <w:t xml:space="preserve"> (CPG)</w:t>
      </w:r>
      <w:r w:rsidRPr="00D23815">
        <w:t>,</w:t>
      </w:r>
      <w:r w:rsidRPr="00D23815">
        <w:rPr>
          <w:rStyle w:val="FootnoteReference"/>
        </w:rPr>
        <w:footnoteReference w:id="16"/>
      </w:r>
      <w:r w:rsidRPr="00D23815">
        <w:t xml:space="preserve"> which is charged with ensuring that the total capital spend for the year stays within the constrained spending limit established by the Company.  </w:t>
      </w:r>
    </w:p>
    <w:p w:rsidR="0005147B" w:rsidRDefault="0005147B" w:rsidP="003C20F8">
      <w:pPr>
        <w:spacing w:line="480" w:lineRule="auto"/>
        <w:ind w:firstLine="720"/>
        <w:jc w:val="both"/>
      </w:pPr>
      <w:r>
        <w:lastRenderedPageBreak/>
        <w:t>T</w:t>
      </w:r>
      <w:r w:rsidRPr="00D23815">
        <w:t xml:space="preserve">he dollar amount of capital projects requested by departments with the amounts approved by the Company is provided </w:t>
      </w:r>
      <w:r>
        <w:t xml:space="preserve">in Table </w:t>
      </w:r>
      <w:r w:rsidR="00DF5DBF">
        <w:t xml:space="preserve">No. </w:t>
      </w:r>
      <w:r w:rsidR="00504886">
        <w:t>3</w:t>
      </w:r>
      <w:r>
        <w:t xml:space="preserve"> </w:t>
      </w:r>
      <w:r w:rsidRPr="00D23815">
        <w:t>below</w:t>
      </w:r>
      <w:r>
        <w:t xml:space="preserve">.  The dollar amounts </w:t>
      </w:r>
      <w:r w:rsidR="002D6554">
        <w:t>for projects that were delayed (not approved)</w:t>
      </w:r>
      <w:r>
        <w:t xml:space="preserve"> are also shown</w:t>
      </w:r>
      <w:r w:rsidRPr="00D23815">
        <w:t>:</w:t>
      </w:r>
    </w:p>
    <w:p w:rsidR="0005147B" w:rsidRDefault="0005147B" w:rsidP="003C20F8">
      <w:pPr>
        <w:spacing w:line="480" w:lineRule="auto"/>
        <w:rPr>
          <w:b/>
          <w:u w:val="single"/>
        </w:rPr>
      </w:pPr>
      <w:r w:rsidRPr="00413DD7">
        <w:rPr>
          <w:b/>
          <w:u w:val="single"/>
        </w:rPr>
        <w:t xml:space="preserve">Table </w:t>
      </w:r>
      <w:r w:rsidR="00DF5DBF">
        <w:rPr>
          <w:b/>
          <w:u w:val="single"/>
        </w:rPr>
        <w:t xml:space="preserve">No. </w:t>
      </w:r>
      <w:r w:rsidR="00504886">
        <w:rPr>
          <w:b/>
          <w:u w:val="single"/>
        </w:rPr>
        <w:t>3</w:t>
      </w:r>
      <w:r w:rsidRPr="00413DD7">
        <w:rPr>
          <w:b/>
          <w:u w:val="single"/>
        </w:rPr>
        <w:t xml:space="preserve"> – Capital Project Requests/Approvals</w:t>
      </w:r>
    </w:p>
    <w:p w:rsidR="0005147B" w:rsidRPr="00D23815" w:rsidRDefault="0005147B" w:rsidP="003C20F8">
      <w:pPr>
        <w:spacing w:line="480" w:lineRule="auto"/>
        <w:jc w:val="both"/>
      </w:pPr>
      <w:r w:rsidRPr="009B610B">
        <w:rPr>
          <w:noProof/>
        </w:rPr>
        <w:drawing>
          <wp:anchor distT="0" distB="0" distL="114300" distR="114300" simplePos="0" relativeHeight="251721728" behindDoc="1" locked="0" layoutInCell="1" allowOverlap="1" wp14:anchorId="55A2B30B" wp14:editId="5DBBA33B">
            <wp:simplePos x="0" y="0"/>
            <wp:positionH relativeFrom="column">
              <wp:posOffset>965068</wp:posOffset>
            </wp:positionH>
            <wp:positionV relativeFrom="paragraph">
              <wp:posOffset>42727</wp:posOffset>
            </wp:positionV>
            <wp:extent cx="3667760" cy="1676400"/>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776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47B" w:rsidRDefault="0005147B" w:rsidP="003C20F8">
      <w:pPr>
        <w:spacing w:line="480" w:lineRule="auto"/>
        <w:jc w:val="both"/>
      </w:pPr>
    </w:p>
    <w:p w:rsidR="0005147B" w:rsidRDefault="0005147B" w:rsidP="003C20F8">
      <w:pPr>
        <w:tabs>
          <w:tab w:val="left" w:pos="6336"/>
        </w:tabs>
        <w:spacing w:line="480" w:lineRule="auto"/>
        <w:jc w:val="both"/>
      </w:pPr>
      <w:r>
        <w:tab/>
      </w:r>
    </w:p>
    <w:p w:rsidR="0005147B" w:rsidRPr="00D23815" w:rsidRDefault="0005147B" w:rsidP="003C20F8">
      <w:pPr>
        <w:tabs>
          <w:tab w:val="left" w:pos="5152"/>
        </w:tabs>
        <w:spacing w:line="480" w:lineRule="auto"/>
        <w:jc w:val="both"/>
      </w:pPr>
      <w:r>
        <w:tab/>
      </w:r>
    </w:p>
    <w:p w:rsidR="0005147B" w:rsidRPr="00D23815" w:rsidRDefault="0005147B" w:rsidP="003C20F8">
      <w:pPr>
        <w:spacing w:line="480" w:lineRule="auto"/>
        <w:jc w:val="both"/>
      </w:pPr>
    </w:p>
    <w:p w:rsidR="003C20F8" w:rsidRDefault="003C20F8" w:rsidP="003C20F8">
      <w:pPr>
        <w:spacing w:line="480" w:lineRule="auto"/>
        <w:ind w:firstLine="720"/>
        <w:jc w:val="both"/>
      </w:pPr>
    </w:p>
    <w:p w:rsidR="003C20F8" w:rsidRDefault="0005147B" w:rsidP="003C20F8">
      <w:pPr>
        <w:spacing w:line="480" w:lineRule="auto"/>
        <w:ind w:firstLine="720"/>
        <w:jc w:val="both"/>
      </w:pPr>
      <w:r w:rsidRPr="00D23815">
        <w:t>The infrastructure investment we face today arises, in part, from the re-investment that is necessary to rebuild or replace facilities that were installed many years</w:t>
      </w:r>
      <w:r w:rsidR="0048086F">
        <w:t xml:space="preserve"> ago.  T</w:t>
      </w:r>
      <w:r w:rsidR="0071657B">
        <w:t xml:space="preserve">he line graph in Illustration </w:t>
      </w:r>
      <w:r w:rsidR="00DF5DBF">
        <w:t>No. 10</w:t>
      </w:r>
      <w:r>
        <w:t xml:space="preserve"> </w:t>
      </w:r>
      <w:r w:rsidRPr="00D23815">
        <w:t>below shows Avista’s capital spending on an annual basis from 1950 to 2016, along with investment plans for 2017 – 2021.  The dollars have been adjusted for inflation to reflect equivalent dollars in 2016 for comparison purposes, e.g., the dollars spent in 1983 have been adjusted (increased) to reflect what it would have cost to complete the same projects in 2016.  The graph shows our Cabinet Gorge and Noxon Rapids major hydroelectric projects, originally built in the 1950s, being refurbished 40 to 50 years later; as well as our 230k</w:t>
      </w:r>
      <w:r>
        <w:t>V</w:t>
      </w:r>
      <w:r w:rsidRPr="00D23815">
        <w:t xml:space="preserve"> transmission system receiving major upgrades 40 to 50 years later.  Our Central Office building was completed in 1958, and we recently remodeled and replaced the original HVAC system 50 years later, in order to continue </w:t>
      </w:r>
      <w:r>
        <w:t>to</w:t>
      </w:r>
      <w:r w:rsidRPr="00D23815">
        <w:t xml:space="preserve"> use these same facilities for the foreseeable future.</w:t>
      </w:r>
      <w:r w:rsidR="003C20F8">
        <w:br w:type="page"/>
      </w:r>
    </w:p>
    <w:p w:rsidR="0005147B" w:rsidRDefault="0005147B" w:rsidP="003C20F8">
      <w:pPr>
        <w:spacing w:line="480" w:lineRule="auto"/>
        <w:jc w:val="both"/>
        <w:rPr>
          <w:b/>
          <w:u w:val="single"/>
        </w:rPr>
      </w:pPr>
      <w:r w:rsidRPr="000C2A2A">
        <w:rPr>
          <w:noProof/>
        </w:rPr>
        <w:lastRenderedPageBreak/>
        <w:drawing>
          <wp:anchor distT="0" distB="0" distL="114300" distR="114300" simplePos="0" relativeHeight="251718656" behindDoc="1" locked="0" layoutInCell="1" allowOverlap="1" wp14:anchorId="02720067" wp14:editId="6A862D75">
            <wp:simplePos x="0" y="0"/>
            <wp:positionH relativeFrom="column">
              <wp:posOffset>-301625</wp:posOffset>
            </wp:positionH>
            <wp:positionV relativeFrom="paragraph">
              <wp:posOffset>188595</wp:posOffset>
            </wp:positionV>
            <wp:extent cx="6796290" cy="3829050"/>
            <wp:effectExtent l="0" t="0" r="5080" b="0"/>
            <wp:wrapNone/>
            <wp:docPr id="21" name="Picture 21" descr="C:\Users\dzkf1z\Desktop\Native Chart for 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zkf1z\Desktop\Native Chart for Pa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96290"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7B">
        <w:rPr>
          <w:b/>
          <w:u w:val="single"/>
        </w:rPr>
        <w:t xml:space="preserve">Illustration </w:t>
      </w:r>
      <w:r w:rsidR="00DF5DBF">
        <w:rPr>
          <w:b/>
          <w:u w:val="single"/>
        </w:rPr>
        <w:t xml:space="preserve">No. </w:t>
      </w:r>
      <w:r w:rsidR="0071657B">
        <w:rPr>
          <w:b/>
          <w:u w:val="single"/>
        </w:rPr>
        <w:t>10</w:t>
      </w:r>
      <w:r w:rsidRPr="000C2A2A">
        <w:rPr>
          <w:b/>
          <w:u w:val="single"/>
        </w:rPr>
        <w:t xml:space="preserve"> – Avista Annual Capital Spend 1950 – 2021 (2016 Dollars)</w:t>
      </w:r>
    </w:p>
    <w:p w:rsidR="0005147B" w:rsidRPr="00D23815" w:rsidRDefault="0005147B" w:rsidP="003C20F8">
      <w:pPr>
        <w:spacing w:line="480" w:lineRule="auto"/>
        <w:jc w:val="both"/>
      </w:pPr>
    </w:p>
    <w:p w:rsidR="0005147B" w:rsidRPr="00D23815" w:rsidRDefault="0005147B" w:rsidP="003C20F8">
      <w:pPr>
        <w:spacing w:line="480" w:lineRule="auto"/>
        <w:jc w:val="both"/>
      </w:pPr>
    </w:p>
    <w:p w:rsidR="0005147B" w:rsidRPr="00D23815" w:rsidRDefault="0005147B" w:rsidP="003C20F8">
      <w:pPr>
        <w:spacing w:line="480" w:lineRule="auto"/>
        <w:jc w:val="both"/>
      </w:pPr>
    </w:p>
    <w:p w:rsidR="0005147B" w:rsidRPr="00D23815" w:rsidRDefault="0005147B" w:rsidP="003C20F8">
      <w:pPr>
        <w:spacing w:line="480" w:lineRule="auto"/>
        <w:jc w:val="both"/>
      </w:pPr>
    </w:p>
    <w:p w:rsidR="0005147B" w:rsidRPr="00D23815" w:rsidRDefault="0005147B" w:rsidP="003C20F8">
      <w:pPr>
        <w:spacing w:line="480" w:lineRule="auto"/>
        <w:jc w:val="both"/>
      </w:pPr>
    </w:p>
    <w:p w:rsidR="0005147B" w:rsidRPr="00D23815" w:rsidRDefault="0005147B" w:rsidP="003C20F8">
      <w:pPr>
        <w:spacing w:line="480" w:lineRule="auto"/>
        <w:jc w:val="both"/>
      </w:pPr>
    </w:p>
    <w:p w:rsidR="0005147B" w:rsidRDefault="0005147B" w:rsidP="003C20F8">
      <w:pPr>
        <w:spacing w:line="480" w:lineRule="auto"/>
        <w:jc w:val="both"/>
      </w:pPr>
    </w:p>
    <w:p w:rsidR="0005147B" w:rsidRDefault="0005147B" w:rsidP="003C20F8">
      <w:pPr>
        <w:spacing w:line="480" w:lineRule="auto"/>
        <w:jc w:val="both"/>
      </w:pPr>
    </w:p>
    <w:p w:rsidR="0005147B" w:rsidRDefault="0005147B" w:rsidP="003C20F8">
      <w:pPr>
        <w:spacing w:line="480" w:lineRule="auto"/>
        <w:jc w:val="both"/>
      </w:pPr>
    </w:p>
    <w:p w:rsidR="0005147B" w:rsidRDefault="0005147B" w:rsidP="003C20F8">
      <w:pPr>
        <w:spacing w:line="480" w:lineRule="auto"/>
        <w:jc w:val="both"/>
      </w:pPr>
    </w:p>
    <w:p w:rsidR="0005147B" w:rsidRPr="00D23815" w:rsidRDefault="0005147B" w:rsidP="003C20F8">
      <w:pPr>
        <w:spacing w:line="480" w:lineRule="auto"/>
        <w:ind w:firstLine="720"/>
        <w:jc w:val="both"/>
      </w:pPr>
      <w:r w:rsidRPr="00D23815">
        <w:t>It is informative t</w:t>
      </w:r>
      <w:r w:rsidR="003318FA">
        <w:t>o view t</w:t>
      </w:r>
      <w:r w:rsidR="00696AC2">
        <w:t xml:space="preserve">he line graph in Illustration </w:t>
      </w:r>
      <w:r w:rsidR="00DF5DBF">
        <w:t>No. 10 a</w:t>
      </w:r>
      <w:r w:rsidRPr="00D23815">
        <w:t xml:space="preserve">bove on a </w:t>
      </w:r>
      <w:r w:rsidRPr="00D23815">
        <w:rPr>
          <w:u w:val="single"/>
        </w:rPr>
        <w:t>per-customer basis</w:t>
      </w:r>
      <w:r w:rsidR="00141AB5">
        <w:t xml:space="preserve">.  The graph in </w:t>
      </w:r>
      <w:r w:rsidR="0071657B">
        <w:t xml:space="preserve">Illustration </w:t>
      </w:r>
      <w:r w:rsidR="00DF5DBF">
        <w:t xml:space="preserve">No. </w:t>
      </w:r>
      <w:r w:rsidR="0071657B">
        <w:t>11</w:t>
      </w:r>
      <w:r w:rsidRPr="00D23815">
        <w:t xml:space="preserve"> below represents Avista’s annual capital spendin</w:t>
      </w:r>
      <w:r w:rsidR="003318FA">
        <w:t xml:space="preserve">g, in 2016 dollars (from Illustration </w:t>
      </w:r>
      <w:r w:rsidR="00DF5DBF">
        <w:t xml:space="preserve">No. </w:t>
      </w:r>
      <w:r w:rsidR="003318FA">
        <w:t>10</w:t>
      </w:r>
      <w:r w:rsidRPr="00D23815">
        <w:t xml:space="preserve"> above) divided by the number of customers for each respective year.  Avista’s annual capital spending has grown in recent years, but so has the number of customers being served by the Company.  The graph </w:t>
      </w:r>
      <w:r>
        <w:t xml:space="preserve">below illustrates that </w:t>
      </w:r>
      <w:r w:rsidRPr="00D23815">
        <w:t>our current level of capital spending on a per-customer basis is in line with the per-customer capital spending for approximately the last 30-years.  That is, if a trend-line for the last 30-years were to be calculated and over-laid on the graph, it would show that capital spending on a per-customer basis has been nearly flat for the last 30-years.  In addition, for the period 2017-2021, the graph shows the planned capital spending on a per-customer basis declining to the future.</w:t>
      </w:r>
    </w:p>
    <w:p w:rsidR="0005147B" w:rsidRPr="0085031E" w:rsidRDefault="0071657B" w:rsidP="008B57DA">
      <w:pPr>
        <w:jc w:val="both"/>
      </w:pPr>
      <w:r>
        <w:rPr>
          <w:b/>
          <w:u w:val="single"/>
        </w:rPr>
        <w:lastRenderedPageBreak/>
        <w:t xml:space="preserve">Illustration </w:t>
      </w:r>
      <w:r w:rsidR="00DF5DBF">
        <w:rPr>
          <w:b/>
          <w:u w:val="single"/>
        </w:rPr>
        <w:t xml:space="preserve">No. </w:t>
      </w:r>
      <w:r>
        <w:rPr>
          <w:b/>
          <w:u w:val="single"/>
        </w:rPr>
        <w:t>11</w:t>
      </w:r>
      <w:r w:rsidR="0005147B" w:rsidRPr="0030504F">
        <w:rPr>
          <w:b/>
          <w:u w:val="single"/>
        </w:rPr>
        <w:t xml:space="preserve"> – Avista Annual Capital Spend per Cu</w:t>
      </w:r>
      <w:r w:rsidR="0083747C">
        <w:rPr>
          <w:b/>
          <w:u w:val="single"/>
        </w:rPr>
        <w:t>stomer - 1950-2021</w:t>
      </w:r>
      <w:r w:rsidR="0005147B" w:rsidRPr="0030504F">
        <w:rPr>
          <w:b/>
          <w:u w:val="single"/>
        </w:rPr>
        <w:t xml:space="preserve"> (2016 Dollars)</w:t>
      </w:r>
    </w:p>
    <w:p w:rsidR="0005147B" w:rsidRPr="00D23815" w:rsidRDefault="0005147B" w:rsidP="003C20F8">
      <w:pPr>
        <w:spacing w:line="480" w:lineRule="auto"/>
        <w:jc w:val="both"/>
      </w:pPr>
      <w:r w:rsidRPr="0030504F">
        <w:rPr>
          <w:noProof/>
        </w:rPr>
        <w:drawing>
          <wp:anchor distT="0" distB="0" distL="114300" distR="114300" simplePos="0" relativeHeight="251717632" behindDoc="1" locked="0" layoutInCell="1" allowOverlap="1" wp14:anchorId="388ACAA2" wp14:editId="3F8C6D43">
            <wp:simplePos x="0" y="0"/>
            <wp:positionH relativeFrom="column">
              <wp:posOffset>-123825</wp:posOffset>
            </wp:positionH>
            <wp:positionV relativeFrom="paragraph">
              <wp:posOffset>62865</wp:posOffset>
            </wp:positionV>
            <wp:extent cx="6293719" cy="34194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3719"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47B" w:rsidRPr="0030504F" w:rsidRDefault="0005147B" w:rsidP="003C20F8">
      <w:pPr>
        <w:spacing w:line="480" w:lineRule="auto"/>
        <w:jc w:val="both"/>
      </w:pPr>
      <w:r w:rsidRPr="00D23815">
        <w:t xml:space="preserve"> </w:t>
      </w: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30504F" w:rsidRDefault="0005147B" w:rsidP="003C20F8">
      <w:pPr>
        <w:spacing w:line="480" w:lineRule="auto"/>
        <w:rPr>
          <w:b/>
          <w:noProof/>
          <w:color w:val="002060"/>
        </w:rPr>
      </w:pPr>
    </w:p>
    <w:p w:rsidR="0005147B" w:rsidRPr="00EF3C73" w:rsidRDefault="0005147B" w:rsidP="003C20F8">
      <w:pPr>
        <w:pStyle w:val="BodyText"/>
        <w:tabs>
          <w:tab w:val="left" w:pos="720"/>
        </w:tabs>
        <w:spacing w:line="480" w:lineRule="auto"/>
        <w:ind w:firstLine="720"/>
        <w:jc w:val="both"/>
      </w:pPr>
      <w:r w:rsidRPr="00EF3C73">
        <w:t>Q.</w:t>
      </w:r>
      <w:r w:rsidRPr="00EF3C73">
        <w:tab/>
        <w:t>How have customers’ electric and natural gas bills changed in recent years as Avista has continued to make necessary investments in its utility systems?</w:t>
      </w:r>
    </w:p>
    <w:p w:rsidR="0005147B" w:rsidRPr="006709E5" w:rsidRDefault="0005147B" w:rsidP="003C20F8">
      <w:pPr>
        <w:pStyle w:val="BodyText"/>
        <w:tabs>
          <w:tab w:val="left" w:pos="720"/>
        </w:tabs>
        <w:spacing w:line="480" w:lineRule="auto"/>
        <w:ind w:firstLine="720"/>
        <w:jc w:val="both"/>
        <w:rPr>
          <w:b w:val="0"/>
        </w:rPr>
      </w:pPr>
      <w:r>
        <w:rPr>
          <w:b w:val="0"/>
        </w:rPr>
        <w:t>A.</w:t>
      </w:r>
      <w:r>
        <w:rPr>
          <w:b w:val="0"/>
        </w:rPr>
        <w:tab/>
        <w:t>Th</w:t>
      </w:r>
      <w:r w:rsidR="0071657B">
        <w:rPr>
          <w:b w:val="0"/>
        </w:rPr>
        <w:t xml:space="preserve">e line graph in Illustration </w:t>
      </w:r>
      <w:r w:rsidR="00DF5DBF">
        <w:rPr>
          <w:b w:val="0"/>
        </w:rPr>
        <w:t xml:space="preserve">No. </w:t>
      </w:r>
      <w:r w:rsidR="0071657B">
        <w:rPr>
          <w:b w:val="0"/>
        </w:rPr>
        <w:t>12</w:t>
      </w:r>
      <w:r w:rsidRPr="0030504F">
        <w:rPr>
          <w:b w:val="0"/>
        </w:rPr>
        <w:t xml:space="preserve"> below shows the change in the monthly bill, from 2009 to 2016, for a Washington residential electric customer using an average of 1,0</w:t>
      </w:r>
      <w:r w:rsidRPr="00D23815">
        <w:rPr>
          <w:b w:val="0"/>
        </w:rPr>
        <w:t>00 kilowatt-hours per month.  The graph shows that the average increase over time has been 1.9% per year.  Although this average increase is a little higher than the level of inflation during the same period, the increase to customers during this period is less than</w:t>
      </w:r>
      <w:r w:rsidR="00D96037">
        <w:rPr>
          <w:b w:val="0"/>
        </w:rPr>
        <w:t xml:space="preserve"> it otherwise would have been due to</w:t>
      </w:r>
      <w:r w:rsidRPr="00D23815">
        <w:rPr>
          <w:b w:val="0"/>
        </w:rPr>
        <w:t xml:space="preserve"> the Company choosing to fund less than the dollar amounts of capital projects requested by the various departments of the Company.  </w:t>
      </w:r>
      <w:r>
        <w:rPr>
          <w:u w:val="single"/>
        </w:rPr>
        <w:br w:type="page"/>
      </w:r>
    </w:p>
    <w:p w:rsidR="0005147B" w:rsidRDefault="0071657B" w:rsidP="0005147B">
      <w:pPr>
        <w:jc w:val="both"/>
        <w:rPr>
          <w:b/>
          <w:u w:val="single"/>
        </w:rPr>
      </w:pPr>
      <w:r>
        <w:rPr>
          <w:b/>
          <w:u w:val="single"/>
        </w:rPr>
        <w:lastRenderedPageBreak/>
        <w:t xml:space="preserve">Illustration </w:t>
      </w:r>
      <w:r w:rsidR="00DF5DBF">
        <w:rPr>
          <w:b/>
          <w:u w:val="single"/>
        </w:rPr>
        <w:t xml:space="preserve">No. </w:t>
      </w:r>
      <w:r>
        <w:rPr>
          <w:b/>
          <w:u w:val="single"/>
        </w:rPr>
        <w:t>12</w:t>
      </w:r>
      <w:r w:rsidR="0005147B" w:rsidRPr="0030504F">
        <w:rPr>
          <w:b/>
          <w:u w:val="single"/>
        </w:rPr>
        <w:t xml:space="preserve"> – </w:t>
      </w:r>
      <w:r w:rsidR="0005147B">
        <w:rPr>
          <w:b/>
          <w:u w:val="single"/>
        </w:rPr>
        <w:t>Washington Residential Electric Bill (2009-2016)</w:t>
      </w:r>
    </w:p>
    <w:p w:rsidR="0005147B" w:rsidRPr="00D23815" w:rsidRDefault="0005147B" w:rsidP="0005147B">
      <w:pPr>
        <w:pStyle w:val="BodyText"/>
        <w:tabs>
          <w:tab w:val="left" w:pos="720"/>
        </w:tabs>
        <w:spacing w:line="480" w:lineRule="auto"/>
        <w:ind w:right="-54"/>
        <w:jc w:val="both"/>
        <w:rPr>
          <w:b w:val="0"/>
        </w:rPr>
      </w:pPr>
      <w:r w:rsidRPr="00D23815">
        <w:rPr>
          <w:b w:val="0"/>
          <w:noProof/>
        </w:rPr>
        <w:drawing>
          <wp:anchor distT="0" distB="0" distL="114300" distR="114300" simplePos="0" relativeHeight="251715584" behindDoc="1" locked="0" layoutInCell="1" allowOverlap="1" wp14:anchorId="094876F7" wp14:editId="3C088A1E">
            <wp:simplePos x="0" y="0"/>
            <wp:positionH relativeFrom="margin">
              <wp:align>left</wp:align>
            </wp:positionH>
            <wp:positionV relativeFrom="paragraph">
              <wp:posOffset>243150</wp:posOffset>
            </wp:positionV>
            <wp:extent cx="5302155" cy="326286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302155" cy="3262865"/>
                    </a:xfrm>
                    <a:prstGeom prst="rect">
                      <a:avLst/>
                    </a:prstGeom>
                    <a:noFill/>
                    <a:ln w="9525">
                      <a:noFill/>
                      <a:miter lim="800000"/>
                      <a:headEnd/>
                      <a:tailEnd/>
                    </a:ln>
                  </pic:spPr>
                </pic:pic>
              </a:graphicData>
            </a:graphic>
          </wp:anchor>
        </w:drawing>
      </w: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845A63" w:rsidRPr="00A95B6B" w:rsidRDefault="0005147B" w:rsidP="00A95B6B">
      <w:pPr>
        <w:pStyle w:val="BodyText"/>
        <w:tabs>
          <w:tab w:val="left" w:pos="720"/>
        </w:tabs>
        <w:spacing w:line="480" w:lineRule="auto"/>
        <w:ind w:firstLine="720"/>
        <w:jc w:val="both"/>
        <w:rPr>
          <w:b w:val="0"/>
        </w:rPr>
      </w:pPr>
      <w:r w:rsidRPr="00D23815">
        <w:rPr>
          <w:b w:val="0"/>
        </w:rPr>
        <w:t>With regard to natural gas, the line</w:t>
      </w:r>
      <w:r w:rsidR="0071657B">
        <w:rPr>
          <w:b w:val="0"/>
        </w:rPr>
        <w:t xml:space="preserve"> graph in Illustration </w:t>
      </w:r>
      <w:r w:rsidR="00DF5DBF">
        <w:rPr>
          <w:b w:val="0"/>
        </w:rPr>
        <w:t xml:space="preserve">No. </w:t>
      </w:r>
      <w:r w:rsidR="0071657B">
        <w:rPr>
          <w:b w:val="0"/>
        </w:rPr>
        <w:t>13</w:t>
      </w:r>
      <w:r w:rsidRPr="00D23815">
        <w:rPr>
          <w:b w:val="0"/>
        </w:rPr>
        <w:t xml:space="preserve"> below shows the change in the monthly bill, from 2009 to 2016, for a Washington residential natural gas customer using an average of 70 therms per month.  The graph shows that customer bills have dropped from approximately $85 per month in 2009, to approximately $65 per month in 2016.  The graph shows that bills have decreased significantly for this time period, even as Avista has continued to make the necessary investments to maintain its delivery system</w:t>
      </w:r>
      <w:r w:rsidR="000D568E">
        <w:rPr>
          <w:b w:val="0"/>
        </w:rPr>
        <w:t xml:space="preserve"> and </w:t>
      </w:r>
      <w:r w:rsidR="00D96037">
        <w:rPr>
          <w:b w:val="0"/>
        </w:rPr>
        <w:t xml:space="preserve">invest </w:t>
      </w:r>
      <w:r w:rsidR="000D568E">
        <w:rPr>
          <w:b w:val="0"/>
        </w:rPr>
        <w:t>in new technology</w:t>
      </w:r>
      <w:r w:rsidRPr="00D23815">
        <w:rPr>
          <w:b w:val="0"/>
        </w:rPr>
        <w:t>.  The decrease in customers’ natural gas bills is driven primarily by the decline in natural gas commodity costs, as well as a decrease in interest costs during the period.</w:t>
      </w:r>
      <w:r w:rsidR="00845A63">
        <w:rPr>
          <w:b w:val="0"/>
        </w:rPr>
        <w:br w:type="page"/>
      </w:r>
    </w:p>
    <w:p w:rsidR="0005147B" w:rsidRDefault="0026074E" w:rsidP="0005147B">
      <w:pPr>
        <w:jc w:val="both"/>
        <w:rPr>
          <w:b/>
          <w:u w:val="single"/>
        </w:rPr>
      </w:pPr>
      <w:r>
        <w:rPr>
          <w:b/>
          <w:u w:val="single"/>
        </w:rPr>
        <w:lastRenderedPageBreak/>
        <w:t>I</w:t>
      </w:r>
      <w:r w:rsidR="0071657B">
        <w:rPr>
          <w:b/>
          <w:u w:val="single"/>
        </w:rPr>
        <w:t xml:space="preserve">llustration </w:t>
      </w:r>
      <w:r w:rsidR="00DF5DBF">
        <w:rPr>
          <w:b/>
          <w:u w:val="single"/>
        </w:rPr>
        <w:t xml:space="preserve">No. </w:t>
      </w:r>
      <w:r w:rsidR="0071657B">
        <w:rPr>
          <w:b/>
          <w:u w:val="single"/>
        </w:rPr>
        <w:t>13</w:t>
      </w:r>
      <w:r w:rsidR="0005147B" w:rsidRPr="0030504F">
        <w:rPr>
          <w:b/>
          <w:u w:val="single"/>
        </w:rPr>
        <w:t xml:space="preserve"> – </w:t>
      </w:r>
      <w:r w:rsidR="0005147B">
        <w:rPr>
          <w:b/>
          <w:u w:val="single"/>
        </w:rPr>
        <w:t>Washington Residential Natural Gas Bill (2009-2016)</w:t>
      </w:r>
    </w:p>
    <w:p w:rsidR="0005147B" w:rsidRDefault="0005147B" w:rsidP="0005147B">
      <w:pPr>
        <w:pStyle w:val="BodyText"/>
        <w:tabs>
          <w:tab w:val="left" w:pos="720"/>
        </w:tabs>
        <w:spacing w:line="480" w:lineRule="auto"/>
        <w:ind w:right="-54" w:firstLine="720"/>
        <w:jc w:val="both"/>
        <w:rPr>
          <w:b w:val="0"/>
        </w:rPr>
      </w:pPr>
      <w:r w:rsidRPr="00D23815">
        <w:rPr>
          <w:b w:val="0"/>
          <w:noProof/>
        </w:rPr>
        <w:drawing>
          <wp:anchor distT="0" distB="0" distL="114300" distR="114300" simplePos="0" relativeHeight="251714560" behindDoc="1" locked="0" layoutInCell="1" allowOverlap="1" wp14:anchorId="2EA77711" wp14:editId="698F9CAB">
            <wp:simplePos x="0" y="0"/>
            <wp:positionH relativeFrom="margin">
              <wp:posOffset>138735</wp:posOffset>
            </wp:positionH>
            <wp:positionV relativeFrom="paragraph">
              <wp:posOffset>278765</wp:posOffset>
            </wp:positionV>
            <wp:extent cx="5472752" cy="3273878"/>
            <wp:effectExtent l="0" t="0" r="0" b="3175"/>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472752" cy="3273878"/>
                    </a:xfrm>
                    <a:prstGeom prst="rect">
                      <a:avLst/>
                    </a:prstGeom>
                    <a:noFill/>
                    <a:ln w="9525">
                      <a:noFill/>
                      <a:miter lim="800000"/>
                      <a:headEnd/>
                      <a:tailEnd/>
                    </a:ln>
                  </pic:spPr>
                </pic:pic>
              </a:graphicData>
            </a:graphic>
          </wp:anchor>
        </w:drawing>
      </w: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rPr>
          <w:b w:val="0"/>
        </w:rPr>
      </w:pPr>
    </w:p>
    <w:p w:rsidR="0005147B" w:rsidRPr="00D23815" w:rsidRDefault="0005147B" w:rsidP="0005147B">
      <w:pPr>
        <w:pStyle w:val="BodyText"/>
        <w:tabs>
          <w:tab w:val="left" w:pos="720"/>
        </w:tabs>
        <w:spacing w:line="480" w:lineRule="auto"/>
        <w:ind w:right="-54" w:firstLine="720"/>
        <w:jc w:val="both"/>
      </w:pPr>
    </w:p>
    <w:p w:rsidR="0005147B" w:rsidRPr="00D23815" w:rsidRDefault="0005147B" w:rsidP="0005147B">
      <w:pPr>
        <w:pStyle w:val="BodyText"/>
        <w:tabs>
          <w:tab w:val="left" w:pos="720"/>
        </w:tabs>
        <w:spacing w:line="480" w:lineRule="auto"/>
        <w:ind w:right="-54" w:firstLine="720"/>
        <w:jc w:val="both"/>
      </w:pPr>
    </w:p>
    <w:p w:rsidR="0005147B" w:rsidRPr="00D23815" w:rsidRDefault="0005147B" w:rsidP="0005147B">
      <w:pPr>
        <w:pStyle w:val="BodyText"/>
        <w:tabs>
          <w:tab w:val="left" w:pos="720"/>
        </w:tabs>
        <w:spacing w:line="480" w:lineRule="auto"/>
        <w:ind w:right="-54" w:firstLine="720"/>
        <w:jc w:val="both"/>
      </w:pPr>
    </w:p>
    <w:p w:rsidR="0005147B" w:rsidRPr="00845A63" w:rsidRDefault="0005147B" w:rsidP="00845A63">
      <w:pPr>
        <w:spacing w:line="480" w:lineRule="auto"/>
        <w:ind w:firstLine="720"/>
        <w:jc w:val="both"/>
      </w:pPr>
      <w:r w:rsidRPr="00D23815">
        <w:t>With regard to Avista’s retail rates compared to other investor-owned utilities, Edison Electric Institute periodically prepares a comparison of residential electric bills for investor-owned utili</w:t>
      </w:r>
      <w:r w:rsidR="0026074E">
        <w:t>ties acr</w:t>
      </w:r>
      <w:r w:rsidR="00141AB5">
        <w:t xml:space="preserve">oss the country. </w:t>
      </w:r>
      <w:r w:rsidR="0071657B">
        <w:t xml:space="preserve">Illustration </w:t>
      </w:r>
      <w:r w:rsidR="00DF5DBF">
        <w:t xml:space="preserve">No. </w:t>
      </w:r>
      <w:r w:rsidR="0071657B">
        <w:t>14</w:t>
      </w:r>
      <w:r w:rsidRPr="00D23815">
        <w:t xml:space="preserve"> below provides a comparison of an Avista residential customer’s monthly bill in Washington and Idaho with utility bills in other states.  The chart shows that Avista’s residential customers’ rates are among the lowest in the Country</w:t>
      </w:r>
      <w:r>
        <w:t xml:space="preserve"> for investor-owned utilities</w:t>
      </w:r>
      <w:r w:rsidRPr="00D23815">
        <w:t>.</w:t>
      </w:r>
      <w:r>
        <w:rPr>
          <w:b/>
          <w:u w:val="single"/>
        </w:rPr>
        <w:br w:type="page"/>
      </w:r>
    </w:p>
    <w:p w:rsidR="0005147B" w:rsidRPr="00D23815" w:rsidRDefault="0026074E" w:rsidP="0005147B">
      <w:pPr>
        <w:jc w:val="both"/>
      </w:pPr>
      <w:r>
        <w:rPr>
          <w:b/>
          <w:u w:val="single"/>
        </w:rPr>
        <w:lastRenderedPageBreak/>
        <w:t>Illustrat</w:t>
      </w:r>
      <w:r w:rsidR="0071657B">
        <w:rPr>
          <w:b/>
          <w:u w:val="single"/>
        </w:rPr>
        <w:t xml:space="preserve">ion </w:t>
      </w:r>
      <w:r w:rsidR="00DF5DBF">
        <w:rPr>
          <w:b/>
          <w:u w:val="single"/>
        </w:rPr>
        <w:t xml:space="preserve">No. </w:t>
      </w:r>
      <w:r w:rsidR="0071657B">
        <w:rPr>
          <w:b/>
          <w:u w:val="single"/>
        </w:rPr>
        <w:t>14</w:t>
      </w:r>
      <w:r w:rsidR="0005147B" w:rsidRPr="0030504F">
        <w:rPr>
          <w:b/>
          <w:u w:val="single"/>
        </w:rPr>
        <w:t xml:space="preserve"> – </w:t>
      </w:r>
      <w:r w:rsidR="0005147B">
        <w:rPr>
          <w:b/>
          <w:u w:val="single"/>
        </w:rPr>
        <w:t>Average Residential Monthly Electric Bill</w:t>
      </w:r>
    </w:p>
    <w:p w:rsidR="0005147B" w:rsidRDefault="0005147B" w:rsidP="0005147B">
      <w:pPr>
        <w:jc w:val="center"/>
        <w:rPr>
          <w:noProof/>
        </w:rPr>
      </w:pPr>
      <w:r w:rsidRPr="00341546">
        <w:rPr>
          <w:noProof/>
        </w:rPr>
        <w:drawing>
          <wp:anchor distT="0" distB="0" distL="114300" distR="114300" simplePos="0" relativeHeight="251723776" behindDoc="1" locked="0" layoutInCell="1" allowOverlap="1" wp14:anchorId="457A2FA0" wp14:editId="7B81EF5A">
            <wp:simplePos x="0" y="0"/>
            <wp:positionH relativeFrom="column">
              <wp:posOffset>82296</wp:posOffset>
            </wp:positionH>
            <wp:positionV relativeFrom="paragraph">
              <wp:posOffset>126365</wp:posOffset>
            </wp:positionV>
            <wp:extent cx="5806440" cy="7059929"/>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6440" cy="7059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p>
    <w:p w:rsidR="0005147B" w:rsidRDefault="0005147B" w:rsidP="0005147B">
      <w:pPr>
        <w:jc w:val="center"/>
        <w:rPr>
          <w:noProof/>
        </w:rPr>
      </w:pPr>
      <w:r>
        <w:rPr>
          <w:noProof/>
        </w:rPr>
        <mc:AlternateContent>
          <mc:Choice Requires="wps">
            <w:drawing>
              <wp:anchor distT="0" distB="0" distL="114300" distR="114300" simplePos="0" relativeHeight="251724800" behindDoc="0" locked="0" layoutInCell="1" allowOverlap="1" wp14:anchorId="42C854EB" wp14:editId="1A6E93B7">
                <wp:simplePos x="0" y="0"/>
                <wp:positionH relativeFrom="column">
                  <wp:posOffset>3493008</wp:posOffset>
                </wp:positionH>
                <wp:positionV relativeFrom="paragraph">
                  <wp:posOffset>73787</wp:posOffset>
                </wp:positionV>
                <wp:extent cx="2295144" cy="10096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144"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47B" w:rsidRPr="00564D58" w:rsidRDefault="0005147B" w:rsidP="0005147B">
                            <w:pPr>
                              <w:rPr>
                                <w:i/>
                                <w:sz w:val="20"/>
                                <w:szCs w:val="20"/>
                              </w:rPr>
                            </w:pPr>
                            <w:r w:rsidRPr="00564D58">
                              <w:rPr>
                                <w:i/>
                                <w:sz w:val="20"/>
                                <w:szCs w:val="20"/>
                              </w:rPr>
                              <w:t>Source: Edison Electric Institute</w:t>
                            </w:r>
                          </w:p>
                          <w:p w:rsidR="0005147B" w:rsidRPr="00564D58" w:rsidRDefault="0005147B" w:rsidP="0005147B">
                            <w:pPr>
                              <w:rPr>
                                <w:i/>
                                <w:sz w:val="20"/>
                                <w:szCs w:val="20"/>
                              </w:rPr>
                            </w:pPr>
                            <w:r w:rsidRPr="00564D58">
                              <w:rPr>
                                <w:i/>
                                <w:sz w:val="20"/>
                                <w:szCs w:val="20"/>
                              </w:rPr>
                              <w:t>Investor-Owned Utilities</w:t>
                            </w:r>
                          </w:p>
                          <w:p w:rsidR="0005147B" w:rsidRPr="00564D58" w:rsidRDefault="0005147B" w:rsidP="0005147B">
                            <w:pPr>
                              <w:rPr>
                                <w:i/>
                                <w:sz w:val="20"/>
                                <w:szCs w:val="20"/>
                              </w:rPr>
                            </w:pPr>
                            <w:r w:rsidRPr="00564D58">
                              <w:rPr>
                                <w:i/>
                                <w:sz w:val="20"/>
                                <w:szCs w:val="20"/>
                              </w:rPr>
                              <w:t>Based on 1,000 kWh of use per month</w:t>
                            </w:r>
                          </w:p>
                          <w:p w:rsidR="0005147B" w:rsidRPr="00564D58" w:rsidRDefault="0005147B" w:rsidP="0005147B">
                            <w:pPr>
                              <w:rPr>
                                <w:i/>
                                <w:sz w:val="20"/>
                                <w:szCs w:val="20"/>
                              </w:rPr>
                            </w:pPr>
                            <w:r w:rsidRPr="00564D58">
                              <w:rPr>
                                <w:i/>
                                <w:sz w:val="20"/>
                                <w:szCs w:val="20"/>
                              </w:rPr>
                              <w:t>As of January 1,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54EB" id="_x0000_t202" coordsize="21600,21600" o:spt="202" path="m,l,21600r21600,l21600,xe">
                <v:stroke joinstyle="miter"/>
                <v:path gradientshapeok="t" o:connecttype="rect"/>
              </v:shapetype>
              <v:shape id="Text Box 2" o:spid="_x0000_s1026" type="#_x0000_t202" style="position:absolute;left:0;text-align:left;margin-left:275.05pt;margin-top:5.8pt;width:180.7pt;height: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Hd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" stroked="f">
                <v:textbox>
                  <w:txbxContent>
                    <w:p w:rsidR="0005147B" w:rsidRPr="00564D58" w:rsidRDefault="0005147B" w:rsidP="0005147B">
                      <w:pPr>
                        <w:rPr>
                          <w:i/>
                          <w:sz w:val="20"/>
                          <w:szCs w:val="20"/>
                        </w:rPr>
                      </w:pPr>
                      <w:r w:rsidRPr="00564D58">
                        <w:rPr>
                          <w:i/>
                          <w:sz w:val="20"/>
                          <w:szCs w:val="20"/>
                        </w:rPr>
                        <w:t>Source: Edison Electric Institute</w:t>
                      </w:r>
                    </w:p>
                    <w:p w:rsidR="0005147B" w:rsidRPr="00564D58" w:rsidRDefault="0005147B" w:rsidP="0005147B">
                      <w:pPr>
                        <w:rPr>
                          <w:i/>
                          <w:sz w:val="20"/>
                          <w:szCs w:val="20"/>
                        </w:rPr>
                      </w:pPr>
                      <w:r w:rsidRPr="00564D58">
                        <w:rPr>
                          <w:i/>
                          <w:sz w:val="20"/>
                          <w:szCs w:val="20"/>
                        </w:rPr>
                        <w:t>Investor-Owned Utilities</w:t>
                      </w:r>
                    </w:p>
                    <w:p w:rsidR="0005147B" w:rsidRPr="00564D58" w:rsidRDefault="0005147B" w:rsidP="0005147B">
                      <w:pPr>
                        <w:rPr>
                          <w:i/>
                          <w:sz w:val="20"/>
                          <w:szCs w:val="20"/>
                        </w:rPr>
                      </w:pPr>
                      <w:r w:rsidRPr="00564D58">
                        <w:rPr>
                          <w:i/>
                          <w:sz w:val="20"/>
                          <w:szCs w:val="20"/>
                        </w:rPr>
                        <w:t>Based on 1,000 kWh of use per month</w:t>
                      </w:r>
                    </w:p>
                    <w:p w:rsidR="0005147B" w:rsidRPr="00564D58" w:rsidRDefault="0005147B" w:rsidP="0005147B">
                      <w:pPr>
                        <w:rPr>
                          <w:i/>
                          <w:sz w:val="20"/>
                          <w:szCs w:val="20"/>
                        </w:rPr>
                      </w:pPr>
                      <w:r w:rsidRPr="00564D58">
                        <w:rPr>
                          <w:i/>
                          <w:sz w:val="20"/>
                          <w:szCs w:val="20"/>
                        </w:rPr>
                        <w:t>As of January 1, 2017</w:t>
                      </w:r>
                    </w:p>
                  </w:txbxContent>
                </v:textbox>
              </v:shape>
            </w:pict>
          </mc:Fallback>
        </mc:AlternateContent>
      </w:r>
    </w:p>
    <w:p w:rsidR="0005147B"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rPr>
          <w:noProof/>
        </w:rPr>
      </w:pPr>
    </w:p>
    <w:p w:rsidR="0005147B" w:rsidRPr="005E0914" w:rsidRDefault="0005147B" w:rsidP="0005147B">
      <w:pPr>
        <w:jc w:val="center"/>
      </w:pPr>
    </w:p>
    <w:p w:rsidR="0005147B" w:rsidRPr="005E0914" w:rsidRDefault="0005147B" w:rsidP="0005147B">
      <w:pPr>
        <w:jc w:val="center"/>
        <w:rPr>
          <w:b/>
          <w:color w:val="002060"/>
        </w:rPr>
      </w:pPr>
    </w:p>
    <w:p w:rsidR="0005147B" w:rsidRDefault="0005147B" w:rsidP="0005147B">
      <w:pPr>
        <w:pStyle w:val="TestBody"/>
        <w:spacing w:line="240" w:lineRule="auto"/>
        <w:ind w:left="0" w:firstLine="0"/>
        <w:rPr>
          <w:rFonts w:ascii="Times New Roman" w:hAnsi="Times New Roman" w:cs="Times New Roman"/>
        </w:rPr>
      </w:pPr>
    </w:p>
    <w:p w:rsidR="0005147B" w:rsidRDefault="0005147B" w:rsidP="0005147B">
      <w:pPr>
        <w:pStyle w:val="TestBody"/>
        <w:spacing w:line="480" w:lineRule="auto"/>
        <w:ind w:left="0" w:firstLine="720"/>
        <w:rPr>
          <w:rFonts w:ascii="Times New Roman" w:hAnsi="Times New Roman" w:cs="Times New Roman"/>
        </w:rPr>
      </w:pPr>
      <w:r w:rsidRPr="00D23815">
        <w:rPr>
          <w:rFonts w:ascii="Times New Roman" w:hAnsi="Times New Roman" w:cs="Times New Roman"/>
        </w:rPr>
        <w:lastRenderedPageBreak/>
        <w:t>Our relatively low retail rates are due in large part to a history of our Company aggressively pursuing the acquisition and preservation of a diversified portfolio of low cost resources for the benefit of our customers.  They are also a result of Avista’s efforts to control its capital investment costs and utility operating costs, in order to keep retail rates as low as reasonably possible.</w:t>
      </w:r>
    </w:p>
    <w:p w:rsidR="0005147B" w:rsidRPr="00ED7DFE" w:rsidRDefault="0005147B" w:rsidP="0005147B">
      <w:pPr>
        <w:pStyle w:val="TestBody"/>
        <w:spacing w:line="480" w:lineRule="auto"/>
        <w:ind w:left="0" w:firstLine="720"/>
        <w:rPr>
          <w:rFonts w:ascii="Times New Roman" w:hAnsi="Times New Roman" w:cs="Times New Roman"/>
          <w:b/>
        </w:rPr>
      </w:pPr>
      <w:r w:rsidRPr="00ED7DFE">
        <w:rPr>
          <w:rFonts w:ascii="Times New Roman" w:hAnsi="Times New Roman" w:cs="Times New Roman"/>
          <w:b/>
        </w:rPr>
        <w:t>Q.</w:t>
      </w:r>
      <w:r w:rsidRPr="00ED7DFE">
        <w:rPr>
          <w:rFonts w:ascii="Times New Roman" w:hAnsi="Times New Roman" w:cs="Times New Roman"/>
          <w:b/>
        </w:rPr>
        <w:tab/>
        <w:t>How does Avista identify and prioritize its capital investments?</w:t>
      </w:r>
    </w:p>
    <w:p w:rsidR="0005147B" w:rsidRPr="00585691" w:rsidRDefault="0005147B" w:rsidP="0005147B">
      <w:pPr>
        <w:spacing w:line="480" w:lineRule="auto"/>
        <w:ind w:firstLine="720"/>
        <w:jc w:val="both"/>
      </w:pPr>
      <w:r>
        <w:t>A.</w:t>
      </w:r>
      <w:r>
        <w:tab/>
      </w:r>
      <w:r w:rsidRPr="00585691">
        <w:t>Avista’s capital investments originate from the following six major “investment drivers”:</w:t>
      </w:r>
    </w:p>
    <w:p w:rsidR="0005147B" w:rsidRPr="000B10BE" w:rsidRDefault="0005147B" w:rsidP="0005147B">
      <w:pPr>
        <w:numPr>
          <w:ilvl w:val="0"/>
          <w:numId w:val="14"/>
        </w:numPr>
        <w:autoSpaceDE/>
        <w:autoSpaceDN/>
        <w:ind w:left="900" w:hanging="270"/>
        <w:contextualSpacing/>
        <w:jc w:val="both"/>
      </w:pPr>
      <w:r w:rsidRPr="000B10BE">
        <w:t>Respond to customer requests for new service or service enhancements;</w:t>
      </w:r>
    </w:p>
    <w:p w:rsidR="0005147B" w:rsidRPr="000B10BE" w:rsidRDefault="0005147B" w:rsidP="0005147B">
      <w:pPr>
        <w:numPr>
          <w:ilvl w:val="0"/>
          <w:numId w:val="14"/>
        </w:numPr>
        <w:autoSpaceDE/>
        <w:autoSpaceDN/>
        <w:ind w:left="900" w:hanging="270"/>
        <w:contextualSpacing/>
        <w:jc w:val="both"/>
      </w:pPr>
      <w:r w:rsidRPr="000B10BE">
        <w:t>Meet our customers’ expectations for quality and reliability of service;</w:t>
      </w:r>
    </w:p>
    <w:p w:rsidR="0005147B" w:rsidRPr="000B10BE" w:rsidRDefault="0005147B" w:rsidP="0005147B">
      <w:pPr>
        <w:numPr>
          <w:ilvl w:val="0"/>
          <w:numId w:val="14"/>
        </w:numPr>
        <w:autoSpaceDE/>
        <w:autoSpaceDN/>
        <w:ind w:left="900" w:hanging="270"/>
        <w:contextualSpacing/>
        <w:jc w:val="both"/>
      </w:pPr>
      <w:r w:rsidRPr="000B10BE">
        <w:t>Meet regulatory and other mandatory obligations;</w:t>
      </w:r>
    </w:p>
    <w:p w:rsidR="0005147B" w:rsidRPr="000B10BE" w:rsidRDefault="0005147B" w:rsidP="0005147B">
      <w:pPr>
        <w:numPr>
          <w:ilvl w:val="0"/>
          <w:numId w:val="14"/>
        </w:numPr>
        <w:autoSpaceDE/>
        <w:autoSpaceDN/>
        <w:ind w:left="900" w:hanging="270"/>
        <w:contextualSpacing/>
        <w:jc w:val="both"/>
      </w:pPr>
      <w:r w:rsidRPr="000B10BE">
        <w:t>Address system performance and capacity issues;</w:t>
      </w:r>
    </w:p>
    <w:p w:rsidR="0005147B" w:rsidRPr="000B10BE" w:rsidRDefault="0005147B" w:rsidP="0005147B">
      <w:pPr>
        <w:numPr>
          <w:ilvl w:val="0"/>
          <w:numId w:val="14"/>
        </w:numPr>
        <w:autoSpaceDE/>
        <w:autoSpaceDN/>
        <w:ind w:left="900" w:hanging="270"/>
        <w:contextualSpacing/>
        <w:jc w:val="both"/>
      </w:pPr>
      <w:r w:rsidRPr="000B10BE">
        <w:t>Replace infrastructure at the end of its usefu</w:t>
      </w:r>
      <w:r w:rsidR="00EC74AB">
        <w:t>l life based on asset condition; and</w:t>
      </w:r>
    </w:p>
    <w:p w:rsidR="0005147B" w:rsidRPr="000B10BE" w:rsidRDefault="0005147B" w:rsidP="0005147B">
      <w:pPr>
        <w:numPr>
          <w:ilvl w:val="0"/>
          <w:numId w:val="14"/>
        </w:numPr>
        <w:autoSpaceDE/>
        <w:autoSpaceDN/>
        <w:ind w:left="900" w:hanging="270"/>
        <w:contextualSpacing/>
        <w:jc w:val="both"/>
      </w:pPr>
      <w:r w:rsidRPr="000B10BE">
        <w:t>Replace equipment that is damaged or fails, and support field operations.</w:t>
      </w:r>
    </w:p>
    <w:p w:rsidR="0005147B" w:rsidRPr="00D23815" w:rsidRDefault="0005147B" w:rsidP="0005147B">
      <w:pPr>
        <w:jc w:val="both"/>
      </w:pPr>
    </w:p>
    <w:p w:rsidR="00C01030" w:rsidRDefault="0005147B" w:rsidP="0005147B">
      <w:pPr>
        <w:spacing w:line="480" w:lineRule="auto"/>
        <w:ind w:firstLine="720"/>
        <w:jc w:val="both"/>
      </w:pPr>
      <w:r>
        <w:t>A</w:t>
      </w:r>
      <w:r w:rsidRPr="00D23815">
        <w:t>n explanation of each of these drivers, as well as examples of specific capit</w:t>
      </w:r>
      <w:r>
        <w:t xml:space="preserve">al projects under these drivers, is provided in the Infrastructure Investment Plan, attached as Exh. </w:t>
      </w:r>
      <w:r w:rsidR="00C01030">
        <w:t>SLM-3.  In addition, Company witnesses Mr. Kinney, Ms. Rosentrater, and Mr. Kensok provide details on the specific capital projects planned and in progress, why the pro</w:t>
      </w:r>
      <w:r w:rsidR="00996FA1">
        <w:t>jects need to be done in the time frame they will be completed</w:t>
      </w:r>
      <w:r w:rsidR="00C01030">
        <w:t>, as well as what the risks and consequences are of not completing the projects.</w:t>
      </w:r>
    </w:p>
    <w:p w:rsidR="00845A63" w:rsidRDefault="0005147B" w:rsidP="00845A63">
      <w:pPr>
        <w:spacing w:line="480" w:lineRule="auto"/>
        <w:ind w:firstLine="720"/>
        <w:jc w:val="both"/>
        <w:rPr>
          <w:noProof/>
        </w:rPr>
      </w:pPr>
      <w:r>
        <w:t>A</w:t>
      </w:r>
      <w:r w:rsidRPr="00D23815">
        <w:t xml:space="preserve"> breakdown of planned </w:t>
      </w:r>
      <w:r w:rsidRPr="003360E4">
        <w:t>investments for each driver fo</w:t>
      </w:r>
      <w:r w:rsidR="00996FA1">
        <w:t>r 2017-</w:t>
      </w:r>
      <w:r w:rsidR="0071657B">
        <w:t xml:space="preserve">2021 is shown in Illustration </w:t>
      </w:r>
      <w:r w:rsidR="00DF5DBF">
        <w:t xml:space="preserve">No. </w:t>
      </w:r>
      <w:r w:rsidR="0071657B">
        <w:t>15</w:t>
      </w:r>
      <w:r w:rsidRPr="003360E4">
        <w:t xml:space="preserve"> below</w:t>
      </w:r>
      <w:r w:rsidRPr="003360E4">
        <w:rPr>
          <w:noProof/>
        </w:rPr>
        <w:t>.</w:t>
      </w:r>
      <w:r w:rsidR="00845A63">
        <w:rPr>
          <w:noProof/>
        </w:rPr>
        <w:br w:type="page"/>
      </w:r>
    </w:p>
    <w:p w:rsidR="0005147B" w:rsidRDefault="0071657B" w:rsidP="008B57DA">
      <w:pPr>
        <w:spacing w:line="480" w:lineRule="auto"/>
        <w:jc w:val="both"/>
        <w:rPr>
          <w:noProof/>
        </w:rPr>
      </w:pPr>
      <w:r>
        <w:rPr>
          <w:b/>
          <w:u w:val="single"/>
        </w:rPr>
        <w:lastRenderedPageBreak/>
        <w:t xml:space="preserve">Illustration </w:t>
      </w:r>
      <w:r w:rsidR="00DF5DBF">
        <w:rPr>
          <w:b/>
          <w:u w:val="single"/>
        </w:rPr>
        <w:t xml:space="preserve">No. </w:t>
      </w:r>
      <w:r>
        <w:rPr>
          <w:b/>
          <w:u w:val="single"/>
        </w:rPr>
        <w:t>15</w:t>
      </w:r>
      <w:r w:rsidR="0005147B" w:rsidRPr="003360E4">
        <w:rPr>
          <w:b/>
          <w:u w:val="single"/>
        </w:rPr>
        <w:t xml:space="preserve"> – Planned Investments by Capital Investment Driver (2017 – 2021)</w:t>
      </w:r>
    </w:p>
    <w:p w:rsidR="0005147B" w:rsidRDefault="0005147B" w:rsidP="008B57DA">
      <w:pPr>
        <w:spacing w:line="480" w:lineRule="auto"/>
        <w:jc w:val="center"/>
        <w:rPr>
          <w:noProof/>
        </w:rPr>
      </w:pPr>
      <w:r w:rsidRPr="00374834">
        <w:rPr>
          <w:noProof/>
        </w:rPr>
        <w:drawing>
          <wp:anchor distT="0" distB="0" distL="114300" distR="114300" simplePos="0" relativeHeight="251720704" behindDoc="1" locked="0" layoutInCell="1" allowOverlap="1" wp14:anchorId="1F258CE1" wp14:editId="7E9A4C75">
            <wp:simplePos x="0" y="0"/>
            <wp:positionH relativeFrom="column">
              <wp:posOffset>552</wp:posOffset>
            </wp:positionH>
            <wp:positionV relativeFrom="paragraph">
              <wp:posOffset>97348</wp:posOffset>
            </wp:positionV>
            <wp:extent cx="5943600" cy="3950067"/>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39500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05147B" w:rsidRDefault="0005147B" w:rsidP="008B57DA">
      <w:pPr>
        <w:spacing w:line="480" w:lineRule="auto"/>
        <w:jc w:val="center"/>
        <w:rPr>
          <w:noProof/>
        </w:rPr>
      </w:pPr>
    </w:p>
    <w:p w:rsidR="008B57DA" w:rsidRDefault="008B57DA" w:rsidP="008B57DA">
      <w:pPr>
        <w:spacing w:line="480" w:lineRule="auto"/>
        <w:ind w:firstLine="720"/>
        <w:jc w:val="both"/>
      </w:pPr>
    </w:p>
    <w:p w:rsidR="00514209" w:rsidRPr="00845A63" w:rsidRDefault="0005147B" w:rsidP="008B57DA">
      <w:pPr>
        <w:spacing w:line="480" w:lineRule="auto"/>
        <w:ind w:firstLine="720"/>
        <w:jc w:val="both"/>
      </w:pPr>
      <w:r w:rsidRPr="00DD2137">
        <w:t>The process under which Avista’s planned capital expenditures are identified and prior</w:t>
      </w:r>
      <w:r w:rsidR="006B0605">
        <w:t>itized i</w:t>
      </w:r>
      <w:r w:rsidR="0071657B">
        <w:t xml:space="preserve">s illustrated in Illustration </w:t>
      </w:r>
      <w:r w:rsidR="00DF5DBF">
        <w:t xml:space="preserve">No. </w:t>
      </w:r>
      <w:r w:rsidR="0071657B">
        <w:t>16</w:t>
      </w:r>
      <w:r w:rsidRPr="00DD2137">
        <w:t xml:space="preserve"> below. </w:t>
      </w:r>
      <w:r w:rsidR="00845A63">
        <w:br w:type="page"/>
      </w:r>
      <w:r w:rsidR="0071657B">
        <w:rPr>
          <w:b/>
          <w:u w:val="single"/>
        </w:rPr>
        <w:lastRenderedPageBreak/>
        <w:t xml:space="preserve">Illustration </w:t>
      </w:r>
      <w:r w:rsidR="00C03F3A">
        <w:rPr>
          <w:b/>
          <w:u w:val="single"/>
        </w:rPr>
        <w:t xml:space="preserve">No. </w:t>
      </w:r>
      <w:r w:rsidR="0071657B">
        <w:rPr>
          <w:b/>
          <w:u w:val="single"/>
        </w:rPr>
        <w:t xml:space="preserve">16 - </w:t>
      </w:r>
      <w:r w:rsidR="00514209">
        <w:rPr>
          <w:b/>
          <w:u w:val="single"/>
        </w:rPr>
        <w:t>Identification and Prioritization Process</w:t>
      </w:r>
    </w:p>
    <w:p w:rsidR="00514209" w:rsidRDefault="00514209" w:rsidP="00514209">
      <w:pPr>
        <w:spacing w:line="480" w:lineRule="auto"/>
        <w:rPr>
          <w:b/>
          <w:u w:val="single"/>
        </w:rPr>
      </w:pPr>
      <w:r w:rsidRPr="000E7979">
        <w:rPr>
          <w:noProof/>
        </w:rPr>
        <w:drawing>
          <wp:anchor distT="0" distB="0" distL="114300" distR="114300" simplePos="0" relativeHeight="251726848" behindDoc="1" locked="0" layoutInCell="1" allowOverlap="1" wp14:anchorId="7CA9C1A4" wp14:editId="17769A01">
            <wp:simplePos x="0" y="0"/>
            <wp:positionH relativeFrom="column">
              <wp:posOffset>358140</wp:posOffset>
            </wp:positionH>
            <wp:positionV relativeFrom="paragraph">
              <wp:posOffset>175261</wp:posOffset>
            </wp:positionV>
            <wp:extent cx="4973378" cy="37795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74936" cy="3780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514209">
      <w:pPr>
        <w:spacing w:line="480" w:lineRule="auto"/>
        <w:rPr>
          <w:b/>
          <w:u w:val="single"/>
        </w:rPr>
      </w:pPr>
    </w:p>
    <w:p w:rsidR="00514209" w:rsidRDefault="00514209" w:rsidP="0005147B">
      <w:pPr>
        <w:spacing w:line="480" w:lineRule="auto"/>
        <w:ind w:firstLine="720"/>
        <w:jc w:val="both"/>
      </w:pPr>
    </w:p>
    <w:p w:rsidR="0005147B" w:rsidRDefault="0005147B" w:rsidP="0005147B">
      <w:pPr>
        <w:spacing w:line="480" w:lineRule="auto"/>
        <w:ind w:firstLine="720"/>
        <w:jc w:val="both"/>
      </w:pPr>
      <w:r w:rsidRPr="00DD2137">
        <w:t xml:space="preserve">The capital projects </w:t>
      </w:r>
      <w:r w:rsidRPr="00D23815">
        <w:t>are identified in the lower-left portion of the diagram labeled “Business Un</w:t>
      </w:r>
      <w:r w:rsidR="00514209">
        <w:t>it Needs,”</w:t>
      </w:r>
      <w:r w:rsidRPr="00D23815">
        <w:t xml:space="preserve"> </w:t>
      </w:r>
      <w:r w:rsidR="00514209">
        <w:t xml:space="preserve">and </w:t>
      </w:r>
      <w:r w:rsidRPr="00D23815">
        <w:t xml:space="preserve">are </w:t>
      </w:r>
      <w:r w:rsidRPr="002766CD">
        <w:t xml:space="preserve">then </w:t>
      </w:r>
      <w:r w:rsidRPr="00D23815">
        <w:rPr>
          <w:u w:val="single"/>
        </w:rPr>
        <w:t>prioritized within each department</w:t>
      </w:r>
      <w:r w:rsidRPr="00D23815">
        <w:t xml:space="preserve">.  This prioritization occurs with the knowledge of the continuing constraint on the capital spend level for the Company, while at the same time </w:t>
      </w:r>
      <w:r>
        <w:t>the leadership of each department informs</w:t>
      </w:r>
      <w:r w:rsidRPr="00D23815">
        <w:t xml:space="preserve"> Senior</w:t>
      </w:r>
      <w:r w:rsidR="00430AA9">
        <w:t xml:space="preserve"> </w:t>
      </w:r>
      <w:r w:rsidRPr="00D23815">
        <w:lastRenderedPageBreak/>
        <w:t>Management of both the near-term and longer-term needs that are being delayed.</w:t>
      </w:r>
      <w:r w:rsidRPr="00D23815">
        <w:rPr>
          <w:rStyle w:val="FootnoteReference"/>
        </w:rPr>
        <w:footnoteReference w:id="17"/>
      </w:r>
      <w:r w:rsidRPr="00D23815">
        <w:t xml:space="preserve">  For the prioritized projects, Business Cases</w:t>
      </w:r>
      <w:r w:rsidRPr="00D23815">
        <w:rPr>
          <w:rStyle w:val="FootnoteReference"/>
        </w:rPr>
        <w:footnoteReference w:id="18"/>
      </w:r>
      <w:r w:rsidRPr="00D23815">
        <w:t xml:space="preserve"> are developed for each of the Capital Requests</w:t>
      </w:r>
      <w:r w:rsidR="00C33BC0">
        <w:t xml:space="preserve"> that go to the</w:t>
      </w:r>
      <w:r w:rsidRPr="00D23815">
        <w:t xml:space="preserve"> Capital Planning Group</w:t>
      </w:r>
      <w:r w:rsidR="00C33BC0">
        <w:t xml:space="preserve"> </w:t>
      </w:r>
      <w:r w:rsidR="00D96037">
        <w:t xml:space="preserve">(CPG) </w:t>
      </w:r>
      <w:r w:rsidR="00C33BC0">
        <w:t>(as illustrated in the diagram)</w:t>
      </w:r>
      <w:r>
        <w:t>.</w:t>
      </w:r>
      <w:r w:rsidRPr="00D23815">
        <w:t xml:space="preserve">  The CPG </w:t>
      </w:r>
      <w:r w:rsidRPr="00D23815">
        <w:rPr>
          <w:u w:val="single"/>
        </w:rPr>
        <w:t>prioritizes the Capital Requests across departments</w:t>
      </w:r>
      <w:r w:rsidRPr="00D23815">
        <w:t xml:space="preserve">, such that the overall planned capital spend stays within the constrained spend level established by Senior Management.  The highest priority Capital Requests are </w:t>
      </w:r>
      <w:proofErr w:type="gramStart"/>
      <w:r w:rsidRPr="00D23815">
        <w:t>Funded</w:t>
      </w:r>
      <w:proofErr w:type="gramEnd"/>
      <w:r w:rsidRPr="00D23815">
        <w:t xml:space="preserve">, and a portion of the Capital Requests are Not Funded (Deferred), as shown on the diagram.  The Board Finance Committee reviews and approves the first year of the five-year capital investment plan.  Under this Identification and Prioritization Process, the capital projects are screened and prioritized twice; once </w:t>
      </w:r>
      <w:r w:rsidRPr="00D23815">
        <w:rPr>
          <w:u w:val="single"/>
        </w:rPr>
        <w:t xml:space="preserve">within the departments, </w:t>
      </w:r>
      <w:r w:rsidRPr="00D23815">
        <w:t>and then a second time</w:t>
      </w:r>
      <w:r w:rsidRPr="00D23815">
        <w:rPr>
          <w:u w:val="single"/>
        </w:rPr>
        <w:t xml:space="preserve"> across departments </w:t>
      </w:r>
      <w:r w:rsidRPr="00D23815">
        <w:t>within the CPG.  This Identification and Prioritization Process is explained in more deta</w:t>
      </w:r>
      <w:r>
        <w:t>il in the Infrastructure Investment Plan in Exh. SLM-3.</w:t>
      </w:r>
    </w:p>
    <w:p w:rsidR="0005147B" w:rsidRDefault="0005147B" w:rsidP="0005147B">
      <w:pPr>
        <w:spacing w:line="480" w:lineRule="auto"/>
        <w:rPr>
          <w:b/>
          <w:u w:val="single"/>
        </w:rPr>
      </w:pPr>
    </w:p>
    <w:p w:rsidR="0005147B" w:rsidRDefault="00C33BC0" w:rsidP="0005147B">
      <w:pPr>
        <w:spacing w:line="480" w:lineRule="auto"/>
        <w:jc w:val="center"/>
        <w:rPr>
          <w:b/>
          <w:u w:val="single"/>
        </w:rPr>
      </w:pPr>
      <w:r>
        <w:rPr>
          <w:b/>
          <w:u w:val="single"/>
        </w:rPr>
        <w:t>V</w:t>
      </w:r>
      <w:r w:rsidR="0005147B">
        <w:rPr>
          <w:b/>
          <w:u w:val="single"/>
        </w:rPr>
        <w:t>.  O&amp;M AND A&amp;G COST MANAGEMENT</w:t>
      </w:r>
    </w:p>
    <w:p w:rsidR="0005147B" w:rsidRPr="009B0E6A" w:rsidRDefault="0005147B" w:rsidP="0005147B">
      <w:pPr>
        <w:spacing w:line="480" w:lineRule="auto"/>
        <w:ind w:firstLine="720"/>
        <w:rPr>
          <w:b/>
        </w:rPr>
      </w:pPr>
      <w:r>
        <w:rPr>
          <w:b/>
        </w:rPr>
        <w:t>Q.</w:t>
      </w:r>
      <w:r>
        <w:rPr>
          <w:b/>
        </w:rPr>
        <w:tab/>
        <w:t>Please briefly explain</w:t>
      </w:r>
      <w:r w:rsidRPr="009B0E6A">
        <w:rPr>
          <w:b/>
        </w:rPr>
        <w:t xml:space="preserve"> some </w:t>
      </w:r>
      <w:r>
        <w:rPr>
          <w:b/>
        </w:rPr>
        <w:t xml:space="preserve">of the </w:t>
      </w:r>
      <w:r w:rsidRPr="009B0E6A">
        <w:rPr>
          <w:b/>
        </w:rPr>
        <w:t xml:space="preserve">ways the Company is managing its </w:t>
      </w:r>
      <w:r w:rsidR="00D96037">
        <w:rPr>
          <w:b/>
        </w:rPr>
        <w:t xml:space="preserve">operating expenses </w:t>
      </w:r>
      <w:r w:rsidRPr="009B0E6A">
        <w:rPr>
          <w:b/>
        </w:rPr>
        <w:t>for the benefit of customers.</w:t>
      </w:r>
    </w:p>
    <w:p w:rsidR="0005147B" w:rsidRPr="005F02F5" w:rsidRDefault="00304107" w:rsidP="0005147B">
      <w:pPr>
        <w:spacing w:line="480" w:lineRule="auto"/>
        <w:ind w:firstLine="720"/>
        <w:jc w:val="both"/>
      </w:pPr>
      <w:r>
        <w:t>A.</w:t>
      </w:r>
      <w:r>
        <w:tab/>
        <w:t>A few</w:t>
      </w:r>
      <w:r w:rsidR="0005147B">
        <w:t xml:space="preserve"> examples of h</w:t>
      </w:r>
      <w:r w:rsidR="00D96037">
        <w:t>ow the Company manages its operating expenses</w:t>
      </w:r>
      <w:r w:rsidR="0005147B">
        <w:t xml:space="preserve"> for the benefit of customers involve labor, benefits, and IS/IT expenses.  As expla</w:t>
      </w:r>
      <w:r w:rsidR="007E0504">
        <w:t xml:space="preserve">ined in more detail </w:t>
      </w:r>
      <w:r w:rsidR="007E0504">
        <w:lastRenderedPageBreak/>
        <w:t>by Company w</w:t>
      </w:r>
      <w:r w:rsidR="0005147B">
        <w:t>itness Ms. Andrews (Exh. EMA-2), the Company carefully evaluates each component of overall compensation in order to provide total compensation which will be cost-effective for t</w:t>
      </w:r>
      <w:r w:rsidR="007E0504">
        <w:t>he Company, as well as attract and retain employees</w:t>
      </w:r>
      <w:r w:rsidR="0005147B">
        <w:t xml:space="preserve">.  In an effort to appropriately manage our staffing </w:t>
      </w:r>
      <w:r w:rsidR="0005147B" w:rsidRPr="005F02F5">
        <w:t xml:space="preserve">requirements, we have a </w:t>
      </w:r>
      <w:r w:rsidR="0005147B">
        <w:t>h</w:t>
      </w:r>
      <w:r w:rsidR="0005147B" w:rsidRPr="005F02F5">
        <w:t>iring restriction which requires approv</w:t>
      </w:r>
      <w:r w:rsidR="0005147B">
        <w:t>al by myself</w:t>
      </w:r>
      <w:r w:rsidR="0005147B" w:rsidRPr="005F02F5">
        <w:t xml:space="preserve">, </w:t>
      </w:r>
      <w:r w:rsidR="0005147B">
        <w:t xml:space="preserve">the </w:t>
      </w:r>
      <w:r w:rsidR="0005147B" w:rsidRPr="005F02F5">
        <w:t>President of the Utility, the CFO, and the Sr. VP for Human Resources for all replacement or new hire positions</w:t>
      </w:r>
    </w:p>
    <w:p w:rsidR="0005147B" w:rsidRDefault="0005147B" w:rsidP="0005147B">
      <w:pPr>
        <w:spacing w:line="480" w:lineRule="auto"/>
        <w:ind w:firstLine="720"/>
        <w:jc w:val="both"/>
      </w:pPr>
      <w:r>
        <w:t>In order to manage medical costs, several measures have been implemented to manage costs.  The Company made changes to the medical plan for employees hired on or after January 1, 2014 such that upon retirement the Company no longer provides a contribution towards his/her medical premiums.  The Company will provide access to the retiree medical plan, but the retiree will pay the full cost of premiums upon retirement.  In addition, beginning in January 1, 2020 the method for calculating health insurance premiums will shift more expen</w:t>
      </w:r>
      <w:r w:rsidR="006B5D7D">
        <w:t>ses to our retirees,</w:t>
      </w:r>
      <w:r>
        <w:t xml:space="preserve"> lowering Company medical expense.  </w:t>
      </w:r>
    </w:p>
    <w:p w:rsidR="0005147B" w:rsidRDefault="0005147B" w:rsidP="0005147B">
      <w:pPr>
        <w:spacing w:line="480" w:lineRule="auto"/>
        <w:ind w:firstLine="720"/>
        <w:jc w:val="both"/>
        <w:rPr>
          <w:bCs/>
          <w:color w:val="000000"/>
        </w:rPr>
      </w:pPr>
      <w:r>
        <w:t xml:space="preserve">In an effort to keep </w:t>
      </w:r>
      <w:r w:rsidR="00D96037">
        <w:t xml:space="preserve">medical </w:t>
      </w:r>
      <w:r>
        <w:t xml:space="preserve">office visits down, we offer access to phone or web-based 24/7 telemedicine and </w:t>
      </w:r>
      <w:r w:rsidR="00D96037">
        <w:t xml:space="preserve">we </w:t>
      </w:r>
      <w:r>
        <w:t xml:space="preserve">have an on-site clinic.  </w:t>
      </w:r>
      <w:r w:rsidRPr="00AE2980">
        <w:rPr>
          <w:bCs/>
          <w:color w:val="000000"/>
        </w:rPr>
        <w:t>Beginning in 2017, Avista offered a self-insured High Deductible Health Plan (“HDHP”) in addition to the current self-insured plan.  The HDHP requires plan participants to pay all costs of medical care up to defined deductible limits.  Over time we expect this plan to result in lower overall medical costs to the Company</w:t>
      </w:r>
      <w:r>
        <w:rPr>
          <w:bCs/>
          <w:color w:val="000000"/>
        </w:rPr>
        <w:t>.</w:t>
      </w:r>
      <w:r w:rsidRPr="00AE2980">
        <w:rPr>
          <w:bCs/>
          <w:color w:val="000000"/>
        </w:rPr>
        <w:t xml:space="preserve">  </w:t>
      </w:r>
    </w:p>
    <w:p w:rsidR="0005147B" w:rsidRDefault="0005147B" w:rsidP="0005147B">
      <w:pPr>
        <w:widowControl w:val="0"/>
        <w:spacing w:line="480" w:lineRule="auto"/>
        <w:ind w:firstLine="720"/>
        <w:jc w:val="both"/>
      </w:pPr>
      <w:r>
        <w:rPr>
          <w:bCs/>
          <w:color w:val="000000"/>
        </w:rPr>
        <w:t>The Company has also made changes to its retirement plan</w:t>
      </w:r>
      <w:r w:rsidRPr="00724EA9">
        <w:rPr>
          <w:bCs/>
          <w:color w:val="000000"/>
        </w:rPr>
        <w:t>.</w:t>
      </w:r>
      <w:r w:rsidRPr="00724EA9">
        <w:t xml:space="preserve"> </w:t>
      </w:r>
      <w:r>
        <w:t xml:space="preserve"> </w:t>
      </w:r>
      <w:r w:rsidRPr="00724EA9">
        <w:t>Effective January 1, 2014, the</w:t>
      </w:r>
      <w:r w:rsidR="008F4C7D">
        <w:t xml:space="preserve"> defined benefit pension plan was</w:t>
      </w:r>
      <w:r w:rsidRPr="00724EA9">
        <w:t xml:space="preserve"> closed to all non-union employees hired or rehi</w:t>
      </w:r>
      <w:r w:rsidR="008F4C7D">
        <w:t>red on or after January 1, 2014, and was replaced with a</w:t>
      </w:r>
      <w:r w:rsidRPr="00724EA9">
        <w:t xml:space="preserve"> defined contribution 401(k) plan.</w:t>
      </w:r>
      <w:r w:rsidR="008F4C7D">
        <w:t xml:space="preserve"> </w:t>
      </w:r>
      <w:r w:rsidRPr="00724EA9">
        <w:t xml:space="preserve"> Under the defined contribution plan the Company will provide a non-elective contribution as a percentage of each employee's pay based on his or her age. </w:t>
      </w:r>
      <w:r>
        <w:t xml:space="preserve"> </w:t>
      </w:r>
      <w:r w:rsidRPr="00724EA9">
        <w:t xml:space="preserve">In addition to the above changes, </w:t>
      </w:r>
      <w:r w:rsidRPr="00724EA9">
        <w:lastRenderedPageBreak/>
        <w:t>the Company also revised our lump sum calculation for non-union retirees under the defined benefit pension plan to provide non-union participants who retire on or after January 1, 2014 with a lump sum amount equivalent to the present value of the annuity based upon applicable discount rates.</w:t>
      </w:r>
      <w:r>
        <w:t xml:space="preserve">  This reduces the future costs and risks to the Company of funding and managing the annual pension benefit (annuity) for retirees.</w:t>
      </w:r>
    </w:p>
    <w:p w:rsidR="0005147B" w:rsidRDefault="0005147B" w:rsidP="0005147B">
      <w:pPr>
        <w:spacing w:line="480" w:lineRule="auto"/>
        <w:ind w:firstLine="720"/>
        <w:jc w:val="both"/>
      </w:pPr>
      <w:r>
        <w:t>As discussed by Company witness Mr. Kensok, t</w:t>
      </w:r>
      <w:r w:rsidRPr="00425738">
        <w:t>o mitigate operating expense increases in IS/IT, Avista works to automate our systems through technology where reasonable and prudent to do so, and we work to negotiate discounted multi-year contracts with vendors that result in discounted mai</w:t>
      </w:r>
      <w:r>
        <w:t xml:space="preserve">ntenance and support rates. As an </w:t>
      </w:r>
      <w:r w:rsidRPr="00425738">
        <w:rPr>
          <w:bCs/>
        </w:rPr>
        <w:t>example</w:t>
      </w:r>
      <w:r w:rsidRPr="00425738">
        <w:t xml:space="preserve">, in 2016 we introduced a cloud-based business performance monitoring tool that automates a portion of the labor performed by our IS teams. </w:t>
      </w:r>
      <w:r>
        <w:t>This</w:t>
      </w:r>
      <w:r w:rsidRPr="00425738">
        <w:t xml:space="preserve"> s</w:t>
      </w:r>
      <w:r>
        <w:t>ubscription-based license model</w:t>
      </w:r>
      <w:r w:rsidRPr="00631DC3">
        <w:t xml:space="preserve"> resulted in a significant reduction of internal l</w:t>
      </w:r>
      <w:r w:rsidR="006E3CF4">
        <w:t>abor costs</w:t>
      </w:r>
      <w:r>
        <w:t xml:space="preserve"> over a</w:t>
      </w:r>
      <w:r w:rsidRPr="00631DC3">
        <w:t xml:space="preserve"> three year period, allowing us to redeploy our IS operations team labor resource</w:t>
      </w:r>
      <w:r w:rsidR="006E3CF4">
        <w:t>s and providing</w:t>
      </w:r>
      <w:r>
        <w:t xml:space="preserve"> immediate</w:t>
      </w:r>
      <w:r w:rsidRPr="00631DC3">
        <w:t xml:space="preserve"> cost </w:t>
      </w:r>
      <w:r>
        <w:t>savings</w:t>
      </w:r>
      <w:r w:rsidRPr="00CB1872">
        <w:t xml:space="preserve">. </w:t>
      </w:r>
    </w:p>
    <w:p w:rsidR="002F6C38" w:rsidRPr="004B37B2" w:rsidRDefault="0005147B" w:rsidP="004217DE">
      <w:pPr>
        <w:spacing w:line="480" w:lineRule="auto"/>
        <w:ind w:firstLine="720"/>
        <w:jc w:val="both"/>
      </w:pPr>
      <w:r w:rsidRPr="00CB1872">
        <w:t xml:space="preserve">A </w:t>
      </w:r>
      <w:r w:rsidRPr="00CB1872">
        <w:rPr>
          <w:bCs/>
        </w:rPr>
        <w:t>second example</w:t>
      </w:r>
      <w:r w:rsidRPr="00CB1872">
        <w:t xml:space="preserve"> where the</w:t>
      </w:r>
      <w:r w:rsidRPr="00425738">
        <w:t xml:space="preserve"> Company has successfully managed </w:t>
      </w:r>
      <w:proofErr w:type="spellStart"/>
      <w:r w:rsidRPr="00425738">
        <w:t>its</w:t>
      </w:r>
      <w:proofErr w:type="spellEnd"/>
      <w:r w:rsidRPr="00425738">
        <w:t xml:space="preserve"> </w:t>
      </w:r>
      <w:r w:rsidR="00D96037">
        <w:t xml:space="preserve">IS/IT </w:t>
      </w:r>
      <w:r w:rsidRPr="00425738">
        <w:t>O&amp;</w:t>
      </w:r>
      <w:r>
        <w:t>M expenses, is</w:t>
      </w:r>
      <w:r w:rsidRPr="00425738">
        <w:t xml:space="preserve"> </w:t>
      </w:r>
      <w:r>
        <w:t xml:space="preserve">related to </w:t>
      </w:r>
      <w:r w:rsidRPr="00425738">
        <w:t xml:space="preserve">a 2017 telecommunications contract, which had </w:t>
      </w:r>
      <w:r>
        <w:t>two years remaining on its term. We</w:t>
      </w:r>
      <w:r w:rsidRPr="00425738">
        <w:t xml:space="preserve"> renegot</w:t>
      </w:r>
      <w:r w:rsidR="00CF3615">
        <w:t>iated early in the term</w:t>
      </w:r>
      <w:r w:rsidRPr="00425738">
        <w:t xml:space="preserve"> to commit to a longer, five year term which resulted in approximately $215,000 in annual savings over the life of the agreement. These two examples of cost reductions required no changes to service or quality, no equipment deployments, and were implemented by changing the delivery model in one instance</w:t>
      </w:r>
      <w:r w:rsidR="00CF3615">
        <w:t>,</w:t>
      </w:r>
      <w:r w:rsidRPr="00425738">
        <w:t xml:space="preserve"> and committing to a longer term in the other. Both are continuous impro</w:t>
      </w:r>
      <w:r w:rsidR="00D96037">
        <w:t>vement practices to manage expenses</w:t>
      </w:r>
      <w:r w:rsidRPr="00425738">
        <w:t xml:space="preserve"> over time.</w:t>
      </w:r>
      <w:r w:rsidR="004217DE">
        <w:br w:type="page"/>
      </w:r>
    </w:p>
    <w:p w:rsidR="00D75E10" w:rsidRPr="00214B3D" w:rsidRDefault="00D75E10" w:rsidP="00D75E10">
      <w:pPr>
        <w:tabs>
          <w:tab w:val="left" w:pos="0"/>
        </w:tabs>
        <w:spacing w:line="480" w:lineRule="auto"/>
        <w:jc w:val="center"/>
        <w:rPr>
          <w:b/>
          <w:u w:val="single"/>
        </w:rPr>
      </w:pPr>
      <w:r w:rsidRPr="00214B3D">
        <w:rPr>
          <w:b/>
          <w:u w:val="single"/>
        </w:rPr>
        <w:lastRenderedPageBreak/>
        <w:t>V</w:t>
      </w:r>
      <w:r>
        <w:rPr>
          <w:b/>
          <w:u w:val="single"/>
        </w:rPr>
        <w:t>I</w:t>
      </w:r>
      <w:r w:rsidRPr="00214B3D">
        <w:rPr>
          <w:b/>
          <w:u w:val="single"/>
        </w:rPr>
        <w:t>. AVISTA RATEMAKING STUDIES</w:t>
      </w:r>
    </w:p>
    <w:p w:rsidR="00F54809" w:rsidRDefault="00F54809" w:rsidP="00F54809">
      <w:pPr>
        <w:tabs>
          <w:tab w:val="left" w:pos="0"/>
        </w:tabs>
        <w:spacing w:line="480" w:lineRule="auto"/>
        <w:ind w:firstLine="720"/>
        <w:jc w:val="both"/>
        <w:rPr>
          <w:b/>
        </w:rPr>
      </w:pPr>
      <w:r w:rsidRPr="00944A9C">
        <w:rPr>
          <w:b/>
        </w:rPr>
        <w:t>Q.</w:t>
      </w:r>
      <w:r w:rsidRPr="00944A9C">
        <w:rPr>
          <w:b/>
        </w:rPr>
        <w:tab/>
        <w:t xml:space="preserve">Is there guidance </w:t>
      </w:r>
      <w:r>
        <w:rPr>
          <w:b/>
        </w:rPr>
        <w:t>related to ratema</w:t>
      </w:r>
      <w:r w:rsidR="003038C7">
        <w:rPr>
          <w:b/>
        </w:rPr>
        <w:t>king practices that address the</w:t>
      </w:r>
      <w:r>
        <w:rPr>
          <w:b/>
        </w:rPr>
        <w:t xml:space="preserve"> difference in growth over time between costs and sales </w:t>
      </w:r>
      <w:r w:rsidR="00D96037">
        <w:rPr>
          <w:b/>
        </w:rPr>
        <w:t>revenue that</w:t>
      </w:r>
      <w:r>
        <w:rPr>
          <w:b/>
        </w:rPr>
        <w:t xml:space="preserve"> Avista, as well as other utilities, are experiencing?</w:t>
      </w:r>
    </w:p>
    <w:p w:rsidR="00F54809" w:rsidRPr="00B73195" w:rsidRDefault="00F54809" w:rsidP="00F54809">
      <w:pPr>
        <w:pStyle w:val="BodyTextIndent"/>
        <w:tabs>
          <w:tab w:val="left" w:pos="1440"/>
        </w:tabs>
        <w:ind w:firstLine="720"/>
        <w:jc w:val="both"/>
        <w:rPr>
          <w:rFonts w:ascii="Times New Roman" w:hAnsi="Times New Roman" w:cs="Times New Roman"/>
          <w:b w:val="0"/>
        </w:rPr>
      </w:pPr>
      <w:r w:rsidRPr="00B73195">
        <w:rPr>
          <w:rFonts w:ascii="Times New Roman" w:hAnsi="Times New Roman" w:cs="Times New Roman"/>
          <w:b w:val="0"/>
        </w:rPr>
        <w:t>A.</w:t>
      </w:r>
      <w:r w:rsidRPr="00B73195">
        <w:rPr>
          <w:rFonts w:ascii="Times New Roman" w:hAnsi="Times New Roman" w:cs="Times New Roman"/>
          <w:b w:val="0"/>
        </w:rPr>
        <w:tab/>
        <w:t xml:space="preserve">Yes.  </w:t>
      </w:r>
      <w:r w:rsidRPr="00B73195">
        <w:rPr>
          <w:rStyle w:val="LineNumber"/>
          <w:b w:val="0"/>
        </w:rPr>
        <w:t xml:space="preserve">One </w:t>
      </w:r>
      <w:r w:rsidRPr="00B73195">
        <w:rPr>
          <w:rFonts w:ascii="Times New Roman" w:hAnsi="Times New Roman" w:cs="Times New Roman"/>
          <w:b w:val="0"/>
        </w:rPr>
        <w:t>source</w:t>
      </w:r>
      <w:r w:rsidR="003D0CBF">
        <w:rPr>
          <w:rFonts w:ascii="Times New Roman" w:hAnsi="Times New Roman" w:cs="Times New Roman"/>
          <w:b w:val="0"/>
        </w:rPr>
        <w:t xml:space="preserve"> of guidance</w:t>
      </w:r>
      <w:r w:rsidRPr="00B73195">
        <w:rPr>
          <w:rStyle w:val="LineNumber"/>
          <w:b w:val="0"/>
        </w:rPr>
        <w:t xml:space="preserve"> is the </w:t>
      </w:r>
      <w:r w:rsidRPr="00B73195">
        <w:rPr>
          <w:rFonts w:ascii="Times New Roman" w:hAnsi="Times New Roman" w:cs="Times New Roman"/>
          <w:b w:val="0"/>
        </w:rPr>
        <w:t xml:space="preserve">Rate Case and Audit Manual (NARUC Manual), prepared by the NARUC Staff Subcommittee on Accounting and Finance (Summer 2003).  </w:t>
      </w:r>
      <w:r>
        <w:rPr>
          <w:rStyle w:val="LineNumber"/>
          <w:b w:val="0"/>
        </w:rPr>
        <w:t>T</w:t>
      </w:r>
      <w:r w:rsidRPr="00B73195">
        <w:rPr>
          <w:rFonts w:ascii="Times New Roman" w:hAnsi="Times New Roman" w:cs="Times New Roman"/>
          <w:b w:val="0"/>
        </w:rPr>
        <w:t>he NARUC Manual</w:t>
      </w:r>
      <w:r>
        <w:rPr>
          <w:rFonts w:ascii="Times New Roman" w:hAnsi="Times New Roman" w:cs="Times New Roman"/>
          <w:b w:val="0"/>
        </w:rPr>
        <w:t xml:space="preserve"> states as follows:</w:t>
      </w:r>
    </w:p>
    <w:p w:rsidR="00F54809" w:rsidRDefault="00F54809" w:rsidP="00F54809">
      <w:pPr>
        <w:adjustRightInd w:val="0"/>
        <w:spacing w:after="240"/>
        <w:ind w:left="720"/>
        <w:jc w:val="both"/>
      </w:pPr>
      <w:r>
        <w:t>In looking at the months beyond the end of the test year</w:t>
      </w:r>
      <w:r w:rsidRPr="00023D93">
        <w:t xml:space="preserve">, </w:t>
      </w:r>
      <w:r w:rsidRPr="00023D93">
        <w:rPr>
          <w:u w:val="single"/>
        </w:rPr>
        <w:t>have the growth rates for rate base, expenses and revenues all remained fairly close and constant, maintaining the test year relationship among these three elements, or has one element change dramatically, making the test year out of kilter with current operations?</w:t>
      </w:r>
      <w:r>
        <w:t xml:space="preserve">  If so, can this situation be resolved through adjustments to the test year?</w:t>
      </w:r>
      <w:r w:rsidR="007E0504">
        <w:t xml:space="preserve"> . . .</w:t>
      </w:r>
      <w:r>
        <w:t xml:space="preserve">  (Page 10)  (</w:t>
      </w:r>
      <w:proofErr w:type="gramStart"/>
      <w:r>
        <w:t>emphasis</w:t>
      </w:r>
      <w:proofErr w:type="gramEnd"/>
      <w:r>
        <w:t xml:space="preserve"> added) </w:t>
      </w:r>
    </w:p>
    <w:p w:rsidR="00F54809" w:rsidRDefault="00F54809" w:rsidP="00F54809">
      <w:pPr>
        <w:adjustRightInd w:val="0"/>
        <w:spacing w:after="240"/>
        <w:ind w:left="720"/>
        <w:jc w:val="both"/>
      </w:pPr>
      <w:r w:rsidRPr="004E6DCC">
        <w:t xml:space="preserve">Whether using a future or historic test year, the auditor should judge the </w:t>
      </w:r>
      <w:r w:rsidRPr="008430AA">
        <w:t>appropriateness</w:t>
      </w:r>
      <w:r w:rsidRPr="004E6DCC">
        <w:t xml:space="preserve"> of the test year that has been proposed.  </w:t>
      </w:r>
      <w:r w:rsidRPr="004E6DCC">
        <w:rPr>
          <w:u w:val="single"/>
        </w:rPr>
        <w:t>Is it representative, after adjustments, of the period in which rates take effect?</w:t>
      </w:r>
      <w:r w:rsidR="007E0504">
        <w:rPr>
          <w:u w:val="single"/>
        </w:rPr>
        <w:t xml:space="preserve"> . . . </w:t>
      </w:r>
      <w:r w:rsidRPr="004E6DCC">
        <w:t xml:space="preserve"> (Page 10) (</w:t>
      </w:r>
      <w:proofErr w:type="gramStart"/>
      <w:r w:rsidRPr="004E6DCC">
        <w:t>emphasis</w:t>
      </w:r>
      <w:proofErr w:type="gramEnd"/>
      <w:r w:rsidRPr="004E6DCC">
        <w:t xml:space="preserve"> added)</w:t>
      </w:r>
      <w:r>
        <w:t xml:space="preserve"> </w:t>
      </w:r>
    </w:p>
    <w:p w:rsidR="00F54809" w:rsidRDefault="00F54809" w:rsidP="00F54809">
      <w:pPr>
        <w:adjustRightInd w:val="0"/>
        <w:spacing w:after="240"/>
        <w:ind w:left="720"/>
        <w:jc w:val="both"/>
      </w:pPr>
      <w:r w:rsidRPr="004E6DCC">
        <w:t xml:space="preserve">A utility’s rate filing commonly begins with test year booked numbers, </w:t>
      </w:r>
      <w:r w:rsidRPr="004E6DCC">
        <w:rPr>
          <w:u w:val="single"/>
        </w:rPr>
        <w:t>which are then adjusted to represent anticipated, normalized operations for the period that the rates will take effect.</w:t>
      </w:r>
      <w:r w:rsidRPr="004E6DCC">
        <w:t xml:space="preserve"> </w:t>
      </w:r>
      <w:r>
        <w:t xml:space="preserve"> </w:t>
      </w:r>
      <w:r w:rsidRPr="004E6DCC">
        <w:t>(Page 15) (</w:t>
      </w:r>
      <w:proofErr w:type="gramStart"/>
      <w:r w:rsidRPr="004E6DCC">
        <w:t>emphasis</w:t>
      </w:r>
      <w:proofErr w:type="gramEnd"/>
      <w:r w:rsidRPr="004E6DCC">
        <w:t xml:space="preserve"> added)</w:t>
      </w:r>
    </w:p>
    <w:p w:rsidR="00F54809" w:rsidRDefault="00F54809" w:rsidP="00F54809">
      <w:pPr>
        <w:adjustRightInd w:val="0"/>
        <w:spacing w:line="480" w:lineRule="auto"/>
        <w:ind w:firstLine="720"/>
        <w:jc w:val="both"/>
      </w:pPr>
      <w:r>
        <w:t>This guidance highlights the importance of making appropriate adjustments in the ratemaking process so that the retail rates established at the conclusion of</w:t>
      </w:r>
      <w:r w:rsidR="003D0CBF">
        <w:t xml:space="preserve"> a rate case, reflect</w:t>
      </w:r>
      <w:r>
        <w:t xml:space="preserve"> the “anticipated, normalized operations for the period that the rates will take effect.”</w:t>
      </w:r>
    </w:p>
    <w:p w:rsidR="00F54809" w:rsidRDefault="00F54809" w:rsidP="00F54809">
      <w:pPr>
        <w:adjustRightInd w:val="0"/>
        <w:spacing w:line="480" w:lineRule="auto"/>
        <w:ind w:firstLine="720"/>
        <w:jc w:val="both"/>
      </w:pPr>
      <w:r>
        <w:t xml:space="preserve">This Commission has also recognized the importance of setting retail rates to reflect </w:t>
      </w:r>
      <w:r w:rsidRPr="00C1167D">
        <w:rPr>
          <w:u w:val="single"/>
        </w:rPr>
        <w:t>expected costs during the rate year</w:t>
      </w:r>
      <w:r>
        <w:t xml:space="preserve"> as follows:</w:t>
      </w:r>
    </w:p>
    <w:p w:rsidR="00F54809" w:rsidRDefault="00F54809" w:rsidP="00F54809">
      <w:pPr>
        <w:adjustRightInd w:val="0"/>
        <w:ind w:left="720"/>
        <w:jc w:val="both"/>
      </w:pPr>
      <w:r>
        <w:t xml:space="preserve">In prior orders, the Commission has made clear that while its ratemaking practice starts with known data that are “historical” by definition, </w:t>
      </w:r>
      <w:r w:rsidRPr="00242B58">
        <w:t xml:space="preserve">these data are adjusted using various approaches to </w:t>
      </w:r>
      <w:r w:rsidRPr="00242B58">
        <w:rPr>
          <w:u w:val="single"/>
        </w:rPr>
        <w:t xml:space="preserve">set rates </w:t>
      </w:r>
      <w:r w:rsidRPr="00AC1B6D">
        <w:rPr>
          <w:u w:val="single"/>
        </w:rPr>
        <w:t>based on expected costs the utility will experience during the rate year following the effective date of the new rates</w:t>
      </w:r>
      <w:r>
        <w:t xml:space="preserve">. Whatever tools are proposed for use in a given case, however, must be chosen with specific reference to </w:t>
      </w:r>
      <w:r>
        <w:lastRenderedPageBreak/>
        <w:t>the needs of the case and the appropriateness of using each tool selected must be demonstrated by applicable</w:t>
      </w:r>
      <w:r w:rsidDel="00EE4A6B">
        <w:t xml:space="preserve"> </w:t>
      </w:r>
      <w:r>
        <w:t>evidence.</w:t>
      </w:r>
      <w:r>
        <w:rPr>
          <w:rStyle w:val="FootnoteReference"/>
        </w:rPr>
        <w:footnoteReference w:id="19"/>
      </w:r>
      <w:r>
        <w:t xml:space="preserve"> (</w:t>
      </w:r>
      <w:proofErr w:type="gramStart"/>
      <w:r>
        <w:t>emphasis</w:t>
      </w:r>
      <w:proofErr w:type="gramEnd"/>
      <w:r>
        <w:t xml:space="preserve"> added)</w:t>
      </w:r>
    </w:p>
    <w:p w:rsidR="00D96037" w:rsidRDefault="00D96037" w:rsidP="00F54809">
      <w:pPr>
        <w:adjustRightInd w:val="0"/>
        <w:ind w:left="720"/>
        <w:jc w:val="both"/>
      </w:pPr>
    </w:p>
    <w:p w:rsidR="00D75E10" w:rsidRPr="00FE2284" w:rsidRDefault="00D75E10" w:rsidP="00D75E10">
      <w:pPr>
        <w:tabs>
          <w:tab w:val="left" w:pos="0"/>
        </w:tabs>
        <w:spacing w:line="480" w:lineRule="auto"/>
        <w:ind w:firstLine="720"/>
        <w:jc w:val="both"/>
        <w:rPr>
          <w:b/>
          <w:bCs/>
        </w:rPr>
      </w:pPr>
      <w:r w:rsidRPr="00FE2284">
        <w:rPr>
          <w:b/>
          <w:bCs/>
        </w:rPr>
        <w:t>Q.</w:t>
      </w:r>
      <w:r w:rsidRPr="00FE2284">
        <w:rPr>
          <w:b/>
          <w:bCs/>
        </w:rPr>
        <w:tab/>
      </w:r>
      <w:r w:rsidR="00EC4056">
        <w:rPr>
          <w:b/>
          <w:bCs/>
        </w:rPr>
        <w:t>How has Avista developed its proposed retail rates in this case such that they are “based on expected costs the utility will experience during the rate year following the effective date of the new rates?”</w:t>
      </w:r>
    </w:p>
    <w:p w:rsidR="00346EE1" w:rsidRPr="00346EE1" w:rsidRDefault="00807039" w:rsidP="00346EE1">
      <w:pPr>
        <w:pStyle w:val="TestBody"/>
        <w:spacing w:line="480" w:lineRule="auto"/>
        <w:ind w:left="0" w:firstLine="720"/>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sidR="00EC4056">
        <w:rPr>
          <w:rFonts w:ascii="Times New Roman" w:hAnsi="Times New Roman" w:cs="Times New Roman"/>
          <w:bCs/>
        </w:rPr>
        <w:t>The Company has developed and presented four separate</w:t>
      </w:r>
      <w:r w:rsidR="00D75E10" w:rsidRPr="00EC4056">
        <w:rPr>
          <w:rFonts w:ascii="Times New Roman" w:hAnsi="Times New Roman" w:cs="Times New Roman"/>
        </w:rPr>
        <w:t xml:space="preserve"> studies </w:t>
      </w:r>
      <w:r w:rsidR="00346EE1">
        <w:rPr>
          <w:rFonts w:ascii="Times New Roman" w:hAnsi="Times New Roman" w:cs="Times New Roman"/>
        </w:rPr>
        <w:t>to demonstrate the revenue increases necessary for each year of the Th</w:t>
      </w:r>
      <w:r w:rsidR="00DA71C9">
        <w:rPr>
          <w:rFonts w:ascii="Times New Roman" w:hAnsi="Times New Roman" w:cs="Times New Roman"/>
        </w:rPr>
        <w:t>ree-Year Rate Plan</w:t>
      </w:r>
      <w:r w:rsidR="00346EE1">
        <w:rPr>
          <w:rFonts w:ascii="Times New Roman" w:hAnsi="Times New Roman" w:cs="Times New Roman"/>
        </w:rPr>
        <w:t>.   Each of these studies are explained in detail by Ms</w:t>
      </w:r>
      <w:r w:rsidR="00144E23">
        <w:rPr>
          <w:rFonts w:ascii="Times New Roman" w:hAnsi="Times New Roman" w:cs="Times New Roman"/>
        </w:rPr>
        <w:t>. Andrews.  A summary of</w:t>
      </w:r>
      <w:r w:rsidR="00346EE1">
        <w:rPr>
          <w:rFonts w:ascii="Times New Roman" w:hAnsi="Times New Roman" w:cs="Times New Roman"/>
        </w:rPr>
        <w:t xml:space="preserve"> the studies is as follows:</w:t>
      </w:r>
      <w:r w:rsidR="00D75E10">
        <w:rPr>
          <w:rFonts w:ascii="Times New Roman" w:hAnsi="Times New Roman"/>
        </w:rPr>
        <w:t xml:space="preserve"> </w:t>
      </w:r>
    </w:p>
    <w:p w:rsidR="00DB2354" w:rsidRDefault="00DB2354" w:rsidP="00DB2354">
      <w:pPr>
        <w:pStyle w:val="TestBody"/>
        <w:numPr>
          <w:ilvl w:val="0"/>
          <w:numId w:val="18"/>
        </w:numPr>
        <w:spacing w:line="240" w:lineRule="auto"/>
        <w:rPr>
          <w:rFonts w:ascii="Times New Roman" w:hAnsi="Times New Roman"/>
        </w:rPr>
      </w:pPr>
      <w:r w:rsidRPr="00DB2354">
        <w:rPr>
          <w:rFonts w:ascii="Times New Roman" w:hAnsi="Times New Roman"/>
          <w:b/>
          <w:u w:val="single"/>
        </w:rPr>
        <w:t>Traditional Pro Forma Study</w:t>
      </w:r>
      <w:r w:rsidRPr="00DB2354">
        <w:rPr>
          <w:rFonts w:ascii="Times New Roman" w:hAnsi="Times New Roman"/>
        </w:rPr>
        <w:t xml:space="preserve"> – This study includes the restating and pro forma adjustments beyond the historical test year (2016), traditiona</w:t>
      </w:r>
      <w:r w:rsidR="00144E23">
        <w:rPr>
          <w:rFonts w:ascii="Times New Roman" w:hAnsi="Times New Roman"/>
        </w:rPr>
        <w:t>lly accepted and approved by</w:t>
      </w:r>
      <w:r w:rsidRPr="00DB2354">
        <w:rPr>
          <w:rFonts w:ascii="Times New Roman" w:hAnsi="Times New Roman"/>
        </w:rPr>
        <w:t xml:space="preserve"> this Commission. The results from this study do not provide the necessary rate relief to allow the Company the oppo</w:t>
      </w:r>
      <w:r w:rsidR="008450CC">
        <w:rPr>
          <w:rFonts w:ascii="Times New Roman" w:hAnsi="Times New Roman"/>
        </w:rPr>
        <w:t xml:space="preserve">rtunity to earn the </w:t>
      </w:r>
      <w:r w:rsidR="00144E23">
        <w:rPr>
          <w:rFonts w:ascii="Times New Roman" w:hAnsi="Times New Roman"/>
        </w:rPr>
        <w:t>authorized</w:t>
      </w:r>
      <w:r w:rsidR="008450CC">
        <w:rPr>
          <w:rFonts w:ascii="Times New Roman" w:hAnsi="Times New Roman"/>
        </w:rPr>
        <w:t xml:space="preserve"> rate of return</w:t>
      </w:r>
      <w:r w:rsidRPr="00DB2354">
        <w:rPr>
          <w:rFonts w:ascii="Times New Roman" w:hAnsi="Times New Roman"/>
        </w:rPr>
        <w:t>, and therefore, on its own</w:t>
      </w:r>
      <w:r w:rsidR="00DA71C9">
        <w:rPr>
          <w:rFonts w:ascii="Times New Roman" w:hAnsi="Times New Roman"/>
        </w:rPr>
        <w:t>,</w:t>
      </w:r>
      <w:r w:rsidRPr="00DB2354">
        <w:rPr>
          <w:rFonts w:ascii="Times New Roman" w:hAnsi="Times New Roman"/>
        </w:rPr>
        <w:t xml:space="preserve"> is not the basis of the Company’s revenue increase request. </w:t>
      </w:r>
    </w:p>
    <w:p w:rsidR="00C05BF4" w:rsidRDefault="00C05BF4" w:rsidP="00C05BF4">
      <w:pPr>
        <w:pStyle w:val="TestBody"/>
        <w:spacing w:line="240" w:lineRule="auto"/>
        <w:rPr>
          <w:rFonts w:ascii="Times New Roman" w:hAnsi="Times New Roman"/>
        </w:rPr>
      </w:pPr>
    </w:p>
    <w:p w:rsidR="00C05BF4" w:rsidRDefault="00C05BF4" w:rsidP="00C05BF4">
      <w:pPr>
        <w:pStyle w:val="TestBody"/>
        <w:numPr>
          <w:ilvl w:val="0"/>
          <w:numId w:val="18"/>
        </w:numPr>
        <w:spacing w:line="240" w:lineRule="auto"/>
        <w:rPr>
          <w:rFonts w:ascii="Times New Roman" w:hAnsi="Times New Roman"/>
        </w:rPr>
      </w:pPr>
      <w:r w:rsidRPr="00032FB6">
        <w:rPr>
          <w:rFonts w:ascii="Times New Roman" w:hAnsi="Times New Roman"/>
          <w:b/>
          <w:u w:val="single"/>
        </w:rPr>
        <w:t>Rate Year Study</w:t>
      </w:r>
      <w:r>
        <w:rPr>
          <w:rFonts w:ascii="Times New Roman" w:hAnsi="Times New Roman"/>
        </w:rPr>
        <w:t xml:space="preserve"> – This study includes the Company’s </w:t>
      </w:r>
      <w:r w:rsidRPr="00BB5060">
        <w:rPr>
          <w:rFonts w:ascii="Times New Roman" w:hAnsi="Times New Roman"/>
          <w:u w:val="single"/>
        </w:rPr>
        <w:t>planned</w:t>
      </w:r>
      <w:r>
        <w:rPr>
          <w:rFonts w:ascii="Times New Roman" w:hAnsi="Times New Roman"/>
        </w:rPr>
        <w:t xml:space="preserve"> rate period costs, offset by revenues from increased sales to customers, through each rate year of the Three-Year Rate Plan, May 1, 2018 through April 30, 2021.  </w:t>
      </w:r>
      <w:r w:rsidRPr="00EA4327">
        <w:rPr>
          <w:rFonts w:ascii="Times New Roman" w:hAnsi="Times New Roman"/>
        </w:rPr>
        <w:t xml:space="preserve">This Study </w:t>
      </w:r>
      <w:r>
        <w:rPr>
          <w:rFonts w:ascii="Times New Roman" w:hAnsi="Times New Roman"/>
        </w:rPr>
        <w:t>provides</w:t>
      </w:r>
      <w:r w:rsidRPr="00EA4327">
        <w:rPr>
          <w:rFonts w:ascii="Times New Roman" w:hAnsi="Times New Roman"/>
        </w:rPr>
        <w:t xml:space="preserve"> </w:t>
      </w:r>
      <w:r>
        <w:rPr>
          <w:rFonts w:ascii="Times New Roman" w:hAnsi="Times New Roman"/>
        </w:rPr>
        <w:t xml:space="preserve">additional evidence demonstrating the need for revenue increases for the Three-Year Rate Plan.  This study is similar to the use of a </w:t>
      </w:r>
      <w:r w:rsidR="006E66F7">
        <w:rPr>
          <w:rFonts w:ascii="Times New Roman" w:hAnsi="Times New Roman"/>
        </w:rPr>
        <w:t>forward-looking</w:t>
      </w:r>
      <w:r>
        <w:rPr>
          <w:rFonts w:ascii="Times New Roman" w:hAnsi="Times New Roman"/>
        </w:rPr>
        <w:t xml:space="preserve"> test year employed by other state jurisdictions. The dollar amounts in the study reflect the actual planned investments and operating costs for each of the three rate years, along with expected revenue growth from sales to customers. These dollar amounts are the amounts presented to </w:t>
      </w:r>
      <w:r w:rsidR="00D96037">
        <w:rPr>
          <w:rFonts w:ascii="Times New Roman" w:hAnsi="Times New Roman"/>
        </w:rPr>
        <w:t>our Board of Directors and the Rating A</w:t>
      </w:r>
      <w:r>
        <w:rPr>
          <w:rFonts w:ascii="Times New Roman" w:hAnsi="Times New Roman"/>
        </w:rPr>
        <w:t xml:space="preserve">gencies, and represent our actual planned operations for the three-year period. </w:t>
      </w:r>
    </w:p>
    <w:p w:rsidR="00C05BF4" w:rsidRDefault="00C05BF4" w:rsidP="00C05BF4">
      <w:pPr>
        <w:pStyle w:val="TestBody"/>
        <w:spacing w:line="240" w:lineRule="auto"/>
        <w:rPr>
          <w:rFonts w:ascii="Times New Roman" w:hAnsi="Times New Roman"/>
        </w:rPr>
      </w:pPr>
    </w:p>
    <w:p w:rsidR="00C05BF4" w:rsidRPr="00C05BF4" w:rsidRDefault="00C05BF4" w:rsidP="00C05BF4">
      <w:pPr>
        <w:pStyle w:val="TestBody"/>
        <w:numPr>
          <w:ilvl w:val="0"/>
          <w:numId w:val="18"/>
        </w:numPr>
        <w:spacing w:line="240" w:lineRule="auto"/>
        <w:rPr>
          <w:rFonts w:ascii="Times New Roman" w:hAnsi="Times New Roman"/>
        </w:rPr>
      </w:pPr>
      <w:r w:rsidRPr="00B52CDF">
        <w:rPr>
          <w:rFonts w:ascii="Times New Roman" w:hAnsi="Times New Roman"/>
          <w:b/>
          <w:u w:val="single"/>
        </w:rPr>
        <w:t>EOP Rate Base Study</w:t>
      </w:r>
      <w:r w:rsidRPr="00B52CDF">
        <w:rPr>
          <w:rFonts w:ascii="Times New Roman" w:hAnsi="Times New Roman"/>
        </w:rPr>
        <w:t xml:space="preserve"> – This study starts with the electric and natural gas Traditional Pro Forma Study results, noted in (1) above, which is then adjusted to include end of period (EOP) 2017 rate base, and an adjusted capital structure. The EOP Rate Base Study is the basis of the Company’s requested electric and natural gas rate relief for the first rate year in this case.  For Rate Years 2 and 3, an annual “K-Factor” revenue escalator is applied to non-ERM and non-gas cost revenues to determine the proposed revenue increases for Rate Years 2 and 3.</w:t>
      </w:r>
      <w:r>
        <w:rPr>
          <w:rFonts w:ascii="Times New Roman" w:hAnsi="Times New Roman"/>
        </w:rPr>
        <w:t xml:space="preserve">  The use of a K-Factor for a multi-year rate</w:t>
      </w:r>
      <w:r w:rsidR="00992822">
        <w:rPr>
          <w:rFonts w:ascii="Times New Roman" w:hAnsi="Times New Roman"/>
        </w:rPr>
        <w:t xml:space="preserve"> plan is similar to that used in</w:t>
      </w:r>
      <w:r>
        <w:rPr>
          <w:rFonts w:ascii="Times New Roman" w:hAnsi="Times New Roman"/>
        </w:rPr>
        <w:t xml:space="preserve"> Puget Sound Energy</w:t>
      </w:r>
      <w:r w:rsidR="00992822">
        <w:rPr>
          <w:rFonts w:ascii="Times New Roman" w:hAnsi="Times New Roman"/>
        </w:rPr>
        <w:t>’s</w:t>
      </w:r>
      <w:r>
        <w:rPr>
          <w:rFonts w:ascii="Times New Roman" w:hAnsi="Times New Roman"/>
        </w:rPr>
        <w:t xml:space="preserve"> (PSE</w:t>
      </w:r>
      <w:r w:rsidR="00992822">
        <w:rPr>
          <w:rFonts w:ascii="Times New Roman" w:hAnsi="Times New Roman"/>
        </w:rPr>
        <w:t>’s)</w:t>
      </w:r>
      <w:r>
        <w:rPr>
          <w:rFonts w:ascii="Times New Roman" w:hAnsi="Times New Roman"/>
        </w:rPr>
        <w:t xml:space="preserve"> multi-yea</w:t>
      </w:r>
      <w:r w:rsidR="002D1713">
        <w:rPr>
          <w:rFonts w:ascii="Times New Roman" w:hAnsi="Times New Roman"/>
        </w:rPr>
        <w:t>r plan</w:t>
      </w:r>
      <w:r w:rsidR="00992822">
        <w:rPr>
          <w:rFonts w:ascii="Times New Roman" w:hAnsi="Times New Roman"/>
        </w:rPr>
        <w:t xml:space="preserve"> approved by the</w:t>
      </w:r>
      <w:r>
        <w:rPr>
          <w:rFonts w:ascii="Times New Roman" w:hAnsi="Times New Roman"/>
        </w:rPr>
        <w:t xml:space="preserve"> Commission.</w:t>
      </w:r>
    </w:p>
    <w:p w:rsidR="007D7491" w:rsidRDefault="007D7491" w:rsidP="007D7491">
      <w:pPr>
        <w:pStyle w:val="TestBody"/>
        <w:spacing w:line="240" w:lineRule="auto"/>
        <w:rPr>
          <w:rFonts w:ascii="Times New Roman" w:hAnsi="Times New Roman"/>
        </w:rPr>
      </w:pPr>
    </w:p>
    <w:p w:rsidR="007D7491" w:rsidRPr="007D7491" w:rsidRDefault="007D7491" w:rsidP="007D7491">
      <w:pPr>
        <w:pStyle w:val="TestBody"/>
        <w:numPr>
          <w:ilvl w:val="0"/>
          <w:numId w:val="18"/>
        </w:numPr>
        <w:spacing w:line="240" w:lineRule="auto"/>
        <w:rPr>
          <w:rFonts w:ascii="Times New Roman" w:hAnsi="Times New Roman"/>
          <w:u w:val="single"/>
        </w:rPr>
      </w:pPr>
      <w:r w:rsidRPr="00032FB6">
        <w:rPr>
          <w:rFonts w:ascii="Times New Roman" w:hAnsi="Times New Roman"/>
          <w:b/>
          <w:u w:val="single"/>
        </w:rPr>
        <w:t>K-Factor Study</w:t>
      </w:r>
      <w:r w:rsidRPr="00EA4327">
        <w:rPr>
          <w:rFonts w:ascii="Times New Roman" w:hAnsi="Times New Roman"/>
        </w:rPr>
        <w:t xml:space="preserve"> – </w:t>
      </w:r>
      <w:r>
        <w:rPr>
          <w:rFonts w:ascii="Times New Roman" w:hAnsi="Times New Roman"/>
        </w:rPr>
        <w:t xml:space="preserve">For this study, a K-Factor, or escalation rate, is developed based on the historical trend of changes in rate base components, operating expenses and revenues, using normalized data from prior Commission Basis Reports. For </w:t>
      </w:r>
      <w:r w:rsidRPr="00EA4327">
        <w:rPr>
          <w:rFonts w:ascii="Times New Roman" w:hAnsi="Times New Roman"/>
        </w:rPr>
        <w:t xml:space="preserve">Rate Year 1, </w:t>
      </w:r>
      <w:r>
        <w:rPr>
          <w:rFonts w:ascii="Times New Roman" w:hAnsi="Times New Roman"/>
        </w:rPr>
        <w:t>normalized</w:t>
      </w:r>
      <w:r w:rsidRPr="00EA4327">
        <w:rPr>
          <w:rFonts w:ascii="Times New Roman" w:hAnsi="Times New Roman"/>
        </w:rPr>
        <w:t xml:space="preserve"> 2016 non-ERM and non-gas cost revenues are multiplied by the proposed K-Factor for each year </w:t>
      </w:r>
      <w:r w:rsidR="00D96037">
        <w:rPr>
          <w:rFonts w:ascii="Times New Roman" w:hAnsi="Times New Roman"/>
        </w:rPr>
        <w:t>from</w:t>
      </w:r>
      <w:r w:rsidRPr="00EA4327">
        <w:rPr>
          <w:rFonts w:ascii="Times New Roman" w:hAnsi="Times New Roman"/>
        </w:rPr>
        <w:t xml:space="preserve"> 2016 </w:t>
      </w:r>
      <w:r w:rsidR="00D96037">
        <w:rPr>
          <w:rFonts w:ascii="Times New Roman" w:hAnsi="Times New Roman"/>
        </w:rPr>
        <w:t>to</w:t>
      </w:r>
      <w:r w:rsidRPr="00EA4327">
        <w:rPr>
          <w:rFonts w:ascii="Times New Roman" w:hAnsi="Times New Roman"/>
        </w:rPr>
        <w:t xml:space="preserve"> Rate</w:t>
      </w:r>
      <w:r>
        <w:rPr>
          <w:rFonts w:ascii="Times New Roman" w:hAnsi="Times New Roman"/>
        </w:rPr>
        <w:t xml:space="preserve"> </w:t>
      </w:r>
      <w:r w:rsidRPr="00EA4327">
        <w:rPr>
          <w:rFonts w:ascii="Times New Roman" w:hAnsi="Times New Roman"/>
        </w:rPr>
        <w:t>Year 1 (</w:t>
      </w:r>
      <w:r>
        <w:rPr>
          <w:rFonts w:ascii="Times New Roman" w:hAnsi="Times New Roman"/>
        </w:rPr>
        <w:t xml:space="preserve">from 2016 through the first rate year beginning </w:t>
      </w:r>
      <w:r w:rsidRPr="00EA4327">
        <w:rPr>
          <w:rFonts w:ascii="Times New Roman" w:hAnsi="Times New Roman"/>
        </w:rPr>
        <w:t>May 1, 2018</w:t>
      </w:r>
      <w:r>
        <w:rPr>
          <w:rFonts w:ascii="Times New Roman" w:hAnsi="Times New Roman"/>
        </w:rPr>
        <w:t>).</w:t>
      </w:r>
      <w:r w:rsidRPr="00EA4327">
        <w:rPr>
          <w:rFonts w:ascii="Times New Roman" w:hAnsi="Times New Roman"/>
        </w:rPr>
        <w:t xml:space="preserve">  For Rate Years 2 &amp; 3, the </w:t>
      </w:r>
      <w:r>
        <w:rPr>
          <w:rFonts w:ascii="Times New Roman" w:hAnsi="Times New Roman"/>
        </w:rPr>
        <w:t xml:space="preserve">annual </w:t>
      </w:r>
      <w:r w:rsidRPr="00EA4327">
        <w:rPr>
          <w:rFonts w:ascii="Times New Roman" w:hAnsi="Times New Roman"/>
        </w:rPr>
        <w:t>K-Factor is applied to the non-ERM and non-gas cost authorized revenues at the time Year</w:t>
      </w:r>
      <w:r>
        <w:rPr>
          <w:rFonts w:ascii="Times New Roman" w:hAnsi="Times New Roman"/>
        </w:rPr>
        <w:t xml:space="preserve"> </w:t>
      </w:r>
      <w:r w:rsidRPr="00EA4327">
        <w:rPr>
          <w:rFonts w:ascii="Times New Roman" w:hAnsi="Times New Roman"/>
        </w:rPr>
        <w:t>2 and 3 rate changes g</w:t>
      </w:r>
      <w:r>
        <w:rPr>
          <w:rFonts w:ascii="Times New Roman" w:hAnsi="Times New Roman"/>
        </w:rPr>
        <w:t xml:space="preserve">o into effect.  As indicated earlier, the use of a K-Factor </w:t>
      </w:r>
      <w:r w:rsidR="00010687">
        <w:rPr>
          <w:rFonts w:ascii="Times New Roman" w:hAnsi="Times New Roman"/>
        </w:rPr>
        <w:t>is similar to that used in</w:t>
      </w:r>
      <w:r>
        <w:rPr>
          <w:rFonts w:ascii="Times New Roman" w:hAnsi="Times New Roman"/>
        </w:rPr>
        <w:t xml:space="preserve"> PSE</w:t>
      </w:r>
      <w:r w:rsidR="00010687">
        <w:rPr>
          <w:rFonts w:ascii="Times New Roman" w:hAnsi="Times New Roman"/>
        </w:rPr>
        <w:t>’s</w:t>
      </w:r>
      <w:r>
        <w:rPr>
          <w:rFonts w:ascii="Times New Roman" w:hAnsi="Times New Roman"/>
        </w:rPr>
        <w:t xml:space="preserve"> multi-yea</w:t>
      </w:r>
      <w:r w:rsidR="00010687">
        <w:rPr>
          <w:rFonts w:ascii="Times New Roman" w:hAnsi="Times New Roman"/>
        </w:rPr>
        <w:t>r plan approved by the</w:t>
      </w:r>
      <w:r>
        <w:rPr>
          <w:rFonts w:ascii="Times New Roman" w:hAnsi="Times New Roman"/>
        </w:rPr>
        <w:t xml:space="preserve"> Commission.</w:t>
      </w:r>
    </w:p>
    <w:p w:rsidR="00F73C2A" w:rsidRDefault="00F73C2A" w:rsidP="00F73C2A">
      <w:pPr>
        <w:pStyle w:val="TestBody"/>
        <w:spacing w:line="240" w:lineRule="auto"/>
        <w:rPr>
          <w:rFonts w:ascii="Times New Roman" w:hAnsi="Times New Roman"/>
        </w:rPr>
      </w:pPr>
    </w:p>
    <w:p w:rsidR="007E2B50" w:rsidRPr="00944A9C" w:rsidRDefault="007E2B50" w:rsidP="007D7491">
      <w:pPr>
        <w:tabs>
          <w:tab w:val="left" w:pos="0"/>
        </w:tabs>
      </w:pPr>
    </w:p>
    <w:p w:rsidR="00827775" w:rsidRPr="00382FC3" w:rsidRDefault="00382FC3" w:rsidP="00C52895">
      <w:pPr>
        <w:tabs>
          <w:tab w:val="left" w:pos="0"/>
        </w:tabs>
        <w:spacing w:line="480" w:lineRule="auto"/>
        <w:ind w:firstLine="720"/>
        <w:jc w:val="both"/>
        <w:rPr>
          <w:b/>
          <w:bCs/>
        </w:rPr>
      </w:pPr>
      <w:r w:rsidRPr="00382FC3">
        <w:rPr>
          <w:b/>
          <w:bCs/>
        </w:rPr>
        <w:t>Q.</w:t>
      </w:r>
      <w:r w:rsidRPr="00382FC3">
        <w:rPr>
          <w:b/>
          <w:bCs/>
        </w:rPr>
        <w:tab/>
        <w:t>What are the results from the four ratemaking studies, and how do we know that the results from the Traditional Pro Forma Stu</w:t>
      </w:r>
      <w:r w:rsidR="00B82CAC">
        <w:rPr>
          <w:b/>
          <w:bCs/>
        </w:rPr>
        <w:t>dy do</w:t>
      </w:r>
      <w:r w:rsidRPr="00382FC3">
        <w:rPr>
          <w:b/>
          <w:bCs/>
        </w:rPr>
        <w:t xml:space="preserve"> not yield sufficient revenues for the rate year beginning May 1, 2018?</w:t>
      </w:r>
    </w:p>
    <w:p w:rsidR="002E35C9" w:rsidRDefault="00C03F3A" w:rsidP="00FE2ACE">
      <w:pPr>
        <w:pStyle w:val="BodyTextIndent"/>
        <w:tabs>
          <w:tab w:val="left" w:pos="720"/>
          <w:tab w:val="left" w:pos="1440"/>
        </w:tabs>
        <w:ind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t>Illustration No. 17</w:t>
      </w:r>
      <w:r w:rsidR="002E35C9" w:rsidRPr="005E2DC4">
        <w:rPr>
          <w:rFonts w:ascii="Times New Roman" w:hAnsi="Times New Roman" w:cs="Times New Roman"/>
          <w:b w:val="0"/>
        </w:rPr>
        <w:t xml:space="preserve"> below shows the results of the </w:t>
      </w:r>
      <w:r w:rsidR="002E35C9" w:rsidRPr="005E2DC4">
        <w:rPr>
          <w:rFonts w:ascii="Times New Roman" w:hAnsi="Times New Roman" w:cs="Times New Roman"/>
          <w:b w:val="0"/>
          <w:u w:val="single"/>
        </w:rPr>
        <w:t>electric</w:t>
      </w:r>
      <w:r w:rsidR="002E35C9" w:rsidRPr="005E2DC4">
        <w:rPr>
          <w:rFonts w:ascii="Times New Roman" w:hAnsi="Times New Roman" w:cs="Times New Roman"/>
          <w:b w:val="0"/>
        </w:rPr>
        <w:t xml:space="preserve"> Traditional Pro Forma Study versus the Company’s need for an electric revenue increase beginning May 1, 2018.</w:t>
      </w:r>
    </w:p>
    <w:p w:rsidR="002E35C9" w:rsidRPr="00077906" w:rsidRDefault="008B57DA" w:rsidP="002E35C9">
      <w:pPr>
        <w:pStyle w:val="BodyTextIndent"/>
        <w:tabs>
          <w:tab w:val="left" w:pos="720"/>
          <w:tab w:val="left" w:pos="1440"/>
        </w:tabs>
        <w:rPr>
          <w:rFonts w:ascii="Times New Roman" w:hAnsi="Times New Roman" w:cs="Times New Roman"/>
          <w:u w:val="single"/>
        </w:rPr>
      </w:pPr>
      <w:r w:rsidRPr="006E66F7">
        <w:rPr>
          <w:noProof/>
        </w:rPr>
        <w:drawing>
          <wp:anchor distT="0" distB="0" distL="114300" distR="114300" simplePos="0" relativeHeight="251737088" behindDoc="1" locked="0" layoutInCell="1" allowOverlap="1" wp14:anchorId="522CCB0C" wp14:editId="1B767A08">
            <wp:simplePos x="0" y="0"/>
            <wp:positionH relativeFrom="margin">
              <wp:posOffset>43235</wp:posOffset>
            </wp:positionH>
            <wp:positionV relativeFrom="paragraph">
              <wp:posOffset>294391</wp:posOffset>
            </wp:positionV>
            <wp:extent cx="5699404" cy="3061252"/>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9404" cy="3061252"/>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7B">
        <w:rPr>
          <w:rFonts w:ascii="Times New Roman" w:hAnsi="Times New Roman" w:cs="Times New Roman"/>
          <w:u w:val="single"/>
        </w:rPr>
        <w:t>Illustration No. 17</w:t>
      </w:r>
    </w:p>
    <w:p w:rsidR="00ED7DFE" w:rsidRDefault="00ED7DFE" w:rsidP="002E35C9">
      <w:pPr>
        <w:pStyle w:val="BodyTextIndent"/>
        <w:tabs>
          <w:tab w:val="left" w:pos="720"/>
          <w:tab w:val="left" w:pos="1440"/>
        </w:tabs>
        <w:rPr>
          <w:b w:val="0"/>
          <w:u w:val="single"/>
        </w:rPr>
      </w:pPr>
    </w:p>
    <w:p w:rsidR="00FF0ECD" w:rsidRDefault="00FF0ECD" w:rsidP="002E35C9">
      <w:pPr>
        <w:pStyle w:val="BodyTextIndent"/>
        <w:tabs>
          <w:tab w:val="left" w:pos="720"/>
          <w:tab w:val="left" w:pos="1440"/>
        </w:tabs>
        <w:rPr>
          <w:b w:val="0"/>
          <w:u w:val="single"/>
        </w:rPr>
      </w:pPr>
    </w:p>
    <w:p w:rsidR="00FF0ECD" w:rsidRDefault="00FF0ECD" w:rsidP="002E35C9">
      <w:pPr>
        <w:pStyle w:val="BodyTextIndent"/>
        <w:tabs>
          <w:tab w:val="left" w:pos="720"/>
          <w:tab w:val="left" w:pos="1440"/>
        </w:tabs>
        <w:rPr>
          <w:b w:val="0"/>
          <w:u w:val="single"/>
        </w:rPr>
      </w:pPr>
    </w:p>
    <w:p w:rsidR="00FF0ECD" w:rsidRDefault="00FF0ECD" w:rsidP="002E35C9">
      <w:pPr>
        <w:pStyle w:val="BodyTextIndent"/>
        <w:tabs>
          <w:tab w:val="left" w:pos="720"/>
          <w:tab w:val="left" w:pos="1440"/>
        </w:tabs>
        <w:rPr>
          <w:b w:val="0"/>
          <w:u w:val="single"/>
        </w:rPr>
      </w:pPr>
    </w:p>
    <w:p w:rsidR="00FF0ECD" w:rsidRDefault="00FF0ECD" w:rsidP="002E35C9">
      <w:pPr>
        <w:pStyle w:val="BodyTextIndent"/>
        <w:tabs>
          <w:tab w:val="left" w:pos="720"/>
          <w:tab w:val="left" w:pos="1440"/>
        </w:tabs>
        <w:rPr>
          <w:b w:val="0"/>
          <w:u w:val="single"/>
        </w:rPr>
      </w:pPr>
    </w:p>
    <w:p w:rsidR="00FF0ECD" w:rsidRPr="00E077B9" w:rsidRDefault="00FF0ECD" w:rsidP="002E35C9">
      <w:pPr>
        <w:pStyle w:val="BodyTextIndent"/>
        <w:tabs>
          <w:tab w:val="left" w:pos="720"/>
          <w:tab w:val="left" w:pos="1440"/>
        </w:tabs>
        <w:rPr>
          <w:b w:val="0"/>
          <w:u w:val="single"/>
        </w:rPr>
      </w:pPr>
    </w:p>
    <w:p w:rsidR="00FF0ECD" w:rsidRDefault="00FF0ECD" w:rsidP="00430AA9">
      <w:pPr>
        <w:pStyle w:val="BodyTextIndent"/>
        <w:tabs>
          <w:tab w:val="left" w:pos="720"/>
          <w:tab w:val="left" w:pos="3735"/>
        </w:tabs>
        <w:jc w:val="both"/>
        <w:rPr>
          <w:rFonts w:ascii="Times New Roman" w:hAnsi="Times New Roman" w:cs="Times New Roman"/>
          <w:b w:val="0"/>
        </w:rPr>
      </w:pPr>
    </w:p>
    <w:p w:rsidR="00D96037" w:rsidRDefault="00D96037" w:rsidP="00FE2ACE">
      <w:pPr>
        <w:pStyle w:val="BodyTextIndent"/>
        <w:tabs>
          <w:tab w:val="left" w:pos="720"/>
          <w:tab w:val="left" w:pos="3735"/>
        </w:tabs>
        <w:ind w:firstLine="720"/>
        <w:jc w:val="both"/>
        <w:rPr>
          <w:rFonts w:ascii="Times New Roman" w:hAnsi="Times New Roman" w:cs="Times New Roman"/>
          <w:b w:val="0"/>
        </w:rPr>
      </w:pPr>
    </w:p>
    <w:p w:rsidR="002E35C9" w:rsidRPr="00FE2ACE" w:rsidRDefault="0071657B" w:rsidP="00FE2ACE">
      <w:pPr>
        <w:pStyle w:val="BodyTextIndent"/>
        <w:tabs>
          <w:tab w:val="left" w:pos="720"/>
          <w:tab w:val="left" w:pos="3735"/>
        </w:tabs>
        <w:ind w:firstLine="720"/>
        <w:jc w:val="both"/>
        <w:rPr>
          <w:rFonts w:ascii="Times New Roman" w:hAnsi="Times New Roman" w:cs="Times New Roman"/>
          <w:b w:val="0"/>
        </w:rPr>
      </w:pPr>
      <w:r>
        <w:rPr>
          <w:rFonts w:ascii="Times New Roman" w:hAnsi="Times New Roman" w:cs="Times New Roman"/>
          <w:b w:val="0"/>
        </w:rPr>
        <w:lastRenderedPageBreak/>
        <w:t>As shown in Illustration 17</w:t>
      </w:r>
      <w:r w:rsidR="002E35C9" w:rsidRPr="00FE2ACE">
        <w:rPr>
          <w:rFonts w:ascii="Times New Roman" w:hAnsi="Times New Roman" w:cs="Times New Roman"/>
          <w:b w:val="0"/>
        </w:rPr>
        <w:t xml:space="preserve">, </w:t>
      </w:r>
      <w:r w:rsidR="00FE2ACE">
        <w:rPr>
          <w:rFonts w:ascii="Times New Roman" w:hAnsi="Times New Roman" w:cs="Times New Roman"/>
          <w:b w:val="0"/>
        </w:rPr>
        <w:t>the Traditional Pro Forma Study</w:t>
      </w:r>
      <w:r w:rsidR="002E35C9" w:rsidRPr="00FE2ACE">
        <w:rPr>
          <w:rFonts w:ascii="Times New Roman" w:hAnsi="Times New Roman" w:cs="Times New Roman"/>
          <w:b w:val="0"/>
        </w:rPr>
        <w:t xml:space="preserve"> will include </w:t>
      </w:r>
      <w:r w:rsidR="002E35C9" w:rsidRPr="00B82CAC">
        <w:rPr>
          <w:rFonts w:ascii="Times New Roman" w:hAnsi="Times New Roman" w:cs="Times New Roman"/>
          <w:b w:val="0"/>
          <w:u w:val="single"/>
        </w:rPr>
        <w:t>some</w:t>
      </w:r>
      <w:r w:rsidR="002E35C9" w:rsidRPr="00FE2ACE">
        <w:rPr>
          <w:rFonts w:ascii="Times New Roman" w:hAnsi="Times New Roman" w:cs="Times New Roman"/>
          <w:b w:val="0"/>
        </w:rPr>
        <w:t xml:space="preserve"> increases in costs </w:t>
      </w:r>
      <w:r w:rsidR="00C97843">
        <w:rPr>
          <w:rFonts w:ascii="Times New Roman" w:hAnsi="Times New Roman" w:cs="Times New Roman"/>
          <w:b w:val="0"/>
        </w:rPr>
        <w:t>beyond the end of the 2016 historical test year, for</w:t>
      </w:r>
      <w:r w:rsidR="002E35C9" w:rsidRPr="00FE2ACE">
        <w:rPr>
          <w:rFonts w:ascii="Times New Roman" w:hAnsi="Times New Roman" w:cs="Times New Roman"/>
          <w:b w:val="0"/>
        </w:rPr>
        <w:t xml:space="preserve"> 2017 and 2018</w:t>
      </w:r>
      <w:r w:rsidR="00F8387E">
        <w:rPr>
          <w:rFonts w:ascii="Times New Roman" w:hAnsi="Times New Roman" w:cs="Times New Roman"/>
          <w:b w:val="0"/>
        </w:rPr>
        <w:t xml:space="preserve"> (as indicated by 2017 PF Costs and 2018 PF Costs)</w:t>
      </w:r>
      <w:r w:rsidR="002E35C9" w:rsidRPr="00FE2ACE">
        <w:rPr>
          <w:rFonts w:ascii="Times New Roman" w:hAnsi="Times New Roman" w:cs="Times New Roman"/>
          <w:b w:val="0"/>
        </w:rPr>
        <w:t xml:space="preserve">, but </w:t>
      </w:r>
      <w:r w:rsidR="00C97843">
        <w:rPr>
          <w:rFonts w:ascii="Times New Roman" w:hAnsi="Times New Roman" w:cs="Times New Roman"/>
          <w:b w:val="0"/>
        </w:rPr>
        <w:t xml:space="preserve">it </w:t>
      </w:r>
      <w:r w:rsidR="002E35C9" w:rsidRPr="00FE2ACE">
        <w:rPr>
          <w:rFonts w:ascii="Times New Roman" w:hAnsi="Times New Roman" w:cs="Times New Roman"/>
          <w:b w:val="0"/>
        </w:rPr>
        <w:t>does not include all</w:t>
      </w:r>
      <w:r w:rsidR="00C97843">
        <w:rPr>
          <w:rFonts w:ascii="Times New Roman" w:hAnsi="Times New Roman" w:cs="Times New Roman"/>
          <w:b w:val="0"/>
        </w:rPr>
        <w:t xml:space="preserve"> changes in costs and revenues</w:t>
      </w:r>
      <w:r w:rsidR="002E35C9" w:rsidRPr="00FE2ACE">
        <w:rPr>
          <w:rFonts w:ascii="Times New Roman" w:hAnsi="Times New Roman" w:cs="Times New Roman"/>
          <w:b w:val="0"/>
        </w:rPr>
        <w:t xml:space="preserve">.  The electric Traditional Pro Forma Study would result in a revenue increase of </w:t>
      </w:r>
      <w:r w:rsidR="00F8387E">
        <w:rPr>
          <w:rFonts w:ascii="Times New Roman" w:hAnsi="Times New Roman" w:cs="Times New Roman"/>
          <w:b w:val="0"/>
        </w:rPr>
        <w:t>$22.5</w:t>
      </w:r>
      <w:r w:rsidR="00FE2ACE">
        <w:rPr>
          <w:rFonts w:ascii="Times New Roman" w:hAnsi="Times New Roman" w:cs="Times New Roman"/>
          <w:b w:val="0"/>
        </w:rPr>
        <w:t xml:space="preserve"> million, which</w:t>
      </w:r>
      <w:r w:rsidR="00F8387E">
        <w:rPr>
          <w:rFonts w:ascii="Times New Roman" w:hAnsi="Times New Roman" w:cs="Times New Roman"/>
          <w:b w:val="0"/>
        </w:rPr>
        <w:t xml:space="preserve"> falls $24.2</w:t>
      </w:r>
      <w:r w:rsidR="002E35C9" w:rsidRPr="00FE2ACE">
        <w:rPr>
          <w:rFonts w:ascii="Times New Roman" w:hAnsi="Times New Roman" w:cs="Times New Roman"/>
          <w:b w:val="0"/>
        </w:rPr>
        <w:t xml:space="preserve"> million short of the electric revenue increase needed by Avista for the </w:t>
      </w:r>
      <w:r w:rsidR="007C6351">
        <w:rPr>
          <w:rFonts w:ascii="Times New Roman" w:hAnsi="Times New Roman" w:cs="Times New Roman"/>
          <w:b w:val="0"/>
        </w:rPr>
        <w:t xml:space="preserve">first </w:t>
      </w:r>
      <w:r w:rsidR="002E35C9" w:rsidRPr="00FE2ACE">
        <w:rPr>
          <w:rFonts w:ascii="Times New Roman" w:hAnsi="Times New Roman" w:cs="Times New Roman"/>
          <w:b w:val="0"/>
        </w:rPr>
        <w:t>rate year beginning May 1, 2018.</w:t>
      </w:r>
      <w:r w:rsidR="002E35C9" w:rsidRPr="006E66F7">
        <w:rPr>
          <w:rFonts w:ascii="Times New Roman" w:hAnsi="Times New Roman" w:cs="Times New Roman"/>
          <w:b w:val="0"/>
        </w:rPr>
        <w:t xml:space="preserve"> </w:t>
      </w:r>
    </w:p>
    <w:p w:rsidR="002E35C9" w:rsidRPr="00C97843" w:rsidRDefault="002E35C9" w:rsidP="00B82CAC">
      <w:pPr>
        <w:pStyle w:val="BodyTextIndent"/>
        <w:tabs>
          <w:tab w:val="left" w:pos="720"/>
          <w:tab w:val="left" w:pos="1440"/>
        </w:tabs>
        <w:ind w:firstLine="720"/>
        <w:jc w:val="both"/>
        <w:rPr>
          <w:rFonts w:ascii="Times New Roman" w:hAnsi="Times New Roman" w:cs="Times New Roman"/>
        </w:rPr>
      </w:pPr>
      <w:r w:rsidRPr="00C97843">
        <w:rPr>
          <w:rFonts w:ascii="Times New Roman" w:hAnsi="Times New Roman" w:cs="Times New Roman"/>
        </w:rPr>
        <w:t>Q.</w:t>
      </w:r>
      <w:r w:rsidRPr="00C97843">
        <w:rPr>
          <w:rFonts w:ascii="Times New Roman" w:hAnsi="Times New Roman" w:cs="Times New Roman"/>
        </w:rPr>
        <w:tab/>
        <w:t xml:space="preserve">How </w:t>
      </w:r>
      <w:r w:rsidR="00B82CAC">
        <w:rPr>
          <w:rFonts w:ascii="Times New Roman" w:hAnsi="Times New Roman" w:cs="Times New Roman"/>
        </w:rPr>
        <w:t>do we know</w:t>
      </w:r>
      <w:r w:rsidR="00F8387E">
        <w:rPr>
          <w:rFonts w:ascii="Times New Roman" w:hAnsi="Times New Roman" w:cs="Times New Roman"/>
        </w:rPr>
        <w:t xml:space="preserve"> the $22.5</w:t>
      </w:r>
      <w:r w:rsidRPr="00C97843">
        <w:rPr>
          <w:rFonts w:ascii="Times New Roman" w:hAnsi="Times New Roman" w:cs="Times New Roman"/>
        </w:rPr>
        <w:t xml:space="preserve"> million</w:t>
      </w:r>
      <w:r w:rsidR="00E047CC">
        <w:rPr>
          <w:rFonts w:ascii="Times New Roman" w:hAnsi="Times New Roman" w:cs="Times New Roman"/>
        </w:rPr>
        <w:t xml:space="preserve"> result from the Traditional Pro Forma Study</w:t>
      </w:r>
      <w:r w:rsidRPr="00C97843">
        <w:rPr>
          <w:rFonts w:ascii="Times New Roman" w:hAnsi="Times New Roman" w:cs="Times New Roman"/>
        </w:rPr>
        <w:t xml:space="preserve"> is less than the r</w:t>
      </w:r>
      <w:r w:rsidR="00F8387E">
        <w:rPr>
          <w:rFonts w:ascii="Times New Roman" w:hAnsi="Times New Roman" w:cs="Times New Roman"/>
        </w:rPr>
        <w:t>evenue increase needed for the first rate y</w:t>
      </w:r>
      <w:r w:rsidRPr="00C97843">
        <w:rPr>
          <w:rFonts w:ascii="Times New Roman" w:hAnsi="Times New Roman" w:cs="Times New Roman"/>
        </w:rPr>
        <w:t>ear beginning May 1, 2018?</w:t>
      </w:r>
    </w:p>
    <w:p w:rsidR="002E35C9" w:rsidRPr="00C97843" w:rsidRDefault="002E35C9" w:rsidP="00C97843">
      <w:pPr>
        <w:pStyle w:val="BodyTextIndent"/>
        <w:tabs>
          <w:tab w:val="left" w:pos="720"/>
          <w:tab w:val="left" w:pos="1440"/>
        </w:tabs>
        <w:ind w:firstLine="720"/>
        <w:jc w:val="both"/>
        <w:rPr>
          <w:rFonts w:ascii="Times New Roman" w:hAnsi="Times New Roman" w:cs="Times New Roman"/>
          <w:b w:val="0"/>
        </w:rPr>
      </w:pPr>
      <w:r w:rsidRPr="00C97843">
        <w:rPr>
          <w:rFonts w:ascii="Times New Roman" w:hAnsi="Times New Roman" w:cs="Times New Roman"/>
          <w:b w:val="0"/>
        </w:rPr>
        <w:t>A.</w:t>
      </w:r>
      <w:r w:rsidRPr="00C97843">
        <w:rPr>
          <w:rFonts w:ascii="Times New Roman" w:hAnsi="Times New Roman" w:cs="Times New Roman"/>
          <w:b w:val="0"/>
        </w:rPr>
        <w:tab/>
        <w:t xml:space="preserve">The revenue increase needed for the rate year beginning May 1, 2018 is </w:t>
      </w:r>
      <w:r w:rsidRPr="00C97843">
        <w:rPr>
          <w:rFonts w:ascii="Times New Roman" w:hAnsi="Times New Roman" w:cs="Times New Roman"/>
          <w:b w:val="0"/>
          <w:u w:val="single"/>
        </w:rPr>
        <w:t>directly</w:t>
      </w:r>
      <w:r w:rsidRPr="00C97843">
        <w:rPr>
          <w:rFonts w:ascii="Times New Roman" w:hAnsi="Times New Roman" w:cs="Times New Roman"/>
          <w:b w:val="0"/>
        </w:rPr>
        <w:t xml:space="preserve"> </w:t>
      </w:r>
      <w:r w:rsidRPr="00C97843">
        <w:rPr>
          <w:rFonts w:ascii="Times New Roman" w:hAnsi="Times New Roman" w:cs="Times New Roman"/>
          <w:b w:val="0"/>
          <w:u w:val="single"/>
        </w:rPr>
        <w:t>related</w:t>
      </w:r>
      <w:r w:rsidRPr="00C97843">
        <w:rPr>
          <w:rFonts w:ascii="Times New Roman" w:hAnsi="Times New Roman" w:cs="Times New Roman"/>
          <w:b w:val="0"/>
        </w:rPr>
        <w:t xml:space="preserve"> to the planned investment and operating costs that will be in place serving customers during the actual rate year; net of the revenues expected from customers during the same period.</w:t>
      </w:r>
    </w:p>
    <w:p w:rsidR="00772DCC" w:rsidRDefault="00C97843" w:rsidP="00772DCC">
      <w:pPr>
        <w:pStyle w:val="BodyTextIndent"/>
        <w:tabs>
          <w:tab w:val="left" w:pos="720"/>
          <w:tab w:val="left" w:pos="1440"/>
        </w:tabs>
        <w:ind w:firstLine="720"/>
        <w:jc w:val="both"/>
        <w:rPr>
          <w:rFonts w:ascii="Times New Roman" w:hAnsi="Times New Roman" w:cs="Times New Roman"/>
          <w:b w:val="0"/>
        </w:rPr>
      </w:pPr>
      <w:r>
        <w:rPr>
          <w:rFonts w:ascii="Times New Roman" w:hAnsi="Times New Roman" w:cs="Times New Roman"/>
          <w:b w:val="0"/>
        </w:rPr>
        <w:t>The Rate Year Study includes all of</w:t>
      </w:r>
      <w:r w:rsidR="002E35C9" w:rsidRPr="00C97843">
        <w:rPr>
          <w:rFonts w:ascii="Times New Roman" w:hAnsi="Times New Roman" w:cs="Times New Roman"/>
          <w:b w:val="0"/>
        </w:rPr>
        <w:t xml:space="preserve"> the planned investment, operating expenses, and revenues for the Three-Year Rate Plan beginning May 1, 2018.  This information is the same information presented to A</w:t>
      </w:r>
      <w:r w:rsidR="00B82CAC">
        <w:rPr>
          <w:rFonts w:ascii="Times New Roman" w:hAnsi="Times New Roman" w:cs="Times New Roman"/>
          <w:b w:val="0"/>
        </w:rPr>
        <w:t>vista’s Board of Directors and R</w:t>
      </w:r>
      <w:r w:rsidR="002E35C9" w:rsidRPr="00C97843">
        <w:rPr>
          <w:rFonts w:ascii="Times New Roman" w:hAnsi="Times New Roman" w:cs="Times New Roman"/>
          <w:b w:val="0"/>
        </w:rPr>
        <w:t>ating Agencies, and reflects the planned operations for Avista for the specific rate year</w:t>
      </w:r>
      <w:r>
        <w:rPr>
          <w:rFonts w:ascii="Times New Roman" w:hAnsi="Times New Roman" w:cs="Times New Roman"/>
          <w:b w:val="0"/>
        </w:rPr>
        <w:t>s</w:t>
      </w:r>
      <w:r w:rsidR="002E35C9" w:rsidRPr="00C97843">
        <w:rPr>
          <w:rFonts w:ascii="Times New Roman" w:hAnsi="Times New Roman" w:cs="Times New Roman"/>
          <w:b w:val="0"/>
        </w:rPr>
        <w:t>.  Therefore, the results of the Rate Year Study reflect the revenue increases actually needed by Avista during the three-year period in order for revenue</w:t>
      </w:r>
      <w:r>
        <w:rPr>
          <w:rFonts w:ascii="Times New Roman" w:hAnsi="Times New Roman" w:cs="Times New Roman"/>
          <w:b w:val="0"/>
        </w:rPr>
        <w:t>s</w:t>
      </w:r>
      <w:r w:rsidR="002E35C9" w:rsidRPr="00C97843">
        <w:rPr>
          <w:rFonts w:ascii="Times New Roman" w:hAnsi="Times New Roman" w:cs="Times New Roman"/>
          <w:b w:val="0"/>
        </w:rPr>
        <w:t xml:space="preserve"> to be sufficient during the rate year</w:t>
      </w:r>
      <w:r>
        <w:rPr>
          <w:rFonts w:ascii="Times New Roman" w:hAnsi="Times New Roman" w:cs="Times New Roman"/>
          <w:b w:val="0"/>
        </w:rPr>
        <w:t>s</w:t>
      </w:r>
      <w:r w:rsidR="002E35C9" w:rsidRPr="00C97843">
        <w:rPr>
          <w:rFonts w:ascii="Times New Roman" w:hAnsi="Times New Roman" w:cs="Times New Roman"/>
          <w:b w:val="0"/>
        </w:rPr>
        <w:t xml:space="preserve"> to cover Avista’s costs, and have a reasonable opportunity to earn the allowed return on investment.</w:t>
      </w:r>
      <w:r w:rsidR="00772DCC">
        <w:rPr>
          <w:rFonts w:ascii="Times New Roman" w:hAnsi="Times New Roman" w:cs="Times New Roman"/>
          <w:b w:val="0"/>
        </w:rPr>
        <w:t xml:space="preserve">  </w:t>
      </w:r>
    </w:p>
    <w:p w:rsidR="006A5B11" w:rsidRDefault="0071657B" w:rsidP="006A5B11">
      <w:pPr>
        <w:pStyle w:val="BodyTextIndent"/>
        <w:tabs>
          <w:tab w:val="left" w:pos="720"/>
          <w:tab w:val="left" w:pos="1440"/>
        </w:tabs>
        <w:ind w:firstLine="720"/>
        <w:jc w:val="both"/>
        <w:rPr>
          <w:bCs w:val="0"/>
        </w:rPr>
      </w:pPr>
      <w:r>
        <w:rPr>
          <w:rFonts w:ascii="Times New Roman" w:hAnsi="Times New Roman" w:cs="Times New Roman"/>
          <w:b w:val="0"/>
        </w:rPr>
        <w:t xml:space="preserve">Illustration </w:t>
      </w:r>
      <w:r w:rsidR="00C03F3A">
        <w:rPr>
          <w:rFonts w:ascii="Times New Roman" w:hAnsi="Times New Roman" w:cs="Times New Roman"/>
          <w:b w:val="0"/>
        </w:rPr>
        <w:t xml:space="preserve">No. </w:t>
      </w:r>
      <w:r>
        <w:rPr>
          <w:rFonts w:ascii="Times New Roman" w:hAnsi="Times New Roman" w:cs="Times New Roman"/>
          <w:b w:val="0"/>
        </w:rPr>
        <w:t xml:space="preserve">18 </w:t>
      </w:r>
      <w:r w:rsidR="002E35C9" w:rsidRPr="00FE2ACE">
        <w:rPr>
          <w:rFonts w:ascii="Times New Roman" w:hAnsi="Times New Roman" w:cs="Times New Roman"/>
          <w:b w:val="0"/>
        </w:rPr>
        <w:t xml:space="preserve">below shows the “need” </w:t>
      </w:r>
      <w:r w:rsidR="001A4114">
        <w:rPr>
          <w:rFonts w:ascii="Times New Roman" w:hAnsi="Times New Roman" w:cs="Times New Roman"/>
          <w:b w:val="0"/>
        </w:rPr>
        <w:t>of $46.7</w:t>
      </w:r>
      <w:r w:rsidR="00772DCC" w:rsidRPr="00FE2ACE">
        <w:rPr>
          <w:rFonts w:ascii="Times New Roman" w:hAnsi="Times New Roman" w:cs="Times New Roman"/>
          <w:b w:val="0"/>
        </w:rPr>
        <w:t xml:space="preserve"> million </w:t>
      </w:r>
      <w:r w:rsidR="002E35C9" w:rsidRPr="00FE2ACE">
        <w:rPr>
          <w:rFonts w:ascii="Times New Roman" w:hAnsi="Times New Roman" w:cs="Times New Roman"/>
          <w:b w:val="0"/>
        </w:rPr>
        <w:t>during the rate year beginning May 1, 2018, as determined by the electric</w:t>
      </w:r>
      <w:r w:rsidR="002E35C9" w:rsidRPr="00772DCC">
        <w:rPr>
          <w:rFonts w:ascii="Times New Roman" w:hAnsi="Times New Roman" w:cs="Times New Roman"/>
          <w:b w:val="0"/>
        </w:rPr>
        <w:t xml:space="preserve"> </w:t>
      </w:r>
      <w:r w:rsidR="00772DCC">
        <w:rPr>
          <w:rFonts w:ascii="Times New Roman" w:hAnsi="Times New Roman" w:cs="Times New Roman"/>
          <w:b w:val="0"/>
        </w:rPr>
        <w:t>Rate Year Study</w:t>
      </w:r>
      <w:r w:rsidR="002E35C9" w:rsidRPr="00FE2ACE">
        <w:rPr>
          <w:rFonts w:ascii="Times New Roman" w:hAnsi="Times New Roman" w:cs="Times New Roman"/>
          <w:b w:val="0"/>
        </w:rPr>
        <w:t>.</w:t>
      </w:r>
      <w:r w:rsidR="006A5B11">
        <w:rPr>
          <w:rFonts w:ascii="Times New Roman" w:hAnsi="Times New Roman" w:cs="Times New Roman"/>
          <w:b w:val="0"/>
        </w:rPr>
        <w:br w:type="page"/>
      </w:r>
    </w:p>
    <w:p w:rsidR="00C55744" w:rsidRPr="004217DE" w:rsidRDefault="0071657B" w:rsidP="002E35C9">
      <w:pPr>
        <w:pStyle w:val="BodyText"/>
        <w:spacing w:line="480" w:lineRule="auto"/>
        <w:jc w:val="both"/>
        <w:rPr>
          <w:u w:val="single"/>
        </w:rPr>
      </w:pPr>
      <w:r>
        <w:rPr>
          <w:u w:val="single"/>
        </w:rPr>
        <w:lastRenderedPageBreak/>
        <w:t>Illustration No. 18</w:t>
      </w:r>
    </w:p>
    <w:p w:rsidR="002E35C9" w:rsidRDefault="00AA4BEA" w:rsidP="002E35C9">
      <w:pPr>
        <w:pStyle w:val="BodyText"/>
        <w:spacing w:line="480" w:lineRule="auto"/>
        <w:jc w:val="both"/>
        <w:rPr>
          <w:b w:val="0"/>
        </w:rPr>
      </w:pPr>
      <w:r w:rsidRPr="00AA4BEA">
        <w:rPr>
          <w:noProof/>
        </w:rPr>
        <w:drawing>
          <wp:anchor distT="0" distB="0" distL="114300" distR="114300" simplePos="0" relativeHeight="251738112" behindDoc="1" locked="0" layoutInCell="1" allowOverlap="1">
            <wp:simplePos x="0" y="0"/>
            <wp:positionH relativeFrom="margin">
              <wp:align>left</wp:align>
            </wp:positionH>
            <wp:positionV relativeFrom="paragraph">
              <wp:posOffset>0</wp:posOffset>
            </wp:positionV>
            <wp:extent cx="5669280" cy="3265131"/>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69280" cy="3265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5C9" w:rsidRDefault="002E35C9" w:rsidP="002E35C9">
      <w:pPr>
        <w:pStyle w:val="BodyText"/>
        <w:spacing w:line="480" w:lineRule="auto"/>
        <w:ind w:firstLine="720"/>
        <w:jc w:val="both"/>
        <w:rPr>
          <w:b w:val="0"/>
        </w:rPr>
      </w:pPr>
    </w:p>
    <w:p w:rsidR="002E35C9" w:rsidRDefault="002E35C9" w:rsidP="002E35C9">
      <w:pPr>
        <w:pStyle w:val="BodyText"/>
        <w:spacing w:line="480" w:lineRule="auto"/>
        <w:jc w:val="both"/>
        <w:rPr>
          <w:b w:val="0"/>
        </w:rPr>
      </w:pPr>
    </w:p>
    <w:p w:rsidR="002E35C9" w:rsidRDefault="002E35C9" w:rsidP="002E35C9">
      <w:pPr>
        <w:pStyle w:val="BodyText"/>
        <w:spacing w:line="480" w:lineRule="auto"/>
        <w:jc w:val="both"/>
        <w:rPr>
          <w:b w:val="0"/>
        </w:rPr>
      </w:pPr>
    </w:p>
    <w:p w:rsidR="002E35C9" w:rsidRDefault="002E35C9" w:rsidP="002E35C9">
      <w:pPr>
        <w:pStyle w:val="BodyText"/>
        <w:spacing w:line="480" w:lineRule="auto"/>
        <w:jc w:val="both"/>
        <w:rPr>
          <w:b w:val="0"/>
        </w:rPr>
      </w:pPr>
    </w:p>
    <w:p w:rsidR="002E35C9" w:rsidRDefault="002E35C9" w:rsidP="002E35C9">
      <w:pPr>
        <w:pStyle w:val="BodyText"/>
        <w:spacing w:line="480" w:lineRule="auto"/>
        <w:jc w:val="both"/>
        <w:rPr>
          <w:b w:val="0"/>
        </w:rPr>
      </w:pPr>
    </w:p>
    <w:p w:rsidR="00C55744" w:rsidRDefault="00C55744" w:rsidP="002E35C9">
      <w:pPr>
        <w:pStyle w:val="BodyText"/>
        <w:spacing w:line="480" w:lineRule="auto"/>
        <w:jc w:val="both"/>
        <w:rPr>
          <w:b w:val="0"/>
        </w:rPr>
      </w:pPr>
    </w:p>
    <w:p w:rsidR="00C55744" w:rsidRDefault="00C55744" w:rsidP="002E35C9">
      <w:pPr>
        <w:pStyle w:val="BodyText"/>
        <w:spacing w:line="480" w:lineRule="auto"/>
        <w:jc w:val="both"/>
        <w:rPr>
          <w:b w:val="0"/>
        </w:rPr>
      </w:pPr>
    </w:p>
    <w:p w:rsidR="002E35C9" w:rsidRDefault="002E35C9" w:rsidP="002E35C9">
      <w:pPr>
        <w:pStyle w:val="BodyText"/>
        <w:spacing w:line="480" w:lineRule="auto"/>
        <w:jc w:val="both"/>
        <w:rPr>
          <w:b w:val="0"/>
        </w:rPr>
      </w:pPr>
    </w:p>
    <w:p w:rsidR="00AA4BEA" w:rsidRDefault="00AA4BEA" w:rsidP="00C55744">
      <w:pPr>
        <w:pStyle w:val="BodyText"/>
        <w:spacing w:line="480" w:lineRule="auto"/>
        <w:ind w:firstLine="720"/>
        <w:jc w:val="both"/>
        <w:rPr>
          <w:b w:val="0"/>
        </w:rPr>
      </w:pPr>
    </w:p>
    <w:p w:rsidR="00B82CAC" w:rsidRPr="00FE2ACE" w:rsidRDefault="00B82CAC" w:rsidP="00C55744">
      <w:pPr>
        <w:pStyle w:val="BodyText"/>
        <w:spacing w:line="480" w:lineRule="auto"/>
        <w:ind w:firstLine="720"/>
        <w:jc w:val="both"/>
        <w:rPr>
          <w:b w:val="0"/>
        </w:rPr>
      </w:pPr>
      <w:r>
        <w:rPr>
          <w:b w:val="0"/>
        </w:rPr>
        <w:t>The Rate Year Study adds</w:t>
      </w:r>
      <w:r w:rsidRPr="00FE2ACE">
        <w:rPr>
          <w:b w:val="0"/>
        </w:rPr>
        <w:t xml:space="preserve"> 2017 and 2018 planned costs (both expenses and cap</w:t>
      </w:r>
      <w:r>
        <w:rPr>
          <w:b w:val="0"/>
        </w:rPr>
        <w:t>ital additions</w:t>
      </w:r>
      <w:r w:rsidRPr="00FE2ACE">
        <w:rPr>
          <w:b w:val="0"/>
        </w:rPr>
        <w:t xml:space="preserve">), net of increased revenue from sales growth, </w:t>
      </w:r>
      <w:r>
        <w:rPr>
          <w:b w:val="0"/>
        </w:rPr>
        <w:t>to the 2016 historical test year normalized operating results.  T</w:t>
      </w:r>
      <w:r w:rsidRPr="00FE2ACE">
        <w:rPr>
          <w:b w:val="0"/>
        </w:rPr>
        <w:t>he result</w:t>
      </w:r>
      <w:r w:rsidR="00765973">
        <w:rPr>
          <w:b w:val="0"/>
        </w:rPr>
        <w:t>s of the Rate Year Study reflect</w:t>
      </w:r>
      <w:r w:rsidRPr="00FE2ACE">
        <w:rPr>
          <w:b w:val="0"/>
        </w:rPr>
        <w:t xml:space="preserve"> the revenue increase </w:t>
      </w:r>
      <w:r w:rsidR="00765973">
        <w:rPr>
          <w:b w:val="0"/>
        </w:rPr>
        <w:t>needed for Rate Year 1 of $46.7</w:t>
      </w:r>
      <w:r>
        <w:rPr>
          <w:b w:val="0"/>
        </w:rPr>
        <w:t xml:space="preserve"> million.</w:t>
      </w:r>
    </w:p>
    <w:p w:rsidR="00772DCC" w:rsidRPr="00C97843" w:rsidRDefault="00772DCC" w:rsidP="00772DCC">
      <w:pPr>
        <w:pStyle w:val="BodyTextIndent"/>
        <w:tabs>
          <w:tab w:val="left" w:pos="720"/>
          <w:tab w:val="left" w:pos="1440"/>
        </w:tabs>
        <w:ind w:firstLine="720"/>
        <w:jc w:val="both"/>
        <w:rPr>
          <w:rFonts w:ascii="Times New Roman" w:hAnsi="Times New Roman" w:cs="Times New Roman"/>
          <w:b w:val="0"/>
        </w:rPr>
      </w:pPr>
      <w:r w:rsidRPr="00C97843">
        <w:rPr>
          <w:rFonts w:ascii="Times New Roman" w:hAnsi="Times New Roman" w:cs="Times New Roman"/>
          <w:b w:val="0"/>
        </w:rPr>
        <w:t>We understand that this information is based on estimates for the future, and essentially reflects a “</w:t>
      </w:r>
      <w:r w:rsidR="00AA4BEA">
        <w:rPr>
          <w:rFonts w:ascii="Times New Roman" w:hAnsi="Times New Roman" w:cs="Times New Roman"/>
          <w:b w:val="0"/>
        </w:rPr>
        <w:t>forward-looking</w:t>
      </w:r>
      <w:r w:rsidRPr="00C97843">
        <w:rPr>
          <w:rFonts w:ascii="Times New Roman" w:hAnsi="Times New Roman" w:cs="Times New Roman"/>
          <w:b w:val="0"/>
        </w:rPr>
        <w:t xml:space="preserve"> test year,” which some states employ in whole, or in part, in setting retail rates.  Knowing this Commission historically has not used a </w:t>
      </w:r>
      <w:r w:rsidR="00AA4BEA">
        <w:rPr>
          <w:rFonts w:ascii="Times New Roman" w:hAnsi="Times New Roman" w:cs="Times New Roman"/>
          <w:b w:val="0"/>
        </w:rPr>
        <w:t>forward-looking</w:t>
      </w:r>
      <w:r w:rsidRPr="00C97843">
        <w:rPr>
          <w:rFonts w:ascii="Times New Roman" w:hAnsi="Times New Roman" w:cs="Times New Roman"/>
          <w:b w:val="0"/>
        </w:rPr>
        <w:t xml:space="preserve"> test year to establish retail rates, Avista is not proposing revenue increases in this case based on these electric and natural gas Rate Year Studies.  These Studi</w:t>
      </w:r>
      <w:r>
        <w:rPr>
          <w:rFonts w:ascii="Times New Roman" w:hAnsi="Times New Roman" w:cs="Times New Roman"/>
          <w:b w:val="0"/>
        </w:rPr>
        <w:t>es do, however, represent</w:t>
      </w:r>
      <w:r w:rsidRPr="00C97843">
        <w:rPr>
          <w:rFonts w:ascii="Times New Roman" w:hAnsi="Times New Roman" w:cs="Times New Roman"/>
          <w:b w:val="0"/>
        </w:rPr>
        <w:t xml:space="preserve"> </w:t>
      </w:r>
      <w:r w:rsidR="009754DC">
        <w:rPr>
          <w:rFonts w:ascii="Times New Roman" w:hAnsi="Times New Roman" w:cs="Times New Roman"/>
          <w:b w:val="0"/>
        </w:rPr>
        <w:t xml:space="preserve">additional </w:t>
      </w:r>
      <w:r w:rsidRPr="00C97843">
        <w:rPr>
          <w:rFonts w:ascii="Times New Roman" w:hAnsi="Times New Roman" w:cs="Times New Roman"/>
          <w:b w:val="0"/>
        </w:rPr>
        <w:t xml:space="preserve">evidence demonstrating Avista’s need for revenue increases for </w:t>
      </w:r>
      <w:r w:rsidR="00765973">
        <w:rPr>
          <w:rFonts w:ascii="Times New Roman" w:hAnsi="Times New Roman" w:cs="Times New Roman"/>
          <w:b w:val="0"/>
        </w:rPr>
        <w:t xml:space="preserve">the </w:t>
      </w:r>
      <w:r w:rsidRPr="00C97843">
        <w:rPr>
          <w:rFonts w:ascii="Times New Roman" w:hAnsi="Times New Roman" w:cs="Times New Roman"/>
          <w:b w:val="0"/>
        </w:rPr>
        <w:t xml:space="preserve">future rate periods. </w:t>
      </w:r>
    </w:p>
    <w:p w:rsidR="00772DCC" w:rsidRPr="00C97843" w:rsidRDefault="00772DCC" w:rsidP="00772DCC">
      <w:pPr>
        <w:pStyle w:val="BodyTextIndent"/>
        <w:tabs>
          <w:tab w:val="left" w:pos="720"/>
          <w:tab w:val="left" w:pos="1440"/>
        </w:tabs>
        <w:ind w:firstLine="720"/>
        <w:jc w:val="both"/>
        <w:rPr>
          <w:rFonts w:ascii="Times New Roman" w:hAnsi="Times New Roman" w:cs="Times New Roman"/>
          <w:b w:val="0"/>
        </w:rPr>
      </w:pPr>
      <w:r w:rsidRPr="00C97843">
        <w:rPr>
          <w:rFonts w:ascii="Times New Roman" w:hAnsi="Times New Roman" w:cs="Times New Roman"/>
          <w:b w:val="0"/>
        </w:rPr>
        <w:lastRenderedPageBreak/>
        <w:t>The provision of the results of the Rate Year Study is consistent with this Commission’s stated interest to “</w:t>
      </w:r>
      <w:r w:rsidRPr="00C97843">
        <w:rPr>
          <w:rFonts w:ascii="Times New Roman" w:hAnsi="Times New Roman" w:cs="Times New Roman"/>
          <w:b w:val="0"/>
          <w:u w:val="single"/>
        </w:rPr>
        <w:t>set rates based on expected costs the utility will experience during the rate year following the effective date of the new rates</w:t>
      </w:r>
      <w:r w:rsidRPr="00C97843">
        <w:rPr>
          <w:rFonts w:ascii="Times New Roman" w:hAnsi="Times New Roman" w:cs="Times New Roman"/>
          <w:b w:val="0"/>
        </w:rPr>
        <w:t>.”</w:t>
      </w:r>
      <w:r w:rsidRPr="00C97843">
        <w:rPr>
          <w:rStyle w:val="FootnoteReference"/>
          <w:rFonts w:ascii="Times New Roman" w:hAnsi="Times New Roman"/>
          <w:b w:val="0"/>
        </w:rPr>
        <w:footnoteReference w:id="20"/>
      </w:r>
    </w:p>
    <w:p w:rsidR="00002BF7" w:rsidRDefault="00002BF7" w:rsidP="00AA4BEA">
      <w:pPr>
        <w:suppressAutoHyphens/>
        <w:spacing w:line="480" w:lineRule="auto"/>
        <w:jc w:val="both"/>
        <w:rPr>
          <w:b/>
          <w:u w:val="single"/>
        </w:rPr>
      </w:pPr>
    </w:p>
    <w:p w:rsidR="002E35C9" w:rsidRPr="00AA4BEA" w:rsidRDefault="002E35C9" w:rsidP="00AA4BEA">
      <w:pPr>
        <w:suppressAutoHyphens/>
        <w:spacing w:line="480" w:lineRule="auto"/>
        <w:jc w:val="both"/>
        <w:rPr>
          <w:b/>
          <w:u w:val="single"/>
        </w:rPr>
      </w:pPr>
      <w:r w:rsidRPr="00FE2ACE">
        <w:rPr>
          <w:b/>
          <w:u w:val="single"/>
        </w:rPr>
        <w:t xml:space="preserve">EOP Rate Base Study </w:t>
      </w:r>
    </w:p>
    <w:p w:rsidR="002E35C9" w:rsidRPr="007527D7" w:rsidRDefault="002E35C9" w:rsidP="00F47515">
      <w:pPr>
        <w:pStyle w:val="BodyTextIndent"/>
        <w:tabs>
          <w:tab w:val="left" w:pos="720"/>
          <w:tab w:val="left" w:pos="1440"/>
        </w:tabs>
        <w:ind w:firstLine="720"/>
        <w:jc w:val="both"/>
        <w:rPr>
          <w:rFonts w:ascii="Times New Roman" w:hAnsi="Times New Roman" w:cs="Times New Roman"/>
        </w:rPr>
      </w:pPr>
      <w:r w:rsidRPr="007527D7">
        <w:rPr>
          <w:rFonts w:ascii="Times New Roman" w:hAnsi="Times New Roman" w:cs="Times New Roman"/>
        </w:rPr>
        <w:t xml:space="preserve">Q. </w:t>
      </w:r>
      <w:r w:rsidRPr="007527D7">
        <w:rPr>
          <w:rFonts w:ascii="Times New Roman" w:hAnsi="Times New Roman" w:cs="Times New Roman"/>
        </w:rPr>
        <w:tab/>
        <w:t xml:space="preserve">Please </w:t>
      </w:r>
      <w:r w:rsidR="00576140">
        <w:rPr>
          <w:rFonts w:ascii="Times New Roman" w:hAnsi="Times New Roman" w:cs="Times New Roman"/>
        </w:rPr>
        <w:t>b</w:t>
      </w:r>
      <w:r w:rsidR="00994A56">
        <w:rPr>
          <w:rFonts w:ascii="Times New Roman" w:hAnsi="Times New Roman" w:cs="Times New Roman"/>
        </w:rPr>
        <w:t>riefly describe the EOP Rat</w:t>
      </w:r>
      <w:r w:rsidR="00B51A04">
        <w:rPr>
          <w:rFonts w:ascii="Times New Roman" w:hAnsi="Times New Roman" w:cs="Times New Roman"/>
        </w:rPr>
        <w:t>e Base Study and the results fro</w:t>
      </w:r>
      <w:r w:rsidR="00994A56">
        <w:rPr>
          <w:rFonts w:ascii="Times New Roman" w:hAnsi="Times New Roman" w:cs="Times New Roman"/>
        </w:rPr>
        <w:t>m the study.</w:t>
      </w:r>
    </w:p>
    <w:p w:rsidR="002E35C9" w:rsidRPr="007527D7" w:rsidRDefault="002E35C9" w:rsidP="00F47515">
      <w:pPr>
        <w:pStyle w:val="BodyTextIndent"/>
        <w:tabs>
          <w:tab w:val="left" w:pos="720"/>
          <w:tab w:val="left" w:pos="1440"/>
          <w:tab w:val="left" w:pos="3735"/>
        </w:tabs>
        <w:ind w:firstLine="720"/>
        <w:jc w:val="both"/>
        <w:rPr>
          <w:rFonts w:ascii="Times New Roman" w:hAnsi="Times New Roman" w:cs="Times New Roman"/>
          <w:b w:val="0"/>
        </w:rPr>
      </w:pPr>
      <w:r w:rsidRPr="007527D7">
        <w:rPr>
          <w:rFonts w:ascii="Times New Roman" w:hAnsi="Times New Roman" w:cs="Times New Roman"/>
          <w:b w:val="0"/>
        </w:rPr>
        <w:t>A.</w:t>
      </w:r>
      <w:r w:rsidRPr="007527D7">
        <w:rPr>
          <w:rFonts w:ascii="Times New Roman" w:hAnsi="Times New Roman" w:cs="Times New Roman"/>
          <w:b w:val="0"/>
        </w:rPr>
        <w:tab/>
      </w:r>
      <w:r w:rsidR="00F47515">
        <w:rPr>
          <w:rFonts w:ascii="Times New Roman" w:hAnsi="Times New Roman" w:cs="Times New Roman"/>
          <w:b w:val="0"/>
        </w:rPr>
        <w:t>The</w:t>
      </w:r>
      <w:r w:rsidRPr="007527D7">
        <w:rPr>
          <w:rFonts w:ascii="Times New Roman" w:hAnsi="Times New Roman" w:cs="Times New Roman"/>
          <w:b w:val="0"/>
        </w:rPr>
        <w:t xml:space="preserve"> </w:t>
      </w:r>
      <w:r w:rsidR="00F47515">
        <w:rPr>
          <w:rFonts w:ascii="Times New Roman" w:hAnsi="Times New Roman" w:cs="Times New Roman"/>
          <w:b w:val="0"/>
        </w:rPr>
        <w:t xml:space="preserve">EOP Rate Base Study </w:t>
      </w:r>
      <w:r w:rsidR="00F47515" w:rsidRPr="009754DC">
        <w:rPr>
          <w:rFonts w:ascii="Times New Roman" w:hAnsi="Times New Roman" w:cs="Times New Roman"/>
          <w:b w:val="0"/>
          <w:u w:val="single"/>
        </w:rPr>
        <w:t>is</w:t>
      </w:r>
      <w:r w:rsidRPr="009754DC">
        <w:rPr>
          <w:rFonts w:ascii="Times New Roman" w:hAnsi="Times New Roman" w:cs="Times New Roman"/>
          <w:b w:val="0"/>
          <w:u w:val="single"/>
        </w:rPr>
        <w:t xml:space="preserve"> the basis</w:t>
      </w:r>
      <w:r w:rsidRPr="007527D7">
        <w:rPr>
          <w:rFonts w:ascii="Times New Roman" w:hAnsi="Times New Roman" w:cs="Times New Roman"/>
          <w:b w:val="0"/>
        </w:rPr>
        <w:t xml:space="preserve"> of the Company’s requested rate relief in this case for Rate Year 1 beginning May 1, 2018.  The </w:t>
      </w:r>
      <w:r w:rsidR="00F47515">
        <w:rPr>
          <w:rFonts w:ascii="Times New Roman" w:hAnsi="Times New Roman" w:cs="Times New Roman"/>
          <w:b w:val="0"/>
        </w:rPr>
        <w:t xml:space="preserve">EOP Rate Base Study starts </w:t>
      </w:r>
      <w:r w:rsidRPr="007527D7">
        <w:rPr>
          <w:rFonts w:ascii="Times New Roman" w:hAnsi="Times New Roman" w:cs="Times New Roman"/>
          <w:b w:val="0"/>
        </w:rPr>
        <w:t>with the results of the Traditional Pro Forma</w:t>
      </w:r>
      <w:r w:rsidR="00AE59A0">
        <w:rPr>
          <w:rFonts w:ascii="Times New Roman" w:hAnsi="Times New Roman" w:cs="Times New Roman"/>
          <w:b w:val="0"/>
        </w:rPr>
        <w:t xml:space="preserve"> Study</w:t>
      </w:r>
      <w:r w:rsidRPr="007527D7">
        <w:rPr>
          <w:rFonts w:ascii="Times New Roman" w:hAnsi="Times New Roman" w:cs="Times New Roman"/>
          <w:b w:val="0"/>
        </w:rPr>
        <w:t xml:space="preserve"> discussed earlier, </w:t>
      </w:r>
      <w:r w:rsidR="00241040">
        <w:rPr>
          <w:rFonts w:ascii="Times New Roman" w:hAnsi="Times New Roman" w:cs="Times New Roman"/>
          <w:b w:val="0"/>
        </w:rPr>
        <w:t xml:space="preserve">which is then </w:t>
      </w:r>
      <w:r w:rsidRPr="007527D7">
        <w:rPr>
          <w:rFonts w:ascii="Times New Roman" w:hAnsi="Times New Roman" w:cs="Times New Roman"/>
          <w:b w:val="0"/>
        </w:rPr>
        <w:t xml:space="preserve">adjusted to </w:t>
      </w:r>
      <w:r w:rsidR="00F47515">
        <w:rPr>
          <w:rFonts w:ascii="Times New Roman" w:hAnsi="Times New Roman" w:cs="Times New Roman"/>
          <w:b w:val="0"/>
        </w:rPr>
        <w:t xml:space="preserve">reflect </w:t>
      </w:r>
      <w:r w:rsidR="00B04F75">
        <w:rPr>
          <w:rFonts w:ascii="Times New Roman" w:hAnsi="Times New Roman" w:cs="Times New Roman"/>
          <w:b w:val="0"/>
        </w:rPr>
        <w:t>end of period (</w:t>
      </w:r>
      <w:r w:rsidRPr="007527D7">
        <w:rPr>
          <w:rFonts w:ascii="Times New Roman" w:hAnsi="Times New Roman" w:cs="Times New Roman"/>
          <w:b w:val="0"/>
        </w:rPr>
        <w:t>EOP</w:t>
      </w:r>
      <w:r w:rsidR="00B04F75">
        <w:rPr>
          <w:rFonts w:ascii="Times New Roman" w:hAnsi="Times New Roman" w:cs="Times New Roman"/>
          <w:b w:val="0"/>
        </w:rPr>
        <w:t>)</w:t>
      </w:r>
      <w:r w:rsidRPr="007527D7">
        <w:rPr>
          <w:rFonts w:ascii="Times New Roman" w:hAnsi="Times New Roman" w:cs="Times New Roman"/>
          <w:b w:val="0"/>
        </w:rPr>
        <w:t xml:space="preserve"> </w:t>
      </w:r>
      <w:r w:rsidR="00F47515">
        <w:rPr>
          <w:rFonts w:ascii="Times New Roman" w:hAnsi="Times New Roman" w:cs="Times New Roman"/>
          <w:b w:val="0"/>
        </w:rPr>
        <w:t>rate base at December 31, 2017, plus the employment of</w:t>
      </w:r>
      <w:r w:rsidRPr="007527D7">
        <w:rPr>
          <w:rFonts w:ascii="Times New Roman" w:hAnsi="Times New Roman" w:cs="Times New Roman"/>
          <w:b w:val="0"/>
        </w:rPr>
        <w:t xml:space="preserve"> an adjusted capital structure.   </w:t>
      </w:r>
    </w:p>
    <w:p w:rsidR="00C14B44" w:rsidRDefault="00AE59A0" w:rsidP="00F47515">
      <w:pPr>
        <w:pStyle w:val="BodyTextIndent"/>
        <w:tabs>
          <w:tab w:val="left" w:pos="720"/>
          <w:tab w:val="left" w:pos="1440"/>
          <w:tab w:val="left" w:pos="3735"/>
        </w:tabs>
        <w:jc w:val="both"/>
        <w:rPr>
          <w:rFonts w:ascii="Times New Roman" w:hAnsi="Times New Roman" w:cs="Times New Roman"/>
          <w:b w:val="0"/>
        </w:rPr>
      </w:pPr>
      <w:r>
        <w:rPr>
          <w:rFonts w:ascii="Times New Roman" w:hAnsi="Times New Roman" w:cs="Times New Roman"/>
          <w:b w:val="0"/>
        </w:rPr>
        <w:tab/>
      </w:r>
      <w:bookmarkStart w:id="1" w:name="_GoBack"/>
      <w:bookmarkEnd w:id="1"/>
      <w:r>
        <w:rPr>
          <w:rFonts w:ascii="Times New Roman" w:hAnsi="Times New Roman" w:cs="Times New Roman"/>
          <w:b w:val="0"/>
        </w:rPr>
        <w:t xml:space="preserve">Avista’s capital structure in this Study was calculated excluding short-term debt.  The resulting </w:t>
      </w:r>
      <w:r w:rsidR="006C5C1F">
        <w:rPr>
          <w:rFonts w:ascii="Times New Roman" w:hAnsi="Times New Roman" w:cs="Times New Roman"/>
          <w:b w:val="0"/>
        </w:rPr>
        <w:t xml:space="preserve">adjusted capital structure includes 50% common equity and </w:t>
      </w:r>
      <w:r w:rsidR="002E35C9" w:rsidRPr="00B04F75">
        <w:rPr>
          <w:rFonts w:ascii="Times New Roman" w:hAnsi="Times New Roman" w:cs="Times New Roman"/>
          <w:b w:val="0"/>
        </w:rPr>
        <w:t>50</w:t>
      </w:r>
      <w:r w:rsidR="006C5C1F">
        <w:rPr>
          <w:rFonts w:ascii="Times New Roman" w:hAnsi="Times New Roman" w:cs="Times New Roman"/>
          <w:b w:val="0"/>
        </w:rPr>
        <w:t>% debt, as compared to the</w:t>
      </w:r>
      <w:r w:rsidR="002E35C9" w:rsidRPr="00B04F75">
        <w:rPr>
          <w:rFonts w:ascii="Times New Roman" w:hAnsi="Times New Roman" w:cs="Times New Roman"/>
          <w:b w:val="0"/>
        </w:rPr>
        <w:t xml:space="preserve"> current authorized </w:t>
      </w:r>
      <w:r w:rsidR="006C5C1F">
        <w:rPr>
          <w:rFonts w:ascii="Times New Roman" w:hAnsi="Times New Roman" w:cs="Times New Roman"/>
          <w:b w:val="0"/>
        </w:rPr>
        <w:t>capital structure</w:t>
      </w:r>
      <w:r w:rsidR="002E35C9" w:rsidRPr="00B04F75">
        <w:rPr>
          <w:rFonts w:ascii="Times New Roman" w:hAnsi="Times New Roman" w:cs="Times New Roman"/>
          <w:b w:val="0"/>
        </w:rPr>
        <w:t xml:space="preserve"> of 48.5%</w:t>
      </w:r>
      <w:r w:rsidR="006C5C1F">
        <w:rPr>
          <w:rFonts w:ascii="Times New Roman" w:hAnsi="Times New Roman" w:cs="Times New Roman"/>
          <w:b w:val="0"/>
        </w:rPr>
        <w:t xml:space="preserve"> </w:t>
      </w:r>
      <w:r w:rsidR="00C14B44">
        <w:rPr>
          <w:rFonts w:ascii="Times New Roman" w:hAnsi="Times New Roman" w:cs="Times New Roman"/>
          <w:b w:val="0"/>
        </w:rPr>
        <w:t xml:space="preserve">common </w:t>
      </w:r>
      <w:r w:rsidR="006C5C1F">
        <w:rPr>
          <w:rFonts w:ascii="Times New Roman" w:hAnsi="Times New Roman" w:cs="Times New Roman"/>
          <w:b w:val="0"/>
        </w:rPr>
        <w:t xml:space="preserve">equity and </w:t>
      </w:r>
      <w:r w:rsidR="00276CEA">
        <w:rPr>
          <w:rFonts w:ascii="Times New Roman" w:hAnsi="Times New Roman" w:cs="Times New Roman"/>
          <w:b w:val="0"/>
        </w:rPr>
        <w:t>51.5% debt.</w:t>
      </w:r>
      <w:r w:rsidR="00A568F6">
        <w:rPr>
          <w:rStyle w:val="FootnoteReference"/>
          <w:rFonts w:ascii="Times New Roman" w:hAnsi="Times New Roman"/>
          <w:b w:val="0"/>
        </w:rPr>
        <w:footnoteReference w:id="21"/>
      </w:r>
      <w:r w:rsidR="00276CEA">
        <w:rPr>
          <w:rFonts w:ascii="Times New Roman" w:hAnsi="Times New Roman" w:cs="Times New Roman"/>
          <w:b w:val="0"/>
        </w:rPr>
        <w:t xml:space="preserve">  </w:t>
      </w:r>
    </w:p>
    <w:p w:rsidR="002E35C9" w:rsidRPr="00497624" w:rsidRDefault="00867B25" w:rsidP="00F47515">
      <w:pPr>
        <w:pStyle w:val="BodyTextIndent"/>
        <w:tabs>
          <w:tab w:val="left" w:pos="720"/>
          <w:tab w:val="left" w:pos="1440"/>
          <w:tab w:val="left" w:pos="3735"/>
        </w:tabs>
        <w:jc w:val="both"/>
        <w:rPr>
          <w:rFonts w:ascii="Times New Roman" w:hAnsi="Times New Roman" w:cs="Times New Roman"/>
        </w:rPr>
      </w:pPr>
      <w:r>
        <w:rPr>
          <w:rFonts w:ascii="Times New Roman" w:hAnsi="Times New Roman" w:cs="Times New Roman"/>
        </w:rPr>
        <w:tab/>
        <w:t xml:space="preserve">Q. </w:t>
      </w:r>
      <w:r>
        <w:rPr>
          <w:rFonts w:ascii="Times New Roman" w:hAnsi="Times New Roman" w:cs="Times New Roman"/>
        </w:rPr>
        <w:tab/>
        <w:t>Is this type of EOP Rate Base Study</w:t>
      </w:r>
      <w:r w:rsidR="002E35C9" w:rsidRPr="00497624">
        <w:rPr>
          <w:rFonts w:ascii="Times New Roman" w:hAnsi="Times New Roman" w:cs="Times New Roman"/>
        </w:rPr>
        <w:t xml:space="preserve"> used in other jurisdictions?</w:t>
      </w:r>
    </w:p>
    <w:p w:rsidR="00241040" w:rsidRDefault="002E35C9" w:rsidP="00241040">
      <w:pPr>
        <w:pStyle w:val="BodyTextIndent"/>
        <w:tabs>
          <w:tab w:val="left" w:pos="720"/>
          <w:tab w:val="left" w:pos="1440"/>
          <w:tab w:val="left" w:pos="3735"/>
        </w:tabs>
        <w:jc w:val="both"/>
        <w:rPr>
          <w:rFonts w:ascii="Times New Roman" w:hAnsi="Times New Roman" w:cs="Times New Roman"/>
          <w:b w:val="0"/>
        </w:rPr>
      </w:pPr>
      <w:r w:rsidRPr="00B04F75">
        <w:rPr>
          <w:rFonts w:ascii="Times New Roman" w:hAnsi="Times New Roman" w:cs="Times New Roman"/>
          <w:b w:val="0"/>
        </w:rPr>
        <w:tab/>
        <w:t>A.</w:t>
      </w:r>
      <w:r w:rsidRPr="00B04F75">
        <w:rPr>
          <w:rFonts w:ascii="Times New Roman" w:hAnsi="Times New Roman" w:cs="Times New Roman"/>
          <w:b w:val="0"/>
        </w:rPr>
        <w:tab/>
        <w:t>Yes. In both Avista’s Idaho and Oregon jurisdictions the Commissions for many years have approved a</w:t>
      </w:r>
      <w:r w:rsidR="00867B25">
        <w:rPr>
          <w:rFonts w:ascii="Times New Roman" w:hAnsi="Times New Roman" w:cs="Times New Roman"/>
          <w:b w:val="0"/>
        </w:rPr>
        <w:t>n adjusted</w:t>
      </w:r>
      <w:r w:rsidRPr="00B04F75">
        <w:rPr>
          <w:rFonts w:ascii="Times New Roman" w:hAnsi="Times New Roman" w:cs="Times New Roman"/>
          <w:b w:val="0"/>
        </w:rPr>
        <w:t xml:space="preserve"> capital structure</w:t>
      </w:r>
      <w:r w:rsidR="00867B25">
        <w:rPr>
          <w:rFonts w:ascii="Times New Roman" w:hAnsi="Times New Roman" w:cs="Times New Roman"/>
          <w:b w:val="0"/>
        </w:rPr>
        <w:t xml:space="preserve"> calculated excluding short-term debt.</w:t>
      </w:r>
      <w:r w:rsidR="00A568F6">
        <w:rPr>
          <w:rFonts w:ascii="Times New Roman" w:hAnsi="Times New Roman" w:cs="Times New Roman"/>
          <w:b w:val="0"/>
        </w:rPr>
        <w:t xml:space="preserve"> Avista’s current approved capital structure in Idaho and Oregon is </w:t>
      </w:r>
      <w:r w:rsidRPr="00B04F75">
        <w:rPr>
          <w:rFonts w:ascii="Times New Roman" w:hAnsi="Times New Roman" w:cs="Times New Roman"/>
          <w:b w:val="0"/>
        </w:rPr>
        <w:t>50% equity and 50% debt.</w:t>
      </w:r>
      <w:r w:rsidR="00241040">
        <w:rPr>
          <w:rFonts w:ascii="Times New Roman" w:hAnsi="Times New Roman" w:cs="Times New Roman"/>
          <w:b w:val="0"/>
        </w:rPr>
        <w:t xml:space="preserve">  These two Commissions also use end of period rate base, measured just before new retail rates are implemented, to determine the revenue increase for the prospective rate year.</w:t>
      </w:r>
    </w:p>
    <w:p w:rsidR="002E35C9" w:rsidRPr="0066009F" w:rsidRDefault="002E35C9" w:rsidP="00F47515">
      <w:pPr>
        <w:pStyle w:val="BodyTextIndent"/>
        <w:tabs>
          <w:tab w:val="left" w:pos="720"/>
          <w:tab w:val="left" w:pos="1440"/>
          <w:tab w:val="left" w:pos="3735"/>
        </w:tabs>
        <w:jc w:val="both"/>
        <w:rPr>
          <w:rFonts w:ascii="Times New Roman" w:hAnsi="Times New Roman" w:cs="Times New Roman"/>
        </w:rPr>
      </w:pPr>
      <w:r w:rsidRPr="0066009F">
        <w:rPr>
          <w:rFonts w:ascii="Times New Roman" w:hAnsi="Times New Roman" w:cs="Times New Roman"/>
        </w:rPr>
        <w:lastRenderedPageBreak/>
        <w:tab/>
        <w:t>Q.</w:t>
      </w:r>
      <w:r w:rsidRPr="0066009F">
        <w:rPr>
          <w:rFonts w:ascii="Times New Roman" w:hAnsi="Times New Roman" w:cs="Times New Roman"/>
        </w:rPr>
        <w:tab/>
        <w:t xml:space="preserve">How do the results of the EOP Rate Base </w:t>
      </w:r>
      <w:r w:rsidR="0066009F">
        <w:rPr>
          <w:rFonts w:ascii="Times New Roman" w:hAnsi="Times New Roman" w:cs="Times New Roman"/>
        </w:rPr>
        <w:t>Study</w:t>
      </w:r>
      <w:r w:rsidRPr="0066009F">
        <w:rPr>
          <w:rFonts w:ascii="Times New Roman" w:hAnsi="Times New Roman" w:cs="Times New Roman"/>
        </w:rPr>
        <w:t xml:space="preserve"> compare with the rate relief needed during Rat</w:t>
      </w:r>
      <w:r w:rsidR="0066009F">
        <w:rPr>
          <w:rFonts w:ascii="Times New Roman" w:hAnsi="Times New Roman" w:cs="Times New Roman"/>
        </w:rPr>
        <w:t>e Year 1</w:t>
      </w:r>
      <w:r w:rsidRPr="0066009F">
        <w:rPr>
          <w:rFonts w:ascii="Times New Roman" w:hAnsi="Times New Roman" w:cs="Times New Roman"/>
        </w:rPr>
        <w:t>?</w:t>
      </w:r>
    </w:p>
    <w:p w:rsidR="00D57328" w:rsidRDefault="002E35C9" w:rsidP="002E35C9">
      <w:pPr>
        <w:tabs>
          <w:tab w:val="left" w:pos="720"/>
        </w:tabs>
        <w:spacing w:line="480" w:lineRule="auto"/>
        <w:jc w:val="both"/>
      </w:pPr>
      <w:r w:rsidRPr="00FE2ACE">
        <w:tab/>
        <w:t>A.</w:t>
      </w:r>
      <w:r w:rsidRPr="00FE2ACE">
        <w:tab/>
        <w:t>Illust</w:t>
      </w:r>
      <w:r w:rsidR="0071657B">
        <w:t xml:space="preserve">ration </w:t>
      </w:r>
      <w:r w:rsidR="00C03F3A">
        <w:t xml:space="preserve">No. </w:t>
      </w:r>
      <w:r w:rsidR="0071657B">
        <w:t>19</w:t>
      </w:r>
      <w:r w:rsidRPr="00FE2ACE">
        <w:t xml:space="preserve"> below</w:t>
      </w:r>
      <w:r w:rsidR="00E01916">
        <w:t xml:space="preserve"> shows that</w:t>
      </w:r>
      <w:r w:rsidR="00D57328">
        <w:t xml:space="preserve"> the</w:t>
      </w:r>
      <w:r w:rsidR="00E01916">
        <w:t xml:space="preserve"> revenue increase supported by </w:t>
      </w:r>
      <w:r w:rsidRPr="00FE2ACE">
        <w:t xml:space="preserve">the electric EOP Rate Base Study </w:t>
      </w:r>
      <w:r w:rsidR="00D57328">
        <w:t>is very close to</w:t>
      </w:r>
      <w:r w:rsidRPr="00FE2ACE">
        <w:t xml:space="preserve"> the revenue increase needed for Rate Year 1.  </w:t>
      </w:r>
    </w:p>
    <w:p w:rsidR="002E35C9" w:rsidRDefault="0071657B" w:rsidP="002E35C9">
      <w:pPr>
        <w:tabs>
          <w:tab w:val="left" w:pos="720"/>
        </w:tabs>
        <w:spacing w:line="480" w:lineRule="auto"/>
        <w:jc w:val="both"/>
        <w:rPr>
          <w:b/>
          <w:u w:val="single"/>
        </w:rPr>
      </w:pPr>
      <w:r>
        <w:rPr>
          <w:b/>
          <w:u w:val="single"/>
        </w:rPr>
        <w:t>Illustration No. 19</w:t>
      </w:r>
      <w:r w:rsidR="002E35C9">
        <w:rPr>
          <w:b/>
          <w:u w:val="single"/>
        </w:rPr>
        <w:t xml:space="preserve"> </w:t>
      </w:r>
    </w:p>
    <w:p w:rsidR="002E35C9" w:rsidRDefault="00AA4BEA" w:rsidP="002E35C9">
      <w:pPr>
        <w:tabs>
          <w:tab w:val="left" w:pos="720"/>
        </w:tabs>
        <w:spacing w:line="480" w:lineRule="auto"/>
        <w:jc w:val="both"/>
        <w:rPr>
          <w:b/>
          <w:u w:val="single"/>
        </w:rPr>
      </w:pPr>
      <w:r w:rsidRPr="00AA4BEA">
        <w:rPr>
          <w:noProof/>
        </w:rPr>
        <w:drawing>
          <wp:anchor distT="0" distB="0" distL="114300" distR="114300" simplePos="0" relativeHeight="251739136" behindDoc="1" locked="0" layoutInCell="1" allowOverlap="1">
            <wp:simplePos x="0" y="0"/>
            <wp:positionH relativeFrom="column">
              <wp:posOffset>3976</wp:posOffset>
            </wp:positionH>
            <wp:positionV relativeFrom="paragraph">
              <wp:posOffset>-3313</wp:posOffset>
            </wp:positionV>
            <wp:extent cx="5669280" cy="3119269"/>
            <wp:effectExtent l="0" t="0" r="762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9280" cy="31192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5C9" w:rsidRDefault="002E35C9" w:rsidP="002E35C9">
      <w:pPr>
        <w:tabs>
          <w:tab w:val="left" w:pos="720"/>
        </w:tabs>
        <w:spacing w:line="480" w:lineRule="auto"/>
        <w:jc w:val="both"/>
        <w:rPr>
          <w:b/>
          <w:u w:val="single"/>
        </w:rPr>
      </w:pPr>
    </w:p>
    <w:p w:rsidR="002E35C9" w:rsidRDefault="002E35C9" w:rsidP="002E35C9">
      <w:pPr>
        <w:tabs>
          <w:tab w:val="left" w:pos="720"/>
        </w:tabs>
        <w:spacing w:line="480" w:lineRule="auto"/>
        <w:jc w:val="both"/>
        <w:rPr>
          <w:b/>
          <w:u w:val="single"/>
        </w:rPr>
      </w:pPr>
    </w:p>
    <w:p w:rsidR="002E35C9" w:rsidRDefault="002E35C9" w:rsidP="002E35C9">
      <w:pPr>
        <w:tabs>
          <w:tab w:val="left" w:pos="720"/>
        </w:tabs>
        <w:spacing w:line="480" w:lineRule="auto"/>
        <w:jc w:val="both"/>
        <w:rPr>
          <w:b/>
          <w:u w:val="single"/>
        </w:rPr>
      </w:pPr>
    </w:p>
    <w:p w:rsidR="00290D18" w:rsidRDefault="00290D18" w:rsidP="002E35C9">
      <w:pPr>
        <w:tabs>
          <w:tab w:val="left" w:pos="720"/>
        </w:tabs>
        <w:spacing w:line="480" w:lineRule="auto"/>
        <w:jc w:val="both"/>
        <w:rPr>
          <w:b/>
          <w:u w:val="single"/>
        </w:rPr>
      </w:pPr>
    </w:p>
    <w:p w:rsidR="00290D18" w:rsidRDefault="00290D18" w:rsidP="002E35C9">
      <w:pPr>
        <w:tabs>
          <w:tab w:val="left" w:pos="720"/>
        </w:tabs>
        <w:spacing w:line="480" w:lineRule="auto"/>
        <w:jc w:val="both"/>
        <w:rPr>
          <w:b/>
          <w:u w:val="single"/>
        </w:rPr>
      </w:pPr>
    </w:p>
    <w:p w:rsidR="00290D18" w:rsidRDefault="00290D18" w:rsidP="002E35C9">
      <w:pPr>
        <w:tabs>
          <w:tab w:val="left" w:pos="720"/>
        </w:tabs>
        <w:spacing w:line="480" w:lineRule="auto"/>
        <w:jc w:val="both"/>
        <w:rPr>
          <w:b/>
          <w:u w:val="single"/>
        </w:rPr>
      </w:pPr>
    </w:p>
    <w:p w:rsidR="002E35C9" w:rsidRDefault="002E35C9" w:rsidP="002E35C9">
      <w:pPr>
        <w:spacing w:line="480" w:lineRule="auto"/>
        <w:ind w:left="360"/>
      </w:pPr>
    </w:p>
    <w:p w:rsidR="002E35C9" w:rsidRDefault="002E35C9" w:rsidP="002E35C9">
      <w:pPr>
        <w:spacing w:line="480" w:lineRule="auto"/>
        <w:ind w:left="360"/>
      </w:pPr>
    </w:p>
    <w:p w:rsidR="002E35C9" w:rsidRDefault="002E35C9" w:rsidP="002E35C9">
      <w:pPr>
        <w:spacing w:line="480" w:lineRule="auto"/>
        <w:ind w:left="360"/>
      </w:pPr>
    </w:p>
    <w:p w:rsidR="00F2040D" w:rsidRPr="00F2040D" w:rsidRDefault="00F2040D" w:rsidP="00344F19">
      <w:pPr>
        <w:pStyle w:val="BodyTextIndent"/>
        <w:jc w:val="both"/>
        <w:rPr>
          <w:rFonts w:ascii="Times New Roman" w:hAnsi="Times New Roman" w:cs="Times New Roman"/>
        </w:rPr>
      </w:pPr>
      <w:r w:rsidRPr="00F2040D">
        <w:rPr>
          <w:rFonts w:ascii="Times New Roman" w:hAnsi="Times New Roman" w:cs="Times New Roman"/>
        </w:rPr>
        <w:tab/>
        <w:t>Q.</w:t>
      </w:r>
      <w:r w:rsidRPr="00F2040D">
        <w:rPr>
          <w:rFonts w:ascii="Times New Roman" w:hAnsi="Times New Roman" w:cs="Times New Roman"/>
        </w:rPr>
        <w:tab/>
        <w:t>What are the benefits of using the EOP Rate Base Study?</w:t>
      </w:r>
    </w:p>
    <w:p w:rsidR="00F2040D" w:rsidRPr="00F2040D" w:rsidRDefault="00F2040D" w:rsidP="00344F19">
      <w:pPr>
        <w:pStyle w:val="BodyTextIndent"/>
        <w:jc w:val="both"/>
        <w:rPr>
          <w:rFonts w:ascii="Times New Roman" w:hAnsi="Times New Roman" w:cs="Times New Roman"/>
          <w:b w:val="0"/>
        </w:rPr>
      </w:pPr>
      <w:r w:rsidRPr="00F2040D">
        <w:rPr>
          <w:rFonts w:ascii="Times New Roman" w:hAnsi="Times New Roman" w:cs="Times New Roman"/>
          <w:b w:val="0"/>
        </w:rPr>
        <w:tab/>
        <w:t>A.</w:t>
      </w:r>
      <w:r w:rsidRPr="00F2040D">
        <w:rPr>
          <w:rFonts w:ascii="Times New Roman" w:hAnsi="Times New Roman" w:cs="Times New Roman"/>
          <w:b w:val="0"/>
        </w:rPr>
        <w:tab/>
      </w:r>
      <w:r w:rsidR="00700A90">
        <w:rPr>
          <w:rFonts w:ascii="Times New Roman" w:hAnsi="Times New Roman" w:cs="Times New Roman"/>
          <w:b w:val="0"/>
        </w:rPr>
        <w:t xml:space="preserve">First, the </w:t>
      </w:r>
      <w:r w:rsidR="00A42135">
        <w:rPr>
          <w:rFonts w:ascii="Times New Roman" w:hAnsi="Times New Roman" w:cs="Times New Roman"/>
          <w:b w:val="0"/>
        </w:rPr>
        <w:t xml:space="preserve">foundation for the </w:t>
      </w:r>
      <w:r w:rsidR="00700A90">
        <w:rPr>
          <w:rFonts w:ascii="Times New Roman" w:hAnsi="Times New Roman" w:cs="Times New Roman"/>
          <w:b w:val="0"/>
        </w:rPr>
        <w:t>EOP Rate Base Study begins with the results of the Traditional Pro Forma Study.  Second</w:t>
      </w:r>
      <w:r w:rsidRPr="00F2040D">
        <w:rPr>
          <w:rFonts w:ascii="Times New Roman" w:hAnsi="Times New Roman" w:cs="Times New Roman"/>
          <w:b w:val="0"/>
        </w:rPr>
        <w:t xml:space="preserve">, the ratemaking “tools” used in this study (EOP rate base and adjusted capital structure) are </w:t>
      </w:r>
      <w:r w:rsidR="004A6E5C">
        <w:rPr>
          <w:rFonts w:ascii="Times New Roman" w:hAnsi="Times New Roman" w:cs="Times New Roman"/>
          <w:b w:val="0"/>
        </w:rPr>
        <w:t xml:space="preserve">familiar </w:t>
      </w:r>
      <w:r w:rsidRPr="00F2040D">
        <w:rPr>
          <w:rFonts w:ascii="Times New Roman" w:hAnsi="Times New Roman" w:cs="Times New Roman"/>
          <w:b w:val="0"/>
        </w:rPr>
        <w:t>tools</w:t>
      </w:r>
      <w:r w:rsidR="00FF5E61">
        <w:rPr>
          <w:rFonts w:ascii="Times New Roman" w:hAnsi="Times New Roman" w:cs="Times New Roman"/>
          <w:b w:val="0"/>
        </w:rPr>
        <w:t>,</w:t>
      </w:r>
      <w:r w:rsidRPr="00F2040D">
        <w:rPr>
          <w:rFonts w:ascii="Times New Roman" w:hAnsi="Times New Roman" w:cs="Times New Roman"/>
          <w:b w:val="0"/>
        </w:rPr>
        <w:t xml:space="preserve"> </w:t>
      </w:r>
      <w:r w:rsidR="004A6E5C">
        <w:rPr>
          <w:rFonts w:ascii="Times New Roman" w:hAnsi="Times New Roman" w:cs="Times New Roman"/>
          <w:b w:val="0"/>
        </w:rPr>
        <w:t>either previously</w:t>
      </w:r>
      <w:r w:rsidRPr="00F2040D">
        <w:rPr>
          <w:rFonts w:ascii="Times New Roman" w:hAnsi="Times New Roman" w:cs="Times New Roman"/>
          <w:b w:val="0"/>
        </w:rPr>
        <w:t xml:space="preserve"> use</w:t>
      </w:r>
      <w:r w:rsidR="004A6E5C">
        <w:rPr>
          <w:rFonts w:ascii="Times New Roman" w:hAnsi="Times New Roman" w:cs="Times New Roman"/>
          <w:b w:val="0"/>
        </w:rPr>
        <w:t>d</w:t>
      </w:r>
      <w:r w:rsidRPr="00F2040D">
        <w:rPr>
          <w:rFonts w:ascii="Times New Roman" w:hAnsi="Times New Roman" w:cs="Times New Roman"/>
          <w:b w:val="0"/>
        </w:rPr>
        <w:t xml:space="preserve"> by this Commission, </w:t>
      </w:r>
      <w:r w:rsidR="004A6E5C">
        <w:rPr>
          <w:rFonts w:ascii="Times New Roman" w:hAnsi="Times New Roman" w:cs="Times New Roman"/>
          <w:b w:val="0"/>
        </w:rPr>
        <w:t xml:space="preserve">or </w:t>
      </w:r>
      <w:r w:rsidRPr="00F2040D">
        <w:rPr>
          <w:rFonts w:ascii="Times New Roman" w:hAnsi="Times New Roman" w:cs="Times New Roman"/>
          <w:b w:val="0"/>
        </w:rPr>
        <w:t>other regulatory commissions across the Country.</w:t>
      </w:r>
    </w:p>
    <w:p w:rsidR="00F2040D" w:rsidRPr="00F2040D" w:rsidRDefault="00FF5E61" w:rsidP="00344F19">
      <w:pPr>
        <w:pStyle w:val="BodyTextIndent"/>
        <w:ind w:firstLine="720"/>
        <w:jc w:val="both"/>
        <w:rPr>
          <w:rFonts w:ascii="Times New Roman" w:hAnsi="Times New Roman" w:cs="Times New Roman"/>
          <w:b w:val="0"/>
        </w:rPr>
      </w:pPr>
      <w:r>
        <w:rPr>
          <w:rFonts w:ascii="Times New Roman" w:hAnsi="Times New Roman" w:cs="Times New Roman"/>
          <w:b w:val="0"/>
        </w:rPr>
        <w:t>Third</w:t>
      </w:r>
      <w:r w:rsidR="00F2040D" w:rsidRPr="00F2040D">
        <w:rPr>
          <w:rFonts w:ascii="Times New Roman" w:hAnsi="Times New Roman" w:cs="Times New Roman"/>
          <w:b w:val="0"/>
        </w:rPr>
        <w:t>, the use of EOP rate base at December 31, 2017 provides the opportunity</w:t>
      </w:r>
      <w:r w:rsidR="00AA4BEA">
        <w:rPr>
          <w:rFonts w:ascii="Times New Roman" w:hAnsi="Times New Roman" w:cs="Times New Roman"/>
          <w:b w:val="0"/>
        </w:rPr>
        <w:t>,</w:t>
      </w:r>
      <w:r w:rsidR="00F2040D" w:rsidRPr="00F2040D">
        <w:rPr>
          <w:rFonts w:ascii="Times New Roman" w:hAnsi="Times New Roman" w:cs="Times New Roman"/>
          <w:b w:val="0"/>
        </w:rPr>
        <w:t xml:space="preserve"> between December 31, 2017 and the </w:t>
      </w:r>
      <w:r w:rsidR="00344F19">
        <w:rPr>
          <w:rFonts w:ascii="Times New Roman" w:hAnsi="Times New Roman" w:cs="Times New Roman"/>
          <w:b w:val="0"/>
        </w:rPr>
        <w:t>time that new retail rates</w:t>
      </w:r>
      <w:r w:rsidR="00F2040D" w:rsidRPr="00F2040D">
        <w:rPr>
          <w:rFonts w:ascii="Times New Roman" w:hAnsi="Times New Roman" w:cs="Times New Roman"/>
          <w:b w:val="0"/>
        </w:rPr>
        <w:t xml:space="preserve"> go into effect (May 1,</w:t>
      </w:r>
      <w:r>
        <w:rPr>
          <w:rFonts w:ascii="Times New Roman" w:hAnsi="Times New Roman" w:cs="Times New Roman"/>
          <w:b w:val="0"/>
        </w:rPr>
        <w:t xml:space="preserve"> 2018), for parties to this case and the Commission</w:t>
      </w:r>
      <w:r w:rsidR="00F2040D" w:rsidRPr="00F2040D">
        <w:rPr>
          <w:rFonts w:ascii="Times New Roman" w:hAnsi="Times New Roman" w:cs="Times New Roman"/>
          <w:b w:val="0"/>
        </w:rPr>
        <w:t xml:space="preserve"> to review the capital projects that are completed </w:t>
      </w:r>
      <w:r w:rsidR="00F2040D" w:rsidRPr="00F2040D">
        <w:rPr>
          <w:rFonts w:ascii="Times New Roman" w:hAnsi="Times New Roman" w:cs="Times New Roman"/>
          <w:b w:val="0"/>
        </w:rPr>
        <w:lastRenderedPageBreak/>
        <w:t>and placed into service on or before December 31, 2017.  This should alleviate concerns related to</w:t>
      </w:r>
      <w:r w:rsidR="00AA4BEA">
        <w:rPr>
          <w:rFonts w:ascii="Times New Roman" w:hAnsi="Times New Roman" w:cs="Times New Roman"/>
          <w:b w:val="0"/>
        </w:rPr>
        <w:t xml:space="preserve"> whether the plant is in service prior to the rate year.</w:t>
      </w:r>
      <w:r w:rsidR="00F2040D" w:rsidRPr="00F2040D">
        <w:rPr>
          <w:rFonts w:ascii="Times New Roman" w:hAnsi="Times New Roman" w:cs="Times New Roman"/>
          <w:b w:val="0"/>
        </w:rPr>
        <w:t xml:space="preserve">  </w:t>
      </w:r>
    </w:p>
    <w:p w:rsidR="00F2040D" w:rsidRPr="00217F01" w:rsidRDefault="000D1147" w:rsidP="00AA4BEA">
      <w:pPr>
        <w:pStyle w:val="BodyTextIndent"/>
        <w:ind w:firstLine="720"/>
        <w:jc w:val="both"/>
        <w:rPr>
          <w:rFonts w:ascii="Times New Roman" w:hAnsi="Times New Roman" w:cs="Times New Roman"/>
          <w:b w:val="0"/>
        </w:rPr>
      </w:pPr>
      <w:r>
        <w:rPr>
          <w:rFonts w:ascii="Times New Roman" w:hAnsi="Times New Roman" w:cs="Times New Roman"/>
          <w:b w:val="0"/>
        </w:rPr>
        <w:t>The proposed revenue increases for Years 2 and 3 of the Rate Plan</w:t>
      </w:r>
      <w:r w:rsidR="000362F8">
        <w:rPr>
          <w:rFonts w:ascii="Times New Roman" w:hAnsi="Times New Roman" w:cs="Times New Roman"/>
          <w:b w:val="0"/>
        </w:rPr>
        <w:t>, effective May 1, 2019 and May 1, 2020,</w:t>
      </w:r>
      <w:r>
        <w:rPr>
          <w:rFonts w:ascii="Times New Roman" w:hAnsi="Times New Roman" w:cs="Times New Roman"/>
          <w:b w:val="0"/>
        </w:rPr>
        <w:t xml:space="preserve"> are determined by applying a K-Factor to the results of the E</w:t>
      </w:r>
      <w:r w:rsidR="00217F01">
        <w:rPr>
          <w:rFonts w:ascii="Times New Roman" w:hAnsi="Times New Roman" w:cs="Times New Roman"/>
          <w:b w:val="0"/>
        </w:rPr>
        <w:t>OP Rate Base Study for Year 1.  As explained by Ms. Schuh,</w:t>
      </w:r>
      <w:r w:rsidR="00217F01" w:rsidRPr="00217F01">
        <w:rPr>
          <w:rFonts w:ascii="Times New Roman" w:hAnsi="Times New Roman" w:cs="Times New Roman"/>
          <w:b w:val="0"/>
        </w:rPr>
        <w:t xml:space="preserve"> the Company is proposing to file with this Commission an Annual Washington Electric and Natural Gas Capital Report by February 15, 2019 and February 15, 2020.  The annual report would provide actual year-end (end of period) rate base balances as of December 31</w:t>
      </w:r>
      <w:r w:rsidR="00217F01" w:rsidRPr="00217F01">
        <w:rPr>
          <w:rFonts w:ascii="Times New Roman" w:hAnsi="Times New Roman" w:cs="Times New Roman"/>
          <w:b w:val="0"/>
          <w:vertAlign w:val="superscript"/>
        </w:rPr>
        <w:t>st</w:t>
      </w:r>
      <w:r w:rsidR="00217F01" w:rsidRPr="00217F01">
        <w:rPr>
          <w:rFonts w:ascii="Times New Roman" w:hAnsi="Times New Roman" w:cs="Times New Roman"/>
          <w:b w:val="0"/>
        </w:rPr>
        <w:t xml:space="preserve"> of the recently completed year, and </w:t>
      </w:r>
      <w:r w:rsidR="00217F01">
        <w:rPr>
          <w:rFonts w:ascii="Times New Roman" w:hAnsi="Times New Roman" w:cs="Times New Roman"/>
          <w:b w:val="0"/>
        </w:rPr>
        <w:t xml:space="preserve">will </w:t>
      </w:r>
      <w:r w:rsidR="00217F01" w:rsidRPr="00217F01">
        <w:rPr>
          <w:rFonts w:ascii="Times New Roman" w:hAnsi="Times New Roman" w:cs="Times New Roman"/>
          <w:b w:val="0"/>
        </w:rPr>
        <w:t>provide an opportunity for review of the rate base additions prior to new</w:t>
      </w:r>
      <w:r w:rsidR="00AA4BEA">
        <w:rPr>
          <w:rFonts w:ascii="Times New Roman" w:hAnsi="Times New Roman" w:cs="Times New Roman"/>
          <w:b w:val="0"/>
        </w:rPr>
        <w:t xml:space="preserve"> rates going into effect.  Again, this </w:t>
      </w:r>
      <w:r w:rsidR="00217F01" w:rsidRPr="00217F01">
        <w:rPr>
          <w:rFonts w:ascii="Times New Roman" w:hAnsi="Times New Roman" w:cs="Times New Roman"/>
          <w:b w:val="0"/>
        </w:rPr>
        <w:t>would provide assurance to the Commission that the rate increases approved effective May 1, 2019 and May 1, 2020, would include utility plant that is in-service serving customers prior to new rates going into effect</w:t>
      </w:r>
      <w:r w:rsidR="00C8794B">
        <w:rPr>
          <w:rFonts w:ascii="Times New Roman" w:hAnsi="Times New Roman" w:cs="Times New Roman"/>
          <w:b w:val="0"/>
        </w:rPr>
        <w:t>.</w:t>
      </w:r>
    </w:p>
    <w:p w:rsidR="00AA4BEA" w:rsidRDefault="00AA4BEA" w:rsidP="00AA4BEA">
      <w:pPr>
        <w:suppressAutoHyphens/>
        <w:spacing w:line="480" w:lineRule="auto"/>
        <w:jc w:val="both"/>
        <w:rPr>
          <w:b/>
          <w:u w:val="single"/>
        </w:rPr>
      </w:pPr>
    </w:p>
    <w:p w:rsidR="00FB7DD3" w:rsidRPr="00AA4BEA" w:rsidRDefault="00FB7DD3" w:rsidP="00AA4BEA">
      <w:pPr>
        <w:suppressAutoHyphens/>
        <w:spacing w:line="480" w:lineRule="auto"/>
        <w:jc w:val="both"/>
        <w:rPr>
          <w:b/>
          <w:u w:val="single"/>
        </w:rPr>
      </w:pPr>
      <w:r>
        <w:rPr>
          <w:b/>
          <w:u w:val="single"/>
        </w:rPr>
        <w:t>K-Factor</w:t>
      </w:r>
      <w:r w:rsidRPr="00FE2ACE">
        <w:rPr>
          <w:b/>
          <w:u w:val="single"/>
        </w:rPr>
        <w:t xml:space="preserve"> Study </w:t>
      </w:r>
      <w:r w:rsidRPr="00FE2ACE">
        <w:tab/>
      </w:r>
    </w:p>
    <w:p w:rsidR="00FB7DD3" w:rsidRPr="007527D7" w:rsidRDefault="00FB7DD3" w:rsidP="00FB7DD3">
      <w:pPr>
        <w:pStyle w:val="BodyTextIndent"/>
        <w:tabs>
          <w:tab w:val="left" w:pos="720"/>
          <w:tab w:val="left" w:pos="1440"/>
        </w:tabs>
        <w:ind w:firstLine="720"/>
        <w:jc w:val="both"/>
        <w:rPr>
          <w:rFonts w:ascii="Times New Roman" w:hAnsi="Times New Roman" w:cs="Times New Roman"/>
        </w:rPr>
      </w:pPr>
      <w:r w:rsidRPr="007527D7">
        <w:rPr>
          <w:rFonts w:ascii="Times New Roman" w:hAnsi="Times New Roman" w:cs="Times New Roman"/>
        </w:rPr>
        <w:t xml:space="preserve">Q. </w:t>
      </w:r>
      <w:r w:rsidRPr="007527D7">
        <w:rPr>
          <w:rFonts w:ascii="Times New Roman" w:hAnsi="Times New Roman" w:cs="Times New Roman"/>
        </w:rPr>
        <w:tab/>
        <w:t xml:space="preserve">Please </w:t>
      </w:r>
      <w:r>
        <w:rPr>
          <w:rFonts w:ascii="Times New Roman" w:hAnsi="Times New Roman" w:cs="Times New Roman"/>
        </w:rPr>
        <w:t>b</w:t>
      </w:r>
      <w:r w:rsidR="009B3915">
        <w:rPr>
          <w:rFonts w:ascii="Times New Roman" w:hAnsi="Times New Roman" w:cs="Times New Roman"/>
        </w:rPr>
        <w:t>riefly describe the K-Factor</w:t>
      </w:r>
      <w:r>
        <w:rPr>
          <w:rFonts w:ascii="Times New Roman" w:hAnsi="Times New Roman" w:cs="Times New Roman"/>
        </w:rPr>
        <w:t xml:space="preserve"> Study and the results from the study.</w:t>
      </w:r>
    </w:p>
    <w:p w:rsidR="0022578E" w:rsidRDefault="0022578E" w:rsidP="0022578E">
      <w:pPr>
        <w:spacing w:line="480" w:lineRule="auto"/>
        <w:ind w:firstLine="720"/>
        <w:jc w:val="both"/>
      </w:pPr>
      <w:r>
        <w:t>A.</w:t>
      </w:r>
      <w:r>
        <w:tab/>
        <w:t>The Company’s electric and natural gas K-Factor Study was produced to provide additional evidence demonstrating its need for rate relief during the Three-Year Rate Plan.  The K-Factor itself, in simple terms, is a revenue escalation percentage, which is applied to revenues for</w:t>
      </w:r>
      <w:r w:rsidR="00961832">
        <w:t xml:space="preserve"> the</w:t>
      </w:r>
      <w:r>
        <w:t xml:space="preserve"> historical base year, to determine revenue increases each year for a multi-year rate period.  </w:t>
      </w:r>
    </w:p>
    <w:p w:rsidR="00BF33AE" w:rsidRDefault="00E413C9" w:rsidP="00496C0C">
      <w:pPr>
        <w:spacing w:line="480" w:lineRule="auto"/>
        <w:ind w:firstLine="720"/>
        <w:jc w:val="both"/>
      </w:pPr>
      <w:r>
        <w:t xml:space="preserve">The development of the </w:t>
      </w:r>
      <w:r w:rsidR="0022578E">
        <w:t xml:space="preserve">K-Factor </w:t>
      </w:r>
      <w:r>
        <w:t xml:space="preserve">for the first rate year beginning May 1, 2018 </w:t>
      </w:r>
      <w:r w:rsidR="0022578E">
        <w:t xml:space="preserve">was based on </w:t>
      </w:r>
      <w:r>
        <w:t>Avista’s</w:t>
      </w:r>
      <w:r w:rsidR="0022578E">
        <w:t xml:space="preserve"> normalized Commission Basis results for the period 2013 to 2016 for both </w:t>
      </w:r>
      <w:r>
        <w:t xml:space="preserve">the </w:t>
      </w:r>
      <w:r w:rsidR="0022578E">
        <w:t>electric and natural gas K-Factor Studies</w:t>
      </w:r>
      <w:r>
        <w:t>.  In general terms, the</w:t>
      </w:r>
      <w:r w:rsidR="0022578E">
        <w:t xml:space="preserve"> </w:t>
      </w:r>
      <w:r>
        <w:t xml:space="preserve">K-Factor </w:t>
      </w:r>
      <w:r w:rsidR="0022578E">
        <w:t xml:space="preserve">percentage </w:t>
      </w:r>
      <w:r w:rsidR="0022578E">
        <w:lastRenderedPageBreak/>
        <w:t xml:space="preserve">represents a weighted average revenue escalation factor based on the </w:t>
      </w:r>
      <w:r>
        <w:t xml:space="preserve">historical growth in rate base-related costs and operating costs, offset by </w:t>
      </w:r>
      <w:r w:rsidR="00A67A3E">
        <w:t xml:space="preserve">the growth in </w:t>
      </w:r>
      <w:r>
        <w:t>sales revenue.  The K-Factor annual percentage was then applied to 2016 normalized retail revenue to determine the revenue increase necessary for the first</w:t>
      </w:r>
      <w:r w:rsidR="00BF33AE">
        <w:t xml:space="preserve"> rate year beginning May 1, 2018.</w:t>
      </w:r>
    </w:p>
    <w:p w:rsidR="0022578E" w:rsidRPr="00496C0C" w:rsidRDefault="00496C0C" w:rsidP="00496C0C">
      <w:pPr>
        <w:spacing w:line="480" w:lineRule="auto"/>
        <w:ind w:firstLine="720"/>
        <w:jc w:val="both"/>
      </w:pPr>
      <w:r>
        <w:t xml:space="preserve">This K-Factor analysis is similar to that used in determining the K-Factor for the multi-year rate plan for Puget Sound Energy </w:t>
      </w:r>
      <w:r w:rsidR="0022578E" w:rsidRPr="00496C0C">
        <w:t xml:space="preserve">in </w:t>
      </w:r>
      <w:r w:rsidR="0022578E" w:rsidRPr="00496C0C">
        <w:rPr>
          <w:i/>
        </w:rPr>
        <w:t>consolidated</w:t>
      </w:r>
      <w:r w:rsidR="0022578E" w:rsidRPr="00496C0C">
        <w:t xml:space="preserve"> Dockets UE-121697</w:t>
      </w:r>
      <w:r>
        <w:t>/UG-12705 &amp; UE-130137/UG-130138.</w:t>
      </w:r>
      <w:r w:rsidR="00991D2F">
        <w:t xml:space="preserve">  Ms. Andrews provides details of the K-Factor calculations for each year of the Three-Year Rate Plan.  </w:t>
      </w:r>
    </w:p>
    <w:p w:rsidR="0022578E" w:rsidRDefault="00991D2F" w:rsidP="0022578E">
      <w:pPr>
        <w:spacing w:line="480" w:lineRule="auto"/>
        <w:ind w:firstLine="720"/>
        <w:jc w:val="both"/>
        <w:rPr>
          <w:b/>
        </w:rPr>
      </w:pPr>
      <w:r>
        <w:rPr>
          <w:b/>
        </w:rPr>
        <w:t>Q.</w:t>
      </w:r>
      <w:r>
        <w:rPr>
          <w:b/>
        </w:rPr>
        <w:tab/>
        <w:t>Has Avista</w:t>
      </w:r>
      <w:r w:rsidR="0022578E" w:rsidRPr="00DC41AF">
        <w:rPr>
          <w:b/>
        </w:rPr>
        <w:t xml:space="preserve"> included an efficiency adjustment in the </w:t>
      </w:r>
      <w:r>
        <w:rPr>
          <w:b/>
        </w:rPr>
        <w:t xml:space="preserve">determination of the </w:t>
      </w:r>
      <w:r w:rsidR="0022578E" w:rsidRPr="00DC41AF">
        <w:rPr>
          <w:b/>
        </w:rPr>
        <w:t xml:space="preserve">K-Factor </w:t>
      </w:r>
      <w:r w:rsidR="0022578E">
        <w:rPr>
          <w:b/>
        </w:rPr>
        <w:t>percentage</w:t>
      </w:r>
      <w:r w:rsidR="0022578E" w:rsidRPr="00DC41AF">
        <w:rPr>
          <w:b/>
        </w:rPr>
        <w:t>?</w:t>
      </w:r>
    </w:p>
    <w:p w:rsidR="00465497" w:rsidRDefault="0022578E" w:rsidP="007C5005">
      <w:pPr>
        <w:spacing w:line="480" w:lineRule="auto"/>
        <w:ind w:firstLine="720"/>
        <w:jc w:val="both"/>
      </w:pPr>
      <w:r>
        <w:t>A.</w:t>
      </w:r>
      <w:r>
        <w:tab/>
      </w:r>
      <w:r w:rsidR="00FB7301">
        <w:t xml:space="preserve">Yes.  </w:t>
      </w:r>
      <w:r w:rsidR="007C5005">
        <w:t xml:space="preserve">For Rate Years 2 and 3, Avista included an “efficiency adjustment,” reducing the electric and natural gas O&amp;M growth percentage by 10%.  </w:t>
      </w:r>
      <w:r>
        <w:t>Avista did not include an “efficiency adjustment” in the Rate Year 1 K-Factor</w:t>
      </w:r>
      <w:r w:rsidR="007C5005">
        <w:t>,</w:t>
      </w:r>
      <w:r>
        <w:t xml:space="preserve"> because Avi</w:t>
      </w:r>
      <w:r w:rsidR="007C5005">
        <w:t>sta is using the more recent Commission Basis</w:t>
      </w:r>
      <w:r>
        <w:t xml:space="preserve"> results for the period 2013-2016,</w:t>
      </w:r>
      <w:r w:rsidRPr="00556BD3">
        <w:t xml:space="preserve"> </w:t>
      </w:r>
      <w:r w:rsidR="007C470F">
        <w:t>which include</w:t>
      </w:r>
      <w:r>
        <w:t xml:space="preserve"> the effects of </w:t>
      </w:r>
      <w:r w:rsidR="007C470F">
        <w:t xml:space="preserve">O&amp;M cost </w:t>
      </w:r>
      <w:r>
        <w:t xml:space="preserve">reductions in </w:t>
      </w:r>
      <w:r w:rsidR="007C470F">
        <w:t>recent years.</w:t>
      </w:r>
      <w:r>
        <w:t xml:space="preserve"> </w:t>
      </w:r>
    </w:p>
    <w:p w:rsidR="00550804" w:rsidRPr="0066009F" w:rsidRDefault="00550804" w:rsidP="00550804">
      <w:pPr>
        <w:pStyle w:val="BodyTextIndent"/>
        <w:tabs>
          <w:tab w:val="left" w:pos="720"/>
          <w:tab w:val="left" w:pos="1440"/>
          <w:tab w:val="left" w:pos="3735"/>
        </w:tabs>
        <w:jc w:val="both"/>
        <w:rPr>
          <w:rFonts w:ascii="Times New Roman" w:hAnsi="Times New Roman" w:cs="Times New Roman"/>
        </w:rPr>
      </w:pPr>
      <w:r w:rsidRPr="0066009F">
        <w:rPr>
          <w:rFonts w:ascii="Times New Roman" w:hAnsi="Times New Roman" w:cs="Times New Roman"/>
        </w:rPr>
        <w:tab/>
        <w:t>Q.</w:t>
      </w:r>
      <w:r w:rsidRPr="0066009F">
        <w:rPr>
          <w:rFonts w:ascii="Times New Roman" w:hAnsi="Times New Roman" w:cs="Times New Roman"/>
        </w:rPr>
        <w:tab/>
        <w:t xml:space="preserve">How do the results of the </w:t>
      </w:r>
      <w:r w:rsidR="00FB7301">
        <w:rPr>
          <w:rFonts w:ascii="Times New Roman" w:hAnsi="Times New Roman" w:cs="Times New Roman"/>
        </w:rPr>
        <w:t>K-factor</w:t>
      </w:r>
      <w:r w:rsidRPr="0066009F">
        <w:rPr>
          <w:rFonts w:ascii="Times New Roman" w:hAnsi="Times New Roman" w:cs="Times New Roman"/>
        </w:rPr>
        <w:t xml:space="preserve"> </w:t>
      </w:r>
      <w:r>
        <w:rPr>
          <w:rFonts w:ascii="Times New Roman" w:hAnsi="Times New Roman" w:cs="Times New Roman"/>
        </w:rPr>
        <w:t>Study</w:t>
      </w:r>
      <w:r w:rsidRPr="0066009F">
        <w:rPr>
          <w:rFonts w:ascii="Times New Roman" w:hAnsi="Times New Roman" w:cs="Times New Roman"/>
        </w:rPr>
        <w:t xml:space="preserve"> compare with the rate relief needed</w:t>
      </w:r>
      <w:r>
        <w:rPr>
          <w:rFonts w:ascii="Times New Roman" w:hAnsi="Times New Roman" w:cs="Times New Roman"/>
        </w:rPr>
        <w:t xml:space="preserve"> for</w:t>
      </w:r>
      <w:r w:rsidRPr="0066009F">
        <w:rPr>
          <w:rFonts w:ascii="Times New Roman" w:hAnsi="Times New Roman" w:cs="Times New Roman"/>
        </w:rPr>
        <w:t xml:space="preserve"> Rat</w:t>
      </w:r>
      <w:r>
        <w:rPr>
          <w:rFonts w:ascii="Times New Roman" w:hAnsi="Times New Roman" w:cs="Times New Roman"/>
        </w:rPr>
        <w:t>e Year 1 beginning May 1, 2018</w:t>
      </w:r>
      <w:r w:rsidRPr="0066009F">
        <w:rPr>
          <w:rFonts w:ascii="Times New Roman" w:hAnsi="Times New Roman" w:cs="Times New Roman"/>
        </w:rPr>
        <w:t>?</w:t>
      </w:r>
    </w:p>
    <w:p w:rsidR="00845A63" w:rsidRPr="00845A63" w:rsidRDefault="0071657B" w:rsidP="00845A63">
      <w:pPr>
        <w:pStyle w:val="BodyTextIndent"/>
        <w:tabs>
          <w:tab w:val="left" w:pos="720"/>
          <w:tab w:val="left" w:pos="1440"/>
        </w:tabs>
        <w:ind w:firstLine="720"/>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t xml:space="preserve">Illustration </w:t>
      </w:r>
      <w:r w:rsidR="00C03F3A">
        <w:rPr>
          <w:rFonts w:ascii="Times New Roman" w:hAnsi="Times New Roman" w:cs="Times New Roman"/>
          <w:b w:val="0"/>
        </w:rPr>
        <w:t xml:space="preserve">No. </w:t>
      </w:r>
      <w:r>
        <w:rPr>
          <w:rFonts w:ascii="Times New Roman" w:hAnsi="Times New Roman" w:cs="Times New Roman"/>
          <w:b w:val="0"/>
        </w:rPr>
        <w:t>20</w:t>
      </w:r>
      <w:r w:rsidR="0022578E" w:rsidRPr="003229EA">
        <w:rPr>
          <w:rFonts w:ascii="Times New Roman" w:hAnsi="Times New Roman" w:cs="Times New Roman"/>
          <w:b w:val="0"/>
        </w:rPr>
        <w:t xml:space="preserve"> below shows the results of the electric K-Factor Study </w:t>
      </w:r>
      <w:r w:rsidR="00550804">
        <w:rPr>
          <w:rFonts w:ascii="Times New Roman" w:hAnsi="Times New Roman" w:cs="Times New Roman"/>
          <w:b w:val="0"/>
        </w:rPr>
        <w:t>as compared to that needed for</w:t>
      </w:r>
      <w:r w:rsidR="0022578E" w:rsidRPr="003229EA">
        <w:rPr>
          <w:rFonts w:ascii="Times New Roman" w:hAnsi="Times New Roman" w:cs="Times New Roman"/>
          <w:b w:val="0"/>
        </w:rPr>
        <w:t xml:space="preserve"> Rate Year 1 of the Three-Year Rate Plan.</w:t>
      </w:r>
      <w:r w:rsidR="00845A63">
        <w:rPr>
          <w:rFonts w:ascii="Times New Roman" w:hAnsi="Times New Roman" w:cs="Times New Roman"/>
          <w:b w:val="0"/>
        </w:rPr>
        <w:br w:type="page"/>
      </w:r>
    </w:p>
    <w:p w:rsidR="0022578E" w:rsidRPr="0071657B" w:rsidRDefault="0071657B" w:rsidP="0022578E">
      <w:pPr>
        <w:pStyle w:val="BodyTextIndent"/>
        <w:tabs>
          <w:tab w:val="left" w:pos="720"/>
          <w:tab w:val="left" w:pos="1440"/>
        </w:tabs>
        <w:rPr>
          <w:rFonts w:ascii="Times New Roman" w:hAnsi="Times New Roman" w:cs="Times New Roman"/>
        </w:rPr>
      </w:pPr>
      <w:r w:rsidRPr="0071657B">
        <w:rPr>
          <w:rFonts w:ascii="Times New Roman" w:hAnsi="Times New Roman" w:cs="Times New Roman"/>
          <w:u w:val="single"/>
        </w:rPr>
        <w:lastRenderedPageBreak/>
        <w:t>Illustration No. 20</w:t>
      </w:r>
    </w:p>
    <w:p w:rsidR="0022578E" w:rsidRDefault="00D00230" w:rsidP="0022578E">
      <w:pPr>
        <w:pStyle w:val="BodyTextIndent"/>
        <w:tabs>
          <w:tab w:val="left" w:pos="720"/>
          <w:tab w:val="left" w:pos="3735"/>
        </w:tabs>
        <w:rPr>
          <w:highlight w:val="yellow"/>
        </w:rPr>
      </w:pPr>
      <w:r w:rsidRPr="00D00230">
        <w:rPr>
          <w:noProof/>
          <w:highlight w:val="yellow"/>
        </w:rPr>
        <w:drawing>
          <wp:anchor distT="0" distB="0" distL="114300" distR="114300" simplePos="0" relativeHeight="251746304" behindDoc="1" locked="0" layoutInCell="1" allowOverlap="1">
            <wp:simplePos x="0" y="0"/>
            <wp:positionH relativeFrom="column">
              <wp:posOffset>3976</wp:posOffset>
            </wp:positionH>
            <wp:positionV relativeFrom="paragraph">
              <wp:posOffset>-663</wp:posOffset>
            </wp:positionV>
            <wp:extent cx="5669280" cy="3438902"/>
            <wp:effectExtent l="0" t="0" r="762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9280" cy="34389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78E" w:rsidRDefault="0022578E" w:rsidP="0022578E">
      <w:pPr>
        <w:pStyle w:val="BodyTextIndent"/>
        <w:tabs>
          <w:tab w:val="left" w:pos="720"/>
          <w:tab w:val="left" w:pos="3735"/>
        </w:tabs>
        <w:rPr>
          <w:highlight w:val="yellow"/>
        </w:rPr>
      </w:pPr>
    </w:p>
    <w:p w:rsidR="0022578E" w:rsidRDefault="0022578E" w:rsidP="0022578E">
      <w:pPr>
        <w:pStyle w:val="BodyTextIndent"/>
        <w:tabs>
          <w:tab w:val="left" w:pos="720"/>
          <w:tab w:val="left" w:pos="3735"/>
        </w:tabs>
        <w:rPr>
          <w:highlight w:val="yellow"/>
        </w:rPr>
      </w:pPr>
    </w:p>
    <w:p w:rsidR="0022578E" w:rsidRDefault="0022578E" w:rsidP="0022578E">
      <w:pPr>
        <w:pStyle w:val="BodyTextIndent"/>
        <w:tabs>
          <w:tab w:val="left" w:pos="720"/>
          <w:tab w:val="left" w:pos="3735"/>
        </w:tabs>
        <w:rPr>
          <w:highlight w:val="yellow"/>
        </w:rPr>
      </w:pPr>
    </w:p>
    <w:p w:rsidR="0022578E" w:rsidRDefault="0022578E" w:rsidP="0022578E">
      <w:pPr>
        <w:pStyle w:val="BodyTextIndent"/>
        <w:tabs>
          <w:tab w:val="left" w:pos="720"/>
          <w:tab w:val="left" w:pos="1440"/>
        </w:tabs>
      </w:pPr>
    </w:p>
    <w:p w:rsidR="0022578E" w:rsidRDefault="0022578E" w:rsidP="0022578E">
      <w:pPr>
        <w:pStyle w:val="BodyTextIndent"/>
        <w:tabs>
          <w:tab w:val="left" w:pos="720"/>
          <w:tab w:val="left" w:pos="1440"/>
        </w:tabs>
      </w:pPr>
    </w:p>
    <w:p w:rsidR="0022578E" w:rsidRDefault="0022578E" w:rsidP="0022578E">
      <w:pPr>
        <w:pStyle w:val="BodyTextIndent"/>
        <w:tabs>
          <w:tab w:val="left" w:pos="720"/>
          <w:tab w:val="left" w:pos="1440"/>
        </w:tabs>
      </w:pPr>
    </w:p>
    <w:p w:rsidR="0022578E" w:rsidRDefault="0022578E" w:rsidP="0022578E">
      <w:pPr>
        <w:pStyle w:val="BodyTextIndent"/>
        <w:tabs>
          <w:tab w:val="left" w:pos="720"/>
          <w:tab w:val="left" w:pos="1440"/>
        </w:tabs>
      </w:pPr>
    </w:p>
    <w:p w:rsidR="005026CF" w:rsidRDefault="005026CF" w:rsidP="0022578E">
      <w:pPr>
        <w:pStyle w:val="BodyTextIndent"/>
        <w:tabs>
          <w:tab w:val="left" w:pos="720"/>
          <w:tab w:val="left" w:pos="3735"/>
        </w:tabs>
        <w:ind w:firstLine="720"/>
        <w:rPr>
          <w:rFonts w:ascii="Times New Roman" w:hAnsi="Times New Roman" w:cs="Times New Roman"/>
          <w:b w:val="0"/>
        </w:rPr>
      </w:pPr>
    </w:p>
    <w:p w:rsidR="0022578E" w:rsidRDefault="0071657B" w:rsidP="005026CF">
      <w:pPr>
        <w:pStyle w:val="BodyTextIndent"/>
        <w:tabs>
          <w:tab w:val="left" w:pos="720"/>
          <w:tab w:val="left" w:pos="3735"/>
        </w:tabs>
        <w:ind w:firstLine="720"/>
        <w:rPr>
          <w:rFonts w:ascii="Times New Roman" w:hAnsi="Times New Roman" w:cs="Times New Roman"/>
          <w:b w:val="0"/>
        </w:rPr>
      </w:pPr>
      <w:r>
        <w:rPr>
          <w:rFonts w:ascii="Times New Roman" w:hAnsi="Times New Roman" w:cs="Times New Roman"/>
          <w:b w:val="0"/>
        </w:rPr>
        <w:t xml:space="preserve">As shown in Illustration </w:t>
      </w:r>
      <w:r w:rsidR="00C03F3A">
        <w:rPr>
          <w:rFonts w:ascii="Times New Roman" w:hAnsi="Times New Roman" w:cs="Times New Roman"/>
          <w:b w:val="0"/>
        </w:rPr>
        <w:t xml:space="preserve">No. </w:t>
      </w:r>
      <w:r>
        <w:rPr>
          <w:rFonts w:ascii="Times New Roman" w:hAnsi="Times New Roman" w:cs="Times New Roman"/>
          <w:b w:val="0"/>
        </w:rPr>
        <w:t>20</w:t>
      </w:r>
      <w:r w:rsidR="00FB7301">
        <w:rPr>
          <w:rFonts w:ascii="Times New Roman" w:hAnsi="Times New Roman" w:cs="Times New Roman"/>
          <w:b w:val="0"/>
        </w:rPr>
        <w:t>, use of the K-Factor</w:t>
      </w:r>
      <w:r w:rsidR="0022578E" w:rsidRPr="00043135">
        <w:rPr>
          <w:rFonts w:ascii="Times New Roman" w:hAnsi="Times New Roman" w:cs="Times New Roman"/>
          <w:b w:val="0"/>
        </w:rPr>
        <w:t xml:space="preserve"> </w:t>
      </w:r>
      <w:r w:rsidR="005026CF">
        <w:rPr>
          <w:rFonts w:ascii="Times New Roman" w:hAnsi="Times New Roman" w:cs="Times New Roman"/>
          <w:b w:val="0"/>
        </w:rPr>
        <w:t>from 2016 to Rate Year 1 beginning May 1, 2018</w:t>
      </w:r>
      <w:r w:rsidR="0022578E" w:rsidRPr="00043135">
        <w:rPr>
          <w:rFonts w:ascii="Times New Roman" w:hAnsi="Times New Roman" w:cs="Times New Roman"/>
          <w:b w:val="0"/>
        </w:rPr>
        <w:t xml:space="preserve"> produces </w:t>
      </w:r>
      <w:r w:rsidR="005026CF">
        <w:rPr>
          <w:rFonts w:ascii="Times New Roman" w:hAnsi="Times New Roman" w:cs="Times New Roman"/>
          <w:b w:val="0"/>
        </w:rPr>
        <w:t xml:space="preserve">an electric revenue increase </w:t>
      </w:r>
      <w:r w:rsidR="00410426">
        <w:rPr>
          <w:rFonts w:ascii="Times New Roman" w:hAnsi="Times New Roman" w:cs="Times New Roman"/>
          <w:b w:val="0"/>
        </w:rPr>
        <w:t>of $43.1</w:t>
      </w:r>
      <w:r w:rsidR="0022578E" w:rsidRPr="00043135">
        <w:rPr>
          <w:rFonts w:ascii="Times New Roman" w:hAnsi="Times New Roman" w:cs="Times New Roman"/>
          <w:b w:val="0"/>
        </w:rPr>
        <w:t xml:space="preserve"> million</w:t>
      </w:r>
      <w:r w:rsidR="005026CF">
        <w:rPr>
          <w:rFonts w:ascii="Times New Roman" w:hAnsi="Times New Roman" w:cs="Times New Roman"/>
          <w:b w:val="0"/>
        </w:rPr>
        <w:t>,</w:t>
      </w:r>
      <w:r w:rsidR="0022578E" w:rsidRPr="00043135">
        <w:rPr>
          <w:rFonts w:ascii="Times New Roman" w:hAnsi="Times New Roman" w:cs="Times New Roman"/>
          <w:b w:val="0"/>
        </w:rPr>
        <w:t xml:space="preserve"> </w:t>
      </w:r>
      <w:r w:rsidR="003F0BBF">
        <w:rPr>
          <w:rFonts w:ascii="Times New Roman" w:hAnsi="Times New Roman" w:cs="Times New Roman"/>
          <w:b w:val="0"/>
        </w:rPr>
        <w:t xml:space="preserve">as </w:t>
      </w:r>
      <w:r w:rsidR="005026CF">
        <w:rPr>
          <w:rFonts w:ascii="Times New Roman" w:hAnsi="Times New Roman" w:cs="Times New Roman"/>
          <w:b w:val="0"/>
        </w:rPr>
        <w:t>compared with</w:t>
      </w:r>
      <w:r w:rsidR="0022578E" w:rsidRPr="00043135">
        <w:rPr>
          <w:rFonts w:ascii="Times New Roman" w:hAnsi="Times New Roman" w:cs="Times New Roman"/>
          <w:b w:val="0"/>
        </w:rPr>
        <w:t xml:space="preserve"> the Company’s </w:t>
      </w:r>
      <w:r w:rsidR="005026CF">
        <w:rPr>
          <w:rFonts w:ascii="Times New Roman" w:hAnsi="Times New Roman" w:cs="Times New Roman"/>
          <w:b w:val="0"/>
        </w:rPr>
        <w:t>need for electric rate relief of</w:t>
      </w:r>
      <w:r w:rsidR="00410426">
        <w:rPr>
          <w:rFonts w:ascii="Times New Roman" w:hAnsi="Times New Roman" w:cs="Times New Roman"/>
          <w:b w:val="0"/>
        </w:rPr>
        <w:t xml:space="preserve"> $46.7</w:t>
      </w:r>
      <w:r w:rsidR="003F0BBF">
        <w:rPr>
          <w:rFonts w:ascii="Times New Roman" w:hAnsi="Times New Roman" w:cs="Times New Roman"/>
          <w:b w:val="0"/>
        </w:rPr>
        <w:t xml:space="preserve"> million.  </w:t>
      </w:r>
    </w:p>
    <w:p w:rsidR="000F6050" w:rsidRPr="00D4753C" w:rsidRDefault="000F6050" w:rsidP="000F6050">
      <w:pPr>
        <w:spacing w:line="480" w:lineRule="auto"/>
        <w:ind w:firstLine="720"/>
        <w:jc w:val="both"/>
        <w:rPr>
          <w:b/>
        </w:rPr>
      </w:pPr>
      <w:r w:rsidRPr="00D4753C">
        <w:rPr>
          <w:b/>
        </w:rPr>
        <w:t>Q.</w:t>
      </w:r>
      <w:r w:rsidRPr="00D4753C">
        <w:rPr>
          <w:b/>
        </w:rPr>
        <w:tab/>
      </w:r>
      <w:r>
        <w:rPr>
          <w:b/>
        </w:rPr>
        <w:t>Would you please summarize how the revenue increases proposed by Avista in this case for each year of the Three-Year Rate Plan were developed</w:t>
      </w:r>
      <w:r w:rsidRPr="00D4753C">
        <w:rPr>
          <w:b/>
        </w:rPr>
        <w:t>?</w:t>
      </w:r>
    </w:p>
    <w:p w:rsidR="00430AA9" w:rsidRDefault="000F6050" w:rsidP="00430AA9">
      <w:pPr>
        <w:spacing w:line="480" w:lineRule="auto"/>
        <w:ind w:firstLine="720"/>
        <w:jc w:val="both"/>
      </w:pPr>
      <w:r w:rsidRPr="00D4753C">
        <w:t>A.</w:t>
      </w:r>
      <w:r w:rsidRPr="00D4753C">
        <w:tab/>
      </w:r>
      <w:r w:rsidR="00C03F3A">
        <w:t>Yes.  Illustration Nos.</w:t>
      </w:r>
      <w:r>
        <w:t xml:space="preserve"> </w:t>
      </w:r>
      <w:r w:rsidR="0071657B">
        <w:t>21</w:t>
      </w:r>
      <w:r>
        <w:t xml:space="preserve"> (electric) and </w:t>
      </w:r>
      <w:r w:rsidR="0071657B">
        <w:t>22</w:t>
      </w:r>
      <w:r>
        <w:t xml:space="preserve"> (natural gas) below show how the Company has made use of the studies </w:t>
      </w:r>
      <w:r w:rsidR="00C8794B">
        <w:t>I have summarized above</w:t>
      </w:r>
      <w:r>
        <w:t>.  The proposed electric and natural gas revenue increases for the first year of the rate plan beginning May 1, 2018 were based on the EOP Rate Base Study, while Years 2 and 3 of the Rate Plan were determined from the K-Factor analysis.</w:t>
      </w:r>
      <w:r w:rsidR="00430AA9">
        <w:br w:type="page"/>
      </w:r>
    </w:p>
    <w:p w:rsidR="000F6050" w:rsidRDefault="0071657B" w:rsidP="000F6050">
      <w:pPr>
        <w:jc w:val="both"/>
        <w:rPr>
          <w:b/>
          <w:u w:val="single"/>
        </w:rPr>
      </w:pPr>
      <w:r>
        <w:rPr>
          <w:b/>
          <w:u w:val="single"/>
        </w:rPr>
        <w:lastRenderedPageBreak/>
        <w:t xml:space="preserve">Illustration No. 21 - </w:t>
      </w:r>
      <w:r w:rsidR="000F6050" w:rsidRPr="00C423EC">
        <w:rPr>
          <w:b/>
          <w:u w:val="single"/>
        </w:rPr>
        <w:t xml:space="preserve">Derivation of </w:t>
      </w:r>
      <w:r w:rsidR="000F6050">
        <w:rPr>
          <w:b/>
          <w:u w:val="single"/>
        </w:rPr>
        <w:t xml:space="preserve">Electric </w:t>
      </w:r>
      <w:r w:rsidR="000F6050" w:rsidRPr="00C423EC">
        <w:rPr>
          <w:b/>
          <w:u w:val="single"/>
        </w:rPr>
        <w:t>Revenue Requirement in Three-Year Rate Plan</w:t>
      </w:r>
    </w:p>
    <w:p w:rsidR="000F6050" w:rsidRDefault="000F6050" w:rsidP="000F6050">
      <w:pPr>
        <w:spacing w:line="480" w:lineRule="auto"/>
        <w:jc w:val="both"/>
        <w:rPr>
          <w:b/>
          <w:u w:val="single"/>
        </w:rPr>
      </w:pPr>
      <w:r w:rsidRPr="00471BD2">
        <w:rPr>
          <w:noProof/>
        </w:rPr>
        <w:drawing>
          <wp:anchor distT="0" distB="0" distL="114300" distR="114300" simplePos="0" relativeHeight="251742208" behindDoc="1" locked="0" layoutInCell="1" allowOverlap="1" wp14:anchorId="1B8E8104" wp14:editId="44F83C36">
            <wp:simplePos x="0" y="0"/>
            <wp:positionH relativeFrom="column">
              <wp:posOffset>3976</wp:posOffset>
            </wp:positionH>
            <wp:positionV relativeFrom="paragraph">
              <wp:posOffset>-1657</wp:posOffset>
            </wp:positionV>
            <wp:extent cx="5669280" cy="3249480"/>
            <wp:effectExtent l="0" t="0" r="762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9280" cy="324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050" w:rsidRDefault="000F6050" w:rsidP="000F6050">
      <w:pPr>
        <w:spacing w:line="480" w:lineRule="auto"/>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430AA9" w:rsidRDefault="00430AA9" w:rsidP="000F6050">
      <w:pPr>
        <w:jc w:val="both"/>
        <w:rPr>
          <w:b/>
          <w:u w:val="single"/>
        </w:rPr>
      </w:pPr>
    </w:p>
    <w:p w:rsidR="000F6050" w:rsidRDefault="000F6050" w:rsidP="000F6050">
      <w:pPr>
        <w:jc w:val="both"/>
        <w:rPr>
          <w:b/>
          <w:u w:val="single"/>
        </w:rPr>
      </w:pPr>
      <w:r>
        <w:rPr>
          <w:b/>
          <w:u w:val="single"/>
        </w:rPr>
        <w:t>Illustration</w:t>
      </w:r>
      <w:r w:rsidRPr="00C423EC">
        <w:rPr>
          <w:b/>
          <w:u w:val="single"/>
        </w:rPr>
        <w:t xml:space="preserve"> </w:t>
      </w:r>
      <w:r w:rsidR="0071657B">
        <w:rPr>
          <w:b/>
          <w:u w:val="single"/>
        </w:rPr>
        <w:t xml:space="preserve">No. 22 - </w:t>
      </w:r>
      <w:r w:rsidRPr="00C423EC">
        <w:rPr>
          <w:b/>
          <w:u w:val="single"/>
        </w:rPr>
        <w:t xml:space="preserve">Derivation of </w:t>
      </w:r>
      <w:r>
        <w:rPr>
          <w:b/>
          <w:u w:val="single"/>
        </w:rPr>
        <w:t xml:space="preserve">Natural Gas </w:t>
      </w:r>
      <w:r w:rsidRPr="00C423EC">
        <w:rPr>
          <w:b/>
          <w:u w:val="single"/>
        </w:rPr>
        <w:t>Revenue Requirement in Three-Year Rate Plan</w:t>
      </w:r>
    </w:p>
    <w:p w:rsidR="000F6050" w:rsidRDefault="000F6050" w:rsidP="000F6050">
      <w:pPr>
        <w:spacing w:line="480" w:lineRule="auto"/>
        <w:jc w:val="both"/>
      </w:pPr>
      <w:r w:rsidRPr="00471BD2">
        <w:rPr>
          <w:noProof/>
        </w:rPr>
        <w:drawing>
          <wp:anchor distT="0" distB="0" distL="114300" distR="114300" simplePos="0" relativeHeight="251741184" behindDoc="1" locked="0" layoutInCell="1" allowOverlap="1" wp14:anchorId="022AC195" wp14:editId="3D511C10">
            <wp:simplePos x="0" y="0"/>
            <wp:positionH relativeFrom="column">
              <wp:posOffset>3976</wp:posOffset>
            </wp:positionH>
            <wp:positionV relativeFrom="paragraph">
              <wp:posOffset>304</wp:posOffset>
            </wp:positionV>
            <wp:extent cx="5669280" cy="3189271"/>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69280" cy="31892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050" w:rsidRPr="00C423EC" w:rsidRDefault="000F6050" w:rsidP="000F6050">
      <w:pPr>
        <w:spacing w:line="480" w:lineRule="auto"/>
        <w:jc w:val="both"/>
        <w:rPr>
          <w:b/>
          <w:u w:val="single"/>
        </w:rPr>
      </w:pPr>
    </w:p>
    <w:p w:rsidR="000F6050" w:rsidRDefault="000F6050" w:rsidP="000F6050">
      <w:pPr>
        <w:pStyle w:val="BodyTextIndent"/>
        <w:tabs>
          <w:tab w:val="left" w:pos="1440"/>
        </w:tabs>
        <w:ind w:firstLine="720"/>
      </w:pPr>
    </w:p>
    <w:p w:rsidR="000F6050" w:rsidRDefault="000F6050" w:rsidP="000F6050">
      <w:pPr>
        <w:pStyle w:val="BodyTextIndent"/>
        <w:tabs>
          <w:tab w:val="left" w:pos="1440"/>
        </w:tabs>
        <w:ind w:firstLine="720"/>
      </w:pPr>
    </w:p>
    <w:p w:rsidR="000F6050" w:rsidRDefault="000F6050" w:rsidP="000F6050">
      <w:pPr>
        <w:pStyle w:val="BodyTextIndent"/>
        <w:tabs>
          <w:tab w:val="left" w:pos="1440"/>
        </w:tabs>
        <w:ind w:firstLine="720"/>
      </w:pPr>
    </w:p>
    <w:p w:rsidR="000F6050" w:rsidRDefault="000F6050" w:rsidP="000F6050">
      <w:pPr>
        <w:pStyle w:val="BodyTextIndent"/>
        <w:tabs>
          <w:tab w:val="left" w:pos="1440"/>
        </w:tabs>
        <w:ind w:firstLine="720"/>
      </w:pPr>
    </w:p>
    <w:p w:rsidR="000F6050" w:rsidRDefault="000F6050" w:rsidP="000F6050">
      <w:pPr>
        <w:pStyle w:val="BodyTextIndent"/>
        <w:tabs>
          <w:tab w:val="left" w:pos="1440"/>
        </w:tabs>
        <w:ind w:firstLine="720"/>
      </w:pPr>
    </w:p>
    <w:p w:rsidR="000F6050" w:rsidRDefault="000F6050" w:rsidP="000F6050">
      <w:pPr>
        <w:pStyle w:val="BodyTextIndent"/>
        <w:tabs>
          <w:tab w:val="left" w:pos="720"/>
          <w:tab w:val="left" w:pos="3735"/>
        </w:tabs>
        <w:ind w:firstLine="720"/>
        <w:rPr>
          <w:rFonts w:ascii="Times New Roman" w:hAnsi="Times New Roman" w:cs="Times New Roman"/>
          <w:b w:val="0"/>
        </w:rPr>
      </w:pPr>
    </w:p>
    <w:p w:rsidR="000F6050" w:rsidRDefault="000F6050" w:rsidP="000F6050">
      <w:pPr>
        <w:pStyle w:val="BodyTextIndent"/>
        <w:tabs>
          <w:tab w:val="left" w:pos="1440"/>
        </w:tabs>
        <w:ind w:firstLine="720"/>
        <w:jc w:val="both"/>
        <w:rPr>
          <w:rStyle w:val="LineNumber"/>
          <w:b w:val="0"/>
        </w:rPr>
      </w:pPr>
    </w:p>
    <w:p w:rsidR="000F6050" w:rsidRDefault="000F6050" w:rsidP="000F6050">
      <w:pPr>
        <w:pStyle w:val="BodyTextIndent"/>
        <w:tabs>
          <w:tab w:val="left" w:pos="1440"/>
        </w:tabs>
        <w:ind w:firstLine="720"/>
        <w:jc w:val="both"/>
        <w:rPr>
          <w:rStyle w:val="LineNumber"/>
          <w:b w:val="0"/>
        </w:rPr>
      </w:pPr>
      <w:r>
        <w:rPr>
          <w:rStyle w:val="LineNumber"/>
          <w:b w:val="0"/>
        </w:rPr>
        <w:lastRenderedPageBreak/>
        <w:t>The results of the Traditional Pro Forma Study, on its own, does not provide sufficient revenues for the rate year beginning May 1, 2018.  Through the EOP Rate Base Study, Avista employed familiar ratemaking tools, including end of period rate base at December 31, 2017, and an adjusted capital structure, in order to arrive at an end result that is fair to customers and fair to the Company for the rate year beginning May 1, 2018.  This EOP Rate Base Study starts with the results of the Traditional Pro Forma Study, and then adds 2017 EOP rate base and the adjusted capital structure.</w:t>
      </w:r>
    </w:p>
    <w:p w:rsidR="000F6050" w:rsidRDefault="000F6050" w:rsidP="000F6050">
      <w:pPr>
        <w:pStyle w:val="BodyTextIndent"/>
        <w:tabs>
          <w:tab w:val="left" w:pos="1440"/>
        </w:tabs>
        <w:ind w:firstLine="720"/>
        <w:jc w:val="both"/>
        <w:rPr>
          <w:rStyle w:val="LineNumber"/>
          <w:b w:val="0"/>
        </w:rPr>
      </w:pPr>
      <w:r>
        <w:rPr>
          <w:rStyle w:val="LineNumber"/>
          <w:b w:val="0"/>
        </w:rPr>
        <w:t>Avista’s proposed Three-Year Rate Plan beginning May 1, 2018, involves a stay-out period, such that Avista would not file another general rate case prior to June 1, 2020.  To accomplish this multi-year rate plan, Avista used a K-Factor to determine the revenue increases for years 2 and 3 of the Three-Year Rate Plan.  The use of a K-Factor, a fixed annual escalation factor, has previously been employed by this Commission to accomplish a multi-year rate plan (and stay-out period) for Puget Sound Energy, as indicated below:</w:t>
      </w:r>
    </w:p>
    <w:p w:rsidR="000F6050" w:rsidRDefault="000F6050" w:rsidP="000F6050">
      <w:pPr>
        <w:pStyle w:val="BodyTextIndent"/>
        <w:tabs>
          <w:tab w:val="left" w:pos="1440"/>
        </w:tabs>
        <w:spacing w:line="240" w:lineRule="auto"/>
        <w:ind w:left="720"/>
        <w:jc w:val="both"/>
        <w:rPr>
          <w:rStyle w:val="LineNumber"/>
          <w:b w:val="0"/>
        </w:rPr>
      </w:pPr>
      <w:r>
        <w:rPr>
          <w:rStyle w:val="LineNumber"/>
          <w:b w:val="0"/>
        </w:rPr>
        <w:t>The use of fixed annual escalation factors to adjust PSE’s rates is a viable approach to reduce the impacts of regulatory lag and attrition during a multi-year general rate case stay-out period.  The escalation factors provide PSE an improved opportunity to earn its authorized return, but are set at levels that will require PSE to improve the efficiency of its operations if it is to actually earn its authorized return.  This is a critically important consideration underlying our approval of the rate plan.</w:t>
      </w:r>
      <w:r>
        <w:rPr>
          <w:rStyle w:val="FootnoteReference"/>
          <w:rFonts w:ascii="Times New Roman" w:hAnsi="Times New Roman"/>
          <w:b w:val="0"/>
        </w:rPr>
        <w:footnoteReference w:id="22"/>
      </w:r>
    </w:p>
    <w:p w:rsidR="000F6050" w:rsidRDefault="000F6050" w:rsidP="000F6050">
      <w:pPr>
        <w:pStyle w:val="BodyTextIndent"/>
        <w:tabs>
          <w:tab w:val="left" w:pos="1440"/>
        </w:tabs>
        <w:ind w:firstLine="720"/>
        <w:jc w:val="both"/>
        <w:rPr>
          <w:rStyle w:val="LineNumber"/>
          <w:b w:val="0"/>
        </w:rPr>
      </w:pPr>
    </w:p>
    <w:p w:rsidR="000F6050" w:rsidRPr="005B51E2" w:rsidRDefault="000F6050" w:rsidP="000F6050">
      <w:pPr>
        <w:pStyle w:val="BodyTextIndent"/>
        <w:ind w:firstLine="720"/>
        <w:jc w:val="both"/>
        <w:rPr>
          <w:rFonts w:ascii="Times New Roman" w:hAnsi="Times New Roman" w:cs="Times New Roman"/>
          <w:b w:val="0"/>
        </w:rPr>
      </w:pPr>
      <w:r>
        <w:rPr>
          <w:rStyle w:val="LineNumber"/>
          <w:b w:val="0"/>
        </w:rPr>
        <w:t xml:space="preserve">The Company has proposed some “checks and balances” to ensure that retail rates for the duration of the multi-year rate plan are fair for customers.  </w:t>
      </w:r>
      <w:r>
        <w:rPr>
          <w:rFonts w:ascii="Times New Roman" w:hAnsi="Times New Roman" w:cs="Times New Roman"/>
          <w:b w:val="0"/>
        </w:rPr>
        <w:t>Through the existing</w:t>
      </w:r>
      <w:r w:rsidRPr="005B5D30">
        <w:rPr>
          <w:rFonts w:ascii="Times New Roman" w:hAnsi="Times New Roman" w:cs="Times New Roman"/>
          <w:b w:val="0"/>
        </w:rPr>
        <w:t xml:space="preserve"> </w:t>
      </w:r>
      <w:r>
        <w:rPr>
          <w:rFonts w:ascii="Times New Roman" w:hAnsi="Times New Roman" w:cs="Times New Roman"/>
          <w:b w:val="0"/>
        </w:rPr>
        <w:t>one-way earnings tests</w:t>
      </w:r>
      <w:r w:rsidRPr="005B5D30">
        <w:rPr>
          <w:rFonts w:ascii="Times New Roman" w:hAnsi="Times New Roman" w:cs="Times New Roman"/>
          <w:b w:val="0"/>
        </w:rPr>
        <w:t xml:space="preserve"> for each of its Washington electr</w:t>
      </w:r>
      <w:r>
        <w:rPr>
          <w:rFonts w:ascii="Times New Roman" w:hAnsi="Times New Roman" w:cs="Times New Roman"/>
          <w:b w:val="0"/>
        </w:rPr>
        <w:t>ic and natural gas operations, i</w:t>
      </w:r>
      <w:r w:rsidRPr="005B5D30">
        <w:rPr>
          <w:rFonts w:ascii="Times New Roman" w:hAnsi="Times New Roman" w:cs="Times New Roman"/>
          <w:b w:val="0"/>
        </w:rPr>
        <w:t xml:space="preserve">f Avista were to over-earn during the Three-Year Rate Plan, Avista </w:t>
      </w:r>
      <w:r>
        <w:rPr>
          <w:rFonts w:ascii="Times New Roman" w:hAnsi="Times New Roman" w:cs="Times New Roman"/>
          <w:b w:val="0"/>
        </w:rPr>
        <w:t>would share half of the</w:t>
      </w:r>
      <w:r w:rsidRPr="005B5D30">
        <w:rPr>
          <w:rFonts w:ascii="Times New Roman" w:hAnsi="Times New Roman" w:cs="Times New Roman"/>
          <w:b w:val="0"/>
        </w:rPr>
        <w:t xml:space="preserve"> overearnings, </w:t>
      </w:r>
      <w:r w:rsidRPr="005B5D30">
        <w:rPr>
          <w:rFonts w:ascii="Times New Roman" w:hAnsi="Times New Roman" w:cs="Times New Roman"/>
          <w:b w:val="0"/>
        </w:rPr>
        <w:lastRenderedPageBreak/>
        <w:t>protecting customers.  However, if Avista under-earns there is no protection for the Co</w:t>
      </w:r>
      <w:r>
        <w:rPr>
          <w:rFonts w:ascii="Times New Roman" w:hAnsi="Times New Roman" w:cs="Times New Roman"/>
          <w:b w:val="0"/>
        </w:rPr>
        <w:t>mpany under these circumstances;</w:t>
      </w:r>
      <w:r w:rsidRPr="005B5D30">
        <w:rPr>
          <w:rFonts w:ascii="Times New Roman" w:hAnsi="Times New Roman" w:cs="Times New Roman"/>
          <w:b w:val="0"/>
        </w:rPr>
        <w:t xml:space="preserve"> Avista simpl</w:t>
      </w:r>
      <w:r>
        <w:rPr>
          <w:rFonts w:ascii="Times New Roman" w:hAnsi="Times New Roman" w:cs="Times New Roman"/>
          <w:b w:val="0"/>
        </w:rPr>
        <w:t>y would not</w:t>
      </w:r>
      <w:r w:rsidRPr="005B5D30">
        <w:rPr>
          <w:rFonts w:ascii="Times New Roman" w:hAnsi="Times New Roman" w:cs="Times New Roman"/>
          <w:b w:val="0"/>
        </w:rPr>
        <w:t xml:space="preserve"> earn its authorized rate of return.</w:t>
      </w:r>
    </w:p>
    <w:p w:rsidR="000F6050" w:rsidRPr="00932774" w:rsidRDefault="000F6050" w:rsidP="000F6050">
      <w:pPr>
        <w:pStyle w:val="BodyTextIndent"/>
        <w:tabs>
          <w:tab w:val="left" w:pos="1440"/>
        </w:tabs>
        <w:ind w:firstLine="720"/>
        <w:jc w:val="both"/>
        <w:rPr>
          <w:rFonts w:ascii="Times New Roman" w:hAnsi="Times New Roman" w:cs="Times New Roman"/>
          <w:b w:val="0"/>
        </w:rPr>
      </w:pPr>
      <w:r w:rsidRPr="00AD30CC">
        <w:rPr>
          <w:rFonts w:ascii="Times New Roman" w:hAnsi="Times New Roman" w:cs="Times New Roman"/>
          <w:b w:val="0"/>
        </w:rPr>
        <w:t>In addition, for Rate Years 2 and 3</w:t>
      </w:r>
      <w:r>
        <w:rPr>
          <w:rFonts w:ascii="Times New Roman" w:hAnsi="Times New Roman" w:cs="Times New Roman"/>
          <w:b w:val="0"/>
        </w:rPr>
        <w:t>, beginning</w:t>
      </w:r>
      <w:r w:rsidRPr="00AD30CC">
        <w:rPr>
          <w:rFonts w:ascii="Times New Roman" w:hAnsi="Times New Roman" w:cs="Times New Roman"/>
          <w:b w:val="0"/>
        </w:rPr>
        <w:t xml:space="preserve"> May 1, 2019 and May 1, 2020, the Compan</w:t>
      </w:r>
      <w:r>
        <w:rPr>
          <w:rFonts w:ascii="Times New Roman" w:hAnsi="Times New Roman" w:cs="Times New Roman"/>
          <w:b w:val="0"/>
        </w:rPr>
        <w:t>y is proposing to file with the</w:t>
      </w:r>
      <w:r w:rsidRPr="00AD30CC">
        <w:rPr>
          <w:rFonts w:ascii="Times New Roman" w:hAnsi="Times New Roman" w:cs="Times New Roman"/>
          <w:b w:val="0"/>
        </w:rPr>
        <w:t xml:space="preserve"> Commission an Annual Washington Electric and Natural Gas Capital Report by February 15, 2019 and February 15, 2</w:t>
      </w:r>
      <w:r>
        <w:rPr>
          <w:rFonts w:ascii="Times New Roman" w:hAnsi="Times New Roman" w:cs="Times New Roman"/>
          <w:b w:val="0"/>
        </w:rPr>
        <w:t>020</w:t>
      </w:r>
      <w:r w:rsidRPr="00AD30CC">
        <w:rPr>
          <w:rFonts w:ascii="Times New Roman" w:hAnsi="Times New Roman" w:cs="Times New Roman"/>
          <w:b w:val="0"/>
        </w:rPr>
        <w:t>.  The annual report would provide actual year-end (e</w:t>
      </w:r>
      <w:r>
        <w:rPr>
          <w:rFonts w:ascii="Times New Roman" w:hAnsi="Times New Roman" w:cs="Times New Roman"/>
          <w:b w:val="0"/>
        </w:rPr>
        <w:t>nd of period</w:t>
      </w:r>
      <w:r w:rsidRPr="00AD30CC">
        <w:rPr>
          <w:rFonts w:ascii="Times New Roman" w:hAnsi="Times New Roman" w:cs="Times New Roman"/>
          <w:b w:val="0"/>
        </w:rPr>
        <w:t>) rate base balances as of December 31</w:t>
      </w:r>
      <w:r w:rsidRPr="00AD30CC">
        <w:rPr>
          <w:rFonts w:ascii="Times New Roman" w:hAnsi="Times New Roman" w:cs="Times New Roman"/>
          <w:b w:val="0"/>
          <w:vertAlign w:val="superscript"/>
        </w:rPr>
        <w:t>st</w:t>
      </w:r>
      <w:r w:rsidRPr="00AD30CC">
        <w:rPr>
          <w:rFonts w:ascii="Times New Roman" w:hAnsi="Times New Roman" w:cs="Times New Roman"/>
          <w:b w:val="0"/>
        </w:rPr>
        <w:t xml:space="preserve"> of the recently completed year.  This would provide assurance to the Commission that the rate increases approved effective May 1, 2019 and May 1, 2020, would include utility plant that is in-service serving customers prior to new rates going into effect.</w:t>
      </w:r>
      <w:r w:rsidRPr="000F6050">
        <w:rPr>
          <w:rStyle w:val="FootnoteReference"/>
          <w:b w:val="0"/>
        </w:rPr>
        <w:t xml:space="preserve"> </w:t>
      </w:r>
    </w:p>
    <w:p w:rsidR="001F1E6D" w:rsidRDefault="001F1E6D" w:rsidP="005026CF">
      <w:pPr>
        <w:pStyle w:val="BodyTextIndent"/>
        <w:tabs>
          <w:tab w:val="left" w:pos="720"/>
          <w:tab w:val="left" w:pos="3735"/>
        </w:tabs>
        <w:ind w:firstLine="720"/>
        <w:rPr>
          <w:rFonts w:ascii="Times New Roman" w:hAnsi="Times New Roman" w:cs="Times New Roman"/>
          <w:b w:val="0"/>
        </w:rPr>
      </w:pPr>
    </w:p>
    <w:p w:rsidR="00AA4BEA" w:rsidRPr="006B3866" w:rsidRDefault="00AA4BEA" w:rsidP="00AA4BEA">
      <w:pPr>
        <w:pStyle w:val="TestBody"/>
        <w:spacing w:line="480" w:lineRule="auto"/>
        <w:ind w:left="0" w:firstLine="0"/>
        <w:jc w:val="center"/>
        <w:rPr>
          <w:rFonts w:ascii="Times New Roman" w:hAnsi="Times New Roman" w:cs="Times New Roman"/>
          <w:b/>
          <w:bCs/>
          <w:u w:val="single"/>
        </w:rPr>
      </w:pPr>
      <w:r>
        <w:rPr>
          <w:rFonts w:ascii="Times New Roman" w:hAnsi="Times New Roman" w:cs="Times New Roman"/>
          <w:b/>
          <w:bCs/>
          <w:u w:val="single"/>
        </w:rPr>
        <w:t>VII. UTILITY INTO</w:t>
      </w:r>
      <w:r w:rsidRPr="006B3866">
        <w:rPr>
          <w:rFonts w:ascii="Times New Roman" w:hAnsi="Times New Roman" w:cs="Times New Roman"/>
          <w:b/>
          <w:bCs/>
          <w:u w:val="single"/>
        </w:rPr>
        <w:t xml:space="preserve"> THE FUTURE</w:t>
      </w:r>
    </w:p>
    <w:p w:rsidR="00AA4BEA" w:rsidRPr="00345A0E" w:rsidRDefault="00AA4BEA" w:rsidP="00AA4BEA">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Pr>
          <w:rFonts w:ascii="Times New Roman" w:hAnsi="Times New Roman" w:cs="Times New Roman"/>
          <w:b/>
          <w:bCs/>
        </w:rPr>
        <w:t>What steps is Avista taking to meet the needs and expectations of its customers, both now and into the future?</w:t>
      </w:r>
    </w:p>
    <w:p w:rsidR="00AA4BEA" w:rsidRDefault="00AA4BEA" w:rsidP="00AA4BEA">
      <w:pPr>
        <w:tabs>
          <w:tab w:val="left" w:pos="0"/>
        </w:tabs>
        <w:spacing w:line="480" w:lineRule="auto"/>
        <w:ind w:firstLine="720"/>
        <w:jc w:val="both"/>
        <w:rPr>
          <w:bCs/>
        </w:rPr>
      </w:pPr>
      <w:r w:rsidRPr="00345A0E">
        <w:rPr>
          <w:bCs/>
        </w:rPr>
        <w:t>A.</w:t>
      </w:r>
      <w:r w:rsidRPr="00345A0E">
        <w:rPr>
          <w:bCs/>
        </w:rPr>
        <w:tab/>
      </w:r>
      <w:r>
        <w:rPr>
          <w:bCs/>
        </w:rPr>
        <w:t xml:space="preserve">Avista continues to partner with its customers and other stakeholders to change and adapt its operations, and its utility infrastructure, to meet the needs and expectations of not only our customers, but all of our stakeholders.  </w:t>
      </w:r>
    </w:p>
    <w:p w:rsidR="00AA4BEA" w:rsidRDefault="00AA4BEA" w:rsidP="00AA4BEA">
      <w:pPr>
        <w:tabs>
          <w:tab w:val="left" w:pos="0"/>
        </w:tabs>
        <w:spacing w:line="480" w:lineRule="auto"/>
        <w:ind w:firstLine="720"/>
        <w:jc w:val="both"/>
        <w:rPr>
          <w:bCs/>
        </w:rPr>
      </w:pPr>
      <w:r>
        <w:rPr>
          <w:bCs/>
        </w:rPr>
        <w:t>We are continuing to build on the recent advancements in products, services and changes in our operations.  Many of the recent changes were developed and implemented in partnership with the Commission Staff, Public Counsel, low income agencies, and representatives of other customer groups.</w:t>
      </w:r>
      <w:r w:rsidRPr="00F613F8">
        <w:rPr>
          <w:rStyle w:val="FootnoteReference"/>
          <w:bCs/>
        </w:rPr>
        <w:t xml:space="preserve"> </w:t>
      </w:r>
    </w:p>
    <w:p w:rsidR="00AA4BEA" w:rsidRDefault="00AA4BEA" w:rsidP="00AA4BEA">
      <w:pPr>
        <w:tabs>
          <w:tab w:val="left" w:pos="0"/>
        </w:tabs>
        <w:spacing w:line="480" w:lineRule="auto"/>
        <w:ind w:firstLine="720"/>
        <w:jc w:val="both"/>
        <w:rPr>
          <w:bCs/>
        </w:rPr>
      </w:pPr>
      <w:r>
        <w:rPr>
          <w:bCs/>
        </w:rPr>
        <w:t xml:space="preserve">Although in these and other regulatory proceedings we may find ourselves on “opposite sides of the table,” so to speak, in litigating or negotiating outcomes, we all share the same ultimate interests and goals; to provide Avista’s customers with safe, reliable service </w:t>
      </w:r>
      <w:r>
        <w:rPr>
          <w:bCs/>
        </w:rPr>
        <w:lastRenderedPageBreak/>
        <w:t xml:space="preserve">at the lowest reasonable cost, while at the same time providing a fair rate of return on investment for shareholders.  </w:t>
      </w:r>
    </w:p>
    <w:p w:rsidR="00AA4BEA" w:rsidRDefault="00AA4BEA" w:rsidP="00AA4BEA">
      <w:pPr>
        <w:tabs>
          <w:tab w:val="left" w:pos="0"/>
        </w:tabs>
        <w:spacing w:line="480" w:lineRule="auto"/>
        <w:ind w:firstLine="720"/>
        <w:jc w:val="both"/>
        <w:rPr>
          <w:bCs/>
        </w:rPr>
      </w:pPr>
      <w:r>
        <w:rPr>
          <w:bCs/>
        </w:rPr>
        <w:t>Some examples of the recent advancements and improvements for our customers are summarized below and others are discussed in more detail in Company witness Mr. Christie’s direct testimony.  These are just the beginning of what is to come as we partner with our customers and our other stakeholders in developing an energy future where we use energy efficiently and minimize the impact on our environment.</w:t>
      </w:r>
    </w:p>
    <w:p w:rsidR="00AA4BEA" w:rsidRPr="009A4F6C" w:rsidRDefault="00AA4BEA" w:rsidP="00AA4BEA">
      <w:pPr>
        <w:ind w:left="720"/>
        <w:jc w:val="both"/>
        <w:rPr>
          <w:bCs/>
        </w:rPr>
      </w:pPr>
      <w:r w:rsidRPr="004F5587">
        <w:rPr>
          <w:b/>
          <w:bCs/>
        </w:rPr>
        <w:t>Community Solar Project</w:t>
      </w:r>
      <w:r>
        <w:rPr>
          <w:b/>
          <w:bCs/>
        </w:rPr>
        <w:t xml:space="preserve">:  </w:t>
      </w:r>
      <w:r w:rsidRPr="00BC3393">
        <w:rPr>
          <w:bCs/>
        </w:rPr>
        <w:t xml:space="preserve">Avista’s </w:t>
      </w:r>
      <w:r>
        <w:rPr>
          <w:bCs/>
        </w:rPr>
        <w:t xml:space="preserve">community solar project was </w:t>
      </w:r>
      <w:r>
        <w:t xml:space="preserve">built on land the Company owns in Spokane Valley, Washington. Customers who elected to participate in the project were asked to make an upfront contribution equal to their portion of the overall project costs, including both initial costs and ongoing costs, such as operation, maintenance, administrative, etc., that will be incurred throughout the life of the program.  </w:t>
      </w:r>
      <w:r>
        <w:rPr>
          <w:bCs/>
        </w:rPr>
        <w:t xml:space="preserve">This community solar program was open to both residential and non-residential customers in Washington and participation was voluntary. The project consists of six separate solar arrays, with 252 panels each, for a total of 1,512 panels.  Each panel is rated at approximately 280 Watts, resulting in a total generating capability of the community solar array of 423 kilowatts, or a little less than one-half megawatt.  </w:t>
      </w:r>
      <w:r>
        <w:t>Customers are receiving a credit on their monthly bills based on the actual generation from the panels.  The project has provided the opportunity for Washington customers to participate directly in solar generation, without having the solar equipment at their premise.</w:t>
      </w:r>
    </w:p>
    <w:p w:rsidR="00AA4BEA" w:rsidRDefault="00AA4BEA" w:rsidP="00AA4BEA">
      <w:pPr>
        <w:ind w:left="720"/>
        <w:jc w:val="both"/>
        <w:rPr>
          <w:bCs/>
        </w:rPr>
      </w:pPr>
    </w:p>
    <w:p w:rsidR="00AA4BEA" w:rsidRDefault="00AA4BEA" w:rsidP="00AA4BEA">
      <w:pPr>
        <w:ind w:left="720"/>
        <w:jc w:val="both"/>
        <w:rPr>
          <w:bCs/>
        </w:rPr>
      </w:pPr>
      <w:r w:rsidRPr="004D62A0">
        <w:rPr>
          <w:b/>
          <w:bCs/>
        </w:rPr>
        <w:t>Battery Electricity Storage at Schweitzer Engineering Laboratories:</w:t>
      </w:r>
      <w:r>
        <w:rPr>
          <w:bCs/>
        </w:rPr>
        <w:t xml:space="preserve"> Avista’s Energy Storage project builds upon the technology upgrades in Pullman, Washington, and is part of the Company’s investment into research that will improve power system reliability by addressing one of the biggest challenges facing the energy industry – how to integrate power generated from intermittent renewable sources such as wind and solar into the electrical grid. The 1 MW, 3.2 MWh large-scale battery storage system uses batteries manufactured in Washington in a real-world setting at Schweitzer Engineering Laboratories in Pullman.  The system went online in 2015, and is the result of a partnership between Avista and the State of Washington, with both parties contributing funding for the project.  Batteries such as this one provide the capability to store power generated by renewable sources when it’s abundant, for example when the wind is blowing, and distribute energy when it’s needed, regardless of weather patterns.</w:t>
      </w:r>
    </w:p>
    <w:p w:rsidR="00AA4BEA" w:rsidRDefault="00AA4BEA" w:rsidP="00AA4BEA">
      <w:pPr>
        <w:tabs>
          <w:tab w:val="left" w:pos="0"/>
        </w:tabs>
        <w:ind w:firstLine="720"/>
        <w:jc w:val="both"/>
        <w:rPr>
          <w:bCs/>
        </w:rPr>
      </w:pPr>
    </w:p>
    <w:p w:rsidR="00AA4BEA" w:rsidRDefault="00AA4BEA" w:rsidP="00AA4BEA">
      <w:pPr>
        <w:ind w:left="720"/>
        <w:jc w:val="both"/>
        <w:rPr>
          <w:bCs/>
        </w:rPr>
      </w:pPr>
      <w:r w:rsidRPr="004D62A0">
        <w:rPr>
          <w:b/>
          <w:bCs/>
        </w:rPr>
        <w:t>Electric Vehicle Charging Equipment Pilot:</w:t>
      </w:r>
      <w:r>
        <w:rPr>
          <w:bCs/>
        </w:rPr>
        <w:t xml:space="preserve"> </w:t>
      </w:r>
      <w:r>
        <w:t>In April 2016, the Commission approved</w:t>
      </w:r>
      <w:r w:rsidRPr="008F7D89">
        <w:t xml:space="preserve"> a two-year pilot program </w:t>
      </w:r>
      <w:r>
        <w:t xml:space="preserve">in Washington </w:t>
      </w:r>
      <w:r w:rsidRPr="008F7D89">
        <w:t xml:space="preserve">to install </w:t>
      </w:r>
      <w:r>
        <w:t xml:space="preserve">AC </w:t>
      </w:r>
      <w:r w:rsidRPr="008F7D89">
        <w:t>Level 2 E</w:t>
      </w:r>
      <w:r>
        <w:t xml:space="preserve">lectric </w:t>
      </w:r>
      <w:r w:rsidRPr="008F7D89">
        <w:lastRenderedPageBreak/>
        <w:t>V</w:t>
      </w:r>
      <w:r>
        <w:t xml:space="preserve">ehicle </w:t>
      </w:r>
      <w:r w:rsidRPr="008F7D89">
        <w:t>S</w:t>
      </w:r>
      <w:r>
        <w:t xml:space="preserve">upply </w:t>
      </w:r>
      <w:r w:rsidRPr="008F7D89">
        <w:t>E</w:t>
      </w:r>
      <w:r>
        <w:t>quipment (EVSE)</w:t>
      </w:r>
      <w:r w:rsidRPr="008B64D4">
        <w:t xml:space="preserve"> as a means to better understand E</w:t>
      </w:r>
      <w:r>
        <w:t xml:space="preserve">lectric </w:t>
      </w:r>
      <w:r w:rsidRPr="008B64D4">
        <w:t>V</w:t>
      </w:r>
      <w:r>
        <w:t>ehicle</w:t>
      </w:r>
      <w:r w:rsidRPr="008B64D4">
        <w:t xml:space="preserve"> </w:t>
      </w:r>
      <w:r>
        <w:t xml:space="preserve">(EV) </w:t>
      </w:r>
      <w:r w:rsidRPr="008B64D4">
        <w:t>charging at hom</w:t>
      </w:r>
      <w:r>
        <w:t>e, at work and in public areas, i.e.,</w:t>
      </w:r>
      <w:r w:rsidRPr="008B64D4">
        <w:t xml:space="preserve"> what is needed, what is effective, and how it may affect the grid in the future.  </w:t>
      </w:r>
      <w:r>
        <w:t>The pilot is helping Avista better understand how to maximize</w:t>
      </w:r>
      <w:r w:rsidRPr="008B64D4">
        <w:t xml:space="preserve"> the benefits of EVs for all our customers in </w:t>
      </w:r>
      <w:r>
        <w:t>the years ahead, as well as supporting a cleaner environment through the increased use of EVs in the Spokane area.</w:t>
      </w:r>
      <w:r w:rsidRPr="008B64D4">
        <w:t xml:space="preserve">  By installing a limited number of EVSE in beneficial workplace and public areas, we will also help support greater EV adoption in our service territory and pave the way for effective long-term programs.</w:t>
      </w:r>
      <w:r w:rsidRPr="008F7D89">
        <w:t xml:space="preserve">  In addition to the Level 2 EVSE installations, Avista is install</w:t>
      </w:r>
      <w:r>
        <w:t>ing</w:t>
      </w:r>
      <w:r w:rsidRPr="008F7D89">
        <w:t xml:space="preserve"> DC Fast Charging EVSE at seven locations as part of the pilot program.</w:t>
      </w:r>
    </w:p>
    <w:p w:rsidR="00AA4BEA" w:rsidRDefault="00AA4BEA" w:rsidP="00AA4BEA">
      <w:pPr>
        <w:spacing w:line="480" w:lineRule="auto"/>
        <w:ind w:left="720"/>
        <w:jc w:val="both"/>
        <w:rPr>
          <w:bCs/>
        </w:rPr>
      </w:pPr>
    </w:p>
    <w:p w:rsidR="00AA4BEA" w:rsidRPr="00345A0E" w:rsidRDefault="00AA4BEA" w:rsidP="00AA4BEA">
      <w:pPr>
        <w:spacing w:line="480" w:lineRule="auto"/>
        <w:ind w:right="144"/>
        <w:jc w:val="center"/>
        <w:rPr>
          <w:b/>
          <w:u w:val="single"/>
        </w:rPr>
      </w:pPr>
      <w:r w:rsidRPr="00345A0E">
        <w:rPr>
          <w:b/>
          <w:u w:val="single"/>
        </w:rPr>
        <w:t>V</w:t>
      </w:r>
      <w:r>
        <w:rPr>
          <w:b/>
          <w:u w:val="single"/>
        </w:rPr>
        <w:t>III</w:t>
      </w:r>
      <w:r w:rsidRPr="00345A0E">
        <w:rPr>
          <w:b/>
          <w:u w:val="single"/>
        </w:rPr>
        <w:t>. COMMUNICATIONS WITH CUSTOMERS</w:t>
      </w:r>
    </w:p>
    <w:p w:rsidR="00AA4BEA" w:rsidRPr="00345A0E" w:rsidRDefault="00AA4BEA" w:rsidP="00AA4BEA">
      <w:pPr>
        <w:tabs>
          <w:tab w:val="left" w:pos="0"/>
        </w:tabs>
        <w:spacing w:line="480" w:lineRule="auto"/>
        <w:ind w:firstLine="720"/>
        <w:rPr>
          <w:b/>
          <w:bCs/>
        </w:rPr>
      </w:pPr>
      <w:r w:rsidRPr="00345A0E">
        <w:rPr>
          <w:b/>
          <w:bCs/>
        </w:rPr>
        <w:t>Q.</w:t>
      </w:r>
      <w:r w:rsidRPr="00345A0E">
        <w:rPr>
          <w:b/>
          <w:bCs/>
        </w:rPr>
        <w:tab/>
        <w:t xml:space="preserve">How is Avista communicating with its customers to explain what is driving increased costs for the Company? </w:t>
      </w:r>
    </w:p>
    <w:p w:rsidR="00AA4BEA" w:rsidRPr="00345A0E" w:rsidRDefault="00AA4BEA" w:rsidP="00AA4BEA">
      <w:pPr>
        <w:tabs>
          <w:tab w:val="left" w:pos="0"/>
        </w:tabs>
        <w:spacing w:line="480" w:lineRule="auto"/>
        <w:ind w:firstLine="720"/>
        <w:jc w:val="both"/>
      </w:pPr>
      <w:r w:rsidRPr="00345A0E">
        <w:t>A.</w:t>
      </w:r>
      <w:r w:rsidRPr="00345A0E">
        <w:tab/>
        <w:t xml:space="preserve">The Company proactively communicates with its </w:t>
      </w:r>
      <w:r>
        <w:t xml:space="preserve">customers in a number of ways: </w:t>
      </w:r>
      <w:r w:rsidRPr="00345A0E">
        <w:t xml:space="preserve">customer forums, one-on-one customer interactions through field personnel and account representatives, bill inserts, </w:t>
      </w:r>
      <w:r>
        <w:t xml:space="preserve">social media, </w:t>
      </w:r>
      <w:r w:rsidRPr="00345A0E">
        <w:t>media contacts, group presentations, and through our employees’ involvement in community, business and civic organizations, to name a few.  We believe our communications are helping our customers</w:t>
      </w:r>
      <w:r>
        <w:t xml:space="preserve"> and the communities we serve to </w:t>
      </w:r>
      <w:r w:rsidRPr="00345A0E">
        <w:t xml:space="preserve">better understand the issues faced by the Company, such as increased </w:t>
      </w:r>
      <w:r>
        <w:t>infrastructure investment, environmental mitigation and security,</w:t>
      </w:r>
      <w:r w:rsidRPr="00345A0E">
        <w:t xml:space="preserve"> all of which have led to higher costs for our customers.  </w:t>
      </w:r>
    </w:p>
    <w:p w:rsidR="00AA4BEA" w:rsidRDefault="00AA4BEA" w:rsidP="00AA4BEA">
      <w:pPr>
        <w:tabs>
          <w:tab w:val="left" w:pos="0"/>
        </w:tabs>
        <w:spacing w:line="480" w:lineRule="auto"/>
        <w:ind w:firstLine="720"/>
        <w:jc w:val="both"/>
        <w:rPr>
          <w:bCs/>
        </w:rPr>
      </w:pPr>
      <w:r w:rsidRPr="00345A0E">
        <w:t xml:space="preserve">Our employees provide excellent customer service, and this focus on communicating with our customers includes providing </w:t>
      </w:r>
      <w:r>
        <w:t>our employees</w:t>
      </w:r>
      <w:r w:rsidRPr="00345A0E">
        <w:t xml:space="preserve"> messaging and new tools </w:t>
      </w:r>
      <w:r>
        <w:t>and training to make it</w:t>
      </w:r>
      <w:r w:rsidRPr="00345A0E">
        <w:t xml:space="preserve"> easier to </w:t>
      </w:r>
      <w:r>
        <w:t>communicate</w:t>
      </w:r>
      <w:r w:rsidRPr="00345A0E">
        <w:t xml:space="preserve"> with friends, family and customers.  We are finding that once a customer talks with our employees</w:t>
      </w:r>
      <w:r>
        <w:t>,</w:t>
      </w:r>
      <w:r w:rsidRPr="00345A0E">
        <w:t xml:space="preserve"> and </w:t>
      </w:r>
      <w:r>
        <w:t>voices</w:t>
      </w:r>
      <w:r w:rsidRPr="00345A0E">
        <w:t xml:space="preserve"> their concerns and receive</w:t>
      </w:r>
      <w:r>
        <w:t>s</w:t>
      </w:r>
      <w:r w:rsidRPr="00345A0E">
        <w:t xml:space="preserve"> answers to their questions, their satisfaction level increases.  </w:t>
      </w:r>
    </w:p>
    <w:p w:rsidR="00AA4BEA" w:rsidRPr="00AA4BEA" w:rsidRDefault="00AA4BEA" w:rsidP="00AA4BEA">
      <w:pPr>
        <w:tabs>
          <w:tab w:val="left" w:pos="0"/>
        </w:tabs>
        <w:spacing w:line="480" w:lineRule="auto"/>
        <w:ind w:firstLine="720"/>
        <w:jc w:val="both"/>
      </w:pPr>
      <w:r w:rsidRPr="00345A0E">
        <w:lastRenderedPageBreak/>
        <w:t xml:space="preserve">We are </w:t>
      </w:r>
      <w:r>
        <w:t xml:space="preserve">also </w:t>
      </w:r>
      <w:r w:rsidRPr="00345A0E">
        <w:t xml:space="preserve">continuing our focus on informing customers of the many programs we offer to provide assistance in managing their energy bills, and ensuring that our employees are equipped to engage in these conversations. </w:t>
      </w:r>
      <w:r>
        <w:t xml:space="preserve"> </w:t>
      </w:r>
    </w:p>
    <w:p w:rsidR="008605F9" w:rsidRPr="00345A0E" w:rsidRDefault="008605F9" w:rsidP="008605F9">
      <w:pPr>
        <w:pStyle w:val="BodyTextIndent"/>
        <w:tabs>
          <w:tab w:val="left" w:pos="1440"/>
        </w:tabs>
        <w:ind w:firstLine="720"/>
        <w:jc w:val="both"/>
        <w:rPr>
          <w:rStyle w:val="LineNumber"/>
        </w:rPr>
      </w:pPr>
      <w:bookmarkStart w:id="2" w:name="_Toc479584218"/>
      <w:bookmarkStart w:id="3" w:name="_Toc479584958"/>
      <w:bookmarkStart w:id="4" w:name="_Toc479774902"/>
      <w:bookmarkStart w:id="5" w:name="_Toc480800645"/>
      <w:bookmarkStart w:id="6" w:name="_Toc480807526"/>
      <w:r w:rsidRPr="00345A0E">
        <w:rPr>
          <w:rStyle w:val="LineNumber"/>
        </w:rPr>
        <w:t>Q.</w:t>
      </w:r>
      <w:r w:rsidRPr="00345A0E">
        <w:rPr>
          <w:rStyle w:val="LineNumber"/>
        </w:rPr>
        <w:tab/>
        <w:t>Does this conclude your pre-filed direct testimony?</w:t>
      </w:r>
    </w:p>
    <w:p w:rsidR="000F2C51" w:rsidRPr="004217DE" w:rsidRDefault="008605F9" w:rsidP="008605F9">
      <w:pPr>
        <w:pStyle w:val="BodyTextIndent"/>
        <w:numPr>
          <w:ilvl w:val="0"/>
          <w:numId w:val="2"/>
        </w:numPr>
        <w:tabs>
          <w:tab w:val="left" w:pos="1440"/>
        </w:tabs>
        <w:suppressAutoHyphens w:val="0"/>
        <w:ind w:left="0" w:firstLine="720"/>
        <w:jc w:val="both"/>
        <w:rPr>
          <w:rFonts w:ascii="Times New Roman" w:hAnsi="Times New Roman" w:cs="Times New Roman"/>
          <w:b w:val="0"/>
        </w:rPr>
      </w:pPr>
      <w:r w:rsidRPr="00345A0E">
        <w:rPr>
          <w:rStyle w:val="LineNumber"/>
          <w:b w:val="0"/>
          <w:bCs w:val="0"/>
        </w:rPr>
        <w:t>Yes.</w:t>
      </w:r>
    </w:p>
    <w:bookmarkEnd w:id="2"/>
    <w:bookmarkEnd w:id="3"/>
    <w:bookmarkEnd w:id="4"/>
    <w:bookmarkEnd w:id="5"/>
    <w:bookmarkEnd w:id="6"/>
    <w:sectPr w:rsidR="000F2C51" w:rsidRPr="004217DE" w:rsidSect="001779E1">
      <w:pgSz w:w="12240" w:h="15840" w:code="1"/>
      <w:pgMar w:top="1440" w:right="1440" w:bottom="1728" w:left="1872" w:header="720" w:footer="59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03" w:rsidRDefault="001F6903">
      <w:r>
        <w:separator/>
      </w:r>
    </w:p>
  </w:endnote>
  <w:endnote w:type="continuationSeparator" w:id="0">
    <w:p w:rsidR="001F6903" w:rsidRDefault="001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3" w:rsidRPr="0048799D" w:rsidRDefault="001F6903">
    <w:pPr>
      <w:pStyle w:val="Footer"/>
      <w:tabs>
        <w:tab w:val="clear" w:pos="4320"/>
        <w:tab w:val="clear" w:pos="8640"/>
        <w:tab w:val="left" w:pos="180"/>
        <w:tab w:val="right" w:pos="9360"/>
      </w:tabs>
    </w:pPr>
    <w:r w:rsidRPr="0048799D">
      <w:t>Direct Testimony of Scott L. Morris</w:t>
    </w:r>
  </w:p>
  <w:p w:rsidR="001F6903" w:rsidRPr="0048799D" w:rsidRDefault="001F6903">
    <w:pPr>
      <w:pStyle w:val="Footer"/>
      <w:tabs>
        <w:tab w:val="clear" w:pos="4320"/>
        <w:tab w:val="clear" w:pos="8640"/>
        <w:tab w:val="left" w:pos="180"/>
        <w:tab w:val="right" w:pos="9360"/>
      </w:tabs>
    </w:pPr>
    <w:r w:rsidRPr="0048799D">
      <w:t>Avista Corporation</w:t>
    </w:r>
  </w:p>
  <w:p w:rsidR="001F6903" w:rsidRPr="00E0663B" w:rsidRDefault="001F6903">
    <w:pPr>
      <w:pStyle w:val="Footer"/>
      <w:tabs>
        <w:tab w:val="clear" w:pos="4320"/>
        <w:tab w:val="clear" w:pos="8640"/>
        <w:tab w:val="left" w:pos="180"/>
        <w:tab w:val="right" w:pos="9360"/>
      </w:tabs>
    </w:pPr>
    <w:r>
      <w:t>Docket Nos. UE-17___ and UG-17</w:t>
    </w:r>
    <w:r w:rsidRPr="0048799D">
      <w:t>___</w:t>
    </w:r>
    <w:r w:rsidRPr="00E0663B">
      <w:tab/>
      <w:t xml:space="preserve">Page </w:t>
    </w:r>
    <w:r w:rsidRPr="00E0663B">
      <w:rPr>
        <w:rStyle w:val="PageNumber"/>
      </w:rPr>
      <w:fldChar w:fldCharType="begin"/>
    </w:r>
    <w:r w:rsidRPr="00E0663B">
      <w:rPr>
        <w:rStyle w:val="PageNumber"/>
      </w:rPr>
      <w:instrText xml:space="preserve"> PAGE </w:instrText>
    </w:r>
    <w:r w:rsidRPr="00E0663B">
      <w:rPr>
        <w:rStyle w:val="PageNumber"/>
      </w:rPr>
      <w:fldChar w:fldCharType="separate"/>
    </w:r>
    <w:r w:rsidR="006A5B11">
      <w:rPr>
        <w:rStyle w:val="PageNumber"/>
        <w:noProof/>
      </w:rPr>
      <w:t>51</w:t>
    </w:r>
    <w:r w:rsidRPr="00E0663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3" w:rsidRDefault="001F6903">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03" w:rsidRDefault="001F6903">
      <w:r>
        <w:separator/>
      </w:r>
    </w:p>
  </w:footnote>
  <w:footnote w:type="continuationSeparator" w:id="0">
    <w:p w:rsidR="001F6903" w:rsidRDefault="001F6903">
      <w:r>
        <w:continuationSeparator/>
      </w:r>
    </w:p>
  </w:footnote>
  <w:footnote w:id="1">
    <w:p w:rsidR="001F6903" w:rsidRDefault="001F6903">
      <w:pPr>
        <w:pStyle w:val="FootnoteText"/>
      </w:pPr>
      <w:r>
        <w:rPr>
          <w:rStyle w:val="FootnoteReference"/>
        </w:rPr>
        <w:footnoteRef/>
      </w:r>
      <w:r>
        <w:t xml:space="preserve"> The Billed percentage increase is lower than the Base percentage, because the Billed percentage</w:t>
      </w:r>
      <w:r w:rsidR="00D326A5">
        <w:t xml:space="preserve"> calculation</w:t>
      </w:r>
      <w:r>
        <w:t xml:space="preserve"> includes </w:t>
      </w:r>
      <w:r w:rsidR="00D326A5">
        <w:t>the revenues associated with</w:t>
      </w:r>
      <w:r>
        <w:t xml:space="preserve"> other tariff schedules such as demand-side management (DSM) funding, and the Residential Exchange Credit.  The larger difference between the Base and Billed percentages for May 1, 2018 is due </w:t>
      </w:r>
      <w:r w:rsidR="00B07788">
        <w:t xml:space="preserve">primarily </w:t>
      </w:r>
      <w:r>
        <w:t>to the proposed Power Cost Rate Adjustment to become effective September 1, 2017, as explained immediately below in my testimony.</w:t>
      </w:r>
    </w:p>
  </w:footnote>
  <w:footnote w:id="2">
    <w:p w:rsidR="001F6903" w:rsidRDefault="001F6903" w:rsidP="00E35591">
      <w:pPr>
        <w:pStyle w:val="FootnoteText"/>
      </w:pPr>
      <w:r>
        <w:rPr>
          <w:rStyle w:val="FootnoteReference"/>
        </w:rPr>
        <w:footnoteRef/>
      </w:r>
      <w:r w:rsidR="00411FBC">
        <w:t xml:space="preserve"> The</w:t>
      </w:r>
      <w:r>
        <w:t xml:space="preserve"> revenue increases for year</w:t>
      </w:r>
      <w:r w:rsidR="00411FBC">
        <w:t>s 2 and 3 of the rate plan are proposed to</w:t>
      </w:r>
      <w:r>
        <w:t xml:space="preserve"> be implemented through a separate tariff Schedule 96, and not through a change to base tariffs.</w:t>
      </w:r>
    </w:p>
  </w:footnote>
  <w:footnote w:id="3">
    <w:p w:rsidR="001F6903" w:rsidRDefault="001F6903">
      <w:pPr>
        <w:pStyle w:val="FootnoteText"/>
      </w:pPr>
      <w:r>
        <w:rPr>
          <w:rStyle w:val="FootnoteReference"/>
        </w:rPr>
        <w:footnoteRef/>
      </w:r>
      <w:r w:rsidR="00B07788">
        <w:t xml:space="preserve"> The Power C</w:t>
      </w:r>
      <w:r>
        <w:t xml:space="preserve">ost </w:t>
      </w:r>
      <w:r w:rsidR="00B07788">
        <w:t>Rate A</w:t>
      </w:r>
      <w:r>
        <w:t>djustment proposed under tariff Schedule 93 effective September 1, 2017, would end on May 1, 2018.  The net effect would be</w:t>
      </w:r>
      <w:r w:rsidRPr="00990BCA">
        <w:t xml:space="preserve"> an i</w:t>
      </w:r>
      <w:r w:rsidR="004F2C1D">
        <w:t>ncrease in base rates of 12.5% and elimination of the Schedule 93 rate</w:t>
      </w:r>
      <w:r w:rsidRPr="00990BCA">
        <w:t>, for a net billing revenue increase of approximately 8.8%.</w:t>
      </w:r>
    </w:p>
  </w:footnote>
  <w:footnote w:id="4">
    <w:p w:rsidR="001F6903" w:rsidRDefault="001F6903">
      <w:pPr>
        <w:pStyle w:val="FootnoteText"/>
      </w:pPr>
      <w:r>
        <w:rPr>
          <w:rStyle w:val="FootnoteReference"/>
        </w:rPr>
        <w:footnoteRef/>
      </w:r>
      <w:r>
        <w:t xml:space="preserve"> </w:t>
      </w:r>
      <w:r w:rsidR="00C30478">
        <w:t xml:space="preserve">Company witness Ms. Andrews provides details of the proposed revenue increases, and </w:t>
      </w:r>
      <w:r>
        <w:rPr>
          <w:rFonts w:eastAsiaTheme="minorEastAsia"/>
          <w:noProof/>
        </w:rPr>
        <w:t xml:space="preserve">Company </w:t>
      </w:r>
      <w:r w:rsidR="00C30478">
        <w:rPr>
          <w:rFonts w:eastAsiaTheme="minorEastAsia"/>
          <w:noProof/>
        </w:rPr>
        <w:t>witness Mr. Ehrbar provides</w:t>
      </w:r>
      <w:r>
        <w:rPr>
          <w:rFonts w:eastAsiaTheme="minorEastAsia"/>
          <w:noProof/>
        </w:rPr>
        <w:t xml:space="preserve"> detail</w:t>
      </w:r>
      <w:r w:rsidR="00C30478">
        <w:rPr>
          <w:rFonts w:eastAsiaTheme="minorEastAsia"/>
          <w:noProof/>
        </w:rPr>
        <w:t>s of</w:t>
      </w:r>
      <w:r>
        <w:rPr>
          <w:rFonts w:eastAsiaTheme="minorEastAsia"/>
          <w:noProof/>
        </w:rPr>
        <w:t xml:space="preserve"> the proposed spread of the increase to each custo</w:t>
      </w:r>
      <w:r w:rsidR="00B07788">
        <w:rPr>
          <w:rFonts w:eastAsiaTheme="minorEastAsia"/>
          <w:noProof/>
        </w:rPr>
        <w:t>mer class for each year of the Three-Year Rate P</w:t>
      </w:r>
      <w:r>
        <w:rPr>
          <w:rFonts w:eastAsiaTheme="minorEastAsia"/>
          <w:noProof/>
        </w:rPr>
        <w:t>lan.</w:t>
      </w:r>
    </w:p>
  </w:footnote>
  <w:footnote w:id="5">
    <w:p w:rsidR="001F6903" w:rsidRDefault="001F6903" w:rsidP="00E746D0">
      <w:pPr>
        <w:pStyle w:val="FootnoteText"/>
      </w:pPr>
      <w:r>
        <w:rPr>
          <w:rStyle w:val="FootnoteReference"/>
        </w:rPr>
        <w:footnoteRef/>
      </w:r>
      <w:r>
        <w:t xml:space="preserve"> Company witnesses Mr. Johnson and Mr. Ehrbar provide additional details related to the proposed annual power supply cost update.</w:t>
      </w:r>
    </w:p>
  </w:footnote>
  <w:footnote w:id="6">
    <w:p w:rsidR="001F6903" w:rsidRDefault="001F6903" w:rsidP="0057465F">
      <w:pPr>
        <w:pStyle w:val="FootnoteText"/>
        <w:jc w:val="both"/>
      </w:pPr>
      <w:r>
        <w:rPr>
          <w:rStyle w:val="FootnoteReference"/>
        </w:rPr>
        <w:footnoteRef/>
      </w:r>
      <w:r>
        <w:t xml:space="preserve"> The Billed percentage increase is lower than the Base percentage, because the Billed percentage </w:t>
      </w:r>
      <w:r w:rsidR="001A3B5D">
        <w:t xml:space="preserve">calculation </w:t>
      </w:r>
      <w:r>
        <w:t xml:space="preserve">includes the revenues associated with natural gas and upstream transportation costs, as well as rate adjustments in other tariff schedules such as demand-side management (DSM) funding, and LIRAP funding.  </w:t>
      </w:r>
    </w:p>
  </w:footnote>
  <w:footnote w:id="7">
    <w:p w:rsidR="001F6903" w:rsidRDefault="001F6903" w:rsidP="0057465F">
      <w:pPr>
        <w:pStyle w:val="FootnoteText"/>
        <w:jc w:val="both"/>
      </w:pPr>
      <w:r>
        <w:rPr>
          <w:rStyle w:val="FootnoteReference"/>
        </w:rPr>
        <w:footnoteRef/>
      </w:r>
      <w:r>
        <w:t xml:space="preserve"> </w:t>
      </w:r>
      <w:r w:rsidR="007079F1">
        <w:t>The revenue increases for years 2 and 3 of the rate plan are proposed to be implemented through a separate tariff Schedule 196, and not through a change to base tariffs.</w:t>
      </w:r>
    </w:p>
  </w:footnote>
  <w:footnote w:id="8">
    <w:p w:rsidR="001F6903" w:rsidRDefault="001F6903" w:rsidP="0057465F">
      <w:pPr>
        <w:pStyle w:val="FootnoteText"/>
        <w:jc w:val="both"/>
      </w:pPr>
      <w:r>
        <w:rPr>
          <w:rStyle w:val="FootnoteReference"/>
        </w:rPr>
        <w:footnoteRef/>
      </w:r>
      <w:r>
        <w:t xml:space="preserve"> </w:t>
      </w:r>
      <w:r w:rsidR="00FC2B0D">
        <w:t xml:space="preserve">Company witness Ms. Andrews provides details of the proposed revenue increases, and </w:t>
      </w:r>
      <w:r w:rsidR="00FC2B0D">
        <w:rPr>
          <w:rFonts w:eastAsiaTheme="minorEastAsia"/>
          <w:noProof/>
        </w:rPr>
        <w:t>Company witness Mr. Ehrbar provides details of the proposed spread of the increase to each customer class for each year of the Three-Year Rate Plan</w:t>
      </w:r>
    </w:p>
  </w:footnote>
  <w:footnote w:id="9">
    <w:p w:rsidR="009733F0" w:rsidRDefault="009733F0">
      <w:pPr>
        <w:pStyle w:val="FootnoteText"/>
      </w:pPr>
      <w:r>
        <w:rPr>
          <w:rStyle w:val="FootnoteReference"/>
        </w:rPr>
        <w:footnoteRef/>
      </w:r>
      <w:r>
        <w:t xml:space="preserve"> In its Order 06 in Dockets UE-160228 and UG-160229 (consolidated) the Commission determined that the existing rates were just and reasonable and should remain in effect, therefore, there was no change to either electric or natural gas base rates.</w:t>
      </w:r>
    </w:p>
  </w:footnote>
  <w:footnote w:id="10">
    <w:p w:rsidR="000F6050" w:rsidRDefault="000F6050" w:rsidP="000F6050">
      <w:pPr>
        <w:pStyle w:val="FootnoteText"/>
        <w:keepLines/>
        <w:jc w:val="both"/>
      </w:pPr>
      <w:r>
        <w:rPr>
          <w:rStyle w:val="FootnoteReference"/>
        </w:rPr>
        <w:footnoteRef/>
      </w:r>
      <w:r>
        <w:t xml:space="preserve"> The Three-Year R</w:t>
      </w:r>
      <w:r w:rsidRPr="00537893">
        <w:t xml:space="preserve">ate </w:t>
      </w:r>
      <w:r>
        <w:t>P</w:t>
      </w:r>
      <w:r w:rsidRPr="00537893">
        <w:t xml:space="preserve">lan would not preclude tariff filings authorized by or contemplated by the terms of the Energy Recovery Mechanism (ERM), Purchased Gas Adjustment (PGA), Public Purpose Rider Adjustment (DSM/LIRAP) or similar adjustments.  The </w:t>
      </w:r>
      <w:r>
        <w:t xml:space="preserve">Company is proposing that the </w:t>
      </w:r>
      <w:r w:rsidRPr="00537893">
        <w:t>Three-Year Rate Plan also not preclude the Company from filing for rate relief or accounting treatment for major changes in costs</w:t>
      </w:r>
      <w:r w:rsidR="00D00230">
        <w:t xml:space="preserve"> not reflected in this filing</w:t>
      </w:r>
      <w:r w:rsidRPr="00537893">
        <w:t>, such as the potential costs associated with participation in the Energy Imbalance Market, or new safety or reliability requirements imposed by regulatory agencies.</w:t>
      </w:r>
    </w:p>
  </w:footnote>
  <w:footnote w:id="11">
    <w:p w:rsidR="001F6903" w:rsidRPr="004F4E30" w:rsidRDefault="001F6903" w:rsidP="004F4E30">
      <w:pPr>
        <w:tabs>
          <w:tab w:val="left" w:pos="0"/>
        </w:tabs>
        <w:jc w:val="both"/>
        <w:rPr>
          <w:sz w:val="20"/>
          <w:szCs w:val="20"/>
        </w:rPr>
      </w:pPr>
      <w:r w:rsidRPr="00ED2A0F">
        <w:rPr>
          <w:rStyle w:val="FootnoteReference"/>
          <w:sz w:val="20"/>
          <w:szCs w:val="20"/>
        </w:rPr>
        <w:footnoteRef/>
      </w:r>
      <w:r w:rsidRPr="00ED2A0F">
        <w:rPr>
          <w:sz w:val="20"/>
          <w:szCs w:val="20"/>
        </w:rPr>
        <w:t xml:space="preserve"> The Commission recognized this trend recently in Puget S</w:t>
      </w:r>
      <w:r w:rsidR="00FE55F6">
        <w:rPr>
          <w:sz w:val="20"/>
          <w:szCs w:val="20"/>
        </w:rPr>
        <w:t>ound Energy’s Order 06</w:t>
      </w:r>
      <w:r w:rsidR="00D92024">
        <w:rPr>
          <w:sz w:val="20"/>
          <w:szCs w:val="20"/>
        </w:rPr>
        <w:t xml:space="preserve">, </w:t>
      </w:r>
      <w:r w:rsidR="005C2361">
        <w:rPr>
          <w:sz w:val="20"/>
          <w:szCs w:val="20"/>
        </w:rPr>
        <w:t>at paragraph 20,</w:t>
      </w:r>
      <w:r w:rsidR="00FE55F6">
        <w:rPr>
          <w:sz w:val="20"/>
          <w:szCs w:val="20"/>
        </w:rPr>
        <w:t xml:space="preserve"> stating</w:t>
      </w:r>
      <w:r w:rsidRPr="00ED2A0F">
        <w:rPr>
          <w:sz w:val="20"/>
          <w:szCs w:val="20"/>
        </w:rPr>
        <w:t xml:space="preserve">:  “Electric and natural gas utilities in Washington and throughout the United States face new and different business challenges today than they have through much of their history. Historically, utility revenues grew reliably, if not steadily, </w:t>
      </w:r>
      <w:r w:rsidRPr="00FE55F6">
        <w:rPr>
          <w:sz w:val="20"/>
          <w:szCs w:val="20"/>
          <w:u w:val="single"/>
        </w:rPr>
        <w:t>because load growth was significant year over year and typically equal to or greater than increasing capital and operating costs</w:t>
      </w:r>
      <w:r w:rsidRPr="00ED2A0F">
        <w:rPr>
          <w:sz w:val="20"/>
          <w:szCs w:val="20"/>
        </w:rPr>
        <w:t>. Under such a regime, utilities usually could recover both their fixed costs embedded in rate base and their variable costs accounted for in volumetric rates.”  (</w:t>
      </w:r>
      <w:r w:rsidRPr="00ED2A0F">
        <w:rPr>
          <w:bCs/>
          <w:sz w:val="20"/>
          <w:szCs w:val="20"/>
        </w:rPr>
        <w:t>Dockets UE-151871 and UG-151872 (consolidated))</w:t>
      </w:r>
      <w:r w:rsidR="00FE55F6">
        <w:rPr>
          <w:bCs/>
          <w:sz w:val="20"/>
          <w:szCs w:val="20"/>
        </w:rPr>
        <w:t xml:space="preserve">  (emphasis added)</w:t>
      </w:r>
    </w:p>
  </w:footnote>
  <w:footnote w:id="12">
    <w:p w:rsidR="004F4E30" w:rsidRDefault="004F4E30" w:rsidP="004F4E30">
      <w:pPr>
        <w:pStyle w:val="FootnoteText"/>
        <w:jc w:val="both"/>
      </w:pPr>
      <w:r>
        <w:rPr>
          <w:rStyle w:val="FootnoteReference"/>
        </w:rPr>
        <w:footnoteRef/>
      </w:r>
      <w:r w:rsidRPr="004F4E30">
        <w:t>https://www.nytimes.com/2016/01/16/business/walmart-to-close-269-stores.html?_r=0</w:t>
      </w:r>
    </w:p>
  </w:footnote>
  <w:footnote w:id="13">
    <w:p w:rsidR="0005147B" w:rsidRPr="00506B88" w:rsidRDefault="0005147B" w:rsidP="0005147B">
      <w:pPr>
        <w:pStyle w:val="FootnoteText"/>
        <w:ind w:left="180" w:hanging="180"/>
        <w:jc w:val="both"/>
      </w:pPr>
      <w:r w:rsidRPr="00506B88">
        <w:rPr>
          <w:rStyle w:val="FootnoteReference"/>
        </w:rPr>
        <w:footnoteRef/>
      </w:r>
      <w:r w:rsidRPr="00506B88">
        <w:t xml:space="preserve"> “Project” refers to an</w:t>
      </w:r>
      <w:r>
        <w:t xml:space="preserve"> individual investment for</w:t>
      </w:r>
      <w:r w:rsidRPr="00506B88">
        <w:t xml:space="preserve"> a specific period of time. “Programs” represent investments that address systemic need</w:t>
      </w:r>
      <w:r>
        <w:t xml:space="preserve">s that are ongoing </w:t>
      </w:r>
      <w:r w:rsidRPr="00506B88">
        <w:t>with no recognized endpoint, such as the wood pole management program.</w:t>
      </w:r>
      <w:r>
        <w:t xml:space="preserve">  For ease of reference, the term “capital project” will be used to represent both capital projects and capital programs.</w:t>
      </w:r>
    </w:p>
  </w:footnote>
  <w:footnote w:id="14">
    <w:p w:rsidR="0005147B" w:rsidRPr="00506B88" w:rsidRDefault="0005147B" w:rsidP="0005147B">
      <w:pPr>
        <w:pStyle w:val="FootnoteText"/>
        <w:ind w:left="180" w:hanging="180"/>
        <w:jc w:val="both"/>
      </w:pPr>
      <w:r w:rsidRPr="00506B88">
        <w:rPr>
          <w:rStyle w:val="FootnoteReference"/>
        </w:rPr>
        <w:footnoteRef/>
      </w:r>
      <w:r w:rsidRPr="00506B88">
        <w:t xml:space="preserve"> The measuring protocol for SAIDI and SAIFI excludes outages caused by very large outage events such as the windstorm of November 2015. These major events are referred to</w:t>
      </w:r>
      <w:r>
        <w:t xml:space="preserve"> a “major event days.”</w:t>
      </w:r>
    </w:p>
  </w:footnote>
  <w:footnote w:id="15">
    <w:p w:rsidR="0005147B" w:rsidRDefault="0005147B" w:rsidP="0005147B">
      <w:pPr>
        <w:pStyle w:val="FootnoteText"/>
        <w:ind w:left="180" w:hanging="180"/>
        <w:jc w:val="both"/>
      </w:pPr>
      <w:r>
        <w:rPr>
          <w:rStyle w:val="FootnoteReference"/>
        </w:rPr>
        <w:footnoteRef/>
      </w:r>
      <w:r>
        <w:t xml:space="preserve"> “Reliability Targets for Washington’s Three Investor-Owned Utilities”. Power System Engineering Inc., March 7, 2017.</w:t>
      </w:r>
    </w:p>
  </w:footnote>
  <w:footnote w:id="16">
    <w:p w:rsidR="0005147B" w:rsidRPr="00506B88" w:rsidRDefault="0005147B" w:rsidP="0005147B">
      <w:pPr>
        <w:pStyle w:val="FootnoteText"/>
        <w:ind w:left="180" w:hanging="180"/>
        <w:jc w:val="both"/>
      </w:pPr>
      <w:r w:rsidRPr="00506B88">
        <w:rPr>
          <w:rStyle w:val="FootnoteReference"/>
        </w:rPr>
        <w:footnoteRef/>
      </w:r>
      <w:r w:rsidRPr="00506B88">
        <w:t xml:space="preserve"> </w:t>
      </w:r>
      <w:r>
        <w:t>The CPG is a group of Avista employee directors that represent all capital intensive areas of the Company. The CPG meets to review the submitted Business Cases and prioritize funding to limit the capital spend to the level set by senior management.  The CPG meets monthly to review the status of t</w:t>
      </w:r>
      <w:r w:rsidR="00612C19">
        <w:t>he capital projects, and approves or declines new Business C</w:t>
      </w:r>
      <w:r>
        <w:t>ases as well as monitors the overall capital budget.</w:t>
      </w:r>
    </w:p>
  </w:footnote>
  <w:footnote w:id="17">
    <w:p w:rsidR="0005147B" w:rsidRPr="00506B88" w:rsidRDefault="0005147B" w:rsidP="00E66DDB">
      <w:pPr>
        <w:pStyle w:val="FootnoteText"/>
        <w:keepLines/>
        <w:ind w:left="187" w:hanging="187"/>
        <w:jc w:val="both"/>
      </w:pPr>
      <w:r w:rsidRPr="00506B88">
        <w:rPr>
          <w:rStyle w:val="FootnoteReference"/>
        </w:rPr>
        <w:footnoteRef/>
      </w:r>
      <w:r w:rsidR="00E66DDB">
        <w:t xml:space="preserve"> </w:t>
      </w:r>
      <w:r w:rsidRPr="00D23815">
        <w:t xml:space="preserve">Examples of </w:t>
      </w:r>
      <w:r w:rsidRPr="00433D40">
        <w:rPr>
          <w:u w:val="single"/>
        </w:rPr>
        <w:t>deferred</w:t>
      </w:r>
      <w:r>
        <w:t xml:space="preserve"> and </w:t>
      </w:r>
      <w:r w:rsidRPr="00433D40">
        <w:rPr>
          <w:u w:val="single"/>
        </w:rPr>
        <w:t>underfunded</w:t>
      </w:r>
      <w:r w:rsidRPr="00D23815">
        <w:t xml:space="preserve"> projects </w:t>
      </w:r>
      <w:r>
        <w:t xml:space="preserve">include, 1) </w:t>
      </w:r>
      <w:r w:rsidRPr="00D23815">
        <w:t xml:space="preserve">the Company’s </w:t>
      </w:r>
      <w:proofErr w:type="spellStart"/>
      <w:r>
        <w:t>Hatwai</w:t>
      </w:r>
      <w:proofErr w:type="spellEnd"/>
      <w:r>
        <w:t>-Lolo #2 230kV transmission line re-conductor and rebuild,</w:t>
      </w:r>
      <w:r w:rsidRPr="00D23815">
        <w:t xml:space="preserve"> and </w:t>
      </w:r>
      <w:r>
        <w:t xml:space="preserve">2) </w:t>
      </w:r>
      <w:r w:rsidRPr="00D23815">
        <w:t>rebuilding electric distribution feeders at the end of their useful life</w:t>
      </w:r>
      <w:r>
        <w:t xml:space="preserve">.  The </w:t>
      </w:r>
      <w:proofErr w:type="spellStart"/>
      <w:r>
        <w:t>Hatwai</w:t>
      </w:r>
      <w:proofErr w:type="spellEnd"/>
      <w:r>
        <w:t xml:space="preserve">-Lolo project, which is required to comply with federal transmission planning standards, has been deferred in order to balance the overall demand for investment across the Company. Avista’s engineers are evaluating other possible short-term solutions for complying with the planning standards until this project can be completed.  The Company’s grid modernization program for rebuilding distribution feeders </w:t>
      </w:r>
      <w:r w:rsidR="00433D40">
        <w:t>i</w:t>
      </w:r>
      <w:r>
        <w:t>s optimized on a 60-year cycle, however, it has not been funded at a level to achieve that cycle time, in order to accommodate other priority investment needs in Avista’s elec</w:t>
      </w:r>
      <w:r w:rsidR="00A95B6B">
        <w:t xml:space="preserve">tric distribution system.  The </w:t>
      </w:r>
      <w:r>
        <w:t>planned funding for 2017 – 2021 supports an 84 year cycle.</w:t>
      </w:r>
    </w:p>
  </w:footnote>
  <w:footnote w:id="18">
    <w:p w:rsidR="0005147B" w:rsidRPr="005515B9" w:rsidRDefault="0005147B" w:rsidP="0005147B">
      <w:pPr>
        <w:pStyle w:val="FootnoteText"/>
        <w:ind w:left="180" w:hanging="180"/>
        <w:jc w:val="both"/>
      </w:pPr>
      <w:r w:rsidRPr="005515B9">
        <w:rPr>
          <w:rStyle w:val="FootnoteReference"/>
        </w:rPr>
        <w:footnoteRef/>
      </w:r>
      <w:r w:rsidRPr="005515B9">
        <w:t xml:space="preserve"> </w:t>
      </w:r>
      <w:r>
        <w:t xml:space="preserve"> </w:t>
      </w:r>
      <w:r w:rsidR="00304107">
        <w:t>A Business C</w:t>
      </w:r>
      <w:r w:rsidRPr="005515B9">
        <w:t>ase is a summary document that defines the business problem addressed by a project or program, along with a proposal</w:t>
      </w:r>
      <w:r w:rsidR="00304107">
        <w:t xml:space="preserve"> and recommended solution. The Business C</w:t>
      </w:r>
      <w:r w:rsidRPr="005515B9">
        <w:t>ase</w:t>
      </w:r>
      <w:r>
        <w:t xml:space="preserve"> explains</w:t>
      </w:r>
      <w:r w:rsidRPr="005515B9">
        <w:t xml:space="preserve"> why the work is necessary, and the risks associated with not making the investment</w:t>
      </w:r>
      <w:r>
        <w:t xml:space="preserve">, as well as the </w:t>
      </w:r>
      <w:r w:rsidRPr="005515B9">
        <w:t>alternatives considered</w:t>
      </w:r>
      <w:r>
        <w:t xml:space="preserve">, </w:t>
      </w:r>
      <w:r w:rsidRPr="005515B9">
        <w:t>the selected alternative</w:t>
      </w:r>
      <w:r>
        <w:t xml:space="preserve"> and the</w:t>
      </w:r>
      <w:r w:rsidRPr="005515B9">
        <w:t xml:space="preserve"> timeline associated with the project</w:t>
      </w:r>
      <w:r>
        <w:t>.</w:t>
      </w:r>
    </w:p>
  </w:footnote>
  <w:footnote w:id="19">
    <w:p w:rsidR="00F54809" w:rsidRDefault="00F54809" w:rsidP="00F54809">
      <w:pPr>
        <w:pStyle w:val="FootnoteText"/>
      </w:pPr>
      <w:r>
        <w:rPr>
          <w:rStyle w:val="FootnoteReference"/>
        </w:rPr>
        <w:footnoteRef/>
      </w:r>
      <w:r>
        <w:t xml:space="preserve"> Order 06, page 49, paragraph 82, Dockets UE-160228/UG-160229</w:t>
      </w:r>
    </w:p>
  </w:footnote>
  <w:footnote w:id="20">
    <w:p w:rsidR="00772DCC" w:rsidRDefault="00772DCC" w:rsidP="00772DCC">
      <w:pPr>
        <w:pStyle w:val="FootnoteText"/>
      </w:pPr>
      <w:r>
        <w:rPr>
          <w:rStyle w:val="FootnoteReference"/>
        </w:rPr>
        <w:footnoteRef/>
      </w:r>
      <w:r>
        <w:t xml:space="preserve"> Order 06, page 49, paragraph 82, Docket UE-160228/UG-160229.</w:t>
      </w:r>
    </w:p>
  </w:footnote>
  <w:footnote w:id="21">
    <w:p w:rsidR="00A568F6" w:rsidRDefault="00A568F6">
      <w:pPr>
        <w:pStyle w:val="FootnoteText"/>
      </w:pPr>
      <w:r>
        <w:rPr>
          <w:rStyle w:val="FootnoteReference"/>
        </w:rPr>
        <w:footnoteRef/>
      </w:r>
      <w:r>
        <w:t xml:space="preserve"> </w:t>
      </w:r>
      <w:r w:rsidR="00AA4BEA">
        <w:t xml:space="preserve">Company witness </w:t>
      </w:r>
      <w:r>
        <w:t>Mr. Thies provides these calculations.</w:t>
      </w:r>
    </w:p>
  </w:footnote>
  <w:footnote w:id="22">
    <w:p w:rsidR="000F6050" w:rsidRDefault="000F6050" w:rsidP="000F6050">
      <w:pPr>
        <w:pStyle w:val="FootnoteText"/>
      </w:pPr>
      <w:r>
        <w:rPr>
          <w:rStyle w:val="FootnoteReference"/>
        </w:rPr>
        <w:footnoteRef/>
      </w:r>
      <w:r>
        <w:t xml:space="preserve"> Dockets UE-121697 and UG-121705 (consolidated), Order 07, dated June 25, 2013, paragraph 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3" w:rsidRPr="00E0663B" w:rsidRDefault="001F6903">
    <w:pPr>
      <w:pStyle w:val="Header"/>
      <w:jc w:val="right"/>
    </w:pPr>
    <w:r w:rsidRPr="00E0663B">
      <w:t>Exh. SLM-1T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03" w:rsidRDefault="001F6903" w:rsidP="00820048">
    <w:pPr>
      <w:pStyle w:val="Header"/>
      <w:jc w:val="right"/>
    </w:pPr>
    <w:r>
      <w:t>Exh. SLM-1T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F6107"/>
    <w:multiLevelType w:val="hybridMultilevel"/>
    <w:tmpl w:val="248C8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8F1617"/>
    <w:multiLevelType w:val="hybridMultilevel"/>
    <w:tmpl w:val="28FA8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E422C9"/>
    <w:multiLevelType w:val="hybridMultilevel"/>
    <w:tmpl w:val="9CE6B8D8"/>
    <w:lvl w:ilvl="0" w:tplc="4AA06CBA">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52216"/>
    <w:multiLevelType w:val="hybridMultilevel"/>
    <w:tmpl w:val="B6C2C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D18FB"/>
    <w:multiLevelType w:val="hybridMultilevel"/>
    <w:tmpl w:val="87901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AE5D79"/>
    <w:multiLevelType w:val="hybridMultilevel"/>
    <w:tmpl w:val="55AC3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25942"/>
    <w:multiLevelType w:val="hybridMultilevel"/>
    <w:tmpl w:val="03A091FC"/>
    <w:lvl w:ilvl="0" w:tplc="04090001">
      <w:start w:val="1"/>
      <w:numFmt w:val="bullet"/>
      <w:lvlText w:val=""/>
      <w:lvlJc w:val="left"/>
      <w:pPr>
        <w:ind w:left="720" w:hanging="360"/>
      </w:pPr>
      <w:rPr>
        <w:rFonts w:ascii="Symbol" w:hAnsi="Symbol" w:hint="default"/>
      </w:rPr>
    </w:lvl>
    <w:lvl w:ilvl="1" w:tplc="1A2EE068">
      <w:start w:val="1"/>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CCB"/>
    <w:multiLevelType w:val="hybridMultilevel"/>
    <w:tmpl w:val="CFE8B33E"/>
    <w:lvl w:ilvl="0" w:tplc="A3EE5B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73542"/>
    <w:multiLevelType w:val="hybridMultilevel"/>
    <w:tmpl w:val="E91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30D49"/>
    <w:multiLevelType w:val="hybridMultilevel"/>
    <w:tmpl w:val="99A4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3" w15:restartNumberingAfterBreak="0">
    <w:nsid w:val="506E4121"/>
    <w:multiLevelType w:val="hybridMultilevel"/>
    <w:tmpl w:val="98240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D375C03"/>
    <w:multiLevelType w:val="hybridMultilevel"/>
    <w:tmpl w:val="11762FD8"/>
    <w:lvl w:ilvl="0" w:tplc="D3646334">
      <w:start w:val="1"/>
      <w:numFmt w:val="upperLetter"/>
      <w:lvlText w:val="%1."/>
      <w:lvlJc w:val="left"/>
      <w:pPr>
        <w:ind w:left="1440" w:hanging="360"/>
      </w:pPr>
      <w:rPr>
        <w:rFonts w:ascii="Times New Roman" w:eastAsia="Times New Roman" w:hAnsi="Times New Roman" w:cs="Palatin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27678E"/>
    <w:multiLevelType w:val="hybridMultilevel"/>
    <w:tmpl w:val="F66AF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04102A"/>
    <w:multiLevelType w:val="hybridMultilevel"/>
    <w:tmpl w:val="95905198"/>
    <w:lvl w:ilvl="0" w:tplc="6CE89824">
      <w:start w:val="1"/>
      <w:numFmt w:val="decimal"/>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D35CB6"/>
    <w:multiLevelType w:val="hybridMultilevel"/>
    <w:tmpl w:val="131EB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0"/>
  </w:num>
  <w:num w:numId="4">
    <w:abstractNumId w:val="1"/>
  </w:num>
  <w:num w:numId="5">
    <w:abstractNumId w:val="18"/>
  </w:num>
  <w:num w:numId="6">
    <w:abstractNumId w:val="16"/>
  </w:num>
  <w:num w:numId="7">
    <w:abstractNumId w:val="7"/>
  </w:num>
  <w:num w:numId="8">
    <w:abstractNumId w:val="10"/>
  </w:num>
  <w:num w:numId="9">
    <w:abstractNumId w:val="6"/>
  </w:num>
  <w:num w:numId="10">
    <w:abstractNumId w:val="15"/>
  </w:num>
  <w:num w:numId="11">
    <w:abstractNumId w:val="4"/>
  </w:num>
  <w:num w:numId="12">
    <w:abstractNumId w:val="9"/>
  </w:num>
  <w:num w:numId="13">
    <w:abstractNumId w:val="3"/>
  </w:num>
  <w:num w:numId="14">
    <w:abstractNumId w:val="17"/>
  </w:num>
  <w:num w:numId="15">
    <w:abstractNumId w:val="8"/>
  </w:num>
  <w:num w:numId="16">
    <w:abstractNumId w:val="2"/>
  </w:num>
  <w:num w:numId="17">
    <w:abstractNumId w:val="5"/>
  </w:num>
  <w:num w:numId="18">
    <w:abstractNumId w:val="19"/>
  </w:num>
  <w:num w:numId="19">
    <w:abstractNumId w:val="13"/>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8294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A4"/>
    <w:rsid w:val="0000040F"/>
    <w:rsid w:val="00000C55"/>
    <w:rsid w:val="00001850"/>
    <w:rsid w:val="00002688"/>
    <w:rsid w:val="0000281C"/>
    <w:rsid w:val="00002BCB"/>
    <w:rsid w:val="00002BF7"/>
    <w:rsid w:val="00004999"/>
    <w:rsid w:val="000050D2"/>
    <w:rsid w:val="000056B4"/>
    <w:rsid w:val="00005B44"/>
    <w:rsid w:val="0000740E"/>
    <w:rsid w:val="000074E5"/>
    <w:rsid w:val="0000785E"/>
    <w:rsid w:val="00010403"/>
    <w:rsid w:val="00010687"/>
    <w:rsid w:val="00010E3C"/>
    <w:rsid w:val="000114C0"/>
    <w:rsid w:val="00011A4B"/>
    <w:rsid w:val="00011BA9"/>
    <w:rsid w:val="00012654"/>
    <w:rsid w:val="000131E5"/>
    <w:rsid w:val="00013290"/>
    <w:rsid w:val="00013884"/>
    <w:rsid w:val="00013D7A"/>
    <w:rsid w:val="000150E5"/>
    <w:rsid w:val="00015866"/>
    <w:rsid w:val="00015BD1"/>
    <w:rsid w:val="00015F59"/>
    <w:rsid w:val="000179DC"/>
    <w:rsid w:val="00020B56"/>
    <w:rsid w:val="000216E4"/>
    <w:rsid w:val="00021DAB"/>
    <w:rsid w:val="00022631"/>
    <w:rsid w:val="0002365B"/>
    <w:rsid w:val="00023D93"/>
    <w:rsid w:val="00025141"/>
    <w:rsid w:val="0002580B"/>
    <w:rsid w:val="00026849"/>
    <w:rsid w:val="00026D24"/>
    <w:rsid w:val="00026F23"/>
    <w:rsid w:val="00026F28"/>
    <w:rsid w:val="00027FDB"/>
    <w:rsid w:val="0003034C"/>
    <w:rsid w:val="000320DE"/>
    <w:rsid w:val="0003290F"/>
    <w:rsid w:val="00032FA6"/>
    <w:rsid w:val="00032FBB"/>
    <w:rsid w:val="0003346B"/>
    <w:rsid w:val="00033E0D"/>
    <w:rsid w:val="000341C4"/>
    <w:rsid w:val="0003426E"/>
    <w:rsid w:val="000349A2"/>
    <w:rsid w:val="00035AB3"/>
    <w:rsid w:val="000362F8"/>
    <w:rsid w:val="0003685F"/>
    <w:rsid w:val="00036A7E"/>
    <w:rsid w:val="00036E2C"/>
    <w:rsid w:val="000376AE"/>
    <w:rsid w:val="00041A4C"/>
    <w:rsid w:val="00041A9F"/>
    <w:rsid w:val="00041D97"/>
    <w:rsid w:val="00043135"/>
    <w:rsid w:val="00043E6B"/>
    <w:rsid w:val="000444E1"/>
    <w:rsid w:val="000457DA"/>
    <w:rsid w:val="00045C35"/>
    <w:rsid w:val="0004621B"/>
    <w:rsid w:val="000478ED"/>
    <w:rsid w:val="000479C6"/>
    <w:rsid w:val="00050B53"/>
    <w:rsid w:val="000510D1"/>
    <w:rsid w:val="0005147B"/>
    <w:rsid w:val="00051974"/>
    <w:rsid w:val="00052271"/>
    <w:rsid w:val="000552E6"/>
    <w:rsid w:val="00055ECE"/>
    <w:rsid w:val="0005695E"/>
    <w:rsid w:val="00061193"/>
    <w:rsid w:val="00061728"/>
    <w:rsid w:val="00062F64"/>
    <w:rsid w:val="00063199"/>
    <w:rsid w:val="00063A05"/>
    <w:rsid w:val="0006412E"/>
    <w:rsid w:val="00064447"/>
    <w:rsid w:val="00064BD8"/>
    <w:rsid w:val="00064F77"/>
    <w:rsid w:val="000654AD"/>
    <w:rsid w:val="000655D9"/>
    <w:rsid w:val="0006562A"/>
    <w:rsid w:val="00065D80"/>
    <w:rsid w:val="00065EDB"/>
    <w:rsid w:val="00066032"/>
    <w:rsid w:val="000660D7"/>
    <w:rsid w:val="00066160"/>
    <w:rsid w:val="00066175"/>
    <w:rsid w:val="000661D9"/>
    <w:rsid w:val="00067A87"/>
    <w:rsid w:val="00067C89"/>
    <w:rsid w:val="000707E3"/>
    <w:rsid w:val="000709C9"/>
    <w:rsid w:val="00071032"/>
    <w:rsid w:val="00071594"/>
    <w:rsid w:val="00072049"/>
    <w:rsid w:val="0007345B"/>
    <w:rsid w:val="00073922"/>
    <w:rsid w:val="00074524"/>
    <w:rsid w:val="00074B67"/>
    <w:rsid w:val="000758EE"/>
    <w:rsid w:val="00075AB4"/>
    <w:rsid w:val="00075F7D"/>
    <w:rsid w:val="00076CFE"/>
    <w:rsid w:val="00076FA8"/>
    <w:rsid w:val="00077906"/>
    <w:rsid w:val="00080A3A"/>
    <w:rsid w:val="00081636"/>
    <w:rsid w:val="000817E7"/>
    <w:rsid w:val="00081F59"/>
    <w:rsid w:val="00081FCE"/>
    <w:rsid w:val="000830BB"/>
    <w:rsid w:val="00084970"/>
    <w:rsid w:val="00085AEA"/>
    <w:rsid w:val="0008766E"/>
    <w:rsid w:val="00090281"/>
    <w:rsid w:val="0009118C"/>
    <w:rsid w:val="000915B9"/>
    <w:rsid w:val="00091A3A"/>
    <w:rsid w:val="000924ED"/>
    <w:rsid w:val="00093FC9"/>
    <w:rsid w:val="00094191"/>
    <w:rsid w:val="00094335"/>
    <w:rsid w:val="00094406"/>
    <w:rsid w:val="00095E96"/>
    <w:rsid w:val="000975A2"/>
    <w:rsid w:val="00097AC4"/>
    <w:rsid w:val="00097BD6"/>
    <w:rsid w:val="000A0314"/>
    <w:rsid w:val="000A0717"/>
    <w:rsid w:val="000A0B30"/>
    <w:rsid w:val="000A1191"/>
    <w:rsid w:val="000A1509"/>
    <w:rsid w:val="000A1579"/>
    <w:rsid w:val="000A1885"/>
    <w:rsid w:val="000A18EF"/>
    <w:rsid w:val="000A2179"/>
    <w:rsid w:val="000A22DE"/>
    <w:rsid w:val="000A238B"/>
    <w:rsid w:val="000A3B1D"/>
    <w:rsid w:val="000A4465"/>
    <w:rsid w:val="000A44D7"/>
    <w:rsid w:val="000A529B"/>
    <w:rsid w:val="000A7007"/>
    <w:rsid w:val="000A7220"/>
    <w:rsid w:val="000A7C4B"/>
    <w:rsid w:val="000A7D83"/>
    <w:rsid w:val="000B02A5"/>
    <w:rsid w:val="000B070C"/>
    <w:rsid w:val="000B10BE"/>
    <w:rsid w:val="000B2A62"/>
    <w:rsid w:val="000B3950"/>
    <w:rsid w:val="000B58FA"/>
    <w:rsid w:val="000B65CE"/>
    <w:rsid w:val="000B6CD0"/>
    <w:rsid w:val="000B6E1B"/>
    <w:rsid w:val="000B7094"/>
    <w:rsid w:val="000B738D"/>
    <w:rsid w:val="000B75EF"/>
    <w:rsid w:val="000B7B89"/>
    <w:rsid w:val="000B7FF9"/>
    <w:rsid w:val="000C1218"/>
    <w:rsid w:val="000C1A34"/>
    <w:rsid w:val="000C276C"/>
    <w:rsid w:val="000C2DCA"/>
    <w:rsid w:val="000C31A9"/>
    <w:rsid w:val="000C3ACC"/>
    <w:rsid w:val="000C52C9"/>
    <w:rsid w:val="000C5996"/>
    <w:rsid w:val="000C59BC"/>
    <w:rsid w:val="000C62E5"/>
    <w:rsid w:val="000C6B37"/>
    <w:rsid w:val="000C6BED"/>
    <w:rsid w:val="000C6D7D"/>
    <w:rsid w:val="000C7313"/>
    <w:rsid w:val="000C7867"/>
    <w:rsid w:val="000C7C27"/>
    <w:rsid w:val="000D022B"/>
    <w:rsid w:val="000D03F4"/>
    <w:rsid w:val="000D0BF8"/>
    <w:rsid w:val="000D1147"/>
    <w:rsid w:val="000D1452"/>
    <w:rsid w:val="000D222E"/>
    <w:rsid w:val="000D2F13"/>
    <w:rsid w:val="000D30D0"/>
    <w:rsid w:val="000D37F2"/>
    <w:rsid w:val="000D3E2F"/>
    <w:rsid w:val="000D4388"/>
    <w:rsid w:val="000D568E"/>
    <w:rsid w:val="000D6B0D"/>
    <w:rsid w:val="000D6CE0"/>
    <w:rsid w:val="000E0155"/>
    <w:rsid w:val="000E05DA"/>
    <w:rsid w:val="000E0C9A"/>
    <w:rsid w:val="000E3A4A"/>
    <w:rsid w:val="000E45D8"/>
    <w:rsid w:val="000E4D52"/>
    <w:rsid w:val="000E7497"/>
    <w:rsid w:val="000E7583"/>
    <w:rsid w:val="000F065E"/>
    <w:rsid w:val="000F0EA0"/>
    <w:rsid w:val="000F218A"/>
    <w:rsid w:val="000F21AD"/>
    <w:rsid w:val="000F2C14"/>
    <w:rsid w:val="000F2C51"/>
    <w:rsid w:val="000F31D7"/>
    <w:rsid w:val="000F36F5"/>
    <w:rsid w:val="000F3861"/>
    <w:rsid w:val="000F39B6"/>
    <w:rsid w:val="000F4F3B"/>
    <w:rsid w:val="000F5918"/>
    <w:rsid w:val="000F6050"/>
    <w:rsid w:val="000F72A0"/>
    <w:rsid w:val="00100D0E"/>
    <w:rsid w:val="0010111D"/>
    <w:rsid w:val="00101320"/>
    <w:rsid w:val="00102314"/>
    <w:rsid w:val="001025D7"/>
    <w:rsid w:val="00103167"/>
    <w:rsid w:val="00103FBA"/>
    <w:rsid w:val="00104B88"/>
    <w:rsid w:val="00104D33"/>
    <w:rsid w:val="00105107"/>
    <w:rsid w:val="00105A8B"/>
    <w:rsid w:val="0010641C"/>
    <w:rsid w:val="00106A9B"/>
    <w:rsid w:val="00107F91"/>
    <w:rsid w:val="00110A00"/>
    <w:rsid w:val="00110D15"/>
    <w:rsid w:val="00111013"/>
    <w:rsid w:val="0011128D"/>
    <w:rsid w:val="00111592"/>
    <w:rsid w:val="0011194E"/>
    <w:rsid w:val="001124CF"/>
    <w:rsid w:val="00112856"/>
    <w:rsid w:val="00113CBD"/>
    <w:rsid w:val="00115972"/>
    <w:rsid w:val="00115BF9"/>
    <w:rsid w:val="00115EB4"/>
    <w:rsid w:val="001162B8"/>
    <w:rsid w:val="001164EA"/>
    <w:rsid w:val="00116BB0"/>
    <w:rsid w:val="00116D7B"/>
    <w:rsid w:val="0011787F"/>
    <w:rsid w:val="00120362"/>
    <w:rsid w:val="001203BE"/>
    <w:rsid w:val="00120A58"/>
    <w:rsid w:val="0012136E"/>
    <w:rsid w:val="0012167D"/>
    <w:rsid w:val="0012190D"/>
    <w:rsid w:val="00121A68"/>
    <w:rsid w:val="00121B40"/>
    <w:rsid w:val="00121F67"/>
    <w:rsid w:val="0012209A"/>
    <w:rsid w:val="00122B75"/>
    <w:rsid w:val="001232C0"/>
    <w:rsid w:val="00123768"/>
    <w:rsid w:val="00123806"/>
    <w:rsid w:val="00123F43"/>
    <w:rsid w:val="001243CA"/>
    <w:rsid w:val="00125B3E"/>
    <w:rsid w:val="00126403"/>
    <w:rsid w:val="001266F6"/>
    <w:rsid w:val="00126F6E"/>
    <w:rsid w:val="00127D98"/>
    <w:rsid w:val="001319F2"/>
    <w:rsid w:val="00132CDF"/>
    <w:rsid w:val="00132D29"/>
    <w:rsid w:val="001342A2"/>
    <w:rsid w:val="001345B7"/>
    <w:rsid w:val="00134EAB"/>
    <w:rsid w:val="00134F7C"/>
    <w:rsid w:val="00134FFD"/>
    <w:rsid w:val="001352AC"/>
    <w:rsid w:val="00135805"/>
    <w:rsid w:val="00135D1E"/>
    <w:rsid w:val="00136073"/>
    <w:rsid w:val="00137A2C"/>
    <w:rsid w:val="0014018D"/>
    <w:rsid w:val="00140BBC"/>
    <w:rsid w:val="00141AB5"/>
    <w:rsid w:val="00142AC8"/>
    <w:rsid w:val="0014350A"/>
    <w:rsid w:val="00143626"/>
    <w:rsid w:val="0014367C"/>
    <w:rsid w:val="0014386A"/>
    <w:rsid w:val="00144AE1"/>
    <w:rsid w:val="00144E23"/>
    <w:rsid w:val="00145B01"/>
    <w:rsid w:val="00146FEC"/>
    <w:rsid w:val="00150207"/>
    <w:rsid w:val="0015087E"/>
    <w:rsid w:val="0015093E"/>
    <w:rsid w:val="00150A04"/>
    <w:rsid w:val="00151845"/>
    <w:rsid w:val="00151995"/>
    <w:rsid w:val="00151C6F"/>
    <w:rsid w:val="0015277A"/>
    <w:rsid w:val="00152F63"/>
    <w:rsid w:val="0015341A"/>
    <w:rsid w:val="0015375C"/>
    <w:rsid w:val="00154345"/>
    <w:rsid w:val="0015476A"/>
    <w:rsid w:val="001554F6"/>
    <w:rsid w:val="00156B8F"/>
    <w:rsid w:val="00156C02"/>
    <w:rsid w:val="00157594"/>
    <w:rsid w:val="001577B3"/>
    <w:rsid w:val="00157A2E"/>
    <w:rsid w:val="00160984"/>
    <w:rsid w:val="00160B7F"/>
    <w:rsid w:val="00160D0B"/>
    <w:rsid w:val="00161A33"/>
    <w:rsid w:val="00161CF7"/>
    <w:rsid w:val="001630A4"/>
    <w:rsid w:val="00164D24"/>
    <w:rsid w:val="00164FC9"/>
    <w:rsid w:val="001652EE"/>
    <w:rsid w:val="00165326"/>
    <w:rsid w:val="00165A01"/>
    <w:rsid w:val="00166069"/>
    <w:rsid w:val="001662F9"/>
    <w:rsid w:val="0016631C"/>
    <w:rsid w:val="001666D6"/>
    <w:rsid w:val="001667DF"/>
    <w:rsid w:val="00167CCF"/>
    <w:rsid w:val="001717E4"/>
    <w:rsid w:val="001720AF"/>
    <w:rsid w:val="00172582"/>
    <w:rsid w:val="001725CF"/>
    <w:rsid w:val="001727C6"/>
    <w:rsid w:val="00172F60"/>
    <w:rsid w:val="00175758"/>
    <w:rsid w:val="00175C89"/>
    <w:rsid w:val="0017613F"/>
    <w:rsid w:val="00176746"/>
    <w:rsid w:val="0017731F"/>
    <w:rsid w:val="00177567"/>
    <w:rsid w:val="001779E1"/>
    <w:rsid w:val="00177BC4"/>
    <w:rsid w:val="0018042B"/>
    <w:rsid w:val="001808A4"/>
    <w:rsid w:val="00181014"/>
    <w:rsid w:val="0018126B"/>
    <w:rsid w:val="0018156C"/>
    <w:rsid w:val="0018169E"/>
    <w:rsid w:val="00182F95"/>
    <w:rsid w:val="001849A1"/>
    <w:rsid w:val="001859BB"/>
    <w:rsid w:val="00185F44"/>
    <w:rsid w:val="00185FAB"/>
    <w:rsid w:val="001863C9"/>
    <w:rsid w:val="00186936"/>
    <w:rsid w:val="00187190"/>
    <w:rsid w:val="00187A5E"/>
    <w:rsid w:val="00187C69"/>
    <w:rsid w:val="00190726"/>
    <w:rsid w:val="00190EEA"/>
    <w:rsid w:val="0019127A"/>
    <w:rsid w:val="00191744"/>
    <w:rsid w:val="00191A55"/>
    <w:rsid w:val="0019268B"/>
    <w:rsid w:val="00192F8B"/>
    <w:rsid w:val="00194825"/>
    <w:rsid w:val="00194CEA"/>
    <w:rsid w:val="00194F8A"/>
    <w:rsid w:val="0019568A"/>
    <w:rsid w:val="001A0185"/>
    <w:rsid w:val="001A0B81"/>
    <w:rsid w:val="001A1234"/>
    <w:rsid w:val="001A1D99"/>
    <w:rsid w:val="001A2220"/>
    <w:rsid w:val="001A2759"/>
    <w:rsid w:val="001A276D"/>
    <w:rsid w:val="001A2772"/>
    <w:rsid w:val="001A2942"/>
    <w:rsid w:val="001A37D1"/>
    <w:rsid w:val="001A3B5D"/>
    <w:rsid w:val="001A4114"/>
    <w:rsid w:val="001A464A"/>
    <w:rsid w:val="001A534B"/>
    <w:rsid w:val="001A54EC"/>
    <w:rsid w:val="001A583F"/>
    <w:rsid w:val="001A5E23"/>
    <w:rsid w:val="001A61FE"/>
    <w:rsid w:val="001A668A"/>
    <w:rsid w:val="001A69CD"/>
    <w:rsid w:val="001A73C6"/>
    <w:rsid w:val="001A7695"/>
    <w:rsid w:val="001A79BA"/>
    <w:rsid w:val="001B00AC"/>
    <w:rsid w:val="001B05FB"/>
    <w:rsid w:val="001B3713"/>
    <w:rsid w:val="001B3F90"/>
    <w:rsid w:val="001B409C"/>
    <w:rsid w:val="001B41B3"/>
    <w:rsid w:val="001B4C9A"/>
    <w:rsid w:val="001B58B5"/>
    <w:rsid w:val="001B62E8"/>
    <w:rsid w:val="001B6893"/>
    <w:rsid w:val="001B7179"/>
    <w:rsid w:val="001B74B7"/>
    <w:rsid w:val="001B74F9"/>
    <w:rsid w:val="001B7B89"/>
    <w:rsid w:val="001B7DBB"/>
    <w:rsid w:val="001B7DBC"/>
    <w:rsid w:val="001B7E95"/>
    <w:rsid w:val="001C02AB"/>
    <w:rsid w:val="001C0616"/>
    <w:rsid w:val="001C0D1A"/>
    <w:rsid w:val="001C2735"/>
    <w:rsid w:val="001C2A05"/>
    <w:rsid w:val="001C2A2B"/>
    <w:rsid w:val="001C5043"/>
    <w:rsid w:val="001C5B26"/>
    <w:rsid w:val="001C7397"/>
    <w:rsid w:val="001C7762"/>
    <w:rsid w:val="001C7C22"/>
    <w:rsid w:val="001D0E94"/>
    <w:rsid w:val="001D1BBF"/>
    <w:rsid w:val="001D2360"/>
    <w:rsid w:val="001D45E7"/>
    <w:rsid w:val="001D50D5"/>
    <w:rsid w:val="001D5372"/>
    <w:rsid w:val="001D56FF"/>
    <w:rsid w:val="001D603B"/>
    <w:rsid w:val="001D6724"/>
    <w:rsid w:val="001D68A9"/>
    <w:rsid w:val="001D6BE9"/>
    <w:rsid w:val="001D6CEF"/>
    <w:rsid w:val="001D7870"/>
    <w:rsid w:val="001E0A3A"/>
    <w:rsid w:val="001E1478"/>
    <w:rsid w:val="001E1D20"/>
    <w:rsid w:val="001E1EED"/>
    <w:rsid w:val="001E35E1"/>
    <w:rsid w:val="001E37CD"/>
    <w:rsid w:val="001E3B8C"/>
    <w:rsid w:val="001E3DF9"/>
    <w:rsid w:val="001E4B16"/>
    <w:rsid w:val="001E554A"/>
    <w:rsid w:val="001E5CE3"/>
    <w:rsid w:val="001E62EE"/>
    <w:rsid w:val="001E666F"/>
    <w:rsid w:val="001E6C44"/>
    <w:rsid w:val="001E6F37"/>
    <w:rsid w:val="001E701F"/>
    <w:rsid w:val="001F1E6D"/>
    <w:rsid w:val="001F2237"/>
    <w:rsid w:val="001F2726"/>
    <w:rsid w:val="001F37B0"/>
    <w:rsid w:val="001F396F"/>
    <w:rsid w:val="001F3AFB"/>
    <w:rsid w:val="001F3CA0"/>
    <w:rsid w:val="001F5675"/>
    <w:rsid w:val="001F5D74"/>
    <w:rsid w:val="001F630E"/>
    <w:rsid w:val="001F6903"/>
    <w:rsid w:val="002007BE"/>
    <w:rsid w:val="00200E5B"/>
    <w:rsid w:val="00201BEC"/>
    <w:rsid w:val="00203726"/>
    <w:rsid w:val="002046AA"/>
    <w:rsid w:val="00205AC5"/>
    <w:rsid w:val="00206109"/>
    <w:rsid w:val="0020661D"/>
    <w:rsid w:val="00206A64"/>
    <w:rsid w:val="0020754D"/>
    <w:rsid w:val="00207CFA"/>
    <w:rsid w:val="0021045F"/>
    <w:rsid w:val="00210CB0"/>
    <w:rsid w:val="0021154C"/>
    <w:rsid w:val="0021221F"/>
    <w:rsid w:val="00212FB7"/>
    <w:rsid w:val="0021329F"/>
    <w:rsid w:val="002135BD"/>
    <w:rsid w:val="00214B3D"/>
    <w:rsid w:val="00215261"/>
    <w:rsid w:val="00215A6E"/>
    <w:rsid w:val="002165CE"/>
    <w:rsid w:val="00216CAC"/>
    <w:rsid w:val="00217140"/>
    <w:rsid w:val="0021714F"/>
    <w:rsid w:val="002175BD"/>
    <w:rsid w:val="00217A5C"/>
    <w:rsid w:val="00217F01"/>
    <w:rsid w:val="002207D1"/>
    <w:rsid w:val="00220DF7"/>
    <w:rsid w:val="00221213"/>
    <w:rsid w:val="0022134E"/>
    <w:rsid w:val="00221386"/>
    <w:rsid w:val="002217D1"/>
    <w:rsid w:val="002219B2"/>
    <w:rsid w:val="00221E85"/>
    <w:rsid w:val="00223766"/>
    <w:rsid w:val="00223805"/>
    <w:rsid w:val="002254A8"/>
    <w:rsid w:val="0022578E"/>
    <w:rsid w:val="00225B27"/>
    <w:rsid w:val="00225D46"/>
    <w:rsid w:val="002268EB"/>
    <w:rsid w:val="0023010D"/>
    <w:rsid w:val="00230AC8"/>
    <w:rsid w:val="00230DE1"/>
    <w:rsid w:val="00230FB7"/>
    <w:rsid w:val="00231C0F"/>
    <w:rsid w:val="00231FFF"/>
    <w:rsid w:val="0023261A"/>
    <w:rsid w:val="00232EEB"/>
    <w:rsid w:val="002335D4"/>
    <w:rsid w:val="00234E15"/>
    <w:rsid w:val="00235032"/>
    <w:rsid w:val="002351B6"/>
    <w:rsid w:val="00240316"/>
    <w:rsid w:val="00241040"/>
    <w:rsid w:val="002411D5"/>
    <w:rsid w:val="00241443"/>
    <w:rsid w:val="002414B0"/>
    <w:rsid w:val="0024216C"/>
    <w:rsid w:val="002423EA"/>
    <w:rsid w:val="002425A6"/>
    <w:rsid w:val="002429B0"/>
    <w:rsid w:val="00242D70"/>
    <w:rsid w:val="00242F01"/>
    <w:rsid w:val="002431F2"/>
    <w:rsid w:val="00244AD4"/>
    <w:rsid w:val="0024585A"/>
    <w:rsid w:val="00246068"/>
    <w:rsid w:val="0024697D"/>
    <w:rsid w:val="00246E03"/>
    <w:rsid w:val="00247309"/>
    <w:rsid w:val="002502C2"/>
    <w:rsid w:val="002509CD"/>
    <w:rsid w:val="0025101D"/>
    <w:rsid w:val="0025103F"/>
    <w:rsid w:val="002515AB"/>
    <w:rsid w:val="002518F2"/>
    <w:rsid w:val="00251D6F"/>
    <w:rsid w:val="0025203F"/>
    <w:rsid w:val="0025214A"/>
    <w:rsid w:val="002526CB"/>
    <w:rsid w:val="0025285F"/>
    <w:rsid w:val="002529A7"/>
    <w:rsid w:val="00252E6C"/>
    <w:rsid w:val="00253016"/>
    <w:rsid w:val="0025319C"/>
    <w:rsid w:val="002534B9"/>
    <w:rsid w:val="0025404A"/>
    <w:rsid w:val="00254398"/>
    <w:rsid w:val="002548AE"/>
    <w:rsid w:val="00255AF0"/>
    <w:rsid w:val="00257191"/>
    <w:rsid w:val="00257215"/>
    <w:rsid w:val="00257958"/>
    <w:rsid w:val="00257FBD"/>
    <w:rsid w:val="002600DD"/>
    <w:rsid w:val="00260330"/>
    <w:rsid w:val="0026074E"/>
    <w:rsid w:val="00260893"/>
    <w:rsid w:val="0026105D"/>
    <w:rsid w:val="00261273"/>
    <w:rsid w:val="00261ABA"/>
    <w:rsid w:val="00261BC7"/>
    <w:rsid w:val="00262187"/>
    <w:rsid w:val="002625D0"/>
    <w:rsid w:val="00262998"/>
    <w:rsid w:val="00263069"/>
    <w:rsid w:val="00263253"/>
    <w:rsid w:val="0026394E"/>
    <w:rsid w:val="002640A6"/>
    <w:rsid w:val="002640B9"/>
    <w:rsid w:val="002649C2"/>
    <w:rsid w:val="002653E6"/>
    <w:rsid w:val="00266524"/>
    <w:rsid w:val="00266557"/>
    <w:rsid w:val="00267F9E"/>
    <w:rsid w:val="002709B8"/>
    <w:rsid w:val="00270DE2"/>
    <w:rsid w:val="00271376"/>
    <w:rsid w:val="002717EA"/>
    <w:rsid w:val="002719FE"/>
    <w:rsid w:val="00271E19"/>
    <w:rsid w:val="002731F1"/>
    <w:rsid w:val="00273334"/>
    <w:rsid w:val="00273C2D"/>
    <w:rsid w:val="00273E3A"/>
    <w:rsid w:val="00275369"/>
    <w:rsid w:val="00275730"/>
    <w:rsid w:val="00275F09"/>
    <w:rsid w:val="0027621F"/>
    <w:rsid w:val="002766CD"/>
    <w:rsid w:val="0027677D"/>
    <w:rsid w:val="00276CEA"/>
    <w:rsid w:val="00276D10"/>
    <w:rsid w:val="00277E10"/>
    <w:rsid w:val="002804E4"/>
    <w:rsid w:val="0028325C"/>
    <w:rsid w:val="0028359A"/>
    <w:rsid w:val="00283731"/>
    <w:rsid w:val="00283AFD"/>
    <w:rsid w:val="0028414F"/>
    <w:rsid w:val="00284D9E"/>
    <w:rsid w:val="00285A97"/>
    <w:rsid w:val="00285D28"/>
    <w:rsid w:val="00286C4C"/>
    <w:rsid w:val="00287A73"/>
    <w:rsid w:val="00287D52"/>
    <w:rsid w:val="00290971"/>
    <w:rsid w:val="00290D18"/>
    <w:rsid w:val="0029147C"/>
    <w:rsid w:val="002918EF"/>
    <w:rsid w:val="00291ECD"/>
    <w:rsid w:val="00292B8E"/>
    <w:rsid w:val="00292E0B"/>
    <w:rsid w:val="002934E7"/>
    <w:rsid w:val="00293978"/>
    <w:rsid w:val="0029491E"/>
    <w:rsid w:val="00294F2E"/>
    <w:rsid w:val="0029586C"/>
    <w:rsid w:val="002960E5"/>
    <w:rsid w:val="00296804"/>
    <w:rsid w:val="002969EA"/>
    <w:rsid w:val="002A055B"/>
    <w:rsid w:val="002A0883"/>
    <w:rsid w:val="002A09FF"/>
    <w:rsid w:val="002A208A"/>
    <w:rsid w:val="002A2541"/>
    <w:rsid w:val="002A27CD"/>
    <w:rsid w:val="002A3411"/>
    <w:rsid w:val="002A3680"/>
    <w:rsid w:val="002A404A"/>
    <w:rsid w:val="002A56E8"/>
    <w:rsid w:val="002A6184"/>
    <w:rsid w:val="002A6E36"/>
    <w:rsid w:val="002A703D"/>
    <w:rsid w:val="002A7DA5"/>
    <w:rsid w:val="002B023D"/>
    <w:rsid w:val="002B0727"/>
    <w:rsid w:val="002B0B22"/>
    <w:rsid w:val="002B0C6C"/>
    <w:rsid w:val="002B0D1D"/>
    <w:rsid w:val="002B120F"/>
    <w:rsid w:val="002B12E9"/>
    <w:rsid w:val="002B2505"/>
    <w:rsid w:val="002B332A"/>
    <w:rsid w:val="002B3502"/>
    <w:rsid w:val="002B4CA2"/>
    <w:rsid w:val="002B55CF"/>
    <w:rsid w:val="002B5F2B"/>
    <w:rsid w:val="002B73F8"/>
    <w:rsid w:val="002C0780"/>
    <w:rsid w:val="002C17F1"/>
    <w:rsid w:val="002C35B0"/>
    <w:rsid w:val="002C3F66"/>
    <w:rsid w:val="002C4719"/>
    <w:rsid w:val="002C55DF"/>
    <w:rsid w:val="002C641C"/>
    <w:rsid w:val="002C7503"/>
    <w:rsid w:val="002C7E28"/>
    <w:rsid w:val="002D0090"/>
    <w:rsid w:val="002D0300"/>
    <w:rsid w:val="002D07C9"/>
    <w:rsid w:val="002D08E7"/>
    <w:rsid w:val="002D1713"/>
    <w:rsid w:val="002D1B69"/>
    <w:rsid w:val="002D1C06"/>
    <w:rsid w:val="002D1F02"/>
    <w:rsid w:val="002D2384"/>
    <w:rsid w:val="002D24C3"/>
    <w:rsid w:val="002D2A35"/>
    <w:rsid w:val="002D2D6A"/>
    <w:rsid w:val="002D3210"/>
    <w:rsid w:val="002D327C"/>
    <w:rsid w:val="002D33F5"/>
    <w:rsid w:val="002D3C8F"/>
    <w:rsid w:val="002D42BD"/>
    <w:rsid w:val="002D5274"/>
    <w:rsid w:val="002D6554"/>
    <w:rsid w:val="002D662A"/>
    <w:rsid w:val="002D6705"/>
    <w:rsid w:val="002D73E2"/>
    <w:rsid w:val="002D7853"/>
    <w:rsid w:val="002D7F16"/>
    <w:rsid w:val="002E1A26"/>
    <w:rsid w:val="002E348C"/>
    <w:rsid w:val="002E35B7"/>
    <w:rsid w:val="002E35C9"/>
    <w:rsid w:val="002E4EE5"/>
    <w:rsid w:val="002E5102"/>
    <w:rsid w:val="002E5598"/>
    <w:rsid w:val="002E7490"/>
    <w:rsid w:val="002E75F0"/>
    <w:rsid w:val="002F02BE"/>
    <w:rsid w:val="002F0F6F"/>
    <w:rsid w:val="002F3379"/>
    <w:rsid w:val="002F4F9F"/>
    <w:rsid w:val="002F52DA"/>
    <w:rsid w:val="002F5735"/>
    <w:rsid w:val="002F5D7B"/>
    <w:rsid w:val="002F62B2"/>
    <w:rsid w:val="002F64E5"/>
    <w:rsid w:val="002F6C38"/>
    <w:rsid w:val="002F771B"/>
    <w:rsid w:val="002F7720"/>
    <w:rsid w:val="00302034"/>
    <w:rsid w:val="00302239"/>
    <w:rsid w:val="00302887"/>
    <w:rsid w:val="00302EC6"/>
    <w:rsid w:val="003038C7"/>
    <w:rsid w:val="00303DC9"/>
    <w:rsid w:val="00303EBA"/>
    <w:rsid w:val="00304107"/>
    <w:rsid w:val="00304179"/>
    <w:rsid w:val="003043B1"/>
    <w:rsid w:val="00304F27"/>
    <w:rsid w:val="00304FDD"/>
    <w:rsid w:val="003051FC"/>
    <w:rsid w:val="0030541C"/>
    <w:rsid w:val="00305E49"/>
    <w:rsid w:val="003061B0"/>
    <w:rsid w:val="003062D9"/>
    <w:rsid w:val="003066D0"/>
    <w:rsid w:val="00306E8D"/>
    <w:rsid w:val="0031035E"/>
    <w:rsid w:val="0031064C"/>
    <w:rsid w:val="00310E4E"/>
    <w:rsid w:val="00313413"/>
    <w:rsid w:val="00313A19"/>
    <w:rsid w:val="00314B2C"/>
    <w:rsid w:val="003151F9"/>
    <w:rsid w:val="0031682A"/>
    <w:rsid w:val="00316C92"/>
    <w:rsid w:val="00317746"/>
    <w:rsid w:val="00317B8E"/>
    <w:rsid w:val="00320808"/>
    <w:rsid w:val="00321186"/>
    <w:rsid w:val="0032122A"/>
    <w:rsid w:val="00321380"/>
    <w:rsid w:val="00321CD7"/>
    <w:rsid w:val="0032269C"/>
    <w:rsid w:val="003229EA"/>
    <w:rsid w:val="00322B8D"/>
    <w:rsid w:val="00323F2C"/>
    <w:rsid w:val="003252D2"/>
    <w:rsid w:val="0032560F"/>
    <w:rsid w:val="00326386"/>
    <w:rsid w:val="00326806"/>
    <w:rsid w:val="00326830"/>
    <w:rsid w:val="00326FEE"/>
    <w:rsid w:val="00327810"/>
    <w:rsid w:val="00327AD0"/>
    <w:rsid w:val="003304F3"/>
    <w:rsid w:val="00330D9C"/>
    <w:rsid w:val="00331157"/>
    <w:rsid w:val="00331179"/>
    <w:rsid w:val="003311E5"/>
    <w:rsid w:val="003318FA"/>
    <w:rsid w:val="003326E4"/>
    <w:rsid w:val="00332925"/>
    <w:rsid w:val="00332FE0"/>
    <w:rsid w:val="003330CB"/>
    <w:rsid w:val="00333591"/>
    <w:rsid w:val="00334616"/>
    <w:rsid w:val="0033548A"/>
    <w:rsid w:val="0033610E"/>
    <w:rsid w:val="00336C95"/>
    <w:rsid w:val="00336DC6"/>
    <w:rsid w:val="00340873"/>
    <w:rsid w:val="00340C67"/>
    <w:rsid w:val="00341565"/>
    <w:rsid w:val="0034268E"/>
    <w:rsid w:val="00342C05"/>
    <w:rsid w:val="00342DE6"/>
    <w:rsid w:val="003441A2"/>
    <w:rsid w:val="00344711"/>
    <w:rsid w:val="00344830"/>
    <w:rsid w:val="00344C16"/>
    <w:rsid w:val="00344C37"/>
    <w:rsid w:val="00344F19"/>
    <w:rsid w:val="00344F60"/>
    <w:rsid w:val="0034515F"/>
    <w:rsid w:val="003458BC"/>
    <w:rsid w:val="00345A0E"/>
    <w:rsid w:val="00346981"/>
    <w:rsid w:val="00346AD3"/>
    <w:rsid w:val="00346EE1"/>
    <w:rsid w:val="0034777A"/>
    <w:rsid w:val="00350B5D"/>
    <w:rsid w:val="00350C77"/>
    <w:rsid w:val="00350ED0"/>
    <w:rsid w:val="003510DB"/>
    <w:rsid w:val="00351B87"/>
    <w:rsid w:val="003528D9"/>
    <w:rsid w:val="0035399E"/>
    <w:rsid w:val="00354C63"/>
    <w:rsid w:val="0035504F"/>
    <w:rsid w:val="00355291"/>
    <w:rsid w:val="00355517"/>
    <w:rsid w:val="003556CB"/>
    <w:rsid w:val="00357C01"/>
    <w:rsid w:val="00360EEC"/>
    <w:rsid w:val="0036102C"/>
    <w:rsid w:val="00361CC4"/>
    <w:rsid w:val="00361E28"/>
    <w:rsid w:val="00362593"/>
    <w:rsid w:val="00362E4F"/>
    <w:rsid w:val="003631F2"/>
    <w:rsid w:val="00363B4B"/>
    <w:rsid w:val="00363D31"/>
    <w:rsid w:val="00365659"/>
    <w:rsid w:val="00366FD4"/>
    <w:rsid w:val="00366FFE"/>
    <w:rsid w:val="003678A5"/>
    <w:rsid w:val="0037097C"/>
    <w:rsid w:val="00370D6A"/>
    <w:rsid w:val="003715B4"/>
    <w:rsid w:val="00371BD8"/>
    <w:rsid w:val="00371D91"/>
    <w:rsid w:val="00372277"/>
    <w:rsid w:val="00373324"/>
    <w:rsid w:val="00373949"/>
    <w:rsid w:val="00373BBE"/>
    <w:rsid w:val="00374CAC"/>
    <w:rsid w:val="00376BBC"/>
    <w:rsid w:val="00376E22"/>
    <w:rsid w:val="00376E98"/>
    <w:rsid w:val="003777E4"/>
    <w:rsid w:val="00377AF7"/>
    <w:rsid w:val="00377E25"/>
    <w:rsid w:val="00381127"/>
    <w:rsid w:val="00381503"/>
    <w:rsid w:val="00382C2C"/>
    <w:rsid w:val="00382FC3"/>
    <w:rsid w:val="003836E7"/>
    <w:rsid w:val="003843AD"/>
    <w:rsid w:val="003848FB"/>
    <w:rsid w:val="00384931"/>
    <w:rsid w:val="00384CBD"/>
    <w:rsid w:val="00384EED"/>
    <w:rsid w:val="00385B19"/>
    <w:rsid w:val="00386102"/>
    <w:rsid w:val="0038612F"/>
    <w:rsid w:val="00386373"/>
    <w:rsid w:val="0038671B"/>
    <w:rsid w:val="003904AC"/>
    <w:rsid w:val="003907FF"/>
    <w:rsid w:val="0039093B"/>
    <w:rsid w:val="0039178D"/>
    <w:rsid w:val="00391FC8"/>
    <w:rsid w:val="003923DB"/>
    <w:rsid w:val="003923F0"/>
    <w:rsid w:val="0039288C"/>
    <w:rsid w:val="00392AF6"/>
    <w:rsid w:val="00393328"/>
    <w:rsid w:val="00393B51"/>
    <w:rsid w:val="00393FBD"/>
    <w:rsid w:val="00394718"/>
    <w:rsid w:val="003954F0"/>
    <w:rsid w:val="00395B27"/>
    <w:rsid w:val="00395CCB"/>
    <w:rsid w:val="003966B5"/>
    <w:rsid w:val="00396D66"/>
    <w:rsid w:val="0039700C"/>
    <w:rsid w:val="003A0156"/>
    <w:rsid w:val="003A15B6"/>
    <w:rsid w:val="003A17B8"/>
    <w:rsid w:val="003A1899"/>
    <w:rsid w:val="003A18C1"/>
    <w:rsid w:val="003A197A"/>
    <w:rsid w:val="003A1E6D"/>
    <w:rsid w:val="003A2665"/>
    <w:rsid w:val="003A2EFF"/>
    <w:rsid w:val="003A3108"/>
    <w:rsid w:val="003A3177"/>
    <w:rsid w:val="003A3576"/>
    <w:rsid w:val="003A3CCF"/>
    <w:rsid w:val="003A461B"/>
    <w:rsid w:val="003A4847"/>
    <w:rsid w:val="003A488D"/>
    <w:rsid w:val="003A514F"/>
    <w:rsid w:val="003A5ABE"/>
    <w:rsid w:val="003A5D15"/>
    <w:rsid w:val="003A6E72"/>
    <w:rsid w:val="003B05E1"/>
    <w:rsid w:val="003B0CE8"/>
    <w:rsid w:val="003B123B"/>
    <w:rsid w:val="003B1400"/>
    <w:rsid w:val="003B28D7"/>
    <w:rsid w:val="003B28F0"/>
    <w:rsid w:val="003B3BE1"/>
    <w:rsid w:val="003B3FB3"/>
    <w:rsid w:val="003B4ADE"/>
    <w:rsid w:val="003B4E93"/>
    <w:rsid w:val="003B588D"/>
    <w:rsid w:val="003B72D4"/>
    <w:rsid w:val="003B7E08"/>
    <w:rsid w:val="003C0167"/>
    <w:rsid w:val="003C062D"/>
    <w:rsid w:val="003C0D52"/>
    <w:rsid w:val="003C20F8"/>
    <w:rsid w:val="003C2713"/>
    <w:rsid w:val="003C285B"/>
    <w:rsid w:val="003C32B6"/>
    <w:rsid w:val="003C3990"/>
    <w:rsid w:val="003C40DE"/>
    <w:rsid w:val="003C552E"/>
    <w:rsid w:val="003C6918"/>
    <w:rsid w:val="003C6FE5"/>
    <w:rsid w:val="003C70FD"/>
    <w:rsid w:val="003C72D3"/>
    <w:rsid w:val="003C7D54"/>
    <w:rsid w:val="003D026B"/>
    <w:rsid w:val="003D0CBF"/>
    <w:rsid w:val="003D0DA7"/>
    <w:rsid w:val="003D129D"/>
    <w:rsid w:val="003D1730"/>
    <w:rsid w:val="003D2B73"/>
    <w:rsid w:val="003D3A8E"/>
    <w:rsid w:val="003D4711"/>
    <w:rsid w:val="003D4C21"/>
    <w:rsid w:val="003D4E06"/>
    <w:rsid w:val="003D515A"/>
    <w:rsid w:val="003D5C55"/>
    <w:rsid w:val="003D6F54"/>
    <w:rsid w:val="003D708E"/>
    <w:rsid w:val="003E0BC4"/>
    <w:rsid w:val="003E1A95"/>
    <w:rsid w:val="003E1BBE"/>
    <w:rsid w:val="003E2BBB"/>
    <w:rsid w:val="003E2D64"/>
    <w:rsid w:val="003E2FAE"/>
    <w:rsid w:val="003E38F1"/>
    <w:rsid w:val="003E3922"/>
    <w:rsid w:val="003E39E5"/>
    <w:rsid w:val="003E4470"/>
    <w:rsid w:val="003E4573"/>
    <w:rsid w:val="003E48CC"/>
    <w:rsid w:val="003E491C"/>
    <w:rsid w:val="003E50DE"/>
    <w:rsid w:val="003E5D98"/>
    <w:rsid w:val="003E620F"/>
    <w:rsid w:val="003E628C"/>
    <w:rsid w:val="003E6ABD"/>
    <w:rsid w:val="003E74EC"/>
    <w:rsid w:val="003F0582"/>
    <w:rsid w:val="003F060B"/>
    <w:rsid w:val="003F0BBF"/>
    <w:rsid w:val="003F0E44"/>
    <w:rsid w:val="003F1101"/>
    <w:rsid w:val="003F1D18"/>
    <w:rsid w:val="003F232B"/>
    <w:rsid w:val="003F29D9"/>
    <w:rsid w:val="003F2A41"/>
    <w:rsid w:val="003F357E"/>
    <w:rsid w:val="003F3AB5"/>
    <w:rsid w:val="003F3BEE"/>
    <w:rsid w:val="003F3EE4"/>
    <w:rsid w:val="003F43AB"/>
    <w:rsid w:val="003F4414"/>
    <w:rsid w:val="003F5079"/>
    <w:rsid w:val="003F56D9"/>
    <w:rsid w:val="003F5EA6"/>
    <w:rsid w:val="003F5F9A"/>
    <w:rsid w:val="003F6A1E"/>
    <w:rsid w:val="003F735A"/>
    <w:rsid w:val="003F7C6E"/>
    <w:rsid w:val="00400898"/>
    <w:rsid w:val="00400EFA"/>
    <w:rsid w:val="004014F9"/>
    <w:rsid w:val="00402907"/>
    <w:rsid w:val="00403205"/>
    <w:rsid w:val="004041CB"/>
    <w:rsid w:val="0040462F"/>
    <w:rsid w:val="004051E5"/>
    <w:rsid w:val="004059DC"/>
    <w:rsid w:val="00406B48"/>
    <w:rsid w:val="00406FE7"/>
    <w:rsid w:val="00407180"/>
    <w:rsid w:val="00407570"/>
    <w:rsid w:val="004102BD"/>
    <w:rsid w:val="00410426"/>
    <w:rsid w:val="00411547"/>
    <w:rsid w:val="00411985"/>
    <w:rsid w:val="00411C69"/>
    <w:rsid w:val="00411FBC"/>
    <w:rsid w:val="00412EB9"/>
    <w:rsid w:val="00413046"/>
    <w:rsid w:val="0041392D"/>
    <w:rsid w:val="00413BC2"/>
    <w:rsid w:val="004159EE"/>
    <w:rsid w:val="00415B3F"/>
    <w:rsid w:val="00415F09"/>
    <w:rsid w:val="00417C8B"/>
    <w:rsid w:val="00417CEF"/>
    <w:rsid w:val="0042152E"/>
    <w:rsid w:val="004217DE"/>
    <w:rsid w:val="004249D8"/>
    <w:rsid w:val="00425772"/>
    <w:rsid w:val="00425940"/>
    <w:rsid w:val="00426220"/>
    <w:rsid w:val="004262F7"/>
    <w:rsid w:val="00427852"/>
    <w:rsid w:val="00430AA9"/>
    <w:rsid w:val="00430EF9"/>
    <w:rsid w:val="004310C4"/>
    <w:rsid w:val="00431F69"/>
    <w:rsid w:val="00433C85"/>
    <w:rsid w:val="00433C9C"/>
    <w:rsid w:val="00433D40"/>
    <w:rsid w:val="004354F6"/>
    <w:rsid w:val="00435AFE"/>
    <w:rsid w:val="00435FE9"/>
    <w:rsid w:val="00436836"/>
    <w:rsid w:val="00437561"/>
    <w:rsid w:val="004405BF"/>
    <w:rsid w:val="0044200B"/>
    <w:rsid w:val="0044237B"/>
    <w:rsid w:val="004425A4"/>
    <w:rsid w:val="0044396E"/>
    <w:rsid w:val="00443E3D"/>
    <w:rsid w:val="00443E41"/>
    <w:rsid w:val="004448F3"/>
    <w:rsid w:val="00444CDB"/>
    <w:rsid w:val="00444D2B"/>
    <w:rsid w:val="00445233"/>
    <w:rsid w:val="0044602A"/>
    <w:rsid w:val="00446469"/>
    <w:rsid w:val="004464F0"/>
    <w:rsid w:val="00447BF9"/>
    <w:rsid w:val="004519E4"/>
    <w:rsid w:val="00451CFA"/>
    <w:rsid w:val="004522EC"/>
    <w:rsid w:val="00452A52"/>
    <w:rsid w:val="00453428"/>
    <w:rsid w:val="00454391"/>
    <w:rsid w:val="00454601"/>
    <w:rsid w:val="004549B2"/>
    <w:rsid w:val="004554A4"/>
    <w:rsid w:val="00455FC0"/>
    <w:rsid w:val="004568DA"/>
    <w:rsid w:val="00456986"/>
    <w:rsid w:val="00457A7A"/>
    <w:rsid w:val="004600B8"/>
    <w:rsid w:val="00460156"/>
    <w:rsid w:val="004605E0"/>
    <w:rsid w:val="004613E1"/>
    <w:rsid w:val="00461519"/>
    <w:rsid w:val="00461BFE"/>
    <w:rsid w:val="0046266E"/>
    <w:rsid w:val="004639E1"/>
    <w:rsid w:val="0046480D"/>
    <w:rsid w:val="00464984"/>
    <w:rsid w:val="00464A7F"/>
    <w:rsid w:val="00464A8E"/>
    <w:rsid w:val="00464F14"/>
    <w:rsid w:val="00464FCC"/>
    <w:rsid w:val="00465497"/>
    <w:rsid w:val="004667CA"/>
    <w:rsid w:val="00467B6B"/>
    <w:rsid w:val="00470C3D"/>
    <w:rsid w:val="00471010"/>
    <w:rsid w:val="00471BD2"/>
    <w:rsid w:val="004728F6"/>
    <w:rsid w:val="00473526"/>
    <w:rsid w:val="0047437B"/>
    <w:rsid w:val="004748F6"/>
    <w:rsid w:val="00475CB7"/>
    <w:rsid w:val="00475D7A"/>
    <w:rsid w:val="00476309"/>
    <w:rsid w:val="00477253"/>
    <w:rsid w:val="00480322"/>
    <w:rsid w:val="00480364"/>
    <w:rsid w:val="00480605"/>
    <w:rsid w:val="0048086F"/>
    <w:rsid w:val="0048100A"/>
    <w:rsid w:val="004815C9"/>
    <w:rsid w:val="00481B8B"/>
    <w:rsid w:val="00481CD3"/>
    <w:rsid w:val="0048215D"/>
    <w:rsid w:val="0048349D"/>
    <w:rsid w:val="00483CDA"/>
    <w:rsid w:val="00484528"/>
    <w:rsid w:val="0048472B"/>
    <w:rsid w:val="0048551D"/>
    <w:rsid w:val="00485828"/>
    <w:rsid w:val="00485EC1"/>
    <w:rsid w:val="0048688A"/>
    <w:rsid w:val="00486B50"/>
    <w:rsid w:val="0048799D"/>
    <w:rsid w:val="00487BA6"/>
    <w:rsid w:val="00490DC8"/>
    <w:rsid w:val="00491BAD"/>
    <w:rsid w:val="00491F14"/>
    <w:rsid w:val="00491FD8"/>
    <w:rsid w:val="0049283B"/>
    <w:rsid w:val="00493210"/>
    <w:rsid w:val="00493E35"/>
    <w:rsid w:val="00494F36"/>
    <w:rsid w:val="0049560A"/>
    <w:rsid w:val="00495AAC"/>
    <w:rsid w:val="00496C0C"/>
    <w:rsid w:val="00497624"/>
    <w:rsid w:val="004A0848"/>
    <w:rsid w:val="004A0AF3"/>
    <w:rsid w:val="004A1C96"/>
    <w:rsid w:val="004A2AF0"/>
    <w:rsid w:val="004A3865"/>
    <w:rsid w:val="004A44FD"/>
    <w:rsid w:val="004A543B"/>
    <w:rsid w:val="004A6E5C"/>
    <w:rsid w:val="004A7795"/>
    <w:rsid w:val="004B00C0"/>
    <w:rsid w:val="004B20D9"/>
    <w:rsid w:val="004B272C"/>
    <w:rsid w:val="004B47E6"/>
    <w:rsid w:val="004B4AA2"/>
    <w:rsid w:val="004B4E1A"/>
    <w:rsid w:val="004B4EC3"/>
    <w:rsid w:val="004B547B"/>
    <w:rsid w:val="004B579B"/>
    <w:rsid w:val="004B5B17"/>
    <w:rsid w:val="004B6061"/>
    <w:rsid w:val="004C0A77"/>
    <w:rsid w:val="004C1077"/>
    <w:rsid w:val="004C1C5E"/>
    <w:rsid w:val="004C263D"/>
    <w:rsid w:val="004C421D"/>
    <w:rsid w:val="004C46AD"/>
    <w:rsid w:val="004C4773"/>
    <w:rsid w:val="004C4BB5"/>
    <w:rsid w:val="004C4D04"/>
    <w:rsid w:val="004C4FA0"/>
    <w:rsid w:val="004C51CF"/>
    <w:rsid w:val="004C527B"/>
    <w:rsid w:val="004C57C3"/>
    <w:rsid w:val="004C5D29"/>
    <w:rsid w:val="004C6B12"/>
    <w:rsid w:val="004C6FE1"/>
    <w:rsid w:val="004C73B8"/>
    <w:rsid w:val="004C7D9C"/>
    <w:rsid w:val="004D0529"/>
    <w:rsid w:val="004D05EB"/>
    <w:rsid w:val="004D1216"/>
    <w:rsid w:val="004D13A9"/>
    <w:rsid w:val="004D22C0"/>
    <w:rsid w:val="004D2DDD"/>
    <w:rsid w:val="004D3156"/>
    <w:rsid w:val="004D5A63"/>
    <w:rsid w:val="004D5B7A"/>
    <w:rsid w:val="004D62A0"/>
    <w:rsid w:val="004D6D89"/>
    <w:rsid w:val="004D7C20"/>
    <w:rsid w:val="004D7F25"/>
    <w:rsid w:val="004E1087"/>
    <w:rsid w:val="004E18E6"/>
    <w:rsid w:val="004E1930"/>
    <w:rsid w:val="004E1D69"/>
    <w:rsid w:val="004E2678"/>
    <w:rsid w:val="004E3254"/>
    <w:rsid w:val="004E4790"/>
    <w:rsid w:val="004E4B79"/>
    <w:rsid w:val="004E4F68"/>
    <w:rsid w:val="004E56AC"/>
    <w:rsid w:val="004E5D63"/>
    <w:rsid w:val="004E63F6"/>
    <w:rsid w:val="004E6911"/>
    <w:rsid w:val="004E6BDF"/>
    <w:rsid w:val="004E780D"/>
    <w:rsid w:val="004E7CD9"/>
    <w:rsid w:val="004F1C34"/>
    <w:rsid w:val="004F2C1D"/>
    <w:rsid w:val="004F2CDA"/>
    <w:rsid w:val="004F311C"/>
    <w:rsid w:val="004F35E4"/>
    <w:rsid w:val="004F3954"/>
    <w:rsid w:val="004F4814"/>
    <w:rsid w:val="004F4E30"/>
    <w:rsid w:val="004F554E"/>
    <w:rsid w:val="004F5587"/>
    <w:rsid w:val="004F569E"/>
    <w:rsid w:val="004F6083"/>
    <w:rsid w:val="004F6E46"/>
    <w:rsid w:val="00500B43"/>
    <w:rsid w:val="00501581"/>
    <w:rsid w:val="0050191D"/>
    <w:rsid w:val="00501AE3"/>
    <w:rsid w:val="005026CF"/>
    <w:rsid w:val="00502FAA"/>
    <w:rsid w:val="0050331A"/>
    <w:rsid w:val="005034AD"/>
    <w:rsid w:val="00503F41"/>
    <w:rsid w:val="005043AB"/>
    <w:rsid w:val="0050448B"/>
    <w:rsid w:val="00504886"/>
    <w:rsid w:val="00504E77"/>
    <w:rsid w:val="005050CF"/>
    <w:rsid w:val="00505516"/>
    <w:rsid w:val="00506842"/>
    <w:rsid w:val="00506F0F"/>
    <w:rsid w:val="00507362"/>
    <w:rsid w:val="00510485"/>
    <w:rsid w:val="00511570"/>
    <w:rsid w:val="00511745"/>
    <w:rsid w:val="00511C26"/>
    <w:rsid w:val="005124E7"/>
    <w:rsid w:val="00512B89"/>
    <w:rsid w:val="005133AC"/>
    <w:rsid w:val="00514209"/>
    <w:rsid w:val="0051585F"/>
    <w:rsid w:val="00515A9A"/>
    <w:rsid w:val="00516660"/>
    <w:rsid w:val="00516EE7"/>
    <w:rsid w:val="00520611"/>
    <w:rsid w:val="00521E30"/>
    <w:rsid w:val="005220FC"/>
    <w:rsid w:val="00522ECB"/>
    <w:rsid w:val="0052309F"/>
    <w:rsid w:val="00524215"/>
    <w:rsid w:val="00524B6A"/>
    <w:rsid w:val="00524EA8"/>
    <w:rsid w:val="0052556E"/>
    <w:rsid w:val="00525A7D"/>
    <w:rsid w:val="00526AF6"/>
    <w:rsid w:val="00530062"/>
    <w:rsid w:val="00530338"/>
    <w:rsid w:val="00530741"/>
    <w:rsid w:val="005308D9"/>
    <w:rsid w:val="00530BD2"/>
    <w:rsid w:val="00531D52"/>
    <w:rsid w:val="00532E22"/>
    <w:rsid w:val="0053301B"/>
    <w:rsid w:val="00533804"/>
    <w:rsid w:val="0053389C"/>
    <w:rsid w:val="005351A5"/>
    <w:rsid w:val="00535270"/>
    <w:rsid w:val="005357CE"/>
    <w:rsid w:val="005371F8"/>
    <w:rsid w:val="005403C3"/>
    <w:rsid w:val="00540830"/>
    <w:rsid w:val="00541003"/>
    <w:rsid w:val="00541068"/>
    <w:rsid w:val="005413C8"/>
    <w:rsid w:val="0054164F"/>
    <w:rsid w:val="00541DB1"/>
    <w:rsid w:val="005420BC"/>
    <w:rsid w:val="005427E8"/>
    <w:rsid w:val="00543995"/>
    <w:rsid w:val="00544819"/>
    <w:rsid w:val="005458D9"/>
    <w:rsid w:val="00546251"/>
    <w:rsid w:val="00547039"/>
    <w:rsid w:val="00550804"/>
    <w:rsid w:val="00551538"/>
    <w:rsid w:val="00551B85"/>
    <w:rsid w:val="00552253"/>
    <w:rsid w:val="00552659"/>
    <w:rsid w:val="00552830"/>
    <w:rsid w:val="0055311C"/>
    <w:rsid w:val="005548D2"/>
    <w:rsid w:val="005549F6"/>
    <w:rsid w:val="00554DCA"/>
    <w:rsid w:val="00555522"/>
    <w:rsid w:val="00556683"/>
    <w:rsid w:val="0055736F"/>
    <w:rsid w:val="005576F3"/>
    <w:rsid w:val="00557C77"/>
    <w:rsid w:val="00557CE5"/>
    <w:rsid w:val="00557F69"/>
    <w:rsid w:val="005622DC"/>
    <w:rsid w:val="005630E6"/>
    <w:rsid w:val="00563D3A"/>
    <w:rsid w:val="00563ED8"/>
    <w:rsid w:val="00564D58"/>
    <w:rsid w:val="00566152"/>
    <w:rsid w:val="00566755"/>
    <w:rsid w:val="00566C32"/>
    <w:rsid w:val="00566FC2"/>
    <w:rsid w:val="00567BB9"/>
    <w:rsid w:val="00567CE5"/>
    <w:rsid w:val="00570097"/>
    <w:rsid w:val="0057096A"/>
    <w:rsid w:val="00571101"/>
    <w:rsid w:val="0057135F"/>
    <w:rsid w:val="00573238"/>
    <w:rsid w:val="00573486"/>
    <w:rsid w:val="00573610"/>
    <w:rsid w:val="00573999"/>
    <w:rsid w:val="0057465F"/>
    <w:rsid w:val="005754B2"/>
    <w:rsid w:val="0057579B"/>
    <w:rsid w:val="00576140"/>
    <w:rsid w:val="0057748B"/>
    <w:rsid w:val="0057770E"/>
    <w:rsid w:val="005806A8"/>
    <w:rsid w:val="00580AEE"/>
    <w:rsid w:val="00581094"/>
    <w:rsid w:val="00581EAB"/>
    <w:rsid w:val="00583192"/>
    <w:rsid w:val="00583F77"/>
    <w:rsid w:val="005845BE"/>
    <w:rsid w:val="00591B43"/>
    <w:rsid w:val="00591B82"/>
    <w:rsid w:val="00592B9D"/>
    <w:rsid w:val="00592DB8"/>
    <w:rsid w:val="005930F3"/>
    <w:rsid w:val="0059321E"/>
    <w:rsid w:val="00593261"/>
    <w:rsid w:val="00593C55"/>
    <w:rsid w:val="005949C4"/>
    <w:rsid w:val="005949F2"/>
    <w:rsid w:val="00594DF1"/>
    <w:rsid w:val="00595150"/>
    <w:rsid w:val="00596273"/>
    <w:rsid w:val="005964F0"/>
    <w:rsid w:val="00596772"/>
    <w:rsid w:val="005973D3"/>
    <w:rsid w:val="005A1C89"/>
    <w:rsid w:val="005A1D1D"/>
    <w:rsid w:val="005A2076"/>
    <w:rsid w:val="005A272F"/>
    <w:rsid w:val="005A2982"/>
    <w:rsid w:val="005A30F3"/>
    <w:rsid w:val="005A342A"/>
    <w:rsid w:val="005A3650"/>
    <w:rsid w:val="005A36A7"/>
    <w:rsid w:val="005A39F0"/>
    <w:rsid w:val="005A3AF1"/>
    <w:rsid w:val="005A433B"/>
    <w:rsid w:val="005A44AB"/>
    <w:rsid w:val="005A4542"/>
    <w:rsid w:val="005A4AE7"/>
    <w:rsid w:val="005A51B9"/>
    <w:rsid w:val="005A572B"/>
    <w:rsid w:val="005A5AAC"/>
    <w:rsid w:val="005A5C2E"/>
    <w:rsid w:val="005A61BA"/>
    <w:rsid w:val="005A61F7"/>
    <w:rsid w:val="005A63F6"/>
    <w:rsid w:val="005A6C5B"/>
    <w:rsid w:val="005A74E6"/>
    <w:rsid w:val="005A7D5C"/>
    <w:rsid w:val="005A7E8D"/>
    <w:rsid w:val="005B1517"/>
    <w:rsid w:val="005B390E"/>
    <w:rsid w:val="005B39FC"/>
    <w:rsid w:val="005B51E2"/>
    <w:rsid w:val="005B5AB9"/>
    <w:rsid w:val="005B5D30"/>
    <w:rsid w:val="005C1C59"/>
    <w:rsid w:val="005C2361"/>
    <w:rsid w:val="005C285D"/>
    <w:rsid w:val="005C35BD"/>
    <w:rsid w:val="005C393F"/>
    <w:rsid w:val="005C3A5C"/>
    <w:rsid w:val="005C40A7"/>
    <w:rsid w:val="005C432C"/>
    <w:rsid w:val="005C455C"/>
    <w:rsid w:val="005C47C1"/>
    <w:rsid w:val="005C483E"/>
    <w:rsid w:val="005C51A2"/>
    <w:rsid w:val="005C5E4B"/>
    <w:rsid w:val="005C63F5"/>
    <w:rsid w:val="005C6CCA"/>
    <w:rsid w:val="005C79C6"/>
    <w:rsid w:val="005D0FAC"/>
    <w:rsid w:val="005D21CA"/>
    <w:rsid w:val="005D23E8"/>
    <w:rsid w:val="005D2682"/>
    <w:rsid w:val="005D29B3"/>
    <w:rsid w:val="005D3B39"/>
    <w:rsid w:val="005D4993"/>
    <w:rsid w:val="005D4D3D"/>
    <w:rsid w:val="005D4E51"/>
    <w:rsid w:val="005D4FBA"/>
    <w:rsid w:val="005D552E"/>
    <w:rsid w:val="005D55FF"/>
    <w:rsid w:val="005D5A43"/>
    <w:rsid w:val="005D5A8A"/>
    <w:rsid w:val="005D5C1E"/>
    <w:rsid w:val="005D66FF"/>
    <w:rsid w:val="005D6AD1"/>
    <w:rsid w:val="005D72BF"/>
    <w:rsid w:val="005D72E0"/>
    <w:rsid w:val="005D7BC6"/>
    <w:rsid w:val="005E0679"/>
    <w:rsid w:val="005E2DC4"/>
    <w:rsid w:val="005E346B"/>
    <w:rsid w:val="005E377A"/>
    <w:rsid w:val="005E3BA4"/>
    <w:rsid w:val="005E3F5D"/>
    <w:rsid w:val="005E5477"/>
    <w:rsid w:val="005E5707"/>
    <w:rsid w:val="005E6010"/>
    <w:rsid w:val="005E6017"/>
    <w:rsid w:val="005E63A8"/>
    <w:rsid w:val="005E73AC"/>
    <w:rsid w:val="005E7469"/>
    <w:rsid w:val="005E7611"/>
    <w:rsid w:val="005E7F17"/>
    <w:rsid w:val="005F0F18"/>
    <w:rsid w:val="005F15B2"/>
    <w:rsid w:val="005F17EB"/>
    <w:rsid w:val="005F1D31"/>
    <w:rsid w:val="005F345C"/>
    <w:rsid w:val="005F3B39"/>
    <w:rsid w:val="005F3FAA"/>
    <w:rsid w:val="005F4D5A"/>
    <w:rsid w:val="005F5723"/>
    <w:rsid w:val="005F6BD6"/>
    <w:rsid w:val="005F798A"/>
    <w:rsid w:val="005F7B4E"/>
    <w:rsid w:val="006007FB"/>
    <w:rsid w:val="006024E5"/>
    <w:rsid w:val="0060406B"/>
    <w:rsid w:val="006041C0"/>
    <w:rsid w:val="00604EEF"/>
    <w:rsid w:val="006054AD"/>
    <w:rsid w:val="0060691E"/>
    <w:rsid w:val="00606D9C"/>
    <w:rsid w:val="006075EF"/>
    <w:rsid w:val="00607670"/>
    <w:rsid w:val="00607FBE"/>
    <w:rsid w:val="0061089A"/>
    <w:rsid w:val="00610AED"/>
    <w:rsid w:val="00610FF8"/>
    <w:rsid w:val="00611A3A"/>
    <w:rsid w:val="0061200B"/>
    <w:rsid w:val="00612C19"/>
    <w:rsid w:val="006132EA"/>
    <w:rsid w:val="00613880"/>
    <w:rsid w:val="00614D26"/>
    <w:rsid w:val="006152FD"/>
    <w:rsid w:val="0061609A"/>
    <w:rsid w:val="006161C9"/>
    <w:rsid w:val="00616B92"/>
    <w:rsid w:val="00617380"/>
    <w:rsid w:val="006179DC"/>
    <w:rsid w:val="00617FC9"/>
    <w:rsid w:val="00621E4B"/>
    <w:rsid w:val="00622180"/>
    <w:rsid w:val="006224CB"/>
    <w:rsid w:val="006234BC"/>
    <w:rsid w:val="006237B2"/>
    <w:rsid w:val="00625196"/>
    <w:rsid w:val="006252C5"/>
    <w:rsid w:val="006253ED"/>
    <w:rsid w:val="00626A26"/>
    <w:rsid w:val="006276FF"/>
    <w:rsid w:val="00627D1E"/>
    <w:rsid w:val="00633245"/>
    <w:rsid w:val="00633FB2"/>
    <w:rsid w:val="00634CFD"/>
    <w:rsid w:val="006376CF"/>
    <w:rsid w:val="00637E32"/>
    <w:rsid w:val="00640A83"/>
    <w:rsid w:val="00640CE9"/>
    <w:rsid w:val="00640ECF"/>
    <w:rsid w:val="0064179C"/>
    <w:rsid w:val="00641D5A"/>
    <w:rsid w:val="00641E8F"/>
    <w:rsid w:val="00642585"/>
    <w:rsid w:val="0064272A"/>
    <w:rsid w:val="006429F5"/>
    <w:rsid w:val="006430E0"/>
    <w:rsid w:val="0064477A"/>
    <w:rsid w:val="00645F98"/>
    <w:rsid w:val="00647536"/>
    <w:rsid w:val="00647E5F"/>
    <w:rsid w:val="00647E8A"/>
    <w:rsid w:val="006506BD"/>
    <w:rsid w:val="00650860"/>
    <w:rsid w:val="00650ACE"/>
    <w:rsid w:val="00650F89"/>
    <w:rsid w:val="00650F8C"/>
    <w:rsid w:val="00651509"/>
    <w:rsid w:val="00651BDF"/>
    <w:rsid w:val="006524BB"/>
    <w:rsid w:val="00653B2B"/>
    <w:rsid w:val="00653F3B"/>
    <w:rsid w:val="006549C1"/>
    <w:rsid w:val="0065534C"/>
    <w:rsid w:val="00655356"/>
    <w:rsid w:val="0065631E"/>
    <w:rsid w:val="00657253"/>
    <w:rsid w:val="00657763"/>
    <w:rsid w:val="0066009F"/>
    <w:rsid w:val="0066160E"/>
    <w:rsid w:val="00661F2C"/>
    <w:rsid w:val="00662589"/>
    <w:rsid w:val="00662EC7"/>
    <w:rsid w:val="00663031"/>
    <w:rsid w:val="0066396A"/>
    <w:rsid w:val="00664571"/>
    <w:rsid w:val="00664A7E"/>
    <w:rsid w:val="00666055"/>
    <w:rsid w:val="00666BF0"/>
    <w:rsid w:val="00666E11"/>
    <w:rsid w:val="006671FB"/>
    <w:rsid w:val="00667A06"/>
    <w:rsid w:val="006700EE"/>
    <w:rsid w:val="006709E5"/>
    <w:rsid w:val="006717B2"/>
    <w:rsid w:val="00672A34"/>
    <w:rsid w:val="00672E72"/>
    <w:rsid w:val="00673255"/>
    <w:rsid w:val="00673DA9"/>
    <w:rsid w:val="00674F71"/>
    <w:rsid w:val="0067689B"/>
    <w:rsid w:val="00677094"/>
    <w:rsid w:val="006774AF"/>
    <w:rsid w:val="00677956"/>
    <w:rsid w:val="00677BDF"/>
    <w:rsid w:val="00680128"/>
    <w:rsid w:val="0068120B"/>
    <w:rsid w:val="0068283A"/>
    <w:rsid w:val="00683192"/>
    <w:rsid w:val="00684902"/>
    <w:rsid w:val="0068527C"/>
    <w:rsid w:val="006856E8"/>
    <w:rsid w:val="006870E8"/>
    <w:rsid w:val="0068722A"/>
    <w:rsid w:val="00687493"/>
    <w:rsid w:val="006878BE"/>
    <w:rsid w:val="00687EF9"/>
    <w:rsid w:val="006914AA"/>
    <w:rsid w:val="00691871"/>
    <w:rsid w:val="00691AF4"/>
    <w:rsid w:val="006923A5"/>
    <w:rsid w:val="00692C49"/>
    <w:rsid w:val="006937DF"/>
    <w:rsid w:val="00693EF5"/>
    <w:rsid w:val="00693F47"/>
    <w:rsid w:val="00694CC9"/>
    <w:rsid w:val="00694F8A"/>
    <w:rsid w:val="006951EC"/>
    <w:rsid w:val="00696A28"/>
    <w:rsid w:val="00696AC2"/>
    <w:rsid w:val="00696DCC"/>
    <w:rsid w:val="00697D0F"/>
    <w:rsid w:val="006A1CF2"/>
    <w:rsid w:val="006A2136"/>
    <w:rsid w:val="006A43A9"/>
    <w:rsid w:val="006A5B11"/>
    <w:rsid w:val="006A5C73"/>
    <w:rsid w:val="006A6D45"/>
    <w:rsid w:val="006A6F20"/>
    <w:rsid w:val="006A7D51"/>
    <w:rsid w:val="006B0605"/>
    <w:rsid w:val="006B19EC"/>
    <w:rsid w:val="006B1E37"/>
    <w:rsid w:val="006B22BC"/>
    <w:rsid w:val="006B283F"/>
    <w:rsid w:val="006B2C1E"/>
    <w:rsid w:val="006B3866"/>
    <w:rsid w:val="006B3F94"/>
    <w:rsid w:val="006B49CC"/>
    <w:rsid w:val="006B5D7D"/>
    <w:rsid w:val="006B5E75"/>
    <w:rsid w:val="006B7518"/>
    <w:rsid w:val="006B7596"/>
    <w:rsid w:val="006C0639"/>
    <w:rsid w:val="006C0F2C"/>
    <w:rsid w:val="006C1FBE"/>
    <w:rsid w:val="006C3530"/>
    <w:rsid w:val="006C3D25"/>
    <w:rsid w:val="006C3EDC"/>
    <w:rsid w:val="006C4780"/>
    <w:rsid w:val="006C4E47"/>
    <w:rsid w:val="006C5C1F"/>
    <w:rsid w:val="006C7408"/>
    <w:rsid w:val="006D0311"/>
    <w:rsid w:val="006D1350"/>
    <w:rsid w:val="006D153D"/>
    <w:rsid w:val="006D166D"/>
    <w:rsid w:val="006D18D3"/>
    <w:rsid w:val="006D2CF1"/>
    <w:rsid w:val="006D31D3"/>
    <w:rsid w:val="006D374E"/>
    <w:rsid w:val="006D4BAE"/>
    <w:rsid w:val="006D539E"/>
    <w:rsid w:val="006D58D1"/>
    <w:rsid w:val="006D5C9D"/>
    <w:rsid w:val="006D7897"/>
    <w:rsid w:val="006E0179"/>
    <w:rsid w:val="006E166F"/>
    <w:rsid w:val="006E2371"/>
    <w:rsid w:val="006E23B5"/>
    <w:rsid w:val="006E329F"/>
    <w:rsid w:val="006E35A0"/>
    <w:rsid w:val="006E384D"/>
    <w:rsid w:val="006E38C0"/>
    <w:rsid w:val="006E3CF4"/>
    <w:rsid w:val="006E570B"/>
    <w:rsid w:val="006E58C1"/>
    <w:rsid w:val="006E613A"/>
    <w:rsid w:val="006E66F7"/>
    <w:rsid w:val="006E670E"/>
    <w:rsid w:val="006E6F31"/>
    <w:rsid w:val="006E7A63"/>
    <w:rsid w:val="006E7B9C"/>
    <w:rsid w:val="006F0851"/>
    <w:rsid w:val="006F0CD1"/>
    <w:rsid w:val="006F0F5A"/>
    <w:rsid w:val="006F0FF5"/>
    <w:rsid w:val="006F1AD9"/>
    <w:rsid w:val="006F1D4A"/>
    <w:rsid w:val="006F2751"/>
    <w:rsid w:val="006F281E"/>
    <w:rsid w:val="006F2D1A"/>
    <w:rsid w:val="006F35FA"/>
    <w:rsid w:val="006F410F"/>
    <w:rsid w:val="006F4398"/>
    <w:rsid w:val="006F4A8F"/>
    <w:rsid w:val="006F4B35"/>
    <w:rsid w:val="006F560B"/>
    <w:rsid w:val="006F6EAD"/>
    <w:rsid w:val="006F77D1"/>
    <w:rsid w:val="006F78EB"/>
    <w:rsid w:val="00700A90"/>
    <w:rsid w:val="007014E5"/>
    <w:rsid w:val="00702DB6"/>
    <w:rsid w:val="00703FDD"/>
    <w:rsid w:val="007043B4"/>
    <w:rsid w:val="007045D4"/>
    <w:rsid w:val="00704933"/>
    <w:rsid w:val="00704C7D"/>
    <w:rsid w:val="007060C2"/>
    <w:rsid w:val="007078A1"/>
    <w:rsid w:val="007079F1"/>
    <w:rsid w:val="00707CB8"/>
    <w:rsid w:val="00710090"/>
    <w:rsid w:val="007100DC"/>
    <w:rsid w:val="007107AC"/>
    <w:rsid w:val="00710C33"/>
    <w:rsid w:val="00711711"/>
    <w:rsid w:val="007123D9"/>
    <w:rsid w:val="00713912"/>
    <w:rsid w:val="00714731"/>
    <w:rsid w:val="00714885"/>
    <w:rsid w:val="00714BAE"/>
    <w:rsid w:val="00715125"/>
    <w:rsid w:val="00715F41"/>
    <w:rsid w:val="00715FF9"/>
    <w:rsid w:val="0071651C"/>
    <w:rsid w:val="0071657B"/>
    <w:rsid w:val="00716B90"/>
    <w:rsid w:val="00716EF1"/>
    <w:rsid w:val="0071789C"/>
    <w:rsid w:val="00717B4F"/>
    <w:rsid w:val="007211CD"/>
    <w:rsid w:val="00721609"/>
    <w:rsid w:val="007216E1"/>
    <w:rsid w:val="007217FC"/>
    <w:rsid w:val="00721BBF"/>
    <w:rsid w:val="00721E0D"/>
    <w:rsid w:val="0072225E"/>
    <w:rsid w:val="00722972"/>
    <w:rsid w:val="0072343B"/>
    <w:rsid w:val="007234B3"/>
    <w:rsid w:val="00724011"/>
    <w:rsid w:val="00724163"/>
    <w:rsid w:val="00724D14"/>
    <w:rsid w:val="00727139"/>
    <w:rsid w:val="00727693"/>
    <w:rsid w:val="00727733"/>
    <w:rsid w:val="0073025C"/>
    <w:rsid w:val="007307F5"/>
    <w:rsid w:val="00730CE3"/>
    <w:rsid w:val="00731466"/>
    <w:rsid w:val="0073180B"/>
    <w:rsid w:val="00731857"/>
    <w:rsid w:val="007335CD"/>
    <w:rsid w:val="007346CE"/>
    <w:rsid w:val="007347B5"/>
    <w:rsid w:val="00735037"/>
    <w:rsid w:val="007366FF"/>
    <w:rsid w:val="00737607"/>
    <w:rsid w:val="00740C81"/>
    <w:rsid w:val="007410E3"/>
    <w:rsid w:val="0074154C"/>
    <w:rsid w:val="00741E3E"/>
    <w:rsid w:val="0074204F"/>
    <w:rsid w:val="0074227D"/>
    <w:rsid w:val="00742B63"/>
    <w:rsid w:val="00743B15"/>
    <w:rsid w:val="00743FC4"/>
    <w:rsid w:val="007444F6"/>
    <w:rsid w:val="007467D9"/>
    <w:rsid w:val="007475A2"/>
    <w:rsid w:val="007479FA"/>
    <w:rsid w:val="00747C11"/>
    <w:rsid w:val="007504F7"/>
    <w:rsid w:val="00750FA3"/>
    <w:rsid w:val="007515BD"/>
    <w:rsid w:val="007527D7"/>
    <w:rsid w:val="007541F9"/>
    <w:rsid w:val="007547D5"/>
    <w:rsid w:val="00754CD8"/>
    <w:rsid w:val="007563B1"/>
    <w:rsid w:val="007565A0"/>
    <w:rsid w:val="00756A0F"/>
    <w:rsid w:val="00756C03"/>
    <w:rsid w:val="00756E56"/>
    <w:rsid w:val="00760893"/>
    <w:rsid w:val="00760C9F"/>
    <w:rsid w:val="00761161"/>
    <w:rsid w:val="007620D5"/>
    <w:rsid w:val="0076214F"/>
    <w:rsid w:val="00762300"/>
    <w:rsid w:val="007625FD"/>
    <w:rsid w:val="007635D6"/>
    <w:rsid w:val="00764077"/>
    <w:rsid w:val="0076522B"/>
    <w:rsid w:val="00765973"/>
    <w:rsid w:val="007667F0"/>
    <w:rsid w:val="00766985"/>
    <w:rsid w:val="00766A75"/>
    <w:rsid w:val="007671B3"/>
    <w:rsid w:val="0076799E"/>
    <w:rsid w:val="007679C3"/>
    <w:rsid w:val="00767A6D"/>
    <w:rsid w:val="00767CF7"/>
    <w:rsid w:val="00770BFD"/>
    <w:rsid w:val="00770D97"/>
    <w:rsid w:val="00770E8C"/>
    <w:rsid w:val="00771308"/>
    <w:rsid w:val="00771F29"/>
    <w:rsid w:val="00772D68"/>
    <w:rsid w:val="00772DCC"/>
    <w:rsid w:val="007731F7"/>
    <w:rsid w:val="00773372"/>
    <w:rsid w:val="007735B5"/>
    <w:rsid w:val="00773606"/>
    <w:rsid w:val="007737B5"/>
    <w:rsid w:val="00774835"/>
    <w:rsid w:val="00775094"/>
    <w:rsid w:val="007753CC"/>
    <w:rsid w:val="00775B1E"/>
    <w:rsid w:val="007760C9"/>
    <w:rsid w:val="0077612F"/>
    <w:rsid w:val="00776EA9"/>
    <w:rsid w:val="00777452"/>
    <w:rsid w:val="00777871"/>
    <w:rsid w:val="00777991"/>
    <w:rsid w:val="00777CC6"/>
    <w:rsid w:val="00781369"/>
    <w:rsid w:val="00781909"/>
    <w:rsid w:val="0078215B"/>
    <w:rsid w:val="00782781"/>
    <w:rsid w:val="00782A0D"/>
    <w:rsid w:val="00783A77"/>
    <w:rsid w:val="00783DD1"/>
    <w:rsid w:val="007853F9"/>
    <w:rsid w:val="00786EEC"/>
    <w:rsid w:val="0078728C"/>
    <w:rsid w:val="007906CF"/>
    <w:rsid w:val="00791337"/>
    <w:rsid w:val="00791F08"/>
    <w:rsid w:val="00792510"/>
    <w:rsid w:val="00792BF1"/>
    <w:rsid w:val="007945A0"/>
    <w:rsid w:val="007959A1"/>
    <w:rsid w:val="00795A19"/>
    <w:rsid w:val="00795EA5"/>
    <w:rsid w:val="00795F3A"/>
    <w:rsid w:val="007964B3"/>
    <w:rsid w:val="00796760"/>
    <w:rsid w:val="0079743F"/>
    <w:rsid w:val="00797E51"/>
    <w:rsid w:val="007A1BB2"/>
    <w:rsid w:val="007A1E10"/>
    <w:rsid w:val="007A228C"/>
    <w:rsid w:val="007A29EF"/>
    <w:rsid w:val="007A47C6"/>
    <w:rsid w:val="007A47D3"/>
    <w:rsid w:val="007A48D5"/>
    <w:rsid w:val="007A55EF"/>
    <w:rsid w:val="007A62FB"/>
    <w:rsid w:val="007A7910"/>
    <w:rsid w:val="007B0854"/>
    <w:rsid w:val="007B0A15"/>
    <w:rsid w:val="007B0C86"/>
    <w:rsid w:val="007B1711"/>
    <w:rsid w:val="007B1850"/>
    <w:rsid w:val="007B1927"/>
    <w:rsid w:val="007B2490"/>
    <w:rsid w:val="007B383D"/>
    <w:rsid w:val="007B3A9E"/>
    <w:rsid w:val="007B4CDD"/>
    <w:rsid w:val="007B4DBC"/>
    <w:rsid w:val="007B4ED7"/>
    <w:rsid w:val="007B5771"/>
    <w:rsid w:val="007B6371"/>
    <w:rsid w:val="007B68C5"/>
    <w:rsid w:val="007B6E85"/>
    <w:rsid w:val="007B7648"/>
    <w:rsid w:val="007B7A5F"/>
    <w:rsid w:val="007C0A0A"/>
    <w:rsid w:val="007C115F"/>
    <w:rsid w:val="007C1261"/>
    <w:rsid w:val="007C1BED"/>
    <w:rsid w:val="007C1F77"/>
    <w:rsid w:val="007C274D"/>
    <w:rsid w:val="007C2BA4"/>
    <w:rsid w:val="007C3B23"/>
    <w:rsid w:val="007C3C29"/>
    <w:rsid w:val="007C470F"/>
    <w:rsid w:val="007C5005"/>
    <w:rsid w:val="007C5842"/>
    <w:rsid w:val="007C6351"/>
    <w:rsid w:val="007C7E07"/>
    <w:rsid w:val="007D10AD"/>
    <w:rsid w:val="007D1975"/>
    <w:rsid w:val="007D25A8"/>
    <w:rsid w:val="007D32E6"/>
    <w:rsid w:val="007D390A"/>
    <w:rsid w:val="007D39F3"/>
    <w:rsid w:val="007D3DF4"/>
    <w:rsid w:val="007D4073"/>
    <w:rsid w:val="007D4C44"/>
    <w:rsid w:val="007D6DB6"/>
    <w:rsid w:val="007D7491"/>
    <w:rsid w:val="007E0257"/>
    <w:rsid w:val="007E026D"/>
    <w:rsid w:val="007E0504"/>
    <w:rsid w:val="007E0655"/>
    <w:rsid w:val="007E0AB4"/>
    <w:rsid w:val="007E0F69"/>
    <w:rsid w:val="007E2B50"/>
    <w:rsid w:val="007E353F"/>
    <w:rsid w:val="007E44B6"/>
    <w:rsid w:val="007E5E7B"/>
    <w:rsid w:val="007E699B"/>
    <w:rsid w:val="007E6B10"/>
    <w:rsid w:val="007E6BF8"/>
    <w:rsid w:val="007E700A"/>
    <w:rsid w:val="007E7932"/>
    <w:rsid w:val="007F0840"/>
    <w:rsid w:val="007F0C34"/>
    <w:rsid w:val="007F0D84"/>
    <w:rsid w:val="007F107D"/>
    <w:rsid w:val="007F1407"/>
    <w:rsid w:val="007F1718"/>
    <w:rsid w:val="007F1868"/>
    <w:rsid w:val="007F1A5B"/>
    <w:rsid w:val="007F230E"/>
    <w:rsid w:val="007F24A7"/>
    <w:rsid w:val="007F24D9"/>
    <w:rsid w:val="007F2636"/>
    <w:rsid w:val="007F2C25"/>
    <w:rsid w:val="007F2F1E"/>
    <w:rsid w:val="007F3D1B"/>
    <w:rsid w:val="007F40A3"/>
    <w:rsid w:val="007F5062"/>
    <w:rsid w:val="007F58E7"/>
    <w:rsid w:val="007F5A54"/>
    <w:rsid w:val="007F5D7A"/>
    <w:rsid w:val="007F6087"/>
    <w:rsid w:val="007F631B"/>
    <w:rsid w:val="007F634B"/>
    <w:rsid w:val="007F737D"/>
    <w:rsid w:val="007F7B5D"/>
    <w:rsid w:val="007F7CBD"/>
    <w:rsid w:val="00800270"/>
    <w:rsid w:val="00800DE0"/>
    <w:rsid w:val="0080108C"/>
    <w:rsid w:val="00802270"/>
    <w:rsid w:val="008023EA"/>
    <w:rsid w:val="0080552C"/>
    <w:rsid w:val="0080555C"/>
    <w:rsid w:val="008056F5"/>
    <w:rsid w:val="00807039"/>
    <w:rsid w:val="0080761B"/>
    <w:rsid w:val="0080790C"/>
    <w:rsid w:val="00807C22"/>
    <w:rsid w:val="00810734"/>
    <w:rsid w:val="0081090C"/>
    <w:rsid w:val="00811240"/>
    <w:rsid w:val="00811C59"/>
    <w:rsid w:val="00811DDC"/>
    <w:rsid w:val="00812141"/>
    <w:rsid w:val="00812415"/>
    <w:rsid w:val="008127C1"/>
    <w:rsid w:val="008129EE"/>
    <w:rsid w:val="00812EE7"/>
    <w:rsid w:val="008134C1"/>
    <w:rsid w:val="0081398D"/>
    <w:rsid w:val="00813F60"/>
    <w:rsid w:val="00814B2E"/>
    <w:rsid w:val="00815DD3"/>
    <w:rsid w:val="00816166"/>
    <w:rsid w:val="00817206"/>
    <w:rsid w:val="00817A51"/>
    <w:rsid w:val="00820048"/>
    <w:rsid w:val="008218FA"/>
    <w:rsid w:val="00823025"/>
    <w:rsid w:val="008235B6"/>
    <w:rsid w:val="0082486A"/>
    <w:rsid w:val="0082515B"/>
    <w:rsid w:val="008254AF"/>
    <w:rsid w:val="008266A4"/>
    <w:rsid w:val="00826842"/>
    <w:rsid w:val="00826D26"/>
    <w:rsid w:val="00826D8A"/>
    <w:rsid w:val="00827320"/>
    <w:rsid w:val="00827775"/>
    <w:rsid w:val="008279FE"/>
    <w:rsid w:val="008302FF"/>
    <w:rsid w:val="00830C4C"/>
    <w:rsid w:val="0083159D"/>
    <w:rsid w:val="00831955"/>
    <w:rsid w:val="00831C9C"/>
    <w:rsid w:val="00832542"/>
    <w:rsid w:val="00833508"/>
    <w:rsid w:val="00833B02"/>
    <w:rsid w:val="00833DFD"/>
    <w:rsid w:val="0083408F"/>
    <w:rsid w:val="00834488"/>
    <w:rsid w:val="00834D23"/>
    <w:rsid w:val="00835481"/>
    <w:rsid w:val="008358C6"/>
    <w:rsid w:val="00835EED"/>
    <w:rsid w:val="0083618E"/>
    <w:rsid w:val="0083638B"/>
    <w:rsid w:val="00836EAC"/>
    <w:rsid w:val="0083747C"/>
    <w:rsid w:val="0084031D"/>
    <w:rsid w:val="00840942"/>
    <w:rsid w:val="00840AD2"/>
    <w:rsid w:val="0084260C"/>
    <w:rsid w:val="00842866"/>
    <w:rsid w:val="00842AF1"/>
    <w:rsid w:val="008430AA"/>
    <w:rsid w:val="008431DC"/>
    <w:rsid w:val="00843DA9"/>
    <w:rsid w:val="008448DA"/>
    <w:rsid w:val="008450CC"/>
    <w:rsid w:val="00845839"/>
    <w:rsid w:val="008458F5"/>
    <w:rsid w:val="00845A63"/>
    <w:rsid w:val="00846652"/>
    <w:rsid w:val="008467FF"/>
    <w:rsid w:val="00846A7A"/>
    <w:rsid w:val="008474F0"/>
    <w:rsid w:val="00847CC9"/>
    <w:rsid w:val="0085031E"/>
    <w:rsid w:val="00850B0B"/>
    <w:rsid w:val="00850C9A"/>
    <w:rsid w:val="0085167A"/>
    <w:rsid w:val="008516A8"/>
    <w:rsid w:val="00852FE1"/>
    <w:rsid w:val="008538F4"/>
    <w:rsid w:val="00854007"/>
    <w:rsid w:val="00856659"/>
    <w:rsid w:val="00856AD7"/>
    <w:rsid w:val="00856D38"/>
    <w:rsid w:val="00856E4B"/>
    <w:rsid w:val="00857D52"/>
    <w:rsid w:val="008605F9"/>
    <w:rsid w:val="0086075F"/>
    <w:rsid w:val="008609DC"/>
    <w:rsid w:val="00860B08"/>
    <w:rsid w:val="00860F10"/>
    <w:rsid w:val="00860F5D"/>
    <w:rsid w:val="00861376"/>
    <w:rsid w:val="008616A1"/>
    <w:rsid w:val="008618BB"/>
    <w:rsid w:val="00861966"/>
    <w:rsid w:val="00861F14"/>
    <w:rsid w:val="008623AB"/>
    <w:rsid w:val="00863C50"/>
    <w:rsid w:val="00864494"/>
    <w:rsid w:val="008648B4"/>
    <w:rsid w:val="00864AE1"/>
    <w:rsid w:val="00864FA4"/>
    <w:rsid w:val="00865AAE"/>
    <w:rsid w:val="00865E56"/>
    <w:rsid w:val="00865EFF"/>
    <w:rsid w:val="00866583"/>
    <w:rsid w:val="00866C02"/>
    <w:rsid w:val="00867882"/>
    <w:rsid w:val="00867B25"/>
    <w:rsid w:val="00867EF0"/>
    <w:rsid w:val="0087026F"/>
    <w:rsid w:val="0087187B"/>
    <w:rsid w:val="00871CD8"/>
    <w:rsid w:val="00872530"/>
    <w:rsid w:val="00872967"/>
    <w:rsid w:val="00873CB1"/>
    <w:rsid w:val="008743F4"/>
    <w:rsid w:val="00874DDD"/>
    <w:rsid w:val="0087592A"/>
    <w:rsid w:val="008763A5"/>
    <w:rsid w:val="00876438"/>
    <w:rsid w:val="00876701"/>
    <w:rsid w:val="0087706D"/>
    <w:rsid w:val="00877208"/>
    <w:rsid w:val="00877788"/>
    <w:rsid w:val="0088000D"/>
    <w:rsid w:val="00881EBF"/>
    <w:rsid w:val="00884106"/>
    <w:rsid w:val="00884B46"/>
    <w:rsid w:val="00884C8A"/>
    <w:rsid w:val="00884CA2"/>
    <w:rsid w:val="00884EBE"/>
    <w:rsid w:val="00885E89"/>
    <w:rsid w:val="00886695"/>
    <w:rsid w:val="00886D2F"/>
    <w:rsid w:val="008873CE"/>
    <w:rsid w:val="00887748"/>
    <w:rsid w:val="008879CC"/>
    <w:rsid w:val="00887A2D"/>
    <w:rsid w:val="00887B1E"/>
    <w:rsid w:val="00887EF5"/>
    <w:rsid w:val="00890B5D"/>
    <w:rsid w:val="0089143B"/>
    <w:rsid w:val="00892E3A"/>
    <w:rsid w:val="00893B74"/>
    <w:rsid w:val="00893CA7"/>
    <w:rsid w:val="00894111"/>
    <w:rsid w:val="00894428"/>
    <w:rsid w:val="008949A7"/>
    <w:rsid w:val="00894CA6"/>
    <w:rsid w:val="00894DB9"/>
    <w:rsid w:val="0089522B"/>
    <w:rsid w:val="008952F9"/>
    <w:rsid w:val="00895465"/>
    <w:rsid w:val="00896363"/>
    <w:rsid w:val="0089678B"/>
    <w:rsid w:val="00897141"/>
    <w:rsid w:val="00897F50"/>
    <w:rsid w:val="008A06D3"/>
    <w:rsid w:val="008A1E51"/>
    <w:rsid w:val="008A20B3"/>
    <w:rsid w:val="008A4318"/>
    <w:rsid w:val="008A4F19"/>
    <w:rsid w:val="008A55F0"/>
    <w:rsid w:val="008A5839"/>
    <w:rsid w:val="008A7549"/>
    <w:rsid w:val="008A76AE"/>
    <w:rsid w:val="008A7780"/>
    <w:rsid w:val="008A798F"/>
    <w:rsid w:val="008B08BA"/>
    <w:rsid w:val="008B14F4"/>
    <w:rsid w:val="008B2E26"/>
    <w:rsid w:val="008B39E0"/>
    <w:rsid w:val="008B3C0F"/>
    <w:rsid w:val="008B55A3"/>
    <w:rsid w:val="008B57DA"/>
    <w:rsid w:val="008B6308"/>
    <w:rsid w:val="008B6D79"/>
    <w:rsid w:val="008B724F"/>
    <w:rsid w:val="008B770F"/>
    <w:rsid w:val="008C0141"/>
    <w:rsid w:val="008C0B0C"/>
    <w:rsid w:val="008C0DC0"/>
    <w:rsid w:val="008C1A48"/>
    <w:rsid w:val="008C2B90"/>
    <w:rsid w:val="008C318A"/>
    <w:rsid w:val="008C38C7"/>
    <w:rsid w:val="008C53D4"/>
    <w:rsid w:val="008C5B1C"/>
    <w:rsid w:val="008C64CC"/>
    <w:rsid w:val="008C69ED"/>
    <w:rsid w:val="008C6A22"/>
    <w:rsid w:val="008C6B5C"/>
    <w:rsid w:val="008C6D10"/>
    <w:rsid w:val="008C7277"/>
    <w:rsid w:val="008C750D"/>
    <w:rsid w:val="008D0086"/>
    <w:rsid w:val="008D0320"/>
    <w:rsid w:val="008D09DC"/>
    <w:rsid w:val="008D13EA"/>
    <w:rsid w:val="008D162C"/>
    <w:rsid w:val="008D17B0"/>
    <w:rsid w:val="008D1B98"/>
    <w:rsid w:val="008D2524"/>
    <w:rsid w:val="008D296F"/>
    <w:rsid w:val="008D34C2"/>
    <w:rsid w:val="008D4E84"/>
    <w:rsid w:val="008D6691"/>
    <w:rsid w:val="008D6D87"/>
    <w:rsid w:val="008D6EDE"/>
    <w:rsid w:val="008D7D38"/>
    <w:rsid w:val="008E018F"/>
    <w:rsid w:val="008E0CAC"/>
    <w:rsid w:val="008E13DF"/>
    <w:rsid w:val="008E1859"/>
    <w:rsid w:val="008E1A26"/>
    <w:rsid w:val="008E1E6D"/>
    <w:rsid w:val="008E2E28"/>
    <w:rsid w:val="008E3EF9"/>
    <w:rsid w:val="008E41F4"/>
    <w:rsid w:val="008E4200"/>
    <w:rsid w:val="008E4745"/>
    <w:rsid w:val="008E67D4"/>
    <w:rsid w:val="008E68FF"/>
    <w:rsid w:val="008E79C7"/>
    <w:rsid w:val="008F0582"/>
    <w:rsid w:val="008F0794"/>
    <w:rsid w:val="008F11A4"/>
    <w:rsid w:val="008F1B13"/>
    <w:rsid w:val="008F1B3C"/>
    <w:rsid w:val="008F1D68"/>
    <w:rsid w:val="008F4226"/>
    <w:rsid w:val="008F4C7D"/>
    <w:rsid w:val="008F52DF"/>
    <w:rsid w:val="008F52F7"/>
    <w:rsid w:val="008F5671"/>
    <w:rsid w:val="008F5FB2"/>
    <w:rsid w:val="008F6314"/>
    <w:rsid w:val="008F6BF1"/>
    <w:rsid w:val="008F6FE6"/>
    <w:rsid w:val="008F745F"/>
    <w:rsid w:val="008F7C15"/>
    <w:rsid w:val="009007DF"/>
    <w:rsid w:val="00900B31"/>
    <w:rsid w:val="009010A5"/>
    <w:rsid w:val="00902DEE"/>
    <w:rsid w:val="009060C6"/>
    <w:rsid w:val="00906634"/>
    <w:rsid w:val="00906667"/>
    <w:rsid w:val="00906F46"/>
    <w:rsid w:val="009079C0"/>
    <w:rsid w:val="009100CC"/>
    <w:rsid w:val="009102BB"/>
    <w:rsid w:val="009105E1"/>
    <w:rsid w:val="009106AE"/>
    <w:rsid w:val="00910D74"/>
    <w:rsid w:val="00911019"/>
    <w:rsid w:val="0091137A"/>
    <w:rsid w:val="0091254B"/>
    <w:rsid w:val="0091294D"/>
    <w:rsid w:val="00912B4C"/>
    <w:rsid w:val="00912D5D"/>
    <w:rsid w:val="00912EF5"/>
    <w:rsid w:val="00912FBB"/>
    <w:rsid w:val="00913BC0"/>
    <w:rsid w:val="00913C35"/>
    <w:rsid w:val="009143D0"/>
    <w:rsid w:val="00914AEE"/>
    <w:rsid w:val="00915AEC"/>
    <w:rsid w:val="00915DC6"/>
    <w:rsid w:val="00915FC3"/>
    <w:rsid w:val="00916136"/>
    <w:rsid w:val="00916327"/>
    <w:rsid w:val="0091766E"/>
    <w:rsid w:val="00917705"/>
    <w:rsid w:val="00917D5A"/>
    <w:rsid w:val="009202E0"/>
    <w:rsid w:val="009203A1"/>
    <w:rsid w:val="00920987"/>
    <w:rsid w:val="00920EED"/>
    <w:rsid w:val="00921295"/>
    <w:rsid w:val="0092142E"/>
    <w:rsid w:val="009217E8"/>
    <w:rsid w:val="00921EAF"/>
    <w:rsid w:val="00922344"/>
    <w:rsid w:val="0092240D"/>
    <w:rsid w:val="0092256E"/>
    <w:rsid w:val="00922679"/>
    <w:rsid w:val="00922EE7"/>
    <w:rsid w:val="00922F4A"/>
    <w:rsid w:val="00923374"/>
    <w:rsid w:val="00923765"/>
    <w:rsid w:val="00923CD8"/>
    <w:rsid w:val="00924382"/>
    <w:rsid w:val="009250F1"/>
    <w:rsid w:val="00925ACA"/>
    <w:rsid w:val="0092677A"/>
    <w:rsid w:val="00927086"/>
    <w:rsid w:val="009312F5"/>
    <w:rsid w:val="00931FDD"/>
    <w:rsid w:val="00932774"/>
    <w:rsid w:val="0093323F"/>
    <w:rsid w:val="0093338C"/>
    <w:rsid w:val="00933C4E"/>
    <w:rsid w:val="00934F09"/>
    <w:rsid w:val="00935B01"/>
    <w:rsid w:val="00935B82"/>
    <w:rsid w:val="00935B8E"/>
    <w:rsid w:val="00935C31"/>
    <w:rsid w:val="00935CB8"/>
    <w:rsid w:val="00935DBC"/>
    <w:rsid w:val="00935F9F"/>
    <w:rsid w:val="009360E8"/>
    <w:rsid w:val="0093612A"/>
    <w:rsid w:val="00936276"/>
    <w:rsid w:val="00936761"/>
    <w:rsid w:val="00940545"/>
    <w:rsid w:val="009407EA"/>
    <w:rsid w:val="00940BE3"/>
    <w:rsid w:val="00941F88"/>
    <w:rsid w:val="00941FED"/>
    <w:rsid w:val="009426EA"/>
    <w:rsid w:val="009428D5"/>
    <w:rsid w:val="0094313F"/>
    <w:rsid w:val="00943529"/>
    <w:rsid w:val="00944A9C"/>
    <w:rsid w:val="00946236"/>
    <w:rsid w:val="009469C5"/>
    <w:rsid w:val="00947570"/>
    <w:rsid w:val="00947B73"/>
    <w:rsid w:val="00950B99"/>
    <w:rsid w:val="00952239"/>
    <w:rsid w:val="00953674"/>
    <w:rsid w:val="00953828"/>
    <w:rsid w:val="00953D4F"/>
    <w:rsid w:val="0095409D"/>
    <w:rsid w:val="00954A41"/>
    <w:rsid w:val="00954B95"/>
    <w:rsid w:val="009550FB"/>
    <w:rsid w:val="00955582"/>
    <w:rsid w:val="00957A23"/>
    <w:rsid w:val="00957B1C"/>
    <w:rsid w:val="00957B42"/>
    <w:rsid w:val="00957BAA"/>
    <w:rsid w:val="0096126E"/>
    <w:rsid w:val="00961629"/>
    <w:rsid w:val="00961832"/>
    <w:rsid w:val="009618AD"/>
    <w:rsid w:val="00961912"/>
    <w:rsid w:val="00962FB9"/>
    <w:rsid w:val="00964E15"/>
    <w:rsid w:val="00965568"/>
    <w:rsid w:val="00965765"/>
    <w:rsid w:val="00966206"/>
    <w:rsid w:val="00966799"/>
    <w:rsid w:val="00967309"/>
    <w:rsid w:val="009705F0"/>
    <w:rsid w:val="009706E3"/>
    <w:rsid w:val="009733F0"/>
    <w:rsid w:val="00973DAD"/>
    <w:rsid w:val="00974B2D"/>
    <w:rsid w:val="009754DC"/>
    <w:rsid w:val="0097552B"/>
    <w:rsid w:val="00975877"/>
    <w:rsid w:val="00976277"/>
    <w:rsid w:val="00976EE4"/>
    <w:rsid w:val="00976F54"/>
    <w:rsid w:val="009812F9"/>
    <w:rsid w:val="0098134D"/>
    <w:rsid w:val="009820C0"/>
    <w:rsid w:val="00983256"/>
    <w:rsid w:val="00983531"/>
    <w:rsid w:val="0098438E"/>
    <w:rsid w:val="00984FFA"/>
    <w:rsid w:val="00985A35"/>
    <w:rsid w:val="00986436"/>
    <w:rsid w:val="009867D0"/>
    <w:rsid w:val="009900E8"/>
    <w:rsid w:val="0099067F"/>
    <w:rsid w:val="00990A90"/>
    <w:rsid w:val="009916C6"/>
    <w:rsid w:val="00991D2F"/>
    <w:rsid w:val="00992822"/>
    <w:rsid w:val="00992D22"/>
    <w:rsid w:val="00993614"/>
    <w:rsid w:val="00993B32"/>
    <w:rsid w:val="00993F79"/>
    <w:rsid w:val="009944B8"/>
    <w:rsid w:val="00994A56"/>
    <w:rsid w:val="0099534D"/>
    <w:rsid w:val="009954BE"/>
    <w:rsid w:val="009958E2"/>
    <w:rsid w:val="0099651C"/>
    <w:rsid w:val="00996FA1"/>
    <w:rsid w:val="009977B6"/>
    <w:rsid w:val="00997B7F"/>
    <w:rsid w:val="009A03C6"/>
    <w:rsid w:val="009A0BB6"/>
    <w:rsid w:val="009A1B66"/>
    <w:rsid w:val="009A1E7F"/>
    <w:rsid w:val="009A31BD"/>
    <w:rsid w:val="009A3CC5"/>
    <w:rsid w:val="009A3D4A"/>
    <w:rsid w:val="009A4211"/>
    <w:rsid w:val="009A44ED"/>
    <w:rsid w:val="009A45B8"/>
    <w:rsid w:val="009A4F6C"/>
    <w:rsid w:val="009A4FE7"/>
    <w:rsid w:val="009A5ADC"/>
    <w:rsid w:val="009A6CC7"/>
    <w:rsid w:val="009A6D41"/>
    <w:rsid w:val="009A7AB2"/>
    <w:rsid w:val="009B00AD"/>
    <w:rsid w:val="009B09BE"/>
    <w:rsid w:val="009B3015"/>
    <w:rsid w:val="009B381F"/>
    <w:rsid w:val="009B3915"/>
    <w:rsid w:val="009B3E97"/>
    <w:rsid w:val="009B4B08"/>
    <w:rsid w:val="009B51C0"/>
    <w:rsid w:val="009B5671"/>
    <w:rsid w:val="009B6563"/>
    <w:rsid w:val="009B6808"/>
    <w:rsid w:val="009B6B6E"/>
    <w:rsid w:val="009B7478"/>
    <w:rsid w:val="009C03F5"/>
    <w:rsid w:val="009C0BA1"/>
    <w:rsid w:val="009C0D29"/>
    <w:rsid w:val="009C0D56"/>
    <w:rsid w:val="009C10EE"/>
    <w:rsid w:val="009C1554"/>
    <w:rsid w:val="009C1B4A"/>
    <w:rsid w:val="009C2767"/>
    <w:rsid w:val="009C3494"/>
    <w:rsid w:val="009C44B2"/>
    <w:rsid w:val="009C44D4"/>
    <w:rsid w:val="009C4A0C"/>
    <w:rsid w:val="009C4A3B"/>
    <w:rsid w:val="009C5445"/>
    <w:rsid w:val="009C5EE3"/>
    <w:rsid w:val="009C637D"/>
    <w:rsid w:val="009C6BE7"/>
    <w:rsid w:val="009D04EB"/>
    <w:rsid w:val="009D0921"/>
    <w:rsid w:val="009D141C"/>
    <w:rsid w:val="009D1547"/>
    <w:rsid w:val="009D1B55"/>
    <w:rsid w:val="009D1CCE"/>
    <w:rsid w:val="009D21BC"/>
    <w:rsid w:val="009D2902"/>
    <w:rsid w:val="009D3211"/>
    <w:rsid w:val="009D4FAD"/>
    <w:rsid w:val="009D50D1"/>
    <w:rsid w:val="009D561C"/>
    <w:rsid w:val="009D61EC"/>
    <w:rsid w:val="009D63AC"/>
    <w:rsid w:val="009D6DE8"/>
    <w:rsid w:val="009D7240"/>
    <w:rsid w:val="009D7DDB"/>
    <w:rsid w:val="009E0896"/>
    <w:rsid w:val="009E093E"/>
    <w:rsid w:val="009E14CB"/>
    <w:rsid w:val="009E2168"/>
    <w:rsid w:val="009E2789"/>
    <w:rsid w:val="009E2905"/>
    <w:rsid w:val="009E2E35"/>
    <w:rsid w:val="009E3FAD"/>
    <w:rsid w:val="009E4DA0"/>
    <w:rsid w:val="009E5277"/>
    <w:rsid w:val="009E5509"/>
    <w:rsid w:val="009E570E"/>
    <w:rsid w:val="009E62F1"/>
    <w:rsid w:val="009E76C3"/>
    <w:rsid w:val="009F01C9"/>
    <w:rsid w:val="009F07A7"/>
    <w:rsid w:val="009F0813"/>
    <w:rsid w:val="009F10CF"/>
    <w:rsid w:val="009F2223"/>
    <w:rsid w:val="009F27E4"/>
    <w:rsid w:val="009F2C42"/>
    <w:rsid w:val="009F2DEC"/>
    <w:rsid w:val="009F4049"/>
    <w:rsid w:val="009F4941"/>
    <w:rsid w:val="009F49F9"/>
    <w:rsid w:val="009F4DB3"/>
    <w:rsid w:val="009F4FE0"/>
    <w:rsid w:val="009F514A"/>
    <w:rsid w:val="009F7230"/>
    <w:rsid w:val="009F7525"/>
    <w:rsid w:val="009F7DE7"/>
    <w:rsid w:val="00A00C13"/>
    <w:rsid w:val="00A01CAA"/>
    <w:rsid w:val="00A0204F"/>
    <w:rsid w:val="00A03AC8"/>
    <w:rsid w:val="00A04E13"/>
    <w:rsid w:val="00A064B5"/>
    <w:rsid w:val="00A07BB7"/>
    <w:rsid w:val="00A07D8B"/>
    <w:rsid w:val="00A10C12"/>
    <w:rsid w:val="00A12375"/>
    <w:rsid w:val="00A128B0"/>
    <w:rsid w:val="00A12A2D"/>
    <w:rsid w:val="00A12C75"/>
    <w:rsid w:val="00A13069"/>
    <w:rsid w:val="00A1326A"/>
    <w:rsid w:val="00A13835"/>
    <w:rsid w:val="00A13A63"/>
    <w:rsid w:val="00A13EAA"/>
    <w:rsid w:val="00A14627"/>
    <w:rsid w:val="00A15C87"/>
    <w:rsid w:val="00A20A31"/>
    <w:rsid w:val="00A20CB5"/>
    <w:rsid w:val="00A20D32"/>
    <w:rsid w:val="00A21D56"/>
    <w:rsid w:val="00A2228B"/>
    <w:rsid w:val="00A224D3"/>
    <w:rsid w:val="00A22877"/>
    <w:rsid w:val="00A22C93"/>
    <w:rsid w:val="00A22CA4"/>
    <w:rsid w:val="00A237E2"/>
    <w:rsid w:val="00A2390B"/>
    <w:rsid w:val="00A24259"/>
    <w:rsid w:val="00A26B59"/>
    <w:rsid w:val="00A27262"/>
    <w:rsid w:val="00A275BD"/>
    <w:rsid w:val="00A27D81"/>
    <w:rsid w:val="00A305CC"/>
    <w:rsid w:val="00A30728"/>
    <w:rsid w:val="00A30925"/>
    <w:rsid w:val="00A318F2"/>
    <w:rsid w:val="00A32BA1"/>
    <w:rsid w:val="00A33E98"/>
    <w:rsid w:val="00A34739"/>
    <w:rsid w:val="00A350D1"/>
    <w:rsid w:val="00A366C8"/>
    <w:rsid w:val="00A368C1"/>
    <w:rsid w:val="00A36972"/>
    <w:rsid w:val="00A36CA9"/>
    <w:rsid w:val="00A378DA"/>
    <w:rsid w:val="00A41703"/>
    <w:rsid w:val="00A41950"/>
    <w:rsid w:val="00A42081"/>
    <w:rsid w:val="00A42135"/>
    <w:rsid w:val="00A42442"/>
    <w:rsid w:val="00A42879"/>
    <w:rsid w:val="00A4390F"/>
    <w:rsid w:val="00A4457D"/>
    <w:rsid w:val="00A44B18"/>
    <w:rsid w:val="00A45D05"/>
    <w:rsid w:val="00A45D63"/>
    <w:rsid w:val="00A45F0D"/>
    <w:rsid w:val="00A46887"/>
    <w:rsid w:val="00A46EE3"/>
    <w:rsid w:val="00A47372"/>
    <w:rsid w:val="00A502BB"/>
    <w:rsid w:val="00A50B0C"/>
    <w:rsid w:val="00A50F9E"/>
    <w:rsid w:val="00A52557"/>
    <w:rsid w:val="00A52E18"/>
    <w:rsid w:val="00A536A4"/>
    <w:rsid w:val="00A53EEB"/>
    <w:rsid w:val="00A545FE"/>
    <w:rsid w:val="00A54A1F"/>
    <w:rsid w:val="00A54EF8"/>
    <w:rsid w:val="00A54F10"/>
    <w:rsid w:val="00A5506D"/>
    <w:rsid w:val="00A55259"/>
    <w:rsid w:val="00A568F6"/>
    <w:rsid w:val="00A5781A"/>
    <w:rsid w:val="00A57893"/>
    <w:rsid w:val="00A57DFB"/>
    <w:rsid w:val="00A60BBD"/>
    <w:rsid w:val="00A615D0"/>
    <w:rsid w:val="00A61FE7"/>
    <w:rsid w:val="00A62C67"/>
    <w:rsid w:val="00A63A4C"/>
    <w:rsid w:val="00A64272"/>
    <w:rsid w:val="00A6468C"/>
    <w:rsid w:val="00A64A3A"/>
    <w:rsid w:val="00A65DBB"/>
    <w:rsid w:val="00A666A7"/>
    <w:rsid w:val="00A66A48"/>
    <w:rsid w:val="00A67624"/>
    <w:rsid w:val="00A67A3E"/>
    <w:rsid w:val="00A70642"/>
    <w:rsid w:val="00A70A6C"/>
    <w:rsid w:val="00A70AAA"/>
    <w:rsid w:val="00A71771"/>
    <w:rsid w:val="00A71833"/>
    <w:rsid w:val="00A71D95"/>
    <w:rsid w:val="00A72A96"/>
    <w:rsid w:val="00A72F95"/>
    <w:rsid w:val="00A731E7"/>
    <w:rsid w:val="00A73A7E"/>
    <w:rsid w:val="00A73B2D"/>
    <w:rsid w:val="00A743A9"/>
    <w:rsid w:val="00A75490"/>
    <w:rsid w:val="00A75867"/>
    <w:rsid w:val="00A75ABD"/>
    <w:rsid w:val="00A7644E"/>
    <w:rsid w:val="00A77A1E"/>
    <w:rsid w:val="00A80514"/>
    <w:rsid w:val="00A81202"/>
    <w:rsid w:val="00A8204C"/>
    <w:rsid w:val="00A82105"/>
    <w:rsid w:val="00A82DBE"/>
    <w:rsid w:val="00A8315D"/>
    <w:rsid w:val="00A8324E"/>
    <w:rsid w:val="00A84163"/>
    <w:rsid w:val="00A847E7"/>
    <w:rsid w:val="00A8480A"/>
    <w:rsid w:val="00A84A09"/>
    <w:rsid w:val="00A84A8A"/>
    <w:rsid w:val="00A86211"/>
    <w:rsid w:val="00A8671D"/>
    <w:rsid w:val="00A867AD"/>
    <w:rsid w:val="00A86C1B"/>
    <w:rsid w:val="00A86D7E"/>
    <w:rsid w:val="00A877C6"/>
    <w:rsid w:val="00A87EB9"/>
    <w:rsid w:val="00A87F8A"/>
    <w:rsid w:val="00A90D26"/>
    <w:rsid w:val="00A90F51"/>
    <w:rsid w:val="00A90FD0"/>
    <w:rsid w:val="00A9140C"/>
    <w:rsid w:val="00A92DFE"/>
    <w:rsid w:val="00A932B9"/>
    <w:rsid w:val="00A93B07"/>
    <w:rsid w:val="00A944CE"/>
    <w:rsid w:val="00A95B6B"/>
    <w:rsid w:val="00A964C5"/>
    <w:rsid w:val="00A96658"/>
    <w:rsid w:val="00A96876"/>
    <w:rsid w:val="00A975A7"/>
    <w:rsid w:val="00A976A2"/>
    <w:rsid w:val="00AA0770"/>
    <w:rsid w:val="00AA17F5"/>
    <w:rsid w:val="00AA18B7"/>
    <w:rsid w:val="00AA1D23"/>
    <w:rsid w:val="00AA2048"/>
    <w:rsid w:val="00AA223C"/>
    <w:rsid w:val="00AA2631"/>
    <w:rsid w:val="00AA3972"/>
    <w:rsid w:val="00AA3BD3"/>
    <w:rsid w:val="00AA45A4"/>
    <w:rsid w:val="00AA4BEA"/>
    <w:rsid w:val="00AA5012"/>
    <w:rsid w:val="00AA5838"/>
    <w:rsid w:val="00AA59B9"/>
    <w:rsid w:val="00AA5AE4"/>
    <w:rsid w:val="00AA5FB4"/>
    <w:rsid w:val="00AA6CCB"/>
    <w:rsid w:val="00AA764D"/>
    <w:rsid w:val="00AA7CDC"/>
    <w:rsid w:val="00AB0563"/>
    <w:rsid w:val="00AB0E61"/>
    <w:rsid w:val="00AB1420"/>
    <w:rsid w:val="00AB1459"/>
    <w:rsid w:val="00AB14CF"/>
    <w:rsid w:val="00AB27A8"/>
    <w:rsid w:val="00AB2E25"/>
    <w:rsid w:val="00AB3271"/>
    <w:rsid w:val="00AB5A31"/>
    <w:rsid w:val="00AB683B"/>
    <w:rsid w:val="00AC0D22"/>
    <w:rsid w:val="00AC0DE4"/>
    <w:rsid w:val="00AC2F03"/>
    <w:rsid w:val="00AC3F1C"/>
    <w:rsid w:val="00AC4898"/>
    <w:rsid w:val="00AC4B60"/>
    <w:rsid w:val="00AC4B69"/>
    <w:rsid w:val="00AC4BFE"/>
    <w:rsid w:val="00AC5369"/>
    <w:rsid w:val="00AC61D0"/>
    <w:rsid w:val="00AC630F"/>
    <w:rsid w:val="00AD01C8"/>
    <w:rsid w:val="00AD02A1"/>
    <w:rsid w:val="00AD174C"/>
    <w:rsid w:val="00AD2FA6"/>
    <w:rsid w:val="00AD30CC"/>
    <w:rsid w:val="00AD33F0"/>
    <w:rsid w:val="00AD363D"/>
    <w:rsid w:val="00AD3B05"/>
    <w:rsid w:val="00AD3E38"/>
    <w:rsid w:val="00AD4C0D"/>
    <w:rsid w:val="00AD50E9"/>
    <w:rsid w:val="00AD6659"/>
    <w:rsid w:val="00AD6674"/>
    <w:rsid w:val="00AD70A4"/>
    <w:rsid w:val="00AD7D7D"/>
    <w:rsid w:val="00AE07EF"/>
    <w:rsid w:val="00AE093E"/>
    <w:rsid w:val="00AE09B5"/>
    <w:rsid w:val="00AE0E27"/>
    <w:rsid w:val="00AE14DA"/>
    <w:rsid w:val="00AE151B"/>
    <w:rsid w:val="00AE2605"/>
    <w:rsid w:val="00AE30B7"/>
    <w:rsid w:val="00AE3211"/>
    <w:rsid w:val="00AE35D9"/>
    <w:rsid w:val="00AE3BFC"/>
    <w:rsid w:val="00AE3DCE"/>
    <w:rsid w:val="00AE45F1"/>
    <w:rsid w:val="00AE472F"/>
    <w:rsid w:val="00AE52A4"/>
    <w:rsid w:val="00AE5320"/>
    <w:rsid w:val="00AE59A0"/>
    <w:rsid w:val="00AE5D7A"/>
    <w:rsid w:val="00AE7DD9"/>
    <w:rsid w:val="00AF170A"/>
    <w:rsid w:val="00AF2B14"/>
    <w:rsid w:val="00AF333E"/>
    <w:rsid w:val="00AF3353"/>
    <w:rsid w:val="00AF45EA"/>
    <w:rsid w:val="00AF4AA3"/>
    <w:rsid w:val="00AF5602"/>
    <w:rsid w:val="00AF5EEC"/>
    <w:rsid w:val="00AF63F7"/>
    <w:rsid w:val="00AF7BE8"/>
    <w:rsid w:val="00AF7E74"/>
    <w:rsid w:val="00B00313"/>
    <w:rsid w:val="00B00AB3"/>
    <w:rsid w:val="00B00E07"/>
    <w:rsid w:val="00B01A98"/>
    <w:rsid w:val="00B0227D"/>
    <w:rsid w:val="00B04ADB"/>
    <w:rsid w:val="00B04F75"/>
    <w:rsid w:val="00B07337"/>
    <w:rsid w:val="00B075C0"/>
    <w:rsid w:val="00B07788"/>
    <w:rsid w:val="00B10907"/>
    <w:rsid w:val="00B124B5"/>
    <w:rsid w:val="00B12F83"/>
    <w:rsid w:val="00B13BEC"/>
    <w:rsid w:val="00B13FA4"/>
    <w:rsid w:val="00B14952"/>
    <w:rsid w:val="00B14C04"/>
    <w:rsid w:val="00B14CEB"/>
    <w:rsid w:val="00B14D1B"/>
    <w:rsid w:val="00B15794"/>
    <w:rsid w:val="00B163D2"/>
    <w:rsid w:val="00B16A25"/>
    <w:rsid w:val="00B16DF7"/>
    <w:rsid w:val="00B179DC"/>
    <w:rsid w:val="00B17E43"/>
    <w:rsid w:val="00B20596"/>
    <w:rsid w:val="00B20755"/>
    <w:rsid w:val="00B20EB3"/>
    <w:rsid w:val="00B2221F"/>
    <w:rsid w:val="00B22CD0"/>
    <w:rsid w:val="00B23F41"/>
    <w:rsid w:val="00B24059"/>
    <w:rsid w:val="00B2507F"/>
    <w:rsid w:val="00B25089"/>
    <w:rsid w:val="00B25D3F"/>
    <w:rsid w:val="00B2604A"/>
    <w:rsid w:val="00B2607E"/>
    <w:rsid w:val="00B265B4"/>
    <w:rsid w:val="00B26B69"/>
    <w:rsid w:val="00B2790A"/>
    <w:rsid w:val="00B27EEE"/>
    <w:rsid w:val="00B30350"/>
    <w:rsid w:val="00B30CEA"/>
    <w:rsid w:val="00B30E40"/>
    <w:rsid w:val="00B30ECF"/>
    <w:rsid w:val="00B30F63"/>
    <w:rsid w:val="00B31255"/>
    <w:rsid w:val="00B31942"/>
    <w:rsid w:val="00B31FF8"/>
    <w:rsid w:val="00B322FF"/>
    <w:rsid w:val="00B33375"/>
    <w:rsid w:val="00B337EB"/>
    <w:rsid w:val="00B36E9B"/>
    <w:rsid w:val="00B37E11"/>
    <w:rsid w:val="00B37E2C"/>
    <w:rsid w:val="00B40104"/>
    <w:rsid w:val="00B40950"/>
    <w:rsid w:val="00B415C3"/>
    <w:rsid w:val="00B417F5"/>
    <w:rsid w:val="00B41EC9"/>
    <w:rsid w:val="00B41FCF"/>
    <w:rsid w:val="00B42158"/>
    <w:rsid w:val="00B438B7"/>
    <w:rsid w:val="00B43A6E"/>
    <w:rsid w:val="00B44B36"/>
    <w:rsid w:val="00B44C85"/>
    <w:rsid w:val="00B454F0"/>
    <w:rsid w:val="00B459D9"/>
    <w:rsid w:val="00B45A91"/>
    <w:rsid w:val="00B45F17"/>
    <w:rsid w:val="00B4619C"/>
    <w:rsid w:val="00B466F5"/>
    <w:rsid w:val="00B47025"/>
    <w:rsid w:val="00B47436"/>
    <w:rsid w:val="00B47460"/>
    <w:rsid w:val="00B50819"/>
    <w:rsid w:val="00B50ABD"/>
    <w:rsid w:val="00B51045"/>
    <w:rsid w:val="00B51A04"/>
    <w:rsid w:val="00B520AF"/>
    <w:rsid w:val="00B52CDF"/>
    <w:rsid w:val="00B52CE4"/>
    <w:rsid w:val="00B55C69"/>
    <w:rsid w:val="00B5634B"/>
    <w:rsid w:val="00B57AAA"/>
    <w:rsid w:val="00B57C30"/>
    <w:rsid w:val="00B62325"/>
    <w:rsid w:val="00B624EE"/>
    <w:rsid w:val="00B626BA"/>
    <w:rsid w:val="00B62BCD"/>
    <w:rsid w:val="00B64AEA"/>
    <w:rsid w:val="00B66F9E"/>
    <w:rsid w:val="00B6752F"/>
    <w:rsid w:val="00B67D99"/>
    <w:rsid w:val="00B67E79"/>
    <w:rsid w:val="00B70576"/>
    <w:rsid w:val="00B71E0D"/>
    <w:rsid w:val="00B7242C"/>
    <w:rsid w:val="00B73195"/>
    <w:rsid w:val="00B74C1C"/>
    <w:rsid w:val="00B75DE9"/>
    <w:rsid w:val="00B7604B"/>
    <w:rsid w:val="00B761F7"/>
    <w:rsid w:val="00B770BD"/>
    <w:rsid w:val="00B77A23"/>
    <w:rsid w:val="00B81400"/>
    <w:rsid w:val="00B81ABC"/>
    <w:rsid w:val="00B82CAC"/>
    <w:rsid w:val="00B83597"/>
    <w:rsid w:val="00B83970"/>
    <w:rsid w:val="00B84BE6"/>
    <w:rsid w:val="00B863D8"/>
    <w:rsid w:val="00B86612"/>
    <w:rsid w:val="00B86F77"/>
    <w:rsid w:val="00B875EB"/>
    <w:rsid w:val="00B87ECC"/>
    <w:rsid w:val="00B90672"/>
    <w:rsid w:val="00B910CB"/>
    <w:rsid w:val="00B91199"/>
    <w:rsid w:val="00B913B3"/>
    <w:rsid w:val="00B91581"/>
    <w:rsid w:val="00B92D6C"/>
    <w:rsid w:val="00B937C6"/>
    <w:rsid w:val="00B94E63"/>
    <w:rsid w:val="00B94EF7"/>
    <w:rsid w:val="00B95D80"/>
    <w:rsid w:val="00B96F75"/>
    <w:rsid w:val="00B97303"/>
    <w:rsid w:val="00BA0139"/>
    <w:rsid w:val="00BA03A6"/>
    <w:rsid w:val="00BA03D7"/>
    <w:rsid w:val="00BA08B4"/>
    <w:rsid w:val="00BA0CA0"/>
    <w:rsid w:val="00BA1301"/>
    <w:rsid w:val="00BA1373"/>
    <w:rsid w:val="00BA1A42"/>
    <w:rsid w:val="00BA2272"/>
    <w:rsid w:val="00BA2C18"/>
    <w:rsid w:val="00BA4862"/>
    <w:rsid w:val="00BA48C4"/>
    <w:rsid w:val="00BA497C"/>
    <w:rsid w:val="00BA4D0E"/>
    <w:rsid w:val="00BA571A"/>
    <w:rsid w:val="00BA5BCD"/>
    <w:rsid w:val="00BA710A"/>
    <w:rsid w:val="00BA7241"/>
    <w:rsid w:val="00BA7499"/>
    <w:rsid w:val="00BA768F"/>
    <w:rsid w:val="00BB1888"/>
    <w:rsid w:val="00BB3289"/>
    <w:rsid w:val="00BB38E6"/>
    <w:rsid w:val="00BB40EA"/>
    <w:rsid w:val="00BB59C2"/>
    <w:rsid w:val="00BB6053"/>
    <w:rsid w:val="00BB6934"/>
    <w:rsid w:val="00BB6E81"/>
    <w:rsid w:val="00BB6E8B"/>
    <w:rsid w:val="00BB716B"/>
    <w:rsid w:val="00BC02EF"/>
    <w:rsid w:val="00BC06E2"/>
    <w:rsid w:val="00BC1185"/>
    <w:rsid w:val="00BC1F3A"/>
    <w:rsid w:val="00BC2A01"/>
    <w:rsid w:val="00BC2C78"/>
    <w:rsid w:val="00BC2E48"/>
    <w:rsid w:val="00BC3393"/>
    <w:rsid w:val="00BC36DB"/>
    <w:rsid w:val="00BC46DB"/>
    <w:rsid w:val="00BC49C7"/>
    <w:rsid w:val="00BC4F4B"/>
    <w:rsid w:val="00BC52CF"/>
    <w:rsid w:val="00BC57E2"/>
    <w:rsid w:val="00BC5AA2"/>
    <w:rsid w:val="00BC6024"/>
    <w:rsid w:val="00BC66D2"/>
    <w:rsid w:val="00BC67C3"/>
    <w:rsid w:val="00BC684F"/>
    <w:rsid w:val="00BC7088"/>
    <w:rsid w:val="00BC7924"/>
    <w:rsid w:val="00BC7FA7"/>
    <w:rsid w:val="00BD0D63"/>
    <w:rsid w:val="00BD1163"/>
    <w:rsid w:val="00BD176C"/>
    <w:rsid w:val="00BD223A"/>
    <w:rsid w:val="00BD35A5"/>
    <w:rsid w:val="00BD6268"/>
    <w:rsid w:val="00BD6CF7"/>
    <w:rsid w:val="00BD7B1B"/>
    <w:rsid w:val="00BD7BB4"/>
    <w:rsid w:val="00BD7F79"/>
    <w:rsid w:val="00BE012F"/>
    <w:rsid w:val="00BE0AC6"/>
    <w:rsid w:val="00BE0E74"/>
    <w:rsid w:val="00BE2934"/>
    <w:rsid w:val="00BE2CEE"/>
    <w:rsid w:val="00BE3197"/>
    <w:rsid w:val="00BE3AD6"/>
    <w:rsid w:val="00BE3B11"/>
    <w:rsid w:val="00BE60D3"/>
    <w:rsid w:val="00BE63ED"/>
    <w:rsid w:val="00BE6C21"/>
    <w:rsid w:val="00BE6FD5"/>
    <w:rsid w:val="00BF02B4"/>
    <w:rsid w:val="00BF061A"/>
    <w:rsid w:val="00BF088D"/>
    <w:rsid w:val="00BF1668"/>
    <w:rsid w:val="00BF16E0"/>
    <w:rsid w:val="00BF199E"/>
    <w:rsid w:val="00BF19E6"/>
    <w:rsid w:val="00BF20AD"/>
    <w:rsid w:val="00BF237D"/>
    <w:rsid w:val="00BF312A"/>
    <w:rsid w:val="00BF3194"/>
    <w:rsid w:val="00BF33AE"/>
    <w:rsid w:val="00BF38B8"/>
    <w:rsid w:val="00BF3A4C"/>
    <w:rsid w:val="00BF3BD9"/>
    <w:rsid w:val="00BF3DBD"/>
    <w:rsid w:val="00BF3F55"/>
    <w:rsid w:val="00BF3F74"/>
    <w:rsid w:val="00BF43BA"/>
    <w:rsid w:val="00BF5A6C"/>
    <w:rsid w:val="00BF5DBE"/>
    <w:rsid w:val="00BF6E5A"/>
    <w:rsid w:val="00BF6EF3"/>
    <w:rsid w:val="00BF7A89"/>
    <w:rsid w:val="00C00198"/>
    <w:rsid w:val="00C0020A"/>
    <w:rsid w:val="00C00BA1"/>
    <w:rsid w:val="00C00D4F"/>
    <w:rsid w:val="00C01030"/>
    <w:rsid w:val="00C010D2"/>
    <w:rsid w:val="00C01597"/>
    <w:rsid w:val="00C028F9"/>
    <w:rsid w:val="00C02BAD"/>
    <w:rsid w:val="00C02FE8"/>
    <w:rsid w:val="00C03130"/>
    <w:rsid w:val="00C0345C"/>
    <w:rsid w:val="00C03521"/>
    <w:rsid w:val="00C03F3A"/>
    <w:rsid w:val="00C0477C"/>
    <w:rsid w:val="00C0485C"/>
    <w:rsid w:val="00C04C94"/>
    <w:rsid w:val="00C05768"/>
    <w:rsid w:val="00C05BF4"/>
    <w:rsid w:val="00C06DCB"/>
    <w:rsid w:val="00C06EF7"/>
    <w:rsid w:val="00C07796"/>
    <w:rsid w:val="00C07941"/>
    <w:rsid w:val="00C07ED2"/>
    <w:rsid w:val="00C101CF"/>
    <w:rsid w:val="00C10444"/>
    <w:rsid w:val="00C1096D"/>
    <w:rsid w:val="00C11371"/>
    <w:rsid w:val="00C1167D"/>
    <w:rsid w:val="00C11DF6"/>
    <w:rsid w:val="00C12733"/>
    <w:rsid w:val="00C13843"/>
    <w:rsid w:val="00C14B44"/>
    <w:rsid w:val="00C15895"/>
    <w:rsid w:val="00C15986"/>
    <w:rsid w:val="00C15C7F"/>
    <w:rsid w:val="00C15FAE"/>
    <w:rsid w:val="00C16325"/>
    <w:rsid w:val="00C16356"/>
    <w:rsid w:val="00C163F1"/>
    <w:rsid w:val="00C17BF4"/>
    <w:rsid w:val="00C20550"/>
    <w:rsid w:val="00C206FC"/>
    <w:rsid w:val="00C20DA6"/>
    <w:rsid w:val="00C211FB"/>
    <w:rsid w:val="00C2131E"/>
    <w:rsid w:val="00C214F4"/>
    <w:rsid w:val="00C21A6D"/>
    <w:rsid w:val="00C21B6D"/>
    <w:rsid w:val="00C2205B"/>
    <w:rsid w:val="00C2272E"/>
    <w:rsid w:val="00C22AA8"/>
    <w:rsid w:val="00C23179"/>
    <w:rsid w:val="00C241BA"/>
    <w:rsid w:val="00C25267"/>
    <w:rsid w:val="00C2613C"/>
    <w:rsid w:val="00C26662"/>
    <w:rsid w:val="00C27403"/>
    <w:rsid w:val="00C303A4"/>
    <w:rsid w:val="00C30478"/>
    <w:rsid w:val="00C3062F"/>
    <w:rsid w:val="00C30BDF"/>
    <w:rsid w:val="00C30C5E"/>
    <w:rsid w:val="00C31CEA"/>
    <w:rsid w:val="00C323C3"/>
    <w:rsid w:val="00C33241"/>
    <w:rsid w:val="00C33BC0"/>
    <w:rsid w:val="00C33E47"/>
    <w:rsid w:val="00C3434B"/>
    <w:rsid w:val="00C34453"/>
    <w:rsid w:val="00C34C6A"/>
    <w:rsid w:val="00C35890"/>
    <w:rsid w:val="00C372DF"/>
    <w:rsid w:val="00C37DC2"/>
    <w:rsid w:val="00C40A8F"/>
    <w:rsid w:val="00C4147C"/>
    <w:rsid w:val="00C41A38"/>
    <w:rsid w:val="00C41E26"/>
    <w:rsid w:val="00C424DD"/>
    <w:rsid w:val="00C42962"/>
    <w:rsid w:val="00C42B5D"/>
    <w:rsid w:val="00C43F30"/>
    <w:rsid w:val="00C44308"/>
    <w:rsid w:val="00C47D40"/>
    <w:rsid w:val="00C47EEC"/>
    <w:rsid w:val="00C47FE1"/>
    <w:rsid w:val="00C504EA"/>
    <w:rsid w:val="00C517A9"/>
    <w:rsid w:val="00C519AF"/>
    <w:rsid w:val="00C51D89"/>
    <w:rsid w:val="00C52151"/>
    <w:rsid w:val="00C5262F"/>
    <w:rsid w:val="00C52695"/>
    <w:rsid w:val="00C52895"/>
    <w:rsid w:val="00C52E54"/>
    <w:rsid w:val="00C53E6C"/>
    <w:rsid w:val="00C54177"/>
    <w:rsid w:val="00C549EE"/>
    <w:rsid w:val="00C55461"/>
    <w:rsid w:val="00C55744"/>
    <w:rsid w:val="00C55AEE"/>
    <w:rsid w:val="00C55BF9"/>
    <w:rsid w:val="00C55D09"/>
    <w:rsid w:val="00C55EED"/>
    <w:rsid w:val="00C562F0"/>
    <w:rsid w:val="00C56D58"/>
    <w:rsid w:val="00C57CD6"/>
    <w:rsid w:val="00C57DC4"/>
    <w:rsid w:val="00C60AF3"/>
    <w:rsid w:val="00C62F37"/>
    <w:rsid w:val="00C63A9A"/>
    <w:rsid w:val="00C64DDE"/>
    <w:rsid w:val="00C651F6"/>
    <w:rsid w:val="00C65A34"/>
    <w:rsid w:val="00C66752"/>
    <w:rsid w:val="00C6695D"/>
    <w:rsid w:val="00C677C4"/>
    <w:rsid w:val="00C7047E"/>
    <w:rsid w:val="00C71722"/>
    <w:rsid w:val="00C72F5C"/>
    <w:rsid w:val="00C73121"/>
    <w:rsid w:val="00C737B2"/>
    <w:rsid w:val="00C73BD1"/>
    <w:rsid w:val="00C741AA"/>
    <w:rsid w:val="00C7487B"/>
    <w:rsid w:val="00C768A4"/>
    <w:rsid w:val="00C77109"/>
    <w:rsid w:val="00C77F95"/>
    <w:rsid w:val="00C801E2"/>
    <w:rsid w:val="00C805A4"/>
    <w:rsid w:val="00C806DF"/>
    <w:rsid w:val="00C82D4B"/>
    <w:rsid w:val="00C83B33"/>
    <w:rsid w:val="00C847B0"/>
    <w:rsid w:val="00C84F91"/>
    <w:rsid w:val="00C854BA"/>
    <w:rsid w:val="00C85739"/>
    <w:rsid w:val="00C85D57"/>
    <w:rsid w:val="00C860EC"/>
    <w:rsid w:val="00C8631E"/>
    <w:rsid w:val="00C86431"/>
    <w:rsid w:val="00C86657"/>
    <w:rsid w:val="00C86A18"/>
    <w:rsid w:val="00C8794B"/>
    <w:rsid w:val="00C87DD9"/>
    <w:rsid w:val="00C90408"/>
    <w:rsid w:val="00C912F1"/>
    <w:rsid w:val="00C91CB7"/>
    <w:rsid w:val="00C9312C"/>
    <w:rsid w:val="00C940CE"/>
    <w:rsid w:val="00C961A1"/>
    <w:rsid w:val="00C96F26"/>
    <w:rsid w:val="00C97185"/>
    <w:rsid w:val="00C97216"/>
    <w:rsid w:val="00C97843"/>
    <w:rsid w:val="00C97F99"/>
    <w:rsid w:val="00CA045B"/>
    <w:rsid w:val="00CA04FF"/>
    <w:rsid w:val="00CA0723"/>
    <w:rsid w:val="00CA21D1"/>
    <w:rsid w:val="00CA25F9"/>
    <w:rsid w:val="00CA427A"/>
    <w:rsid w:val="00CA4577"/>
    <w:rsid w:val="00CA4C23"/>
    <w:rsid w:val="00CA6391"/>
    <w:rsid w:val="00CA6A1C"/>
    <w:rsid w:val="00CA6CF3"/>
    <w:rsid w:val="00CA6F7A"/>
    <w:rsid w:val="00CA6FC4"/>
    <w:rsid w:val="00CA7319"/>
    <w:rsid w:val="00CA7418"/>
    <w:rsid w:val="00CA7880"/>
    <w:rsid w:val="00CB2590"/>
    <w:rsid w:val="00CB2F32"/>
    <w:rsid w:val="00CB370E"/>
    <w:rsid w:val="00CB3C8F"/>
    <w:rsid w:val="00CB4672"/>
    <w:rsid w:val="00CB5CAF"/>
    <w:rsid w:val="00CB6090"/>
    <w:rsid w:val="00CB7234"/>
    <w:rsid w:val="00CC0BCA"/>
    <w:rsid w:val="00CC22BB"/>
    <w:rsid w:val="00CC23A5"/>
    <w:rsid w:val="00CC378E"/>
    <w:rsid w:val="00CC3D38"/>
    <w:rsid w:val="00CC3FBE"/>
    <w:rsid w:val="00CC497D"/>
    <w:rsid w:val="00CC5371"/>
    <w:rsid w:val="00CC5C24"/>
    <w:rsid w:val="00CC5EF0"/>
    <w:rsid w:val="00CC66E7"/>
    <w:rsid w:val="00CC6DBC"/>
    <w:rsid w:val="00CC738C"/>
    <w:rsid w:val="00CC7559"/>
    <w:rsid w:val="00CD06CE"/>
    <w:rsid w:val="00CD1B00"/>
    <w:rsid w:val="00CD2DA5"/>
    <w:rsid w:val="00CD4280"/>
    <w:rsid w:val="00CD4980"/>
    <w:rsid w:val="00CD4D1F"/>
    <w:rsid w:val="00CD4E05"/>
    <w:rsid w:val="00CD5F96"/>
    <w:rsid w:val="00CD652A"/>
    <w:rsid w:val="00CD6899"/>
    <w:rsid w:val="00CD69C6"/>
    <w:rsid w:val="00CD70A1"/>
    <w:rsid w:val="00CD744B"/>
    <w:rsid w:val="00CE08CC"/>
    <w:rsid w:val="00CE2811"/>
    <w:rsid w:val="00CE34B8"/>
    <w:rsid w:val="00CE3CD8"/>
    <w:rsid w:val="00CE4599"/>
    <w:rsid w:val="00CE5400"/>
    <w:rsid w:val="00CE570C"/>
    <w:rsid w:val="00CE5778"/>
    <w:rsid w:val="00CE6061"/>
    <w:rsid w:val="00CE6923"/>
    <w:rsid w:val="00CE74A1"/>
    <w:rsid w:val="00CE7F5C"/>
    <w:rsid w:val="00CF00A9"/>
    <w:rsid w:val="00CF0CDF"/>
    <w:rsid w:val="00CF168B"/>
    <w:rsid w:val="00CF21CC"/>
    <w:rsid w:val="00CF2630"/>
    <w:rsid w:val="00CF2955"/>
    <w:rsid w:val="00CF2AAB"/>
    <w:rsid w:val="00CF2B2E"/>
    <w:rsid w:val="00CF2EA7"/>
    <w:rsid w:val="00CF3615"/>
    <w:rsid w:val="00CF4724"/>
    <w:rsid w:val="00CF4EBD"/>
    <w:rsid w:val="00CF54B5"/>
    <w:rsid w:val="00CF609F"/>
    <w:rsid w:val="00CF6943"/>
    <w:rsid w:val="00CF6A7B"/>
    <w:rsid w:val="00CF6B13"/>
    <w:rsid w:val="00CF6F9A"/>
    <w:rsid w:val="00CF778D"/>
    <w:rsid w:val="00CF7AD7"/>
    <w:rsid w:val="00CF7CD6"/>
    <w:rsid w:val="00D00230"/>
    <w:rsid w:val="00D0068A"/>
    <w:rsid w:val="00D00C11"/>
    <w:rsid w:val="00D0130D"/>
    <w:rsid w:val="00D01ED4"/>
    <w:rsid w:val="00D0270A"/>
    <w:rsid w:val="00D02FD4"/>
    <w:rsid w:val="00D04959"/>
    <w:rsid w:val="00D04BD6"/>
    <w:rsid w:val="00D05B0A"/>
    <w:rsid w:val="00D05F03"/>
    <w:rsid w:val="00D064DD"/>
    <w:rsid w:val="00D07421"/>
    <w:rsid w:val="00D100D4"/>
    <w:rsid w:val="00D103EC"/>
    <w:rsid w:val="00D11EE7"/>
    <w:rsid w:val="00D1283A"/>
    <w:rsid w:val="00D129F3"/>
    <w:rsid w:val="00D13A35"/>
    <w:rsid w:val="00D14478"/>
    <w:rsid w:val="00D161DA"/>
    <w:rsid w:val="00D16509"/>
    <w:rsid w:val="00D16755"/>
    <w:rsid w:val="00D17880"/>
    <w:rsid w:val="00D17D24"/>
    <w:rsid w:val="00D20143"/>
    <w:rsid w:val="00D20439"/>
    <w:rsid w:val="00D207F4"/>
    <w:rsid w:val="00D20FFC"/>
    <w:rsid w:val="00D21A38"/>
    <w:rsid w:val="00D22206"/>
    <w:rsid w:val="00D22523"/>
    <w:rsid w:val="00D228C7"/>
    <w:rsid w:val="00D232A5"/>
    <w:rsid w:val="00D23C80"/>
    <w:rsid w:val="00D25087"/>
    <w:rsid w:val="00D25FFB"/>
    <w:rsid w:val="00D26685"/>
    <w:rsid w:val="00D2672E"/>
    <w:rsid w:val="00D27603"/>
    <w:rsid w:val="00D2789F"/>
    <w:rsid w:val="00D3036B"/>
    <w:rsid w:val="00D316DA"/>
    <w:rsid w:val="00D31E03"/>
    <w:rsid w:val="00D32622"/>
    <w:rsid w:val="00D32644"/>
    <w:rsid w:val="00D326A5"/>
    <w:rsid w:val="00D32F55"/>
    <w:rsid w:val="00D32F87"/>
    <w:rsid w:val="00D33C31"/>
    <w:rsid w:val="00D33EA7"/>
    <w:rsid w:val="00D34783"/>
    <w:rsid w:val="00D3569E"/>
    <w:rsid w:val="00D35E77"/>
    <w:rsid w:val="00D35F90"/>
    <w:rsid w:val="00D361BD"/>
    <w:rsid w:val="00D36514"/>
    <w:rsid w:val="00D36B23"/>
    <w:rsid w:val="00D376B3"/>
    <w:rsid w:val="00D37970"/>
    <w:rsid w:val="00D37DAF"/>
    <w:rsid w:val="00D40FF2"/>
    <w:rsid w:val="00D425B9"/>
    <w:rsid w:val="00D425CF"/>
    <w:rsid w:val="00D435E5"/>
    <w:rsid w:val="00D43BB2"/>
    <w:rsid w:val="00D4466F"/>
    <w:rsid w:val="00D44A44"/>
    <w:rsid w:val="00D44D5F"/>
    <w:rsid w:val="00D5196A"/>
    <w:rsid w:val="00D525CC"/>
    <w:rsid w:val="00D5288A"/>
    <w:rsid w:val="00D52F4A"/>
    <w:rsid w:val="00D530F8"/>
    <w:rsid w:val="00D53647"/>
    <w:rsid w:val="00D53967"/>
    <w:rsid w:val="00D53C40"/>
    <w:rsid w:val="00D53F64"/>
    <w:rsid w:val="00D54AD7"/>
    <w:rsid w:val="00D54AED"/>
    <w:rsid w:val="00D55044"/>
    <w:rsid w:val="00D5524F"/>
    <w:rsid w:val="00D55330"/>
    <w:rsid w:val="00D55EE9"/>
    <w:rsid w:val="00D56368"/>
    <w:rsid w:val="00D56962"/>
    <w:rsid w:val="00D56969"/>
    <w:rsid w:val="00D56E76"/>
    <w:rsid w:val="00D572EF"/>
    <w:rsid w:val="00D57328"/>
    <w:rsid w:val="00D574E9"/>
    <w:rsid w:val="00D6101D"/>
    <w:rsid w:val="00D619A5"/>
    <w:rsid w:val="00D644B0"/>
    <w:rsid w:val="00D64A3C"/>
    <w:rsid w:val="00D64BD4"/>
    <w:rsid w:val="00D65408"/>
    <w:rsid w:val="00D65E1E"/>
    <w:rsid w:val="00D65F1D"/>
    <w:rsid w:val="00D669F3"/>
    <w:rsid w:val="00D66E38"/>
    <w:rsid w:val="00D672E7"/>
    <w:rsid w:val="00D673DF"/>
    <w:rsid w:val="00D678DC"/>
    <w:rsid w:val="00D71022"/>
    <w:rsid w:val="00D72337"/>
    <w:rsid w:val="00D7278F"/>
    <w:rsid w:val="00D75E10"/>
    <w:rsid w:val="00D76037"/>
    <w:rsid w:val="00D773B1"/>
    <w:rsid w:val="00D77AA9"/>
    <w:rsid w:val="00D800D0"/>
    <w:rsid w:val="00D80C4A"/>
    <w:rsid w:val="00D80E3D"/>
    <w:rsid w:val="00D82339"/>
    <w:rsid w:val="00D82DD8"/>
    <w:rsid w:val="00D82EFA"/>
    <w:rsid w:val="00D82F61"/>
    <w:rsid w:val="00D8350C"/>
    <w:rsid w:val="00D835F3"/>
    <w:rsid w:val="00D83E16"/>
    <w:rsid w:val="00D840BD"/>
    <w:rsid w:val="00D8466C"/>
    <w:rsid w:val="00D85561"/>
    <w:rsid w:val="00D862D8"/>
    <w:rsid w:val="00D87535"/>
    <w:rsid w:val="00D87D73"/>
    <w:rsid w:val="00D901EF"/>
    <w:rsid w:val="00D91337"/>
    <w:rsid w:val="00D91EE0"/>
    <w:rsid w:val="00D92024"/>
    <w:rsid w:val="00D9340C"/>
    <w:rsid w:val="00D94208"/>
    <w:rsid w:val="00D943DA"/>
    <w:rsid w:val="00D9474E"/>
    <w:rsid w:val="00D954F3"/>
    <w:rsid w:val="00D95E2A"/>
    <w:rsid w:val="00D95FF0"/>
    <w:rsid w:val="00D96037"/>
    <w:rsid w:val="00D9649F"/>
    <w:rsid w:val="00D964AF"/>
    <w:rsid w:val="00D96767"/>
    <w:rsid w:val="00D97035"/>
    <w:rsid w:val="00D9744F"/>
    <w:rsid w:val="00DA09A5"/>
    <w:rsid w:val="00DA0CA2"/>
    <w:rsid w:val="00DA11EB"/>
    <w:rsid w:val="00DA13D3"/>
    <w:rsid w:val="00DA1EEF"/>
    <w:rsid w:val="00DA28DB"/>
    <w:rsid w:val="00DA2FBB"/>
    <w:rsid w:val="00DA3371"/>
    <w:rsid w:val="00DA4EEF"/>
    <w:rsid w:val="00DA579C"/>
    <w:rsid w:val="00DA5DE0"/>
    <w:rsid w:val="00DA6163"/>
    <w:rsid w:val="00DA71C9"/>
    <w:rsid w:val="00DA76F2"/>
    <w:rsid w:val="00DB03F3"/>
    <w:rsid w:val="00DB0F98"/>
    <w:rsid w:val="00DB1849"/>
    <w:rsid w:val="00DB1B7D"/>
    <w:rsid w:val="00DB225D"/>
    <w:rsid w:val="00DB2354"/>
    <w:rsid w:val="00DB2CD7"/>
    <w:rsid w:val="00DB2D01"/>
    <w:rsid w:val="00DB33BE"/>
    <w:rsid w:val="00DB3C4E"/>
    <w:rsid w:val="00DB5799"/>
    <w:rsid w:val="00DB57A7"/>
    <w:rsid w:val="00DB623D"/>
    <w:rsid w:val="00DB6F58"/>
    <w:rsid w:val="00DB7706"/>
    <w:rsid w:val="00DB7B69"/>
    <w:rsid w:val="00DC285B"/>
    <w:rsid w:val="00DC2A72"/>
    <w:rsid w:val="00DC2AFC"/>
    <w:rsid w:val="00DC2FEB"/>
    <w:rsid w:val="00DC328C"/>
    <w:rsid w:val="00DC4788"/>
    <w:rsid w:val="00DC4891"/>
    <w:rsid w:val="00DC4BA9"/>
    <w:rsid w:val="00DC53A7"/>
    <w:rsid w:val="00DC549F"/>
    <w:rsid w:val="00DC5CDD"/>
    <w:rsid w:val="00DC68C4"/>
    <w:rsid w:val="00DD003E"/>
    <w:rsid w:val="00DD03C8"/>
    <w:rsid w:val="00DD0C53"/>
    <w:rsid w:val="00DD1659"/>
    <w:rsid w:val="00DD2035"/>
    <w:rsid w:val="00DD23D9"/>
    <w:rsid w:val="00DD4962"/>
    <w:rsid w:val="00DD73E6"/>
    <w:rsid w:val="00DD7E84"/>
    <w:rsid w:val="00DE0581"/>
    <w:rsid w:val="00DE26D5"/>
    <w:rsid w:val="00DE410A"/>
    <w:rsid w:val="00DE4198"/>
    <w:rsid w:val="00DE487D"/>
    <w:rsid w:val="00DE4EC6"/>
    <w:rsid w:val="00DE5A8E"/>
    <w:rsid w:val="00DE5C65"/>
    <w:rsid w:val="00DE5C90"/>
    <w:rsid w:val="00DE65FA"/>
    <w:rsid w:val="00DE6729"/>
    <w:rsid w:val="00DE693C"/>
    <w:rsid w:val="00DE6BF4"/>
    <w:rsid w:val="00DF035F"/>
    <w:rsid w:val="00DF161A"/>
    <w:rsid w:val="00DF1FF7"/>
    <w:rsid w:val="00DF3126"/>
    <w:rsid w:val="00DF4AB2"/>
    <w:rsid w:val="00DF4BAA"/>
    <w:rsid w:val="00DF4F54"/>
    <w:rsid w:val="00DF4FF8"/>
    <w:rsid w:val="00DF5350"/>
    <w:rsid w:val="00DF5562"/>
    <w:rsid w:val="00DF5DBF"/>
    <w:rsid w:val="00DF6D2A"/>
    <w:rsid w:val="00DF70A7"/>
    <w:rsid w:val="00DF782C"/>
    <w:rsid w:val="00DF7CFB"/>
    <w:rsid w:val="00DF7DE3"/>
    <w:rsid w:val="00E001C9"/>
    <w:rsid w:val="00E00382"/>
    <w:rsid w:val="00E01916"/>
    <w:rsid w:val="00E01A3F"/>
    <w:rsid w:val="00E01BBE"/>
    <w:rsid w:val="00E02126"/>
    <w:rsid w:val="00E02974"/>
    <w:rsid w:val="00E030AC"/>
    <w:rsid w:val="00E03237"/>
    <w:rsid w:val="00E03EA4"/>
    <w:rsid w:val="00E04220"/>
    <w:rsid w:val="00E04261"/>
    <w:rsid w:val="00E047CC"/>
    <w:rsid w:val="00E047F4"/>
    <w:rsid w:val="00E05FFC"/>
    <w:rsid w:val="00E06243"/>
    <w:rsid w:val="00E0629A"/>
    <w:rsid w:val="00E06547"/>
    <w:rsid w:val="00E0663B"/>
    <w:rsid w:val="00E07BD4"/>
    <w:rsid w:val="00E10880"/>
    <w:rsid w:val="00E10B38"/>
    <w:rsid w:val="00E11517"/>
    <w:rsid w:val="00E1200E"/>
    <w:rsid w:val="00E120F2"/>
    <w:rsid w:val="00E12382"/>
    <w:rsid w:val="00E12566"/>
    <w:rsid w:val="00E126D3"/>
    <w:rsid w:val="00E127C7"/>
    <w:rsid w:val="00E127EE"/>
    <w:rsid w:val="00E12FEF"/>
    <w:rsid w:val="00E14C5E"/>
    <w:rsid w:val="00E153E6"/>
    <w:rsid w:val="00E159D9"/>
    <w:rsid w:val="00E15C08"/>
    <w:rsid w:val="00E15F71"/>
    <w:rsid w:val="00E167E0"/>
    <w:rsid w:val="00E1737C"/>
    <w:rsid w:val="00E17BAE"/>
    <w:rsid w:val="00E20864"/>
    <w:rsid w:val="00E20964"/>
    <w:rsid w:val="00E21942"/>
    <w:rsid w:val="00E21A4B"/>
    <w:rsid w:val="00E21A68"/>
    <w:rsid w:val="00E21C04"/>
    <w:rsid w:val="00E2201B"/>
    <w:rsid w:val="00E22447"/>
    <w:rsid w:val="00E23AAE"/>
    <w:rsid w:val="00E24852"/>
    <w:rsid w:val="00E24E23"/>
    <w:rsid w:val="00E25400"/>
    <w:rsid w:val="00E25809"/>
    <w:rsid w:val="00E26144"/>
    <w:rsid w:val="00E2615B"/>
    <w:rsid w:val="00E2673C"/>
    <w:rsid w:val="00E26AB7"/>
    <w:rsid w:val="00E271DF"/>
    <w:rsid w:val="00E27B39"/>
    <w:rsid w:val="00E27DB7"/>
    <w:rsid w:val="00E30B47"/>
    <w:rsid w:val="00E30C45"/>
    <w:rsid w:val="00E311AA"/>
    <w:rsid w:val="00E31632"/>
    <w:rsid w:val="00E3208C"/>
    <w:rsid w:val="00E327C5"/>
    <w:rsid w:val="00E34F1D"/>
    <w:rsid w:val="00E35591"/>
    <w:rsid w:val="00E35704"/>
    <w:rsid w:val="00E37535"/>
    <w:rsid w:val="00E401F6"/>
    <w:rsid w:val="00E413C9"/>
    <w:rsid w:val="00E41448"/>
    <w:rsid w:val="00E42A0B"/>
    <w:rsid w:val="00E433D7"/>
    <w:rsid w:val="00E43C1D"/>
    <w:rsid w:val="00E44F57"/>
    <w:rsid w:val="00E467AC"/>
    <w:rsid w:val="00E46A12"/>
    <w:rsid w:val="00E47DA4"/>
    <w:rsid w:val="00E501EF"/>
    <w:rsid w:val="00E50A32"/>
    <w:rsid w:val="00E51DB2"/>
    <w:rsid w:val="00E522BC"/>
    <w:rsid w:val="00E52FC3"/>
    <w:rsid w:val="00E53366"/>
    <w:rsid w:val="00E5362A"/>
    <w:rsid w:val="00E54227"/>
    <w:rsid w:val="00E54786"/>
    <w:rsid w:val="00E54DE3"/>
    <w:rsid w:val="00E55729"/>
    <w:rsid w:val="00E5630F"/>
    <w:rsid w:val="00E5638F"/>
    <w:rsid w:val="00E566D5"/>
    <w:rsid w:val="00E56BF7"/>
    <w:rsid w:val="00E57CE0"/>
    <w:rsid w:val="00E57E5D"/>
    <w:rsid w:val="00E57EDC"/>
    <w:rsid w:val="00E601BC"/>
    <w:rsid w:val="00E6170B"/>
    <w:rsid w:val="00E62BE2"/>
    <w:rsid w:val="00E62E08"/>
    <w:rsid w:val="00E64B06"/>
    <w:rsid w:val="00E64CC7"/>
    <w:rsid w:val="00E650E2"/>
    <w:rsid w:val="00E65505"/>
    <w:rsid w:val="00E65645"/>
    <w:rsid w:val="00E65938"/>
    <w:rsid w:val="00E65FE8"/>
    <w:rsid w:val="00E6678A"/>
    <w:rsid w:val="00E66DDB"/>
    <w:rsid w:val="00E677FD"/>
    <w:rsid w:val="00E67BB5"/>
    <w:rsid w:val="00E710E3"/>
    <w:rsid w:val="00E71231"/>
    <w:rsid w:val="00E7155F"/>
    <w:rsid w:val="00E715EE"/>
    <w:rsid w:val="00E71B8E"/>
    <w:rsid w:val="00E72CD4"/>
    <w:rsid w:val="00E741D5"/>
    <w:rsid w:val="00E746D0"/>
    <w:rsid w:val="00E74803"/>
    <w:rsid w:val="00E74A64"/>
    <w:rsid w:val="00E75C73"/>
    <w:rsid w:val="00E76505"/>
    <w:rsid w:val="00E805EB"/>
    <w:rsid w:val="00E805FC"/>
    <w:rsid w:val="00E80730"/>
    <w:rsid w:val="00E80CC8"/>
    <w:rsid w:val="00E80F7D"/>
    <w:rsid w:val="00E81262"/>
    <w:rsid w:val="00E81526"/>
    <w:rsid w:val="00E82265"/>
    <w:rsid w:val="00E824D0"/>
    <w:rsid w:val="00E8304C"/>
    <w:rsid w:val="00E83131"/>
    <w:rsid w:val="00E831A9"/>
    <w:rsid w:val="00E840E7"/>
    <w:rsid w:val="00E86ED0"/>
    <w:rsid w:val="00E87071"/>
    <w:rsid w:val="00E8707B"/>
    <w:rsid w:val="00E874B1"/>
    <w:rsid w:val="00E90676"/>
    <w:rsid w:val="00E90F0F"/>
    <w:rsid w:val="00E912D8"/>
    <w:rsid w:val="00E91D60"/>
    <w:rsid w:val="00E92F51"/>
    <w:rsid w:val="00E93078"/>
    <w:rsid w:val="00E93145"/>
    <w:rsid w:val="00E931AD"/>
    <w:rsid w:val="00E939B4"/>
    <w:rsid w:val="00E93ECB"/>
    <w:rsid w:val="00E949A8"/>
    <w:rsid w:val="00E95296"/>
    <w:rsid w:val="00E9543B"/>
    <w:rsid w:val="00E9574A"/>
    <w:rsid w:val="00E95BFD"/>
    <w:rsid w:val="00E9633A"/>
    <w:rsid w:val="00E97530"/>
    <w:rsid w:val="00E9778D"/>
    <w:rsid w:val="00EA08E4"/>
    <w:rsid w:val="00EA182C"/>
    <w:rsid w:val="00EA1F84"/>
    <w:rsid w:val="00EA22D6"/>
    <w:rsid w:val="00EA24CC"/>
    <w:rsid w:val="00EA2947"/>
    <w:rsid w:val="00EA33DF"/>
    <w:rsid w:val="00EA428E"/>
    <w:rsid w:val="00EA4DC2"/>
    <w:rsid w:val="00EA5884"/>
    <w:rsid w:val="00EA6E62"/>
    <w:rsid w:val="00EA7E84"/>
    <w:rsid w:val="00EA7F27"/>
    <w:rsid w:val="00EA7F34"/>
    <w:rsid w:val="00EB07E9"/>
    <w:rsid w:val="00EB091B"/>
    <w:rsid w:val="00EB0C89"/>
    <w:rsid w:val="00EB1F13"/>
    <w:rsid w:val="00EB3212"/>
    <w:rsid w:val="00EB3A72"/>
    <w:rsid w:val="00EB3E2D"/>
    <w:rsid w:val="00EB50CA"/>
    <w:rsid w:val="00EB5247"/>
    <w:rsid w:val="00EB52A7"/>
    <w:rsid w:val="00EB5429"/>
    <w:rsid w:val="00EB5BCC"/>
    <w:rsid w:val="00EB6DE5"/>
    <w:rsid w:val="00EB73F0"/>
    <w:rsid w:val="00EB76B2"/>
    <w:rsid w:val="00EB77F9"/>
    <w:rsid w:val="00EB7A5E"/>
    <w:rsid w:val="00EB7B2B"/>
    <w:rsid w:val="00EC0F65"/>
    <w:rsid w:val="00EC4056"/>
    <w:rsid w:val="00EC4196"/>
    <w:rsid w:val="00EC6BA9"/>
    <w:rsid w:val="00EC6F09"/>
    <w:rsid w:val="00EC74AB"/>
    <w:rsid w:val="00EC79A8"/>
    <w:rsid w:val="00ED09AC"/>
    <w:rsid w:val="00ED11D0"/>
    <w:rsid w:val="00ED143B"/>
    <w:rsid w:val="00ED1D09"/>
    <w:rsid w:val="00ED1E14"/>
    <w:rsid w:val="00ED26EC"/>
    <w:rsid w:val="00ED2A0F"/>
    <w:rsid w:val="00ED2BC8"/>
    <w:rsid w:val="00ED3C14"/>
    <w:rsid w:val="00ED475B"/>
    <w:rsid w:val="00ED47BA"/>
    <w:rsid w:val="00ED4AC5"/>
    <w:rsid w:val="00ED4C37"/>
    <w:rsid w:val="00ED4FCB"/>
    <w:rsid w:val="00ED6285"/>
    <w:rsid w:val="00ED6320"/>
    <w:rsid w:val="00ED6972"/>
    <w:rsid w:val="00ED6CC3"/>
    <w:rsid w:val="00ED7500"/>
    <w:rsid w:val="00ED77EF"/>
    <w:rsid w:val="00ED7DFE"/>
    <w:rsid w:val="00EE03A7"/>
    <w:rsid w:val="00EE0727"/>
    <w:rsid w:val="00EE1100"/>
    <w:rsid w:val="00EE29F4"/>
    <w:rsid w:val="00EE2D93"/>
    <w:rsid w:val="00EE3ED3"/>
    <w:rsid w:val="00EE400C"/>
    <w:rsid w:val="00EE5589"/>
    <w:rsid w:val="00EE5B32"/>
    <w:rsid w:val="00EE5D6F"/>
    <w:rsid w:val="00EE5FB5"/>
    <w:rsid w:val="00EE5FE5"/>
    <w:rsid w:val="00EE69E5"/>
    <w:rsid w:val="00EF0D7C"/>
    <w:rsid w:val="00EF0E0C"/>
    <w:rsid w:val="00EF0F48"/>
    <w:rsid w:val="00EF158D"/>
    <w:rsid w:val="00EF2790"/>
    <w:rsid w:val="00EF2C86"/>
    <w:rsid w:val="00EF3029"/>
    <w:rsid w:val="00EF316E"/>
    <w:rsid w:val="00EF3561"/>
    <w:rsid w:val="00EF36DD"/>
    <w:rsid w:val="00EF3C73"/>
    <w:rsid w:val="00EF48FC"/>
    <w:rsid w:val="00EF4FEB"/>
    <w:rsid w:val="00EF51E8"/>
    <w:rsid w:val="00F007D7"/>
    <w:rsid w:val="00F00A30"/>
    <w:rsid w:val="00F00CA2"/>
    <w:rsid w:val="00F00CC8"/>
    <w:rsid w:val="00F02BEA"/>
    <w:rsid w:val="00F0469B"/>
    <w:rsid w:val="00F048CC"/>
    <w:rsid w:val="00F04993"/>
    <w:rsid w:val="00F04D25"/>
    <w:rsid w:val="00F0518B"/>
    <w:rsid w:val="00F05650"/>
    <w:rsid w:val="00F05AD0"/>
    <w:rsid w:val="00F065CB"/>
    <w:rsid w:val="00F067D8"/>
    <w:rsid w:val="00F07A88"/>
    <w:rsid w:val="00F07EF5"/>
    <w:rsid w:val="00F10F11"/>
    <w:rsid w:val="00F11584"/>
    <w:rsid w:val="00F11CF8"/>
    <w:rsid w:val="00F124AC"/>
    <w:rsid w:val="00F132E8"/>
    <w:rsid w:val="00F1352E"/>
    <w:rsid w:val="00F143A3"/>
    <w:rsid w:val="00F14A77"/>
    <w:rsid w:val="00F14CC2"/>
    <w:rsid w:val="00F1530F"/>
    <w:rsid w:val="00F1548A"/>
    <w:rsid w:val="00F15EA6"/>
    <w:rsid w:val="00F172D3"/>
    <w:rsid w:val="00F1795B"/>
    <w:rsid w:val="00F201B4"/>
    <w:rsid w:val="00F203C1"/>
    <w:rsid w:val="00F2040D"/>
    <w:rsid w:val="00F20929"/>
    <w:rsid w:val="00F22AF0"/>
    <w:rsid w:val="00F2420D"/>
    <w:rsid w:val="00F2513B"/>
    <w:rsid w:val="00F26FEF"/>
    <w:rsid w:val="00F276E6"/>
    <w:rsid w:val="00F2789F"/>
    <w:rsid w:val="00F27AF1"/>
    <w:rsid w:val="00F30A74"/>
    <w:rsid w:val="00F3113C"/>
    <w:rsid w:val="00F32E5F"/>
    <w:rsid w:val="00F35350"/>
    <w:rsid w:val="00F35C17"/>
    <w:rsid w:val="00F35E22"/>
    <w:rsid w:val="00F35F2B"/>
    <w:rsid w:val="00F37347"/>
    <w:rsid w:val="00F3735A"/>
    <w:rsid w:val="00F37482"/>
    <w:rsid w:val="00F37AB6"/>
    <w:rsid w:val="00F40B29"/>
    <w:rsid w:val="00F40B2A"/>
    <w:rsid w:val="00F4107B"/>
    <w:rsid w:val="00F4124F"/>
    <w:rsid w:val="00F412F0"/>
    <w:rsid w:val="00F41601"/>
    <w:rsid w:val="00F431FD"/>
    <w:rsid w:val="00F43B7E"/>
    <w:rsid w:val="00F43F67"/>
    <w:rsid w:val="00F44588"/>
    <w:rsid w:val="00F44747"/>
    <w:rsid w:val="00F44C39"/>
    <w:rsid w:val="00F46CF4"/>
    <w:rsid w:val="00F47515"/>
    <w:rsid w:val="00F47E45"/>
    <w:rsid w:val="00F47EE3"/>
    <w:rsid w:val="00F5102E"/>
    <w:rsid w:val="00F52743"/>
    <w:rsid w:val="00F52C4B"/>
    <w:rsid w:val="00F52FFF"/>
    <w:rsid w:val="00F54809"/>
    <w:rsid w:val="00F54D1B"/>
    <w:rsid w:val="00F54F7B"/>
    <w:rsid w:val="00F56156"/>
    <w:rsid w:val="00F56759"/>
    <w:rsid w:val="00F56DF5"/>
    <w:rsid w:val="00F577A0"/>
    <w:rsid w:val="00F578BB"/>
    <w:rsid w:val="00F57DDD"/>
    <w:rsid w:val="00F57FF6"/>
    <w:rsid w:val="00F60144"/>
    <w:rsid w:val="00F6099A"/>
    <w:rsid w:val="00F60D8F"/>
    <w:rsid w:val="00F60F9B"/>
    <w:rsid w:val="00F613F8"/>
    <w:rsid w:val="00F61FE8"/>
    <w:rsid w:val="00F624A1"/>
    <w:rsid w:val="00F631BE"/>
    <w:rsid w:val="00F64C56"/>
    <w:rsid w:val="00F65F35"/>
    <w:rsid w:val="00F668D8"/>
    <w:rsid w:val="00F67036"/>
    <w:rsid w:val="00F67E98"/>
    <w:rsid w:val="00F70688"/>
    <w:rsid w:val="00F70812"/>
    <w:rsid w:val="00F71FE4"/>
    <w:rsid w:val="00F71FE9"/>
    <w:rsid w:val="00F720BD"/>
    <w:rsid w:val="00F724A1"/>
    <w:rsid w:val="00F72515"/>
    <w:rsid w:val="00F73A1E"/>
    <w:rsid w:val="00F73C2A"/>
    <w:rsid w:val="00F74AD7"/>
    <w:rsid w:val="00F753B6"/>
    <w:rsid w:val="00F75452"/>
    <w:rsid w:val="00F761ED"/>
    <w:rsid w:val="00F762EE"/>
    <w:rsid w:val="00F76357"/>
    <w:rsid w:val="00F774CD"/>
    <w:rsid w:val="00F77CF9"/>
    <w:rsid w:val="00F77ED4"/>
    <w:rsid w:val="00F77F78"/>
    <w:rsid w:val="00F80804"/>
    <w:rsid w:val="00F8118A"/>
    <w:rsid w:val="00F8121A"/>
    <w:rsid w:val="00F82670"/>
    <w:rsid w:val="00F82B84"/>
    <w:rsid w:val="00F833A6"/>
    <w:rsid w:val="00F8362F"/>
    <w:rsid w:val="00F8387E"/>
    <w:rsid w:val="00F83983"/>
    <w:rsid w:val="00F84D90"/>
    <w:rsid w:val="00F85240"/>
    <w:rsid w:val="00F85941"/>
    <w:rsid w:val="00F87025"/>
    <w:rsid w:val="00F8726E"/>
    <w:rsid w:val="00F873D2"/>
    <w:rsid w:val="00F87928"/>
    <w:rsid w:val="00F91258"/>
    <w:rsid w:val="00F914FA"/>
    <w:rsid w:val="00F92133"/>
    <w:rsid w:val="00F94936"/>
    <w:rsid w:val="00F94D53"/>
    <w:rsid w:val="00F951B1"/>
    <w:rsid w:val="00F95E27"/>
    <w:rsid w:val="00F95EBB"/>
    <w:rsid w:val="00F9682E"/>
    <w:rsid w:val="00F96A59"/>
    <w:rsid w:val="00F96BB3"/>
    <w:rsid w:val="00FA0141"/>
    <w:rsid w:val="00FA02C5"/>
    <w:rsid w:val="00FA1A4A"/>
    <w:rsid w:val="00FA223C"/>
    <w:rsid w:val="00FA2401"/>
    <w:rsid w:val="00FA3AAC"/>
    <w:rsid w:val="00FA3B85"/>
    <w:rsid w:val="00FA3DC8"/>
    <w:rsid w:val="00FA3DDF"/>
    <w:rsid w:val="00FA5E63"/>
    <w:rsid w:val="00FA5F0C"/>
    <w:rsid w:val="00FA6CF3"/>
    <w:rsid w:val="00FA74DD"/>
    <w:rsid w:val="00FA7D1C"/>
    <w:rsid w:val="00FA7D52"/>
    <w:rsid w:val="00FB0E1A"/>
    <w:rsid w:val="00FB0E4B"/>
    <w:rsid w:val="00FB0F25"/>
    <w:rsid w:val="00FB18A9"/>
    <w:rsid w:val="00FB1C25"/>
    <w:rsid w:val="00FB2331"/>
    <w:rsid w:val="00FB3DF3"/>
    <w:rsid w:val="00FB4ED0"/>
    <w:rsid w:val="00FB56F8"/>
    <w:rsid w:val="00FB5FA3"/>
    <w:rsid w:val="00FB6EBF"/>
    <w:rsid w:val="00FB7301"/>
    <w:rsid w:val="00FB7DD3"/>
    <w:rsid w:val="00FC2251"/>
    <w:rsid w:val="00FC2B0D"/>
    <w:rsid w:val="00FC2BA8"/>
    <w:rsid w:val="00FC3085"/>
    <w:rsid w:val="00FC355E"/>
    <w:rsid w:val="00FC5846"/>
    <w:rsid w:val="00FD012C"/>
    <w:rsid w:val="00FD02ED"/>
    <w:rsid w:val="00FD0388"/>
    <w:rsid w:val="00FD0636"/>
    <w:rsid w:val="00FD2153"/>
    <w:rsid w:val="00FD2317"/>
    <w:rsid w:val="00FD319C"/>
    <w:rsid w:val="00FD38E1"/>
    <w:rsid w:val="00FD44F8"/>
    <w:rsid w:val="00FD4CF0"/>
    <w:rsid w:val="00FD4F16"/>
    <w:rsid w:val="00FD53E7"/>
    <w:rsid w:val="00FD5A0F"/>
    <w:rsid w:val="00FD60BA"/>
    <w:rsid w:val="00FD655A"/>
    <w:rsid w:val="00FD67B1"/>
    <w:rsid w:val="00FD7922"/>
    <w:rsid w:val="00FD794B"/>
    <w:rsid w:val="00FE0168"/>
    <w:rsid w:val="00FE1040"/>
    <w:rsid w:val="00FE1A96"/>
    <w:rsid w:val="00FE2284"/>
    <w:rsid w:val="00FE28E8"/>
    <w:rsid w:val="00FE2ACE"/>
    <w:rsid w:val="00FE3640"/>
    <w:rsid w:val="00FE3751"/>
    <w:rsid w:val="00FE385A"/>
    <w:rsid w:val="00FE482A"/>
    <w:rsid w:val="00FE55F6"/>
    <w:rsid w:val="00FE5F2E"/>
    <w:rsid w:val="00FE6E14"/>
    <w:rsid w:val="00FE6EA2"/>
    <w:rsid w:val="00FE76DD"/>
    <w:rsid w:val="00FE7772"/>
    <w:rsid w:val="00FE78CB"/>
    <w:rsid w:val="00FF07DE"/>
    <w:rsid w:val="00FF0ECD"/>
    <w:rsid w:val="00FF1A27"/>
    <w:rsid w:val="00FF266B"/>
    <w:rsid w:val="00FF281A"/>
    <w:rsid w:val="00FF335B"/>
    <w:rsid w:val="00FF3900"/>
    <w:rsid w:val="00FF39E5"/>
    <w:rsid w:val="00FF5194"/>
    <w:rsid w:val="00FF5551"/>
    <w:rsid w:val="00FF5B4C"/>
    <w:rsid w:val="00FF5E61"/>
    <w:rsid w:val="00FF73ED"/>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enu v:ext="edit" strokecolor="none"/>
    </o:shapedefaults>
    <o:shapelayout v:ext="edit">
      <o:idmap v:ext="edit" data="1"/>
    </o:shapelayout>
  </w:shapeDefaults>
  <w:doNotEmbedSmartTags/>
  <w:decimalSymbol w:val="."/>
  <w:listSeparator w:val=","/>
  <w15:docId w15:val="{0D7C97CF-C748-4DC2-BD53-3FFF4C7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link w:val="FooterChar"/>
    <w:uiPriority w:val="99"/>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fn,f,1"/>
    <w:basedOn w:val="Normal"/>
    <w:link w:val="FootnoteTextChar"/>
    <w:uiPriority w:val="99"/>
    <w:qFormat/>
    <w:rsid w:val="001124CF"/>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Styl,Style 39,Appel note de bas de p,Style 124,FR"/>
    <w:basedOn w:val="DefaultParagraphFont"/>
    <w:uiPriority w:val="99"/>
    <w:qFormat/>
    <w:rsid w:val="001124CF"/>
    <w:rPr>
      <w:rFonts w:cs="Times New Roman"/>
      <w:vertAlign w:val="superscript"/>
    </w:rPr>
  </w:style>
  <w:style w:type="paragraph" w:styleId="BodyText">
    <w:name w:val="Body Text"/>
    <w:basedOn w:val="Normal"/>
    <w:link w:val="BodyTextChar"/>
    <w:uiPriority w:val="99"/>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link w:val="BodyText2Char"/>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fn Char"/>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uiPriority w:val="99"/>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t Char Char"/>
    <w:basedOn w:val="DefaultParagraphFont"/>
    <w:uiPriority w:val="99"/>
    <w:rsid w:val="00221213"/>
  </w:style>
  <w:style w:type="character" w:customStyle="1" w:styleId="T5">
    <w:name w:val="T5"/>
    <w:hidden/>
    <w:rsid w:val="00317746"/>
    <w:rPr>
      <w:u w:val="single"/>
    </w:rPr>
  </w:style>
  <w:style w:type="character" w:customStyle="1" w:styleId="BodyText2Char">
    <w:name w:val="Body Text 2 Char"/>
    <w:basedOn w:val="DefaultParagraphFont"/>
    <w:link w:val="BodyText2"/>
    <w:rsid w:val="00247309"/>
    <w:rPr>
      <w:sz w:val="24"/>
      <w:szCs w:val="24"/>
    </w:rPr>
  </w:style>
  <w:style w:type="paragraph" w:customStyle="1" w:styleId="P31">
    <w:name w:val="P31"/>
    <w:basedOn w:val="Normal"/>
    <w:hidden/>
    <w:rsid w:val="00317B8E"/>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story-body-text">
    <w:name w:val="story-body-text"/>
    <w:basedOn w:val="Normal"/>
    <w:rsid w:val="00011BA9"/>
    <w:pPr>
      <w:autoSpaceDE/>
      <w:autoSpaceDN/>
      <w:spacing w:before="100" w:beforeAutospacing="1" w:after="100" w:afterAutospacing="1"/>
    </w:pPr>
  </w:style>
  <w:style w:type="paragraph" w:styleId="NoSpacing">
    <w:name w:val="No Spacing"/>
    <w:uiPriority w:val="1"/>
    <w:qFormat/>
    <w:rsid w:val="00535270"/>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5D98"/>
    <w:rPr>
      <w:sz w:val="24"/>
      <w:szCs w:val="24"/>
    </w:rPr>
  </w:style>
  <w:style w:type="paragraph" w:customStyle="1" w:styleId="P106">
    <w:name w:val="P106"/>
    <w:basedOn w:val="Normal"/>
    <w:hidden/>
    <w:rsid w:val="00817A51"/>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30">
    <w:name w:val="P130"/>
    <w:basedOn w:val="Normal"/>
    <w:hidden/>
    <w:rsid w:val="00DE65FA"/>
    <w:pPr>
      <w:widowControl w:val="0"/>
      <w:tabs>
        <w:tab w:val="left" w:pos="629"/>
        <w:tab w:val="left" w:pos="720"/>
      </w:tabs>
      <w:adjustRightInd w:val="0"/>
      <w:spacing w:line="480" w:lineRule="auto"/>
      <w:ind w:left="720"/>
    </w:pPr>
    <w:rPr>
      <w:rFonts w:ascii="Courier" w:hAnsi="Courier" w:cs="Courier"/>
      <w:b/>
      <w:szCs w:val="20"/>
    </w:rPr>
  </w:style>
  <w:style w:type="character" w:styleId="IntenseReference">
    <w:name w:val="Intense Reference"/>
    <w:basedOn w:val="DefaultParagraphFont"/>
    <w:uiPriority w:val="32"/>
    <w:qFormat/>
    <w:rsid w:val="000F2C51"/>
    <w:rPr>
      <w:b/>
      <w:bCs/>
      <w:caps w:val="0"/>
      <w:smallCaps/>
      <w:color w:val="244061" w:themeColor="accent1" w:themeShade="80"/>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82">
      <w:bodyDiv w:val="1"/>
      <w:marLeft w:val="0"/>
      <w:marRight w:val="0"/>
      <w:marTop w:val="0"/>
      <w:marBottom w:val="0"/>
      <w:divBdr>
        <w:top w:val="none" w:sz="0" w:space="0" w:color="auto"/>
        <w:left w:val="none" w:sz="0" w:space="0" w:color="auto"/>
        <w:bottom w:val="none" w:sz="0" w:space="0" w:color="auto"/>
        <w:right w:val="none" w:sz="0" w:space="0" w:color="auto"/>
      </w:divBdr>
    </w:div>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246118481">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554005449">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1948611727">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ustomXml" Target="../customXml/item4.xml"/><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jpe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84745A4-2A9C-43C3-A10A-B48519FBCB28}">
  <ds:schemaRefs>
    <ds:schemaRef ds:uri="http://schemas.openxmlformats.org/officeDocument/2006/bibliography"/>
  </ds:schemaRefs>
</ds:datastoreItem>
</file>

<file path=customXml/itemProps2.xml><?xml version="1.0" encoding="utf-8"?>
<ds:datastoreItem xmlns:ds="http://schemas.openxmlformats.org/officeDocument/2006/customXml" ds:itemID="{B31D9DF9-4D5C-4A3D-BEF2-DE681C3C28EE}"/>
</file>

<file path=customXml/itemProps3.xml><?xml version="1.0" encoding="utf-8"?>
<ds:datastoreItem xmlns:ds="http://schemas.openxmlformats.org/officeDocument/2006/customXml" ds:itemID="{8C4D2895-2BCD-4A26-BD45-E600EB1E9340}"/>
</file>

<file path=customXml/itemProps4.xml><?xml version="1.0" encoding="utf-8"?>
<ds:datastoreItem xmlns:ds="http://schemas.openxmlformats.org/officeDocument/2006/customXml" ds:itemID="{80907807-4C97-456B-9413-955F64F0BDD4}"/>
</file>

<file path=customXml/itemProps5.xml><?xml version="1.0" encoding="utf-8"?>
<ds:datastoreItem xmlns:ds="http://schemas.openxmlformats.org/officeDocument/2006/customXml" ds:itemID="{441F5676-1C28-4E73-B425-D14A16723707}"/>
</file>

<file path=docProps/app.xml><?xml version="1.0" encoding="utf-8"?>
<Properties xmlns="http://schemas.openxmlformats.org/officeDocument/2006/extended-properties" xmlns:vt="http://schemas.openxmlformats.org/officeDocument/2006/docPropsVTypes">
  <Template>Normal.dotm</Template>
  <TotalTime>29</TotalTime>
  <Pages>54</Pages>
  <Words>10840</Words>
  <Characters>57104</Characters>
  <Application>Microsoft Office Word</Application>
  <DocSecurity>0</DocSecurity>
  <Lines>475</Lines>
  <Paragraphs>135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Kimball, Paul</cp:lastModifiedBy>
  <cp:revision>4</cp:revision>
  <cp:lastPrinted>2017-05-24T18:53:00Z</cp:lastPrinted>
  <dcterms:created xsi:type="dcterms:W3CDTF">2017-05-24T22:40:00Z</dcterms:created>
  <dcterms:modified xsi:type="dcterms:W3CDTF">2017-05-25T15:40:00Z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