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oter2.xml" ContentType="application/vnd.openxmlformats-officedocument.wordprocessingml.footer+xml"/>
  <Override PartName="/word/styles.xml" ContentType="application/vnd.openxmlformats-officedocument.wordprocessingml.styl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word/webSettings.xml" ContentType="application/vnd.openxmlformats-officedocument.wordprocessingml.webSettings+xml"/>
  <Override PartName="/word/header2.xml" ContentType="application/vnd.openxmlformats-officedocument.wordprocessingml.header+xml"/>
  <Override PartName="/word/settings.xml" ContentType="application/vnd.openxmlformats-officedocument.wordprocessingml.settings+xml"/>
  <Override PartName="/word/footer3.xml" ContentType="application/vnd.openxmlformats-officedocument.wordprocessingml.footer+xml"/>
  <Override PartName="/word/header1.xml" ContentType="application/vnd.openxmlformats-officedocument.wordprocessingml.header+xml"/>
  <Override PartName="/word/stylesWithEffects.xml" ContentType="application/vnd.ms-word.stylesWithEffects+xml"/>
  <Override PartName="/word/header3.xml" ContentType="application/vnd.openxmlformats-officedocument.wordprocessingml.header+xml"/>
  <Override PartName="/docProps/custom.xml" ContentType="application/vnd.openxmlformats-officedocument.custom-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
	<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4291" w:rsidRDefault="000A4291" w:rsidP="000A4291">
      <w:pPr>
        <w:autoSpaceDE w:val="0"/>
        <w:autoSpaceDN w:val="0"/>
        <w:adjustRightInd w:val="0"/>
        <w:spacing w:after="0"/>
        <w:jc w:val="center"/>
        <w:rPr>
          <w:rFonts w:ascii="TimesNewRomanPS-BoldMT" w:hAnsi="TimesNewRomanPS-BoldMT" w:cs="TimesNewRomanPS-BoldMT"/>
          <w:b/>
          <w:bCs/>
          <w:sz w:val="24"/>
          <w:szCs w:val="24"/>
        </w:rPr>
      </w:pPr>
      <w:bookmarkStart w:id="0" w:name="_GoBack"/>
      <w:bookmarkEnd w:id="0"/>
      <w:r>
        <w:rPr>
          <w:rFonts w:ascii="TimesNewRomanPS-BoldMT" w:hAnsi="TimesNewRomanPS-BoldMT" w:cs="TimesNewRomanPS-BoldMT"/>
          <w:b/>
          <w:bCs/>
          <w:sz w:val="24"/>
          <w:szCs w:val="24"/>
        </w:rPr>
        <w:t>BEFORE THE</w:t>
      </w:r>
    </w:p>
    <w:p w:rsidR="000A4291" w:rsidRDefault="000A4291" w:rsidP="000A4291">
      <w:pPr>
        <w:autoSpaceDE w:val="0"/>
        <w:autoSpaceDN w:val="0"/>
        <w:adjustRightInd w:val="0"/>
        <w:spacing w:after="0"/>
        <w:jc w:val="center"/>
        <w:rPr>
          <w:rFonts w:ascii="TimesNewRomanPS-BoldMT" w:hAnsi="TimesNewRomanPS-BoldMT" w:cs="TimesNewRomanPS-BoldMT"/>
          <w:b/>
          <w:bCs/>
          <w:sz w:val="24"/>
          <w:szCs w:val="24"/>
        </w:rPr>
      </w:pPr>
      <w:r>
        <w:rPr>
          <w:rFonts w:ascii="TimesNewRomanPS-BoldMT" w:hAnsi="TimesNewRomanPS-BoldMT" w:cs="TimesNewRomanPS-BoldMT"/>
          <w:b/>
          <w:bCs/>
          <w:sz w:val="24"/>
          <w:szCs w:val="24"/>
        </w:rPr>
        <w:t>WASHINGTON UTILITIES AND TRANSPORTATION COMMISSION</w:t>
      </w:r>
    </w:p>
    <w:p w:rsidR="000A4291" w:rsidRDefault="000A4291" w:rsidP="000A4291">
      <w:pPr>
        <w:autoSpaceDE w:val="0"/>
        <w:autoSpaceDN w:val="0"/>
        <w:adjustRightInd w:val="0"/>
        <w:spacing w:after="0"/>
        <w:rPr>
          <w:rFonts w:ascii="TimesNewRomanPSMT" w:hAnsi="TimesNewRomanPSMT" w:cs="TimesNewRomanPSMT"/>
          <w:sz w:val="24"/>
          <w:szCs w:val="24"/>
        </w:rPr>
      </w:pPr>
    </w:p>
    <w:p w:rsidR="000A4291" w:rsidRDefault="000A4291" w:rsidP="000A4291">
      <w:pPr>
        <w:autoSpaceDE w:val="0"/>
        <w:autoSpaceDN w:val="0"/>
        <w:adjustRightInd w:val="0"/>
        <w:spacing w:after="0"/>
        <w:rPr>
          <w:rFonts w:ascii="TimesNewRomanPSMT" w:hAnsi="TimesNewRomanPSMT" w:cs="TimesNewRomanPSMT"/>
          <w:sz w:val="24"/>
          <w:szCs w:val="24"/>
        </w:rPr>
      </w:pPr>
    </w:p>
    <w:tbl>
      <w:tblPr>
        <w:tblW w:w="0" w:type="auto"/>
        <w:tblLook w:val="04A0" w:firstRow="1" w:lastRow="0" w:firstColumn="1" w:lastColumn="0" w:noHBand="0" w:noVBand="1"/>
      </w:tblPr>
      <w:tblGrid>
        <w:gridCol w:w="6138"/>
        <w:gridCol w:w="3438"/>
      </w:tblGrid>
      <w:tr w:rsidR="000A4291" w:rsidRPr="007E21D3" w:rsidTr="007E21D3">
        <w:tc>
          <w:tcPr>
            <w:tcW w:w="6138" w:type="dxa"/>
            <w:tcBorders>
              <w:bottom w:val="single" w:sz="4" w:space="0" w:color="auto"/>
              <w:right w:val="single" w:sz="4" w:space="0" w:color="auto"/>
            </w:tcBorders>
          </w:tcPr>
          <w:p w:rsidR="000A4291" w:rsidRPr="007E21D3" w:rsidRDefault="000A4291" w:rsidP="007E21D3">
            <w:pPr>
              <w:autoSpaceDE w:val="0"/>
              <w:autoSpaceDN w:val="0"/>
              <w:adjustRightInd w:val="0"/>
              <w:spacing w:after="0"/>
              <w:rPr>
                <w:rFonts w:ascii="TimesNewRomanPSMT" w:hAnsi="TimesNewRomanPSMT" w:cs="TimesNewRomanPSMT"/>
                <w:sz w:val="24"/>
                <w:szCs w:val="24"/>
              </w:rPr>
            </w:pPr>
          </w:p>
          <w:p w:rsidR="000A4291" w:rsidRPr="007E21D3" w:rsidRDefault="000B1C23" w:rsidP="007E21D3">
            <w:pPr>
              <w:autoSpaceDE w:val="0"/>
              <w:autoSpaceDN w:val="0"/>
              <w:adjustRightInd w:val="0"/>
              <w:spacing w:after="0"/>
              <w:rPr>
                <w:rFonts w:ascii="TimesNewRomanPSMT" w:hAnsi="TimesNewRomanPSMT" w:cs="TimesNewRomanPSMT"/>
                <w:sz w:val="24"/>
                <w:szCs w:val="24"/>
              </w:rPr>
            </w:pPr>
            <w:r w:rsidRPr="007E21D3">
              <w:rPr>
                <w:rFonts w:ascii="TimesNewRomanPSMT" w:hAnsi="TimesNewRomanPSMT" w:cs="TimesNewRomanPSMT"/>
                <w:sz w:val="24"/>
                <w:szCs w:val="24"/>
              </w:rPr>
              <w:t xml:space="preserve">Policy </w:t>
            </w:r>
            <w:r w:rsidR="000A4291" w:rsidRPr="007E21D3">
              <w:rPr>
                <w:rFonts w:ascii="TimesNewRomanPSMT" w:hAnsi="TimesNewRomanPSMT" w:cs="TimesNewRomanPSMT"/>
                <w:sz w:val="24"/>
                <w:szCs w:val="24"/>
              </w:rPr>
              <w:t>Statement to Review State Universal Service Policies</w:t>
            </w:r>
          </w:p>
          <w:p w:rsidR="000A4291" w:rsidRPr="007E21D3" w:rsidRDefault="000A4291" w:rsidP="007E21D3">
            <w:pPr>
              <w:autoSpaceDE w:val="0"/>
              <w:autoSpaceDN w:val="0"/>
              <w:adjustRightInd w:val="0"/>
              <w:spacing w:after="0"/>
              <w:rPr>
                <w:rFonts w:ascii="TimesNewRomanPSMT" w:hAnsi="TimesNewRomanPSMT" w:cs="TimesNewRomanPSMT"/>
                <w:sz w:val="24"/>
                <w:szCs w:val="24"/>
              </w:rPr>
            </w:pPr>
          </w:p>
        </w:tc>
        <w:tc>
          <w:tcPr>
            <w:tcW w:w="3438" w:type="dxa"/>
            <w:tcBorders>
              <w:left w:val="single" w:sz="4" w:space="0" w:color="auto"/>
            </w:tcBorders>
          </w:tcPr>
          <w:p w:rsidR="000B1C23" w:rsidRPr="007E21D3" w:rsidRDefault="000B1C23" w:rsidP="007E21D3">
            <w:pPr>
              <w:autoSpaceDE w:val="0"/>
              <w:autoSpaceDN w:val="0"/>
              <w:adjustRightInd w:val="0"/>
              <w:spacing w:after="0"/>
              <w:jc w:val="center"/>
              <w:rPr>
                <w:rFonts w:ascii="TimesNewRomanPSMT" w:hAnsi="TimesNewRomanPSMT" w:cs="TimesNewRomanPSMT"/>
                <w:sz w:val="24"/>
                <w:szCs w:val="24"/>
              </w:rPr>
            </w:pPr>
          </w:p>
          <w:p w:rsidR="000A4291" w:rsidRPr="007E21D3" w:rsidRDefault="000A4291" w:rsidP="007E21D3">
            <w:pPr>
              <w:autoSpaceDE w:val="0"/>
              <w:autoSpaceDN w:val="0"/>
              <w:adjustRightInd w:val="0"/>
              <w:spacing w:after="0"/>
              <w:jc w:val="center"/>
              <w:rPr>
                <w:rFonts w:ascii="TimesNewRomanPSMT" w:hAnsi="TimesNewRomanPSMT" w:cs="TimesNewRomanPSMT"/>
                <w:sz w:val="24"/>
                <w:szCs w:val="24"/>
              </w:rPr>
            </w:pPr>
            <w:r w:rsidRPr="007E21D3">
              <w:rPr>
                <w:rFonts w:ascii="TimesNewRomanPSMT" w:hAnsi="TimesNewRomanPSMT" w:cs="TimesNewRomanPSMT"/>
                <w:sz w:val="24"/>
                <w:szCs w:val="24"/>
              </w:rPr>
              <w:t>Docket UT-100562</w:t>
            </w:r>
          </w:p>
        </w:tc>
      </w:tr>
    </w:tbl>
    <w:p w:rsidR="000A4291" w:rsidRDefault="000A4291" w:rsidP="000A4291">
      <w:pPr>
        <w:autoSpaceDE w:val="0"/>
        <w:autoSpaceDN w:val="0"/>
        <w:adjustRightInd w:val="0"/>
        <w:spacing w:after="0"/>
        <w:rPr>
          <w:rFonts w:ascii="TimesNewRomanPS-BoldMT" w:hAnsi="TimesNewRomanPS-BoldMT" w:cs="TimesNewRomanPS-BoldMT"/>
          <w:b/>
          <w:bCs/>
          <w:sz w:val="24"/>
          <w:szCs w:val="24"/>
        </w:rPr>
      </w:pPr>
    </w:p>
    <w:p w:rsidR="000A4291" w:rsidRDefault="000A4291" w:rsidP="000A4291">
      <w:pPr>
        <w:autoSpaceDE w:val="0"/>
        <w:autoSpaceDN w:val="0"/>
        <w:adjustRightInd w:val="0"/>
        <w:spacing w:after="0"/>
        <w:rPr>
          <w:rFonts w:ascii="TimesNewRomanPS-BoldMT" w:hAnsi="TimesNewRomanPS-BoldMT" w:cs="TimesNewRomanPS-BoldMT"/>
          <w:b/>
          <w:bCs/>
          <w:sz w:val="24"/>
          <w:szCs w:val="24"/>
        </w:rPr>
      </w:pPr>
    </w:p>
    <w:p w:rsidR="000A4291" w:rsidRDefault="000A4291" w:rsidP="000A4291">
      <w:pPr>
        <w:autoSpaceDE w:val="0"/>
        <w:autoSpaceDN w:val="0"/>
        <w:adjustRightInd w:val="0"/>
        <w:spacing w:after="0"/>
        <w:rPr>
          <w:rFonts w:ascii="TimesNewRomanPS-BoldMT" w:hAnsi="TimesNewRomanPS-BoldMT" w:cs="TimesNewRomanPS-BoldMT"/>
          <w:b/>
          <w:bCs/>
          <w:sz w:val="24"/>
          <w:szCs w:val="24"/>
        </w:rPr>
      </w:pPr>
    </w:p>
    <w:p w:rsidR="000A4291" w:rsidRPr="00B86BC8" w:rsidRDefault="000A4291" w:rsidP="000A4291">
      <w:pPr>
        <w:autoSpaceDE w:val="0"/>
        <w:autoSpaceDN w:val="0"/>
        <w:adjustRightInd w:val="0"/>
        <w:spacing w:after="0"/>
        <w:jc w:val="center"/>
        <w:rPr>
          <w:rFonts w:ascii="TimesNewRomanPS-BoldMT" w:hAnsi="TimesNewRomanPS-BoldMT" w:cs="TimesNewRomanPS-BoldMT"/>
          <w:b/>
          <w:bCs/>
          <w:sz w:val="24"/>
          <w:szCs w:val="24"/>
        </w:rPr>
      </w:pPr>
      <w:r w:rsidRPr="00B86BC8">
        <w:rPr>
          <w:rFonts w:ascii="TimesNewRomanPS-BoldMT" w:hAnsi="TimesNewRomanPS-BoldMT" w:cs="TimesNewRomanPS-BoldMT"/>
          <w:b/>
          <w:bCs/>
          <w:sz w:val="24"/>
          <w:szCs w:val="24"/>
        </w:rPr>
        <w:t>INTEGRA TELECOM’S RESPONSE TO</w:t>
      </w:r>
    </w:p>
    <w:p w:rsidR="00B86BC8" w:rsidRPr="00B86BC8" w:rsidRDefault="00B86BC8" w:rsidP="00B86BC8">
      <w:pPr>
        <w:autoSpaceDE w:val="0"/>
        <w:autoSpaceDN w:val="0"/>
        <w:adjustRightInd w:val="0"/>
        <w:spacing w:after="0"/>
        <w:jc w:val="center"/>
        <w:rPr>
          <w:rFonts w:ascii="TimesNewRomanPS-BoldMT" w:hAnsi="TimesNewRomanPS-BoldMT" w:cs="TimesNewRomanPS-BoldMT"/>
          <w:b/>
          <w:bCs/>
          <w:sz w:val="24"/>
          <w:szCs w:val="24"/>
        </w:rPr>
      </w:pPr>
      <w:r w:rsidRPr="00B86BC8">
        <w:rPr>
          <w:rFonts w:ascii="TimesNewRomanPS-BoldMT" w:hAnsi="TimesNewRomanPS-BoldMT" w:cs="TimesNewRomanPS-BoldMT"/>
          <w:b/>
          <w:bCs/>
          <w:sz w:val="24"/>
          <w:szCs w:val="24"/>
        </w:rPr>
        <w:t>NOTICE SEEKING COMMENT ON DRAFT LEGISLATION</w:t>
      </w:r>
    </w:p>
    <w:p w:rsidR="00B86BC8" w:rsidRDefault="00B86BC8" w:rsidP="00B86BC8">
      <w:pPr>
        <w:autoSpaceDE w:val="0"/>
        <w:autoSpaceDN w:val="0"/>
        <w:adjustRightInd w:val="0"/>
        <w:spacing w:after="0"/>
        <w:jc w:val="center"/>
        <w:rPr>
          <w:rFonts w:ascii="TimesNewRomanPS-BoldMT" w:hAnsi="TimesNewRomanPS-BoldMT" w:cs="TimesNewRomanPS-BoldMT"/>
          <w:b/>
          <w:bCs/>
          <w:sz w:val="24"/>
          <w:szCs w:val="24"/>
        </w:rPr>
      </w:pPr>
      <w:r w:rsidRPr="00B86BC8">
        <w:rPr>
          <w:rFonts w:ascii="TimesNewRomanPS-BoldMT" w:hAnsi="TimesNewRomanPS-BoldMT" w:cs="TimesNewRomanPS-BoldMT"/>
          <w:b/>
          <w:bCs/>
          <w:sz w:val="24"/>
          <w:szCs w:val="24"/>
        </w:rPr>
        <w:t xml:space="preserve"> TO ESTABLISH A STATE UNIVERSAL SERVICE FUND</w:t>
      </w:r>
    </w:p>
    <w:p w:rsidR="000A4291" w:rsidRDefault="000A4291" w:rsidP="000A4291">
      <w:pPr>
        <w:jc w:val="center"/>
        <w:rPr>
          <w:rFonts w:ascii="TimesNewRomanPS-BoldMT" w:hAnsi="TimesNewRomanPS-BoldMT" w:cs="TimesNewRomanPS-BoldMT"/>
          <w:b/>
          <w:bCs/>
          <w:sz w:val="24"/>
          <w:szCs w:val="24"/>
        </w:rPr>
      </w:pPr>
    </w:p>
    <w:p w:rsidR="00E8098F" w:rsidRDefault="00E8098F">
      <w:pPr>
        <w:rPr>
          <w:rFonts w:ascii="TimesNewRomanPS-BoldMT" w:hAnsi="TimesNewRomanPS-BoldMT" w:cs="TimesNewRomanPS-BoldMT"/>
          <w:b/>
          <w:bCs/>
          <w:sz w:val="24"/>
          <w:szCs w:val="24"/>
        </w:rPr>
      </w:pPr>
    </w:p>
    <w:p w:rsidR="00E8098F" w:rsidRDefault="00E8098F">
      <w:pPr>
        <w:rPr>
          <w:rFonts w:ascii="TimesNewRomanPS-BoldMT" w:hAnsi="TimesNewRomanPS-BoldMT" w:cs="TimesNewRomanPS-BoldMT"/>
          <w:b/>
          <w:bCs/>
          <w:sz w:val="24"/>
          <w:szCs w:val="24"/>
        </w:rPr>
      </w:pPr>
    </w:p>
    <w:p w:rsidR="00E8098F" w:rsidRDefault="00E8098F">
      <w:pPr>
        <w:rPr>
          <w:rFonts w:ascii="TimesNewRomanPS-BoldMT" w:hAnsi="TimesNewRomanPS-BoldMT" w:cs="TimesNewRomanPS-BoldMT"/>
          <w:b/>
          <w:bCs/>
          <w:sz w:val="24"/>
          <w:szCs w:val="24"/>
        </w:rPr>
      </w:pPr>
    </w:p>
    <w:p w:rsidR="00E8098F" w:rsidRDefault="00E8098F">
      <w:pPr>
        <w:rPr>
          <w:rFonts w:ascii="TimesNewRomanPS-BoldMT" w:hAnsi="TimesNewRomanPS-BoldMT" w:cs="TimesNewRomanPS-BoldMT"/>
          <w:b/>
          <w:bCs/>
          <w:sz w:val="24"/>
          <w:szCs w:val="24"/>
        </w:rPr>
      </w:pPr>
    </w:p>
    <w:p w:rsidR="00E8098F" w:rsidRDefault="00E8098F">
      <w:pPr>
        <w:rPr>
          <w:rFonts w:ascii="TimesNewRomanPS-BoldMT" w:hAnsi="TimesNewRomanPS-BoldMT" w:cs="TimesNewRomanPS-BoldMT"/>
          <w:b/>
          <w:bCs/>
          <w:sz w:val="24"/>
          <w:szCs w:val="24"/>
        </w:rPr>
      </w:pPr>
    </w:p>
    <w:p w:rsidR="00E8098F" w:rsidRDefault="00E8098F">
      <w:pPr>
        <w:rPr>
          <w:rFonts w:ascii="TimesNewRomanPS-BoldMT" w:hAnsi="TimesNewRomanPS-BoldMT" w:cs="TimesNewRomanPS-BoldMT"/>
          <w:b/>
          <w:bCs/>
          <w:sz w:val="24"/>
          <w:szCs w:val="24"/>
        </w:rPr>
      </w:pPr>
    </w:p>
    <w:p w:rsidR="00E8098F" w:rsidRDefault="00E8098F">
      <w:pPr>
        <w:rPr>
          <w:rFonts w:ascii="TimesNewRomanPS-BoldMT" w:hAnsi="TimesNewRomanPS-BoldMT" w:cs="TimesNewRomanPS-BoldMT"/>
          <w:b/>
          <w:bCs/>
          <w:sz w:val="24"/>
          <w:szCs w:val="24"/>
        </w:rPr>
      </w:pPr>
    </w:p>
    <w:p w:rsidR="00E8098F" w:rsidRDefault="00E8098F">
      <w:pPr>
        <w:rPr>
          <w:rFonts w:ascii="TimesNewRomanPS-BoldMT" w:hAnsi="TimesNewRomanPS-BoldMT" w:cs="TimesNewRomanPS-BoldMT"/>
          <w:b/>
          <w:bCs/>
          <w:sz w:val="24"/>
          <w:szCs w:val="24"/>
        </w:rPr>
      </w:pPr>
    </w:p>
    <w:p w:rsidR="00E8098F" w:rsidRDefault="00E8098F">
      <w:pPr>
        <w:rPr>
          <w:rFonts w:ascii="TimesNewRomanPS-BoldMT" w:hAnsi="TimesNewRomanPS-BoldMT" w:cs="TimesNewRomanPS-BoldMT"/>
          <w:b/>
          <w:bCs/>
          <w:sz w:val="24"/>
          <w:szCs w:val="24"/>
        </w:rPr>
      </w:pPr>
    </w:p>
    <w:p w:rsidR="00E8098F" w:rsidRDefault="00E8098F" w:rsidP="00732B12">
      <w:pPr>
        <w:spacing w:after="0"/>
        <w:rPr>
          <w:rFonts w:ascii="TimesNewRomanPS-BoldMT" w:hAnsi="TimesNewRomanPS-BoldMT" w:cs="TimesNewRomanPS-BoldMT"/>
          <w:b/>
          <w:bCs/>
          <w:sz w:val="24"/>
          <w:szCs w:val="24"/>
        </w:rPr>
      </w:pPr>
    </w:p>
    <w:p w:rsidR="00732B12" w:rsidRDefault="00E8098F" w:rsidP="00732B12">
      <w:pPr>
        <w:spacing w:after="0"/>
        <w:ind w:left="4320"/>
        <w:rPr>
          <w:rFonts w:ascii="TimesNewRomanPS-BoldMT" w:hAnsi="TimesNewRomanPS-BoldMT" w:cs="TimesNewRomanPS-BoldMT"/>
          <w:b/>
          <w:bCs/>
          <w:sz w:val="24"/>
          <w:szCs w:val="24"/>
        </w:rPr>
      </w:pPr>
      <w:r>
        <w:rPr>
          <w:rFonts w:ascii="TimesNewRomanPS-BoldMT" w:hAnsi="TimesNewRomanPS-BoldMT" w:cs="TimesNewRomanPS-BoldMT"/>
          <w:b/>
          <w:bCs/>
          <w:sz w:val="24"/>
          <w:szCs w:val="24"/>
        </w:rPr>
        <w:t>Douglas Denney, Company Representative</w:t>
      </w:r>
    </w:p>
    <w:p w:rsidR="00732B12" w:rsidRDefault="00732B12" w:rsidP="00732B12">
      <w:pPr>
        <w:spacing w:after="0"/>
        <w:ind w:left="4320"/>
        <w:rPr>
          <w:rFonts w:ascii="TimesNewRomanPS-BoldMT" w:hAnsi="TimesNewRomanPS-BoldMT" w:cs="TimesNewRomanPS-BoldMT"/>
          <w:b/>
          <w:bCs/>
          <w:sz w:val="24"/>
          <w:szCs w:val="24"/>
        </w:rPr>
      </w:pPr>
      <w:r>
        <w:rPr>
          <w:rFonts w:ascii="TimesNewRomanPS-BoldMT" w:hAnsi="TimesNewRomanPS-BoldMT" w:cs="TimesNewRomanPS-BoldMT"/>
          <w:b/>
          <w:bCs/>
          <w:sz w:val="24"/>
          <w:szCs w:val="24"/>
        </w:rPr>
        <w:t>Integra Telecom</w:t>
      </w:r>
    </w:p>
    <w:p w:rsidR="00732B12" w:rsidRDefault="00732B12" w:rsidP="00732B12">
      <w:pPr>
        <w:spacing w:after="0"/>
        <w:ind w:left="4320"/>
        <w:rPr>
          <w:rFonts w:ascii="TimesNewRomanPS-BoldMT" w:hAnsi="TimesNewRomanPS-BoldMT" w:cs="TimesNewRomanPS-BoldMT"/>
          <w:b/>
          <w:bCs/>
          <w:sz w:val="24"/>
          <w:szCs w:val="24"/>
        </w:rPr>
      </w:pPr>
      <w:r>
        <w:rPr>
          <w:rFonts w:ascii="TimesNewRomanPS-BoldMT" w:hAnsi="TimesNewRomanPS-BoldMT" w:cs="TimesNewRomanPS-BoldMT"/>
          <w:b/>
          <w:bCs/>
          <w:sz w:val="24"/>
          <w:szCs w:val="24"/>
        </w:rPr>
        <w:t>1201 NE Lloyd Blvd, Suite 500</w:t>
      </w:r>
    </w:p>
    <w:p w:rsidR="00732B12" w:rsidRDefault="00732B12" w:rsidP="00732B12">
      <w:pPr>
        <w:spacing w:after="0"/>
        <w:ind w:left="4320"/>
        <w:rPr>
          <w:rFonts w:ascii="TimesNewRomanPS-BoldMT" w:hAnsi="TimesNewRomanPS-BoldMT" w:cs="TimesNewRomanPS-BoldMT"/>
          <w:b/>
          <w:bCs/>
          <w:sz w:val="24"/>
          <w:szCs w:val="24"/>
        </w:rPr>
      </w:pPr>
      <w:r>
        <w:rPr>
          <w:rFonts w:ascii="TimesNewRomanPS-BoldMT" w:hAnsi="TimesNewRomanPS-BoldMT" w:cs="TimesNewRomanPS-BoldMT"/>
          <w:b/>
          <w:bCs/>
          <w:sz w:val="24"/>
          <w:szCs w:val="24"/>
        </w:rPr>
        <w:t>Portland, OR 97068</w:t>
      </w:r>
    </w:p>
    <w:p w:rsidR="00732B12" w:rsidRDefault="00732B12" w:rsidP="00732B12">
      <w:pPr>
        <w:spacing w:after="0"/>
        <w:ind w:left="4320"/>
        <w:rPr>
          <w:rFonts w:ascii="TimesNewRomanPS-BoldMT" w:hAnsi="TimesNewRomanPS-BoldMT" w:cs="TimesNewRomanPS-BoldMT"/>
          <w:b/>
          <w:bCs/>
          <w:sz w:val="24"/>
          <w:szCs w:val="24"/>
        </w:rPr>
      </w:pPr>
      <w:r>
        <w:rPr>
          <w:rFonts w:ascii="TimesNewRomanPS-BoldMT" w:hAnsi="TimesNewRomanPS-BoldMT" w:cs="TimesNewRomanPS-BoldMT"/>
          <w:b/>
          <w:bCs/>
          <w:sz w:val="24"/>
          <w:szCs w:val="24"/>
        </w:rPr>
        <w:t>Telephone: 503 453 8285</w:t>
      </w:r>
    </w:p>
    <w:p w:rsidR="00732B12" w:rsidRDefault="00732B12" w:rsidP="00732B12">
      <w:pPr>
        <w:spacing w:after="0"/>
        <w:ind w:left="4320"/>
        <w:rPr>
          <w:rFonts w:ascii="TimesNewRomanPS-BoldMT" w:hAnsi="TimesNewRomanPS-BoldMT" w:cs="TimesNewRomanPS-BoldMT"/>
          <w:b/>
          <w:bCs/>
          <w:sz w:val="24"/>
          <w:szCs w:val="24"/>
        </w:rPr>
      </w:pPr>
      <w:r>
        <w:rPr>
          <w:rFonts w:ascii="TimesNewRomanPS-BoldMT" w:hAnsi="TimesNewRomanPS-BoldMT" w:cs="TimesNewRomanPS-BoldMT"/>
          <w:b/>
          <w:bCs/>
          <w:sz w:val="24"/>
          <w:szCs w:val="24"/>
        </w:rPr>
        <w:t xml:space="preserve">Email: </w:t>
      </w:r>
      <w:hyperlink r:id="rId9" w:history="1">
        <w:r w:rsidRPr="00F95B34">
          <w:rPr>
            <w:rStyle w:val="Hyperlink"/>
            <w:rFonts w:ascii="TimesNewRomanPS-BoldMT" w:hAnsi="TimesNewRomanPS-BoldMT" w:cs="TimesNewRomanPS-BoldMT"/>
            <w:b/>
            <w:bCs/>
            <w:sz w:val="24"/>
            <w:szCs w:val="24"/>
          </w:rPr>
          <w:t>dkdenney@integratelecom.com</w:t>
        </w:r>
      </w:hyperlink>
    </w:p>
    <w:p w:rsidR="00732B12" w:rsidRDefault="00732B12" w:rsidP="00732B12">
      <w:pPr>
        <w:rPr>
          <w:rFonts w:ascii="TimesNewRomanPS-BoldMT" w:hAnsi="TimesNewRomanPS-BoldMT" w:cs="TimesNewRomanPS-BoldMT"/>
          <w:b/>
          <w:bCs/>
          <w:sz w:val="24"/>
          <w:szCs w:val="24"/>
        </w:rPr>
      </w:pPr>
    </w:p>
    <w:p w:rsidR="00732B12" w:rsidRDefault="00732B12" w:rsidP="00732B12">
      <w:pPr>
        <w:rPr>
          <w:rFonts w:ascii="TimesNewRomanPS-BoldMT" w:hAnsi="TimesNewRomanPS-BoldMT" w:cs="TimesNewRomanPS-BoldMT"/>
          <w:b/>
          <w:bCs/>
          <w:sz w:val="24"/>
          <w:szCs w:val="24"/>
        </w:rPr>
      </w:pPr>
    </w:p>
    <w:p w:rsidR="00E8098F" w:rsidRDefault="00732B12" w:rsidP="00EF2EFF">
      <w:pPr>
        <w:jc w:val="left"/>
        <w:rPr>
          <w:rFonts w:ascii="TimesNewRomanPS-BoldMT" w:hAnsi="TimesNewRomanPS-BoldMT" w:cs="TimesNewRomanPS-BoldMT"/>
          <w:b/>
          <w:bCs/>
          <w:sz w:val="24"/>
          <w:szCs w:val="24"/>
        </w:rPr>
      </w:pPr>
      <w:r>
        <w:rPr>
          <w:rFonts w:ascii="TimesNewRomanPS-BoldMT" w:hAnsi="TimesNewRomanPS-BoldMT" w:cs="TimesNewRomanPS-BoldMT"/>
          <w:b/>
          <w:bCs/>
          <w:sz w:val="24"/>
          <w:szCs w:val="24"/>
        </w:rPr>
        <w:t xml:space="preserve">Dated: </w:t>
      </w:r>
      <w:r w:rsidR="005D5B5E">
        <w:rPr>
          <w:rFonts w:ascii="TimesNewRomanPS-BoldMT" w:hAnsi="TimesNewRomanPS-BoldMT" w:cs="TimesNewRomanPS-BoldMT"/>
          <w:b/>
          <w:bCs/>
          <w:sz w:val="24"/>
          <w:szCs w:val="24"/>
        </w:rPr>
        <w:t>August 10</w:t>
      </w:r>
      <w:r>
        <w:rPr>
          <w:rFonts w:ascii="TimesNewRomanPS-BoldMT" w:hAnsi="TimesNewRomanPS-BoldMT" w:cs="TimesNewRomanPS-BoldMT"/>
          <w:b/>
          <w:bCs/>
          <w:sz w:val="24"/>
          <w:szCs w:val="24"/>
        </w:rPr>
        <w:t>, 201</w:t>
      </w:r>
      <w:r w:rsidR="005D5B5E">
        <w:rPr>
          <w:rFonts w:ascii="TimesNewRomanPS-BoldMT" w:hAnsi="TimesNewRomanPS-BoldMT" w:cs="TimesNewRomanPS-BoldMT"/>
          <w:b/>
          <w:bCs/>
          <w:sz w:val="24"/>
          <w:szCs w:val="24"/>
        </w:rPr>
        <w:t>2</w:t>
      </w:r>
      <w:r w:rsidR="000A4291">
        <w:rPr>
          <w:rFonts w:ascii="TimesNewRomanPS-BoldMT" w:hAnsi="TimesNewRomanPS-BoldMT" w:cs="TimesNewRomanPS-BoldMT"/>
          <w:b/>
          <w:bCs/>
          <w:sz w:val="24"/>
          <w:szCs w:val="24"/>
        </w:rPr>
        <w:br w:type="page"/>
      </w:r>
    </w:p>
    <w:p w:rsidR="000A4291" w:rsidRPr="0009002B" w:rsidRDefault="000A4291" w:rsidP="00363F5B">
      <w:pPr>
        <w:spacing w:line="480" w:lineRule="auto"/>
        <w:rPr>
          <w:rFonts w:ascii="Times New Roman" w:hAnsi="Times New Roman"/>
          <w:bCs/>
          <w:sz w:val="24"/>
          <w:szCs w:val="24"/>
        </w:rPr>
      </w:pPr>
      <w:r w:rsidRPr="0009002B">
        <w:rPr>
          <w:rFonts w:ascii="Times New Roman" w:hAnsi="Times New Roman"/>
          <w:bCs/>
          <w:sz w:val="24"/>
          <w:szCs w:val="24"/>
        </w:rPr>
        <w:lastRenderedPageBreak/>
        <w:tab/>
        <w:t xml:space="preserve">Integra Telecom of Washington, Inc., Eschelon Telecom of Washington, Inc., </w:t>
      </w:r>
      <w:r w:rsidR="006D3D2A" w:rsidRPr="0009002B">
        <w:rPr>
          <w:rFonts w:ascii="Times New Roman" w:hAnsi="Times New Roman"/>
          <w:bCs/>
          <w:sz w:val="24"/>
          <w:szCs w:val="24"/>
        </w:rPr>
        <w:t xml:space="preserve">Electric Lightwave, LLC., </w:t>
      </w:r>
      <w:r w:rsidR="00F23029" w:rsidRPr="0009002B">
        <w:rPr>
          <w:rFonts w:ascii="Times New Roman" w:hAnsi="Times New Roman"/>
          <w:bCs/>
          <w:sz w:val="24"/>
          <w:szCs w:val="24"/>
        </w:rPr>
        <w:t xml:space="preserve">Advanced TelCom, Inc., Shared Communications Services, Inc., Oregon Telecom, Inc., </w:t>
      </w:r>
      <w:r w:rsidR="006D3D2A" w:rsidRPr="0009002B">
        <w:rPr>
          <w:rFonts w:ascii="Times New Roman" w:hAnsi="Times New Roman"/>
          <w:bCs/>
          <w:sz w:val="24"/>
          <w:szCs w:val="24"/>
        </w:rPr>
        <w:t xml:space="preserve">and </w:t>
      </w:r>
      <w:r w:rsidR="00F23029" w:rsidRPr="0009002B">
        <w:rPr>
          <w:rFonts w:ascii="Times New Roman" w:hAnsi="Times New Roman"/>
          <w:bCs/>
          <w:sz w:val="24"/>
          <w:szCs w:val="24"/>
        </w:rPr>
        <w:t>United Communications, Inc.</w:t>
      </w:r>
      <w:r w:rsidR="00672FDB" w:rsidRPr="0009002B">
        <w:rPr>
          <w:rFonts w:ascii="Times New Roman" w:hAnsi="Times New Roman"/>
          <w:bCs/>
          <w:sz w:val="24"/>
          <w:szCs w:val="24"/>
        </w:rPr>
        <w:t xml:space="preserve"> (</w:t>
      </w:r>
      <w:r w:rsidR="006D3D2A" w:rsidRPr="0009002B">
        <w:rPr>
          <w:rFonts w:ascii="Times New Roman" w:hAnsi="Times New Roman"/>
          <w:bCs/>
          <w:sz w:val="24"/>
          <w:szCs w:val="24"/>
        </w:rPr>
        <w:t xml:space="preserve">collectively referred to as </w:t>
      </w:r>
      <w:r w:rsidR="00672FDB" w:rsidRPr="0009002B">
        <w:rPr>
          <w:rFonts w:ascii="Times New Roman" w:hAnsi="Times New Roman"/>
          <w:bCs/>
          <w:sz w:val="24"/>
          <w:szCs w:val="24"/>
        </w:rPr>
        <w:t>“</w:t>
      </w:r>
      <w:r w:rsidR="006D3D2A" w:rsidRPr="0009002B">
        <w:rPr>
          <w:rFonts w:ascii="Times New Roman" w:hAnsi="Times New Roman"/>
          <w:bCs/>
          <w:sz w:val="24"/>
          <w:szCs w:val="24"/>
        </w:rPr>
        <w:t>Integra</w:t>
      </w:r>
      <w:r w:rsidR="00672FDB" w:rsidRPr="0009002B">
        <w:rPr>
          <w:rFonts w:ascii="Times New Roman" w:hAnsi="Times New Roman"/>
          <w:bCs/>
          <w:sz w:val="24"/>
          <w:szCs w:val="24"/>
        </w:rPr>
        <w:t>”</w:t>
      </w:r>
      <w:r w:rsidR="006D3D2A" w:rsidRPr="0009002B">
        <w:rPr>
          <w:rFonts w:ascii="Times New Roman" w:hAnsi="Times New Roman"/>
          <w:bCs/>
          <w:sz w:val="24"/>
          <w:szCs w:val="24"/>
        </w:rPr>
        <w:t xml:space="preserve"> or </w:t>
      </w:r>
      <w:r w:rsidR="00672FDB" w:rsidRPr="0009002B">
        <w:rPr>
          <w:rFonts w:ascii="Times New Roman" w:hAnsi="Times New Roman"/>
          <w:bCs/>
          <w:sz w:val="24"/>
          <w:szCs w:val="24"/>
        </w:rPr>
        <w:t>“</w:t>
      </w:r>
      <w:r w:rsidR="006D3D2A" w:rsidRPr="0009002B">
        <w:rPr>
          <w:rFonts w:ascii="Times New Roman" w:hAnsi="Times New Roman"/>
          <w:bCs/>
          <w:sz w:val="24"/>
          <w:szCs w:val="24"/>
        </w:rPr>
        <w:t>Integra Telecom</w:t>
      </w:r>
      <w:r w:rsidR="00672FDB" w:rsidRPr="0009002B">
        <w:rPr>
          <w:rFonts w:ascii="Times New Roman" w:hAnsi="Times New Roman"/>
          <w:bCs/>
          <w:sz w:val="24"/>
          <w:szCs w:val="24"/>
        </w:rPr>
        <w:t>”)</w:t>
      </w:r>
      <w:r w:rsidR="006D3D2A" w:rsidRPr="0009002B">
        <w:rPr>
          <w:rFonts w:ascii="Times New Roman" w:hAnsi="Times New Roman"/>
          <w:bCs/>
          <w:sz w:val="24"/>
          <w:szCs w:val="24"/>
        </w:rPr>
        <w:t xml:space="preserve">, respectfully </w:t>
      </w:r>
      <w:r w:rsidR="00B86BC8" w:rsidRPr="0009002B">
        <w:rPr>
          <w:rFonts w:ascii="Times New Roman" w:hAnsi="Times New Roman"/>
          <w:bCs/>
          <w:sz w:val="24"/>
          <w:szCs w:val="24"/>
        </w:rPr>
        <w:t>submit the following comments regarding draft legislation to establish a state universal service fund.</w:t>
      </w:r>
      <w:r w:rsidR="00B86BC8" w:rsidRPr="0009002B">
        <w:rPr>
          <w:rStyle w:val="FootnoteReference"/>
          <w:rFonts w:ascii="Times New Roman" w:hAnsi="Times New Roman"/>
          <w:bCs/>
          <w:sz w:val="24"/>
          <w:szCs w:val="24"/>
        </w:rPr>
        <w:footnoteReference w:id="1"/>
      </w:r>
      <w:r w:rsidR="006D3D2A" w:rsidRPr="0009002B">
        <w:rPr>
          <w:rFonts w:ascii="Times New Roman" w:hAnsi="Times New Roman"/>
          <w:bCs/>
          <w:sz w:val="24"/>
          <w:szCs w:val="24"/>
        </w:rPr>
        <w:t xml:space="preserve">  Integra is a </w:t>
      </w:r>
      <w:r w:rsidR="00B86BC8" w:rsidRPr="0009002B">
        <w:rPr>
          <w:rFonts w:ascii="Times New Roman" w:hAnsi="Times New Roman"/>
          <w:bCs/>
          <w:sz w:val="24"/>
          <w:szCs w:val="24"/>
        </w:rPr>
        <w:t>c</w:t>
      </w:r>
      <w:r w:rsidR="006D3D2A" w:rsidRPr="0009002B">
        <w:rPr>
          <w:rFonts w:ascii="Times New Roman" w:hAnsi="Times New Roman"/>
          <w:bCs/>
          <w:sz w:val="24"/>
          <w:szCs w:val="24"/>
        </w:rPr>
        <w:t xml:space="preserve">ompetitive </w:t>
      </w:r>
      <w:r w:rsidR="00B86BC8" w:rsidRPr="0009002B">
        <w:rPr>
          <w:rFonts w:ascii="Times New Roman" w:hAnsi="Times New Roman"/>
          <w:bCs/>
          <w:sz w:val="24"/>
          <w:szCs w:val="24"/>
        </w:rPr>
        <w:t>communications provider</w:t>
      </w:r>
      <w:r w:rsidR="00335E25" w:rsidRPr="0009002B">
        <w:rPr>
          <w:rFonts w:ascii="Times New Roman" w:hAnsi="Times New Roman"/>
          <w:bCs/>
          <w:sz w:val="24"/>
          <w:szCs w:val="24"/>
        </w:rPr>
        <w:t xml:space="preserve"> </w:t>
      </w:r>
      <w:r w:rsidR="00363F5B" w:rsidRPr="0009002B">
        <w:rPr>
          <w:rFonts w:ascii="Times New Roman" w:hAnsi="Times New Roman"/>
          <w:bCs/>
          <w:sz w:val="24"/>
          <w:szCs w:val="24"/>
        </w:rPr>
        <w:t>operating</w:t>
      </w:r>
      <w:r w:rsidR="007A7ACB" w:rsidRPr="0009002B">
        <w:rPr>
          <w:rFonts w:ascii="Times New Roman" w:hAnsi="Times New Roman"/>
          <w:bCs/>
          <w:sz w:val="24"/>
          <w:szCs w:val="24"/>
        </w:rPr>
        <w:t xml:space="preserve"> in</w:t>
      </w:r>
      <w:r w:rsidR="00363F5B" w:rsidRPr="0009002B">
        <w:rPr>
          <w:rFonts w:ascii="Times New Roman" w:hAnsi="Times New Roman"/>
          <w:bCs/>
          <w:sz w:val="24"/>
          <w:szCs w:val="24"/>
        </w:rPr>
        <w:t xml:space="preserve"> 1</w:t>
      </w:r>
      <w:r w:rsidR="00FC5CEE" w:rsidRPr="0009002B">
        <w:rPr>
          <w:rFonts w:ascii="Times New Roman" w:hAnsi="Times New Roman"/>
          <w:bCs/>
          <w:sz w:val="24"/>
          <w:szCs w:val="24"/>
        </w:rPr>
        <w:t>1</w:t>
      </w:r>
      <w:r w:rsidR="00363F5B" w:rsidRPr="0009002B">
        <w:rPr>
          <w:rFonts w:ascii="Times New Roman" w:hAnsi="Times New Roman"/>
          <w:bCs/>
          <w:sz w:val="24"/>
          <w:szCs w:val="24"/>
        </w:rPr>
        <w:t xml:space="preserve"> western states</w:t>
      </w:r>
      <w:r w:rsidR="00B86BC8" w:rsidRPr="0009002B">
        <w:rPr>
          <w:rFonts w:ascii="Times New Roman" w:hAnsi="Times New Roman"/>
          <w:bCs/>
          <w:sz w:val="24"/>
          <w:szCs w:val="24"/>
        </w:rPr>
        <w:t xml:space="preserve">, including </w:t>
      </w:r>
      <w:r w:rsidR="006D3D2A" w:rsidRPr="0009002B">
        <w:rPr>
          <w:rFonts w:ascii="Times New Roman" w:hAnsi="Times New Roman"/>
          <w:bCs/>
          <w:sz w:val="24"/>
          <w:szCs w:val="24"/>
        </w:rPr>
        <w:t>Washington</w:t>
      </w:r>
      <w:r w:rsidR="00363F5B" w:rsidRPr="0009002B">
        <w:rPr>
          <w:rFonts w:ascii="Times New Roman" w:hAnsi="Times New Roman"/>
          <w:bCs/>
          <w:sz w:val="24"/>
          <w:szCs w:val="24"/>
        </w:rPr>
        <w:t>.</w:t>
      </w:r>
    </w:p>
    <w:p w:rsidR="00B86BC8" w:rsidRPr="0009002B" w:rsidRDefault="00FC5CEE" w:rsidP="00363F5B">
      <w:pPr>
        <w:spacing w:line="480" w:lineRule="auto"/>
        <w:rPr>
          <w:rFonts w:ascii="Times New Roman" w:hAnsi="Times New Roman"/>
          <w:bCs/>
          <w:sz w:val="24"/>
          <w:szCs w:val="24"/>
        </w:rPr>
      </w:pPr>
      <w:r w:rsidRPr="0009002B">
        <w:rPr>
          <w:rFonts w:ascii="Times New Roman" w:hAnsi="Times New Roman"/>
          <w:bCs/>
          <w:sz w:val="24"/>
          <w:szCs w:val="24"/>
        </w:rPr>
        <w:tab/>
      </w:r>
      <w:r w:rsidR="0009002B">
        <w:rPr>
          <w:rFonts w:ascii="Times New Roman" w:hAnsi="Times New Roman"/>
          <w:bCs/>
          <w:sz w:val="24"/>
          <w:szCs w:val="24"/>
        </w:rPr>
        <w:t xml:space="preserve">While Integra reserves judgment regarding the necessity of additional state universal funds for incumbent carriers in the state of Washington, </w:t>
      </w:r>
      <w:r w:rsidR="00D33C0F" w:rsidRPr="0009002B">
        <w:rPr>
          <w:rFonts w:ascii="Times New Roman" w:hAnsi="Times New Roman"/>
          <w:bCs/>
          <w:sz w:val="24"/>
          <w:szCs w:val="24"/>
        </w:rPr>
        <w:t xml:space="preserve">Integra supports </w:t>
      </w:r>
      <w:r w:rsidR="00B86BC8" w:rsidRPr="0009002B">
        <w:rPr>
          <w:rFonts w:ascii="Times New Roman" w:hAnsi="Times New Roman"/>
          <w:bCs/>
          <w:sz w:val="24"/>
          <w:szCs w:val="24"/>
        </w:rPr>
        <w:t xml:space="preserve">many </w:t>
      </w:r>
      <w:r w:rsidR="00D33C0F" w:rsidRPr="0009002B">
        <w:rPr>
          <w:rFonts w:ascii="Times New Roman" w:hAnsi="Times New Roman"/>
          <w:bCs/>
          <w:sz w:val="24"/>
          <w:szCs w:val="24"/>
        </w:rPr>
        <w:t xml:space="preserve">of the </w:t>
      </w:r>
      <w:r w:rsidR="00B86BC8" w:rsidRPr="0009002B">
        <w:rPr>
          <w:rFonts w:ascii="Times New Roman" w:hAnsi="Times New Roman"/>
          <w:bCs/>
          <w:sz w:val="24"/>
          <w:szCs w:val="24"/>
        </w:rPr>
        <w:t>concepts</w:t>
      </w:r>
      <w:r w:rsidR="00D33C0F" w:rsidRPr="0009002B">
        <w:rPr>
          <w:rFonts w:ascii="Times New Roman" w:hAnsi="Times New Roman"/>
          <w:bCs/>
          <w:sz w:val="24"/>
          <w:szCs w:val="24"/>
        </w:rPr>
        <w:t xml:space="preserve"> contained in the draft legislation</w:t>
      </w:r>
      <w:r w:rsidR="00B86BC8" w:rsidRPr="0009002B">
        <w:rPr>
          <w:rFonts w:ascii="Times New Roman" w:hAnsi="Times New Roman"/>
          <w:bCs/>
          <w:sz w:val="24"/>
          <w:szCs w:val="24"/>
        </w:rPr>
        <w:t xml:space="preserve"> for establishing a state universal service fund</w:t>
      </w:r>
      <w:r w:rsidR="0009002B">
        <w:rPr>
          <w:rFonts w:ascii="Times New Roman" w:hAnsi="Times New Roman"/>
          <w:bCs/>
          <w:sz w:val="24"/>
          <w:szCs w:val="24"/>
        </w:rPr>
        <w:t xml:space="preserve">.  These crucial concepts include </w:t>
      </w:r>
      <w:r w:rsidR="00B86BC8" w:rsidRPr="0009002B">
        <w:rPr>
          <w:rFonts w:ascii="Times New Roman" w:hAnsi="Times New Roman"/>
          <w:bCs/>
          <w:sz w:val="24"/>
          <w:szCs w:val="24"/>
        </w:rPr>
        <w:t>limiting the size of the fund,</w:t>
      </w:r>
      <w:r w:rsidR="00D33C0F" w:rsidRPr="0009002B">
        <w:rPr>
          <w:rStyle w:val="FootnoteReference"/>
          <w:rFonts w:ascii="Times New Roman" w:hAnsi="Times New Roman"/>
          <w:bCs/>
          <w:sz w:val="24"/>
          <w:szCs w:val="24"/>
        </w:rPr>
        <w:footnoteReference w:id="2"/>
      </w:r>
      <w:r w:rsidR="00B86BC8" w:rsidRPr="0009002B">
        <w:rPr>
          <w:rFonts w:ascii="Times New Roman" w:hAnsi="Times New Roman"/>
          <w:bCs/>
          <w:sz w:val="24"/>
          <w:szCs w:val="24"/>
        </w:rPr>
        <w:t xml:space="preserve"> expanding the contribution base,</w:t>
      </w:r>
      <w:r w:rsidR="00D33C0F" w:rsidRPr="0009002B">
        <w:rPr>
          <w:rStyle w:val="FootnoteReference"/>
          <w:rFonts w:ascii="Times New Roman" w:hAnsi="Times New Roman"/>
          <w:bCs/>
          <w:sz w:val="24"/>
          <w:szCs w:val="24"/>
        </w:rPr>
        <w:footnoteReference w:id="3"/>
      </w:r>
      <w:r w:rsidR="00B86BC8" w:rsidRPr="0009002B">
        <w:rPr>
          <w:rFonts w:ascii="Times New Roman" w:hAnsi="Times New Roman"/>
          <w:bCs/>
          <w:sz w:val="24"/>
          <w:szCs w:val="24"/>
        </w:rPr>
        <w:t xml:space="preserve"> </w:t>
      </w:r>
      <w:r w:rsidR="00D33C0F" w:rsidRPr="0009002B">
        <w:rPr>
          <w:rFonts w:ascii="Times New Roman" w:hAnsi="Times New Roman"/>
          <w:bCs/>
          <w:sz w:val="24"/>
          <w:szCs w:val="24"/>
        </w:rPr>
        <w:t>administration by a neutral third party administrator,</w:t>
      </w:r>
      <w:r w:rsidR="00D33C0F" w:rsidRPr="0009002B">
        <w:rPr>
          <w:rStyle w:val="FootnoteReference"/>
          <w:rFonts w:ascii="Times New Roman" w:hAnsi="Times New Roman"/>
          <w:bCs/>
          <w:sz w:val="24"/>
          <w:szCs w:val="24"/>
        </w:rPr>
        <w:footnoteReference w:id="4"/>
      </w:r>
      <w:r w:rsidR="00D33C0F" w:rsidRPr="0009002B">
        <w:rPr>
          <w:rFonts w:ascii="Times New Roman" w:hAnsi="Times New Roman"/>
          <w:bCs/>
          <w:sz w:val="24"/>
          <w:szCs w:val="24"/>
        </w:rPr>
        <w:t xml:space="preserve"> requiring the establishment of eligibility criteria</w:t>
      </w:r>
      <w:r w:rsidR="00D33C0F" w:rsidRPr="0009002B">
        <w:rPr>
          <w:rStyle w:val="FootnoteReference"/>
          <w:rFonts w:ascii="Times New Roman" w:hAnsi="Times New Roman"/>
          <w:bCs/>
          <w:sz w:val="24"/>
          <w:szCs w:val="24"/>
        </w:rPr>
        <w:footnoteReference w:id="5"/>
      </w:r>
      <w:r w:rsidR="00D33C0F" w:rsidRPr="0009002B">
        <w:rPr>
          <w:rFonts w:ascii="Times New Roman" w:hAnsi="Times New Roman"/>
          <w:bCs/>
          <w:sz w:val="24"/>
          <w:szCs w:val="24"/>
        </w:rPr>
        <w:t xml:space="preserve"> including a minimum benchmark for basic residential service</w:t>
      </w:r>
      <w:r w:rsidR="00414F6F" w:rsidRPr="0009002B">
        <w:rPr>
          <w:rFonts w:ascii="Times New Roman" w:hAnsi="Times New Roman"/>
          <w:bCs/>
          <w:sz w:val="24"/>
          <w:szCs w:val="24"/>
        </w:rPr>
        <w:t>,</w:t>
      </w:r>
      <w:r w:rsidR="00D33C0F" w:rsidRPr="0009002B">
        <w:rPr>
          <w:rStyle w:val="FootnoteReference"/>
          <w:rFonts w:ascii="Times New Roman" w:hAnsi="Times New Roman"/>
          <w:bCs/>
          <w:sz w:val="24"/>
          <w:szCs w:val="24"/>
        </w:rPr>
        <w:footnoteReference w:id="6"/>
      </w:r>
      <w:r w:rsidR="00D33C0F" w:rsidRPr="0009002B">
        <w:rPr>
          <w:rFonts w:ascii="Times New Roman" w:hAnsi="Times New Roman"/>
          <w:bCs/>
          <w:sz w:val="24"/>
          <w:szCs w:val="24"/>
        </w:rPr>
        <w:t xml:space="preserve"> limiting the fund to small carriers in the state of Washington</w:t>
      </w:r>
      <w:r w:rsidR="00414F6F" w:rsidRPr="0009002B">
        <w:rPr>
          <w:rFonts w:ascii="Times New Roman" w:hAnsi="Times New Roman"/>
          <w:bCs/>
          <w:sz w:val="24"/>
          <w:szCs w:val="24"/>
        </w:rPr>
        <w:t>,</w:t>
      </w:r>
      <w:r w:rsidR="00D33C0F" w:rsidRPr="0009002B">
        <w:rPr>
          <w:rStyle w:val="FootnoteReference"/>
          <w:rFonts w:ascii="Times New Roman" w:hAnsi="Times New Roman"/>
          <w:bCs/>
          <w:sz w:val="24"/>
          <w:szCs w:val="24"/>
        </w:rPr>
        <w:footnoteReference w:id="7"/>
      </w:r>
      <w:r w:rsidR="00414F6F" w:rsidRPr="0009002B">
        <w:rPr>
          <w:rFonts w:ascii="Times New Roman" w:hAnsi="Times New Roman"/>
          <w:bCs/>
          <w:sz w:val="24"/>
          <w:szCs w:val="24"/>
        </w:rPr>
        <w:t xml:space="preserve"> establishing an expiration date,</w:t>
      </w:r>
      <w:r w:rsidR="00414F6F" w:rsidRPr="0009002B">
        <w:rPr>
          <w:rStyle w:val="FootnoteReference"/>
          <w:rFonts w:ascii="Times New Roman" w:hAnsi="Times New Roman"/>
          <w:bCs/>
          <w:sz w:val="24"/>
          <w:szCs w:val="24"/>
        </w:rPr>
        <w:footnoteReference w:id="8"/>
      </w:r>
      <w:r w:rsidR="00414F6F" w:rsidRPr="0009002B">
        <w:rPr>
          <w:rFonts w:ascii="Times New Roman" w:hAnsi="Times New Roman"/>
          <w:bCs/>
          <w:sz w:val="24"/>
          <w:szCs w:val="24"/>
        </w:rPr>
        <w:t xml:space="preserve"> and </w:t>
      </w:r>
      <w:r w:rsidR="008E726A" w:rsidRPr="0009002B">
        <w:rPr>
          <w:rFonts w:ascii="Times New Roman" w:hAnsi="Times New Roman"/>
          <w:bCs/>
          <w:sz w:val="24"/>
          <w:szCs w:val="24"/>
        </w:rPr>
        <w:t>establishing a review to determine “whether the act served its intended purpose.”</w:t>
      </w:r>
      <w:r w:rsidR="008E726A" w:rsidRPr="0009002B">
        <w:rPr>
          <w:rStyle w:val="FootnoteReference"/>
          <w:rFonts w:ascii="Times New Roman" w:hAnsi="Times New Roman"/>
          <w:bCs/>
          <w:sz w:val="24"/>
          <w:szCs w:val="24"/>
        </w:rPr>
        <w:footnoteReference w:id="9"/>
      </w:r>
    </w:p>
    <w:p w:rsidR="002D0A13" w:rsidRDefault="00D33C0F" w:rsidP="00363F5B">
      <w:pPr>
        <w:spacing w:line="480" w:lineRule="auto"/>
        <w:rPr>
          <w:rFonts w:ascii="Times New Roman" w:hAnsi="Times New Roman"/>
          <w:bCs/>
          <w:sz w:val="24"/>
          <w:szCs w:val="24"/>
        </w:rPr>
      </w:pPr>
      <w:r w:rsidRPr="0009002B">
        <w:rPr>
          <w:rFonts w:ascii="Times New Roman" w:hAnsi="Times New Roman"/>
          <w:bCs/>
          <w:sz w:val="24"/>
          <w:szCs w:val="24"/>
        </w:rPr>
        <w:lastRenderedPageBreak/>
        <w:tab/>
      </w:r>
      <w:r w:rsidR="00417F40" w:rsidRPr="0009002B">
        <w:rPr>
          <w:rFonts w:ascii="Times New Roman" w:hAnsi="Times New Roman"/>
          <w:bCs/>
          <w:sz w:val="24"/>
          <w:szCs w:val="24"/>
        </w:rPr>
        <w:t>Integra</w:t>
      </w:r>
      <w:r w:rsidR="0009002B">
        <w:rPr>
          <w:rFonts w:ascii="Times New Roman" w:hAnsi="Times New Roman"/>
          <w:bCs/>
          <w:sz w:val="24"/>
          <w:szCs w:val="24"/>
        </w:rPr>
        <w:t>, however,</w:t>
      </w:r>
      <w:r w:rsidR="00417F40" w:rsidRPr="0009002B">
        <w:rPr>
          <w:rFonts w:ascii="Times New Roman" w:hAnsi="Times New Roman"/>
          <w:bCs/>
          <w:sz w:val="24"/>
          <w:szCs w:val="24"/>
        </w:rPr>
        <w:t xml:space="preserve"> is concerned with the method of assessing the “surcharge on each working telephone number rated within the state of Washington.”</w:t>
      </w:r>
      <w:r w:rsidR="00417F40" w:rsidRPr="0009002B">
        <w:rPr>
          <w:rStyle w:val="FootnoteReference"/>
          <w:rFonts w:ascii="Times New Roman" w:hAnsi="Times New Roman"/>
          <w:bCs/>
          <w:sz w:val="24"/>
          <w:szCs w:val="24"/>
        </w:rPr>
        <w:footnoteReference w:id="10"/>
      </w:r>
      <w:r w:rsidR="00417F40" w:rsidRPr="0009002B">
        <w:rPr>
          <w:rFonts w:ascii="Times New Roman" w:hAnsi="Times New Roman"/>
          <w:bCs/>
          <w:sz w:val="24"/>
          <w:szCs w:val="24"/>
        </w:rPr>
        <w:t xml:space="preserve">  </w:t>
      </w:r>
      <w:r w:rsidR="001C51A3" w:rsidRPr="0009002B">
        <w:rPr>
          <w:rFonts w:ascii="Times New Roman" w:hAnsi="Times New Roman"/>
          <w:bCs/>
          <w:sz w:val="24"/>
          <w:szCs w:val="24"/>
        </w:rPr>
        <w:t>First, a</w:t>
      </w:r>
      <w:r w:rsidR="00417F40" w:rsidRPr="0009002B">
        <w:rPr>
          <w:rFonts w:ascii="Times New Roman" w:hAnsi="Times New Roman"/>
          <w:bCs/>
          <w:sz w:val="24"/>
          <w:szCs w:val="24"/>
        </w:rPr>
        <w:t xml:space="preserve"> numbers based surcharge methodology is burdensome as carriers would be forced to make changes to billing systems in order to charge per working telephone number.  </w:t>
      </w:r>
      <w:r w:rsidR="001C51A3" w:rsidRPr="0009002B">
        <w:rPr>
          <w:rFonts w:ascii="Times New Roman" w:hAnsi="Times New Roman"/>
          <w:bCs/>
          <w:sz w:val="24"/>
          <w:szCs w:val="24"/>
        </w:rPr>
        <w:t>Integra’s billing system</w:t>
      </w:r>
      <w:r w:rsidR="0009002B">
        <w:rPr>
          <w:rFonts w:ascii="Times New Roman" w:hAnsi="Times New Roman"/>
          <w:bCs/>
          <w:sz w:val="24"/>
          <w:szCs w:val="24"/>
        </w:rPr>
        <w:t>s</w:t>
      </w:r>
      <w:r w:rsidR="001C51A3" w:rsidRPr="0009002B">
        <w:rPr>
          <w:rFonts w:ascii="Times New Roman" w:hAnsi="Times New Roman"/>
          <w:bCs/>
          <w:sz w:val="24"/>
          <w:szCs w:val="24"/>
        </w:rPr>
        <w:t xml:space="preserve"> </w:t>
      </w:r>
      <w:r w:rsidR="0009002B">
        <w:rPr>
          <w:rFonts w:ascii="Times New Roman" w:hAnsi="Times New Roman"/>
          <w:bCs/>
          <w:sz w:val="24"/>
          <w:szCs w:val="24"/>
        </w:rPr>
        <w:t>are</w:t>
      </w:r>
      <w:r w:rsidR="001C51A3" w:rsidRPr="0009002B">
        <w:rPr>
          <w:rFonts w:ascii="Times New Roman" w:hAnsi="Times New Roman"/>
          <w:bCs/>
          <w:sz w:val="24"/>
          <w:szCs w:val="24"/>
        </w:rPr>
        <w:t xml:space="preserve"> not set up to charge for universal service in this way.  </w:t>
      </w:r>
    </w:p>
    <w:p w:rsidR="002D0A13" w:rsidRDefault="001C51A3" w:rsidP="002D0A13">
      <w:pPr>
        <w:spacing w:line="480" w:lineRule="auto"/>
        <w:ind w:firstLine="720"/>
        <w:rPr>
          <w:rFonts w:ascii="Times New Roman" w:hAnsi="Times New Roman"/>
          <w:bCs/>
          <w:sz w:val="24"/>
          <w:szCs w:val="24"/>
        </w:rPr>
      </w:pPr>
      <w:r w:rsidRPr="0009002B">
        <w:rPr>
          <w:rFonts w:ascii="Times New Roman" w:hAnsi="Times New Roman"/>
          <w:bCs/>
          <w:sz w:val="24"/>
          <w:szCs w:val="24"/>
        </w:rPr>
        <w:t>Second, a numbers based surcharge would potentially miss contributions from certain providers of communications services.  The draft legislation defines communications services as including, “telecommunications services and information services and any combination thereof.”</w:t>
      </w:r>
      <w:r w:rsidRPr="0009002B">
        <w:rPr>
          <w:rStyle w:val="FootnoteReference"/>
          <w:rFonts w:ascii="Times New Roman" w:hAnsi="Times New Roman"/>
          <w:bCs/>
          <w:sz w:val="24"/>
          <w:szCs w:val="24"/>
        </w:rPr>
        <w:footnoteReference w:id="11"/>
      </w:r>
      <w:r w:rsidRPr="0009002B">
        <w:rPr>
          <w:rFonts w:ascii="Times New Roman" w:hAnsi="Times New Roman"/>
          <w:bCs/>
          <w:sz w:val="24"/>
          <w:szCs w:val="24"/>
        </w:rPr>
        <w:t xml:space="preserve">  Not all carriers providing telecommunications services and information services necessarily utilize working telephone numbers</w:t>
      </w:r>
      <w:r w:rsidR="0001332C">
        <w:rPr>
          <w:rFonts w:ascii="Times New Roman" w:hAnsi="Times New Roman"/>
          <w:bCs/>
          <w:sz w:val="24"/>
          <w:szCs w:val="24"/>
        </w:rPr>
        <w:t xml:space="preserve"> (</w:t>
      </w:r>
      <w:r w:rsidR="0001332C" w:rsidRPr="0001332C">
        <w:rPr>
          <w:rFonts w:ascii="Times New Roman" w:hAnsi="Times New Roman"/>
          <w:bCs/>
          <w:i/>
          <w:sz w:val="24"/>
          <w:szCs w:val="24"/>
        </w:rPr>
        <w:t>e.g</w:t>
      </w:r>
      <w:r w:rsidR="0001332C">
        <w:rPr>
          <w:rFonts w:ascii="Times New Roman" w:hAnsi="Times New Roman"/>
          <w:bCs/>
          <w:sz w:val="24"/>
          <w:szCs w:val="24"/>
        </w:rPr>
        <w:t xml:space="preserve"> interexchange carriers)</w:t>
      </w:r>
      <w:r w:rsidRPr="0009002B">
        <w:rPr>
          <w:rFonts w:ascii="Times New Roman" w:hAnsi="Times New Roman"/>
          <w:bCs/>
          <w:sz w:val="24"/>
          <w:szCs w:val="24"/>
        </w:rPr>
        <w:t>.  As a result a working telephone number surcharge would not be applied in an “equitable and non-discriminatory basis” as required by the draft legislation.</w:t>
      </w:r>
      <w:r w:rsidRPr="0009002B">
        <w:rPr>
          <w:rStyle w:val="FootnoteReference"/>
          <w:rFonts w:ascii="Times New Roman" w:hAnsi="Times New Roman"/>
          <w:bCs/>
          <w:sz w:val="24"/>
          <w:szCs w:val="24"/>
        </w:rPr>
        <w:footnoteReference w:id="12"/>
      </w:r>
      <w:r w:rsidR="00414F6F" w:rsidRPr="0009002B">
        <w:rPr>
          <w:rFonts w:ascii="Times New Roman" w:hAnsi="Times New Roman"/>
          <w:bCs/>
          <w:sz w:val="24"/>
          <w:szCs w:val="24"/>
        </w:rPr>
        <w:t xml:space="preserve">  </w:t>
      </w:r>
    </w:p>
    <w:p w:rsidR="002D0A13" w:rsidRDefault="00414F6F" w:rsidP="002D0A13">
      <w:pPr>
        <w:spacing w:line="480" w:lineRule="auto"/>
        <w:ind w:firstLine="720"/>
        <w:rPr>
          <w:rFonts w:ascii="Times New Roman" w:hAnsi="Times New Roman"/>
          <w:bCs/>
          <w:sz w:val="24"/>
          <w:szCs w:val="24"/>
        </w:rPr>
      </w:pPr>
      <w:r w:rsidRPr="0009002B">
        <w:rPr>
          <w:rFonts w:ascii="Times New Roman" w:hAnsi="Times New Roman"/>
          <w:bCs/>
          <w:sz w:val="24"/>
          <w:szCs w:val="24"/>
        </w:rPr>
        <w:t xml:space="preserve">Third, a working telephone number based system may be inconsistent with methodology adopted by the FCC in its USF Contributions </w:t>
      </w:r>
      <w:r w:rsidR="002D0A13">
        <w:rPr>
          <w:rFonts w:ascii="Times New Roman" w:hAnsi="Times New Roman"/>
          <w:bCs/>
          <w:sz w:val="24"/>
          <w:szCs w:val="24"/>
        </w:rPr>
        <w:t>R</w:t>
      </w:r>
      <w:r w:rsidRPr="0009002B">
        <w:rPr>
          <w:rFonts w:ascii="Times New Roman" w:hAnsi="Times New Roman"/>
          <w:bCs/>
          <w:sz w:val="24"/>
          <w:szCs w:val="24"/>
        </w:rPr>
        <w:t xml:space="preserve">eform </w:t>
      </w:r>
      <w:r w:rsidR="002D0A13">
        <w:rPr>
          <w:rFonts w:ascii="Times New Roman" w:hAnsi="Times New Roman"/>
          <w:bCs/>
          <w:sz w:val="24"/>
          <w:szCs w:val="24"/>
        </w:rPr>
        <w:t>P</w:t>
      </w:r>
      <w:r w:rsidRPr="0009002B">
        <w:rPr>
          <w:rFonts w:ascii="Times New Roman" w:hAnsi="Times New Roman"/>
          <w:bCs/>
          <w:sz w:val="24"/>
          <w:szCs w:val="24"/>
        </w:rPr>
        <w:t>roceeding</w:t>
      </w:r>
      <w:r w:rsidRPr="0009002B">
        <w:rPr>
          <w:rStyle w:val="FootnoteReference"/>
          <w:rFonts w:ascii="Times New Roman" w:hAnsi="Times New Roman"/>
          <w:bCs/>
          <w:sz w:val="24"/>
          <w:szCs w:val="24"/>
        </w:rPr>
        <w:footnoteReference w:id="13"/>
      </w:r>
      <w:r w:rsidRPr="0009002B">
        <w:rPr>
          <w:rFonts w:ascii="Times New Roman" w:hAnsi="Times New Roman"/>
          <w:bCs/>
          <w:sz w:val="24"/>
          <w:szCs w:val="24"/>
        </w:rPr>
        <w:t xml:space="preserve"> and could potentially result in certain classes of communications providers paying for multiple universal service funds on the same customer base and revenue, while other communications providers are exempted from contributing at all.  </w:t>
      </w:r>
      <w:r w:rsidR="002D0A13">
        <w:rPr>
          <w:rFonts w:ascii="Times New Roman" w:hAnsi="Times New Roman"/>
          <w:bCs/>
          <w:sz w:val="24"/>
          <w:szCs w:val="24"/>
        </w:rPr>
        <w:t xml:space="preserve">Integra does not believe that a state contribution methodology must necessarily follow the federal methodology, but does believe that the federal methodology should be taken into consideration as the state methodology is developed.  </w:t>
      </w:r>
    </w:p>
    <w:p w:rsidR="00D33C0F" w:rsidRPr="0009002B" w:rsidRDefault="00414F6F" w:rsidP="002D0A13">
      <w:pPr>
        <w:spacing w:line="480" w:lineRule="auto"/>
        <w:ind w:firstLine="720"/>
        <w:rPr>
          <w:rFonts w:ascii="Times New Roman" w:hAnsi="Times New Roman"/>
          <w:bCs/>
          <w:sz w:val="24"/>
          <w:szCs w:val="24"/>
        </w:rPr>
      </w:pPr>
      <w:r w:rsidRPr="0009002B">
        <w:rPr>
          <w:rFonts w:ascii="Times New Roman" w:hAnsi="Times New Roman"/>
          <w:bCs/>
          <w:sz w:val="24"/>
          <w:szCs w:val="24"/>
        </w:rPr>
        <w:lastRenderedPageBreak/>
        <w:t>Fo</w:t>
      </w:r>
      <w:r w:rsidR="0001332C">
        <w:rPr>
          <w:rFonts w:ascii="Times New Roman" w:hAnsi="Times New Roman"/>
          <w:bCs/>
          <w:sz w:val="24"/>
          <w:szCs w:val="24"/>
        </w:rPr>
        <w:t>u</w:t>
      </w:r>
      <w:r w:rsidRPr="0009002B">
        <w:rPr>
          <w:rFonts w:ascii="Times New Roman" w:hAnsi="Times New Roman"/>
          <w:bCs/>
          <w:sz w:val="24"/>
          <w:szCs w:val="24"/>
        </w:rPr>
        <w:t xml:space="preserve">rth, a working telephone number based system can have a disproportionate impact on customers that rely heavily on numbers, such as colleges and universities. </w:t>
      </w:r>
      <w:r w:rsidR="002D0A13">
        <w:rPr>
          <w:rFonts w:ascii="Times New Roman" w:hAnsi="Times New Roman"/>
          <w:bCs/>
          <w:sz w:val="24"/>
          <w:szCs w:val="24"/>
        </w:rPr>
        <w:t xml:space="preserve"> This could overly burden certain end users and result in changes in the way certain end users purchase communications services in order to avoid overly burdensome universal service contributions.</w:t>
      </w:r>
    </w:p>
    <w:p w:rsidR="00414F6F" w:rsidRPr="0009002B" w:rsidRDefault="00414F6F" w:rsidP="00363F5B">
      <w:pPr>
        <w:spacing w:line="480" w:lineRule="auto"/>
        <w:rPr>
          <w:rFonts w:ascii="Times New Roman" w:hAnsi="Times New Roman"/>
          <w:bCs/>
          <w:sz w:val="24"/>
          <w:szCs w:val="24"/>
        </w:rPr>
      </w:pPr>
      <w:r w:rsidRPr="0009002B">
        <w:rPr>
          <w:rFonts w:ascii="Times New Roman" w:hAnsi="Times New Roman"/>
          <w:bCs/>
          <w:sz w:val="24"/>
          <w:szCs w:val="24"/>
        </w:rPr>
        <w:tab/>
        <w:t xml:space="preserve">For the reasons stated above, Integra recommends that the draft legislation not dictate the contribution methodology, but </w:t>
      </w:r>
      <w:r w:rsidR="002D0A13">
        <w:rPr>
          <w:rFonts w:ascii="Times New Roman" w:hAnsi="Times New Roman"/>
          <w:bCs/>
          <w:sz w:val="24"/>
          <w:szCs w:val="24"/>
        </w:rPr>
        <w:t xml:space="preserve">allow the </w:t>
      </w:r>
      <w:r w:rsidRPr="0009002B">
        <w:rPr>
          <w:rFonts w:ascii="Times New Roman" w:hAnsi="Times New Roman"/>
          <w:bCs/>
          <w:sz w:val="24"/>
          <w:szCs w:val="24"/>
        </w:rPr>
        <w:t>commission to determine</w:t>
      </w:r>
      <w:r w:rsidR="002D0A13">
        <w:rPr>
          <w:rFonts w:ascii="Times New Roman" w:hAnsi="Times New Roman"/>
          <w:bCs/>
          <w:sz w:val="24"/>
          <w:szCs w:val="24"/>
        </w:rPr>
        <w:t xml:space="preserve"> the methodology</w:t>
      </w:r>
      <w:r w:rsidRPr="0009002B">
        <w:rPr>
          <w:rFonts w:ascii="Times New Roman" w:hAnsi="Times New Roman"/>
          <w:bCs/>
          <w:sz w:val="24"/>
          <w:szCs w:val="24"/>
        </w:rPr>
        <w:t xml:space="preserve"> prior to the effective date of the legislation.</w:t>
      </w:r>
      <w:r w:rsidRPr="0009002B">
        <w:rPr>
          <w:rStyle w:val="FootnoteReference"/>
          <w:rFonts w:ascii="Times New Roman" w:hAnsi="Times New Roman"/>
          <w:bCs/>
          <w:sz w:val="24"/>
          <w:szCs w:val="24"/>
        </w:rPr>
        <w:footnoteReference w:id="14"/>
      </w:r>
    </w:p>
    <w:p w:rsidR="008E726A" w:rsidRPr="0009002B" w:rsidRDefault="008E726A" w:rsidP="00363F5B">
      <w:pPr>
        <w:spacing w:line="480" w:lineRule="auto"/>
        <w:rPr>
          <w:rFonts w:ascii="Times New Roman" w:hAnsi="Times New Roman"/>
          <w:bCs/>
          <w:sz w:val="24"/>
          <w:szCs w:val="24"/>
        </w:rPr>
      </w:pPr>
      <w:r w:rsidRPr="0009002B">
        <w:rPr>
          <w:rFonts w:ascii="Times New Roman" w:hAnsi="Times New Roman"/>
          <w:bCs/>
          <w:sz w:val="24"/>
          <w:szCs w:val="24"/>
        </w:rPr>
        <w:tab/>
        <w:t>Integra proposes the following changes to the draft legislation:</w:t>
      </w:r>
    </w:p>
    <w:p w:rsidR="008E726A" w:rsidRPr="0009002B" w:rsidRDefault="008E726A" w:rsidP="008E726A">
      <w:pPr>
        <w:pStyle w:val="Default"/>
      </w:pPr>
      <w:r w:rsidRPr="0009002B">
        <w:rPr>
          <w:bCs/>
        </w:rPr>
        <w:tab/>
        <w:t xml:space="preserve">Sec. 1. (3) </w:t>
      </w:r>
      <w:r w:rsidRPr="0009002B">
        <w:t xml:space="preserve">As a result of the foregoing and to enable all consumers in Washington to access and benefit from a ubiquitous public network, the legislature hereby creates a universal service program that: (a) enhances the public network; (b) is funded </w:t>
      </w:r>
      <w:r w:rsidRPr="0009002B">
        <w:rPr>
          <w:strike/>
        </w:rPr>
        <w:t>with a network connection fee paid</w:t>
      </w:r>
      <w:r w:rsidRPr="0009002B">
        <w:t xml:space="preserve"> by communications providers </w:t>
      </w:r>
      <w:r w:rsidRPr="0009002B">
        <w:rPr>
          <w:strike/>
        </w:rPr>
        <w:t>based upon working telephone numbers</w:t>
      </w:r>
      <w:r w:rsidRPr="0009002B">
        <w:t xml:space="preserve">; (c) is administered by a neutral third party selected by the utilities and transportation commission; (d) is operated pursuant to rules adopted by the commission; and (e) advances universal service in a manner not inconsistent with the requirements of the federal telecommunications act of 1996 (47 U.S.C. Sec. 254). </w:t>
      </w:r>
    </w:p>
    <w:p w:rsidR="008E726A" w:rsidRPr="0009002B" w:rsidRDefault="008E726A" w:rsidP="00363F5B">
      <w:pPr>
        <w:spacing w:line="480" w:lineRule="auto"/>
        <w:rPr>
          <w:rFonts w:ascii="Times New Roman" w:hAnsi="Times New Roman"/>
          <w:bCs/>
          <w:sz w:val="24"/>
          <w:szCs w:val="24"/>
        </w:rPr>
      </w:pPr>
    </w:p>
    <w:p w:rsidR="008E726A" w:rsidRPr="0009002B" w:rsidRDefault="008E726A" w:rsidP="0009002B">
      <w:pPr>
        <w:rPr>
          <w:rFonts w:ascii="Times New Roman" w:hAnsi="Times New Roman"/>
          <w:bCs/>
          <w:sz w:val="24"/>
          <w:szCs w:val="24"/>
        </w:rPr>
      </w:pPr>
      <w:r w:rsidRPr="0009002B">
        <w:rPr>
          <w:rFonts w:ascii="Times New Roman" w:hAnsi="Times New Roman"/>
          <w:bCs/>
          <w:sz w:val="24"/>
          <w:szCs w:val="24"/>
        </w:rPr>
        <w:tab/>
        <w:t xml:space="preserve">Sec. 2. (2) “Communications provider” means a provider that provides </w:t>
      </w:r>
      <w:r w:rsidRPr="0009002B">
        <w:rPr>
          <w:rFonts w:ascii="Times New Roman" w:hAnsi="Times New Roman"/>
          <w:bCs/>
          <w:sz w:val="24"/>
          <w:szCs w:val="24"/>
          <w:u w:val="single"/>
        </w:rPr>
        <w:t xml:space="preserve">Communications </w:t>
      </w:r>
      <w:r w:rsidRPr="0001332C">
        <w:rPr>
          <w:rFonts w:ascii="Times New Roman" w:hAnsi="Times New Roman"/>
          <w:bCs/>
          <w:sz w:val="24"/>
          <w:szCs w:val="24"/>
          <w:u w:val="single"/>
        </w:rPr>
        <w:t>services</w:t>
      </w:r>
      <w:r w:rsidRPr="0009002B">
        <w:rPr>
          <w:rFonts w:ascii="Times New Roman" w:hAnsi="Times New Roman"/>
          <w:bCs/>
          <w:sz w:val="24"/>
          <w:szCs w:val="24"/>
        </w:rPr>
        <w:t xml:space="preserve"> </w:t>
      </w:r>
      <w:r w:rsidRPr="0009002B">
        <w:rPr>
          <w:rFonts w:ascii="Times New Roman" w:hAnsi="Times New Roman"/>
          <w:bCs/>
          <w:strike/>
          <w:sz w:val="24"/>
          <w:szCs w:val="24"/>
        </w:rPr>
        <w:t>a working telephone number to a final consumer for intrastate wireline or wireless communications services or interconnected VoIP service</w:t>
      </w:r>
      <w:r w:rsidRPr="0009002B">
        <w:rPr>
          <w:rFonts w:ascii="Times New Roman" w:hAnsi="Times New Roman"/>
          <w:bCs/>
          <w:sz w:val="24"/>
          <w:szCs w:val="24"/>
        </w:rPr>
        <w:t>.</w:t>
      </w:r>
    </w:p>
    <w:p w:rsidR="008E726A" w:rsidRPr="0009002B" w:rsidRDefault="008E726A" w:rsidP="0009002B">
      <w:pPr>
        <w:rPr>
          <w:rFonts w:ascii="Times New Roman" w:hAnsi="Times New Roman"/>
          <w:sz w:val="24"/>
          <w:szCs w:val="24"/>
        </w:rPr>
      </w:pPr>
      <w:r w:rsidRPr="0009002B">
        <w:rPr>
          <w:rFonts w:ascii="Times New Roman" w:hAnsi="Times New Roman"/>
          <w:bCs/>
          <w:sz w:val="24"/>
          <w:szCs w:val="24"/>
        </w:rPr>
        <w:tab/>
        <w:t xml:space="preserve">Sec. 3 (1) </w:t>
      </w:r>
      <w:r w:rsidRPr="0009002B">
        <w:rPr>
          <w:rFonts w:ascii="Times New Roman" w:hAnsi="Times New Roman"/>
          <w:sz w:val="24"/>
          <w:szCs w:val="24"/>
        </w:rPr>
        <w:t xml:space="preserve">A universal service program is hereby established which shall not exceed XX million dollars in annual distributions and shall be funded on an equitable and non-discriminatory basis by every communications provider </w:t>
      </w:r>
      <w:r w:rsidRPr="0009002B">
        <w:rPr>
          <w:rFonts w:ascii="Times New Roman" w:hAnsi="Times New Roman"/>
          <w:sz w:val="24"/>
          <w:szCs w:val="24"/>
          <w:u w:val="single"/>
        </w:rPr>
        <w:t>as determined by the commission</w:t>
      </w:r>
      <w:r w:rsidR="0001332C">
        <w:rPr>
          <w:rFonts w:ascii="Times New Roman" w:hAnsi="Times New Roman"/>
          <w:sz w:val="24"/>
          <w:szCs w:val="24"/>
          <w:u w:val="single"/>
        </w:rPr>
        <w:t xml:space="preserve"> </w:t>
      </w:r>
      <w:r w:rsidRPr="0009002B">
        <w:rPr>
          <w:rFonts w:ascii="Times New Roman" w:hAnsi="Times New Roman"/>
          <w:strike/>
          <w:sz w:val="24"/>
          <w:szCs w:val="24"/>
        </w:rPr>
        <w:t>through the payment of a network connection fee for connection to the incumbent public network. Initially, the fee shall be a surcharge on each working telephone number rated within the state of Washington</w:t>
      </w:r>
      <w:r w:rsidRPr="0009002B">
        <w:rPr>
          <w:rFonts w:ascii="Times New Roman" w:hAnsi="Times New Roman"/>
          <w:sz w:val="24"/>
          <w:szCs w:val="24"/>
        </w:rPr>
        <w:t xml:space="preserve">. The commission is authorized to </w:t>
      </w:r>
      <w:r w:rsidRPr="0009002B">
        <w:rPr>
          <w:rFonts w:ascii="Times New Roman" w:hAnsi="Times New Roman"/>
          <w:sz w:val="24"/>
          <w:szCs w:val="24"/>
          <w:u w:val="single"/>
        </w:rPr>
        <w:t xml:space="preserve">change the </w:t>
      </w:r>
      <w:r w:rsidRPr="0009002B">
        <w:rPr>
          <w:rFonts w:ascii="Times New Roman" w:hAnsi="Times New Roman"/>
          <w:strike/>
          <w:sz w:val="24"/>
          <w:szCs w:val="24"/>
        </w:rPr>
        <w:t>develop a new</w:t>
      </w:r>
      <w:r w:rsidRPr="0009002B">
        <w:rPr>
          <w:rFonts w:ascii="Times New Roman" w:hAnsi="Times New Roman"/>
          <w:sz w:val="24"/>
          <w:szCs w:val="24"/>
        </w:rPr>
        <w:t xml:space="preserve"> basis for the fee as it may determine to be in the public interest. By order, the commission shall annually establish the </w:t>
      </w:r>
      <w:r w:rsidRPr="0009002B">
        <w:rPr>
          <w:rFonts w:ascii="Times New Roman" w:hAnsi="Times New Roman"/>
          <w:strike/>
          <w:sz w:val="24"/>
          <w:szCs w:val="24"/>
        </w:rPr>
        <w:t>network connection</w:t>
      </w:r>
      <w:r w:rsidRPr="0009002B">
        <w:rPr>
          <w:rFonts w:ascii="Times New Roman" w:hAnsi="Times New Roman"/>
          <w:sz w:val="24"/>
          <w:szCs w:val="24"/>
        </w:rPr>
        <w:t xml:space="preserve"> fee. Each communications provider may, but is not required to, pass-through to its customers the </w:t>
      </w:r>
      <w:r w:rsidRPr="0009002B">
        <w:rPr>
          <w:rFonts w:ascii="Times New Roman" w:hAnsi="Times New Roman"/>
          <w:strike/>
          <w:sz w:val="24"/>
          <w:szCs w:val="24"/>
        </w:rPr>
        <w:t>network connection</w:t>
      </w:r>
      <w:r w:rsidRPr="0009002B">
        <w:rPr>
          <w:rFonts w:ascii="Times New Roman" w:hAnsi="Times New Roman"/>
          <w:sz w:val="24"/>
          <w:szCs w:val="24"/>
        </w:rPr>
        <w:t xml:space="preserve"> fee or any portion thereof.</w:t>
      </w:r>
    </w:p>
    <w:p w:rsidR="008E726A" w:rsidRPr="0009002B" w:rsidRDefault="008E726A" w:rsidP="008E726A">
      <w:pPr>
        <w:pStyle w:val="Default"/>
        <w:rPr>
          <w:color w:val="auto"/>
        </w:rPr>
      </w:pPr>
      <w:r w:rsidRPr="0009002B">
        <w:tab/>
        <w:t xml:space="preserve">Sec. 3. (3) The </w:t>
      </w:r>
      <w:r w:rsidRPr="0009002B">
        <w:rPr>
          <w:strike/>
        </w:rPr>
        <w:t>network connection</w:t>
      </w:r>
      <w:r w:rsidRPr="0009002B">
        <w:t xml:space="preserve"> fee as ordered by the commission under subsection (1) of this section, along with any penalties imposed under section 6 of this act, and any other </w:t>
      </w:r>
      <w:r w:rsidRPr="0009002B">
        <w:lastRenderedPageBreak/>
        <w:t xml:space="preserve">monies authorized to be deposited into the fund by law or order of any court with </w:t>
      </w:r>
      <w:r w:rsidRPr="0009002B">
        <w:rPr>
          <w:color w:val="auto"/>
        </w:rPr>
        <w:t>jurisdiction, shall be paid into the fund. The fund shall be administered by the administrator pursuant to rules promulgated by the commission. Monies deposited in the fund may be used only for the purposes set out in this act. The fund shall be outside of the state treasury. An appropriation is not required for expenditures from the fund.</w:t>
      </w:r>
    </w:p>
    <w:p w:rsidR="008E726A" w:rsidRPr="0009002B" w:rsidRDefault="008E726A" w:rsidP="008E726A">
      <w:pPr>
        <w:pStyle w:val="Default"/>
        <w:rPr>
          <w:color w:val="auto"/>
        </w:rPr>
      </w:pPr>
    </w:p>
    <w:p w:rsidR="008E726A" w:rsidRPr="0009002B" w:rsidRDefault="008E726A" w:rsidP="008E726A">
      <w:pPr>
        <w:pStyle w:val="Default"/>
        <w:rPr>
          <w:bCs/>
        </w:rPr>
      </w:pPr>
      <w:r w:rsidRPr="0009002B">
        <w:rPr>
          <w:color w:val="auto"/>
        </w:rPr>
        <w:tab/>
        <w:t xml:space="preserve">Sec. 3. (4) </w:t>
      </w:r>
      <w:r w:rsidRPr="0009002B">
        <w:t xml:space="preserve">In addition to such other jurisdiction as the commission may have, and notwithstanding RCW 80.66.010, the commission shall have jurisdiction over all communications providers for the following limited purposes: (a) assessment, payment and collection of fees under subsection (1) of this section; (b) enforcement of fee payment obligations; and (c) reports on the assessment, payment and collection of </w:t>
      </w:r>
      <w:r w:rsidRPr="0009002B">
        <w:rPr>
          <w:strike/>
        </w:rPr>
        <w:t>network connection</w:t>
      </w:r>
      <w:r w:rsidRPr="0009002B">
        <w:t xml:space="preserve"> fees and use of funds distributed.</w:t>
      </w:r>
    </w:p>
    <w:sectPr w:rsidR="008E726A" w:rsidRPr="0009002B" w:rsidSect="00850A48">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2579" w:rsidRDefault="00C02579" w:rsidP="00335E25">
      <w:pPr>
        <w:spacing w:after="0"/>
      </w:pPr>
      <w:r>
        <w:separator/>
      </w:r>
    </w:p>
  </w:endnote>
  <w:endnote w:type="continuationSeparator" w:id="0">
    <w:p w:rsidR="00C02579" w:rsidRDefault="00C02579" w:rsidP="00335E2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imesNewRomanPS-BoldMT">
    <w:panose1 w:val="00000000000000000000"/>
    <w:charset w:val="00"/>
    <w:family w:val="roman"/>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64C4" w:rsidRDefault="001564C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5832734"/>
      <w:docPartObj>
        <w:docPartGallery w:val="Page Numbers (Bottom of Page)"/>
        <w:docPartUnique/>
      </w:docPartObj>
    </w:sdtPr>
    <w:sdtEndPr>
      <w:rPr>
        <w:noProof/>
      </w:rPr>
    </w:sdtEndPr>
    <w:sdtContent>
      <w:p w:rsidR="0001332C" w:rsidRDefault="0001332C">
        <w:pPr>
          <w:pStyle w:val="Footer"/>
          <w:jc w:val="right"/>
        </w:pPr>
        <w:r>
          <w:t xml:space="preserve">Page </w:t>
        </w:r>
        <w:r>
          <w:fldChar w:fldCharType="begin"/>
        </w:r>
        <w:r>
          <w:instrText xml:space="preserve"> PAGE   \* MERGEFORMAT </w:instrText>
        </w:r>
        <w:r>
          <w:fldChar w:fldCharType="separate"/>
        </w:r>
        <w:r w:rsidR="001564C4">
          <w:rPr>
            <w:noProof/>
          </w:rPr>
          <w:t>4</w:t>
        </w:r>
        <w:r>
          <w:rPr>
            <w:noProof/>
          </w:rPr>
          <w:fldChar w:fldCharType="end"/>
        </w:r>
      </w:p>
    </w:sdtContent>
  </w:sdt>
  <w:p w:rsidR="0001332C" w:rsidRDefault="0001332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64C4" w:rsidRDefault="001564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2579" w:rsidRDefault="00C02579" w:rsidP="00335E25">
      <w:pPr>
        <w:spacing w:after="0"/>
      </w:pPr>
      <w:r>
        <w:separator/>
      </w:r>
    </w:p>
  </w:footnote>
  <w:footnote w:type="continuationSeparator" w:id="0">
    <w:p w:rsidR="00C02579" w:rsidRDefault="00C02579" w:rsidP="00335E25">
      <w:pPr>
        <w:spacing w:after="0"/>
      </w:pPr>
      <w:r>
        <w:continuationSeparator/>
      </w:r>
    </w:p>
  </w:footnote>
  <w:footnote w:id="1">
    <w:p w:rsidR="00B86BC8" w:rsidRPr="0009002B" w:rsidRDefault="00B86BC8" w:rsidP="0009002B">
      <w:pPr>
        <w:pStyle w:val="FootnoteText"/>
        <w:spacing w:after="60"/>
        <w:ind w:left="432" w:hanging="432"/>
        <w:rPr>
          <w:rFonts w:ascii="Times New Roman" w:hAnsi="Times New Roman"/>
        </w:rPr>
      </w:pPr>
      <w:r w:rsidRPr="0009002B">
        <w:rPr>
          <w:rStyle w:val="FootnoteReference"/>
          <w:rFonts w:ascii="Times New Roman" w:hAnsi="Times New Roman"/>
        </w:rPr>
        <w:footnoteRef/>
      </w:r>
      <w:r w:rsidRPr="0009002B">
        <w:rPr>
          <w:rFonts w:ascii="Times New Roman" w:hAnsi="Times New Roman"/>
        </w:rPr>
        <w:t xml:space="preserve"> </w:t>
      </w:r>
      <w:r w:rsidRPr="0009002B">
        <w:rPr>
          <w:rFonts w:ascii="Times New Roman" w:hAnsi="Times New Roman"/>
        </w:rPr>
        <w:tab/>
        <w:t>Policy Statement to Review State Universal Service Policies, Docket UT-100562, Notice Seeking Comment on Draft Legislation to Establish a State Universal Service Fund, August 1, 2012.</w:t>
      </w:r>
    </w:p>
  </w:footnote>
  <w:footnote w:id="2">
    <w:p w:rsidR="00D33C0F" w:rsidRPr="0009002B" w:rsidRDefault="00D33C0F" w:rsidP="0009002B">
      <w:pPr>
        <w:pStyle w:val="FootnoteText"/>
        <w:spacing w:after="60"/>
        <w:ind w:left="432" w:hanging="432"/>
        <w:rPr>
          <w:rFonts w:ascii="Times New Roman" w:hAnsi="Times New Roman"/>
        </w:rPr>
      </w:pPr>
      <w:r w:rsidRPr="0009002B">
        <w:rPr>
          <w:rStyle w:val="FootnoteReference"/>
          <w:rFonts w:ascii="Times New Roman" w:hAnsi="Times New Roman"/>
        </w:rPr>
        <w:footnoteRef/>
      </w:r>
      <w:r w:rsidRPr="0009002B">
        <w:rPr>
          <w:rFonts w:ascii="Times New Roman" w:hAnsi="Times New Roman"/>
        </w:rPr>
        <w:t xml:space="preserve"> </w:t>
      </w:r>
      <w:r w:rsidRPr="0009002B">
        <w:rPr>
          <w:rFonts w:ascii="Times New Roman" w:hAnsi="Times New Roman"/>
        </w:rPr>
        <w:tab/>
        <w:t>Universal Service Program draft legislation § 3(1), “shall not exceed XX million dollars in annual distributions.”  Note that the size of the cap has not yet been established in the draft legislation.</w:t>
      </w:r>
    </w:p>
  </w:footnote>
  <w:footnote w:id="3">
    <w:p w:rsidR="00D33C0F" w:rsidRPr="0009002B" w:rsidRDefault="00D33C0F" w:rsidP="0009002B">
      <w:pPr>
        <w:pStyle w:val="FootnoteText"/>
        <w:spacing w:after="60"/>
        <w:ind w:left="432" w:hanging="432"/>
        <w:rPr>
          <w:rFonts w:ascii="Times New Roman" w:hAnsi="Times New Roman"/>
        </w:rPr>
      </w:pPr>
      <w:r w:rsidRPr="0009002B">
        <w:rPr>
          <w:rStyle w:val="FootnoteReference"/>
          <w:rFonts w:ascii="Times New Roman" w:hAnsi="Times New Roman"/>
        </w:rPr>
        <w:footnoteRef/>
      </w:r>
      <w:r w:rsidRPr="0009002B">
        <w:rPr>
          <w:rFonts w:ascii="Times New Roman" w:hAnsi="Times New Roman"/>
        </w:rPr>
        <w:t xml:space="preserve"> </w:t>
      </w:r>
      <w:r w:rsidRPr="0009002B">
        <w:rPr>
          <w:rFonts w:ascii="Times New Roman" w:hAnsi="Times New Roman"/>
        </w:rPr>
        <w:tab/>
        <w:t>Universal Service Program draft legislation § 3(1), “shall be funded on an equitable and non-discriminatory basis by every communications provider.”</w:t>
      </w:r>
    </w:p>
  </w:footnote>
  <w:footnote w:id="4">
    <w:p w:rsidR="00D33C0F" w:rsidRPr="0009002B" w:rsidRDefault="00D33C0F" w:rsidP="0009002B">
      <w:pPr>
        <w:pStyle w:val="FootnoteText"/>
        <w:spacing w:after="60"/>
        <w:ind w:left="432" w:hanging="432"/>
        <w:rPr>
          <w:rFonts w:ascii="Times New Roman" w:hAnsi="Times New Roman"/>
        </w:rPr>
      </w:pPr>
      <w:r w:rsidRPr="0009002B">
        <w:rPr>
          <w:rStyle w:val="FootnoteReference"/>
          <w:rFonts w:ascii="Times New Roman" w:hAnsi="Times New Roman"/>
        </w:rPr>
        <w:footnoteRef/>
      </w:r>
      <w:r w:rsidRPr="0009002B">
        <w:rPr>
          <w:rFonts w:ascii="Times New Roman" w:hAnsi="Times New Roman"/>
        </w:rPr>
        <w:t xml:space="preserve"> </w:t>
      </w:r>
      <w:r w:rsidRPr="0009002B">
        <w:rPr>
          <w:rFonts w:ascii="Times New Roman" w:hAnsi="Times New Roman"/>
        </w:rPr>
        <w:tab/>
        <w:t>Universal Service Program draft legislation § 3(2).</w:t>
      </w:r>
    </w:p>
  </w:footnote>
  <w:footnote w:id="5">
    <w:p w:rsidR="00D33C0F" w:rsidRPr="0009002B" w:rsidRDefault="00D33C0F" w:rsidP="0009002B">
      <w:pPr>
        <w:pStyle w:val="FootnoteText"/>
        <w:spacing w:after="60"/>
        <w:ind w:left="432" w:hanging="432"/>
        <w:rPr>
          <w:rFonts w:ascii="Times New Roman" w:hAnsi="Times New Roman"/>
        </w:rPr>
      </w:pPr>
      <w:r w:rsidRPr="0009002B">
        <w:rPr>
          <w:rStyle w:val="FootnoteReference"/>
          <w:rFonts w:ascii="Times New Roman" w:hAnsi="Times New Roman"/>
        </w:rPr>
        <w:footnoteRef/>
      </w:r>
      <w:r w:rsidRPr="0009002B">
        <w:rPr>
          <w:rFonts w:ascii="Times New Roman" w:hAnsi="Times New Roman"/>
        </w:rPr>
        <w:t xml:space="preserve"> </w:t>
      </w:r>
      <w:r w:rsidRPr="0009002B">
        <w:rPr>
          <w:rFonts w:ascii="Times New Roman" w:hAnsi="Times New Roman"/>
        </w:rPr>
        <w:tab/>
        <w:t>Universal Service Program draft legislation § 3(5), “[t]he commission shall establish eligibility criteria.”</w:t>
      </w:r>
    </w:p>
  </w:footnote>
  <w:footnote w:id="6">
    <w:p w:rsidR="00D33C0F" w:rsidRPr="0009002B" w:rsidRDefault="00D33C0F" w:rsidP="0009002B">
      <w:pPr>
        <w:pStyle w:val="FootnoteText"/>
        <w:spacing w:after="60"/>
        <w:ind w:left="432" w:hanging="432"/>
        <w:rPr>
          <w:rFonts w:ascii="Times New Roman" w:hAnsi="Times New Roman"/>
        </w:rPr>
      </w:pPr>
      <w:r w:rsidRPr="0009002B">
        <w:rPr>
          <w:rStyle w:val="FootnoteReference"/>
          <w:rFonts w:ascii="Times New Roman" w:hAnsi="Times New Roman"/>
        </w:rPr>
        <w:footnoteRef/>
      </w:r>
      <w:r w:rsidRPr="0009002B">
        <w:rPr>
          <w:rFonts w:ascii="Times New Roman" w:hAnsi="Times New Roman"/>
        </w:rPr>
        <w:t xml:space="preserve"> </w:t>
      </w:r>
      <w:r w:rsidRPr="0009002B">
        <w:rPr>
          <w:rFonts w:ascii="Times New Roman" w:hAnsi="Times New Roman"/>
        </w:rPr>
        <w:tab/>
        <w:t>Universal Service Program draft legislation § 3(5), “establish annual benchmarks of a reasonable amount customers should pay for basic residential service.”</w:t>
      </w:r>
    </w:p>
  </w:footnote>
  <w:footnote w:id="7">
    <w:p w:rsidR="00D33C0F" w:rsidRPr="0009002B" w:rsidRDefault="00D33C0F" w:rsidP="0009002B">
      <w:pPr>
        <w:pStyle w:val="FootnoteText"/>
        <w:spacing w:after="60"/>
        <w:ind w:left="432" w:hanging="432"/>
        <w:rPr>
          <w:rFonts w:ascii="Times New Roman" w:hAnsi="Times New Roman"/>
        </w:rPr>
      </w:pPr>
      <w:r w:rsidRPr="0009002B">
        <w:rPr>
          <w:rStyle w:val="FootnoteReference"/>
          <w:rFonts w:ascii="Times New Roman" w:hAnsi="Times New Roman"/>
        </w:rPr>
        <w:footnoteRef/>
      </w:r>
      <w:r w:rsidRPr="0009002B">
        <w:rPr>
          <w:rFonts w:ascii="Times New Roman" w:hAnsi="Times New Roman"/>
        </w:rPr>
        <w:t xml:space="preserve"> </w:t>
      </w:r>
      <w:r w:rsidRPr="0009002B">
        <w:rPr>
          <w:rFonts w:ascii="Times New Roman" w:hAnsi="Times New Roman"/>
        </w:rPr>
        <w:tab/>
        <w:t>Universal Service Program draft legislation § 3(5), “[o]nly incumbent local exchange carriers serving fewer than two percent of the access lines in the State of Washington… are eligible to receive support from the fund.”</w:t>
      </w:r>
    </w:p>
  </w:footnote>
  <w:footnote w:id="8">
    <w:p w:rsidR="00414F6F" w:rsidRPr="0009002B" w:rsidRDefault="00414F6F" w:rsidP="0009002B">
      <w:pPr>
        <w:pStyle w:val="FootnoteText"/>
        <w:spacing w:after="60"/>
        <w:ind w:left="432" w:hanging="432"/>
        <w:rPr>
          <w:rFonts w:ascii="Times New Roman" w:hAnsi="Times New Roman"/>
        </w:rPr>
      </w:pPr>
      <w:r w:rsidRPr="0009002B">
        <w:rPr>
          <w:rStyle w:val="FootnoteReference"/>
          <w:rFonts w:ascii="Times New Roman" w:hAnsi="Times New Roman"/>
        </w:rPr>
        <w:footnoteRef/>
      </w:r>
      <w:r w:rsidRPr="0009002B">
        <w:rPr>
          <w:rFonts w:ascii="Times New Roman" w:hAnsi="Times New Roman"/>
        </w:rPr>
        <w:t xml:space="preserve"> </w:t>
      </w:r>
      <w:r w:rsidRPr="0009002B">
        <w:rPr>
          <w:rFonts w:ascii="Times New Roman" w:hAnsi="Times New Roman"/>
        </w:rPr>
        <w:tab/>
        <w:t>Universal Service Program draft legislation § 7, “expire five years after the effective date.”</w:t>
      </w:r>
    </w:p>
  </w:footnote>
  <w:footnote w:id="9">
    <w:p w:rsidR="008E726A" w:rsidRPr="0009002B" w:rsidRDefault="008E726A" w:rsidP="0009002B">
      <w:pPr>
        <w:pStyle w:val="FootnoteText"/>
        <w:spacing w:after="60"/>
        <w:ind w:left="432" w:hanging="432"/>
        <w:rPr>
          <w:rFonts w:ascii="Times New Roman" w:hAnsi="Times New Roman"/>
        </w:rPr>
      </w:pPr>
      <w:r w:rsidRPr="0009002B">
        <w:rPr>
          <w:rStyle w:val="FootnoteReference"/>
          <w:rFonts w:ascii="Times New Roman" w:hAnsi="Times New Roman"/>
        </w:rPr>
        <w:footnoteRef/>
      </w:r>
      <w:r w:rsidRPr="0009002B">
        <w:rPr>
          <w:rFonts w:ascii="Times New Roman" w:hAnsi="Times New Roman"/>
        </w:rPr>
        <w:t xml:space="preserve"> </w:t>
      </w:r>
      <w:r w:rsidRPr="0009002B">
        <w:rPr>
          <w:rFonts w:ascii="Times New Roman" w:hAnsi="Times New Roman"/>
        </w:rPr>
        <w:tab/>
        <w:t>Universal Service Program draft legislation § 7.</w:t>
      </w:r>
    </w:p>
  </w:footnote>
  <w:footnote w:id="10">
    <w:p w:rsidR="00417F40" w:rsidRPr="0009002B" w:rsidRDefault="00417F40" w:rsidP="0009002B">
      <w:pPr>
        <w:pStyle w:val="FootnoteText"/>
        <w:spacing w:after="60"/>
        <w:ind w:left="432" w:hanging="432"/>
        <w:rPr>
          <w:rFonts w:ascii="Times New Roman" w:hAnsi="Times New Roman"/>
        </w:rPr>
      </w:pPr>
      <w:r w:rsidRPr="0009002B">
        <w:rPr>
          <w:rStyle w:val="FootnoteReference"/>
          <w:rFonts w:ascii="Times New Roman" w:hAnsi="Times New Roman"/>
        </w:rPr>
        <w:footnoteRef/>
      </w:r>
      <w:r w:rsidRPr="0009002B">
        <w:rPr>
          <w:rFonts w:ascii="Times New Roman" w:hAnsi="Times New Roman"/>
        </w:rPr>
        <w:t xml:space="preserve"> </w:t>
      </w:r>
      <w:r w:rsidRPr="0009002B">
        <w:rPr>
          <w:rFonts w:ascii="Times New Roman" w:hAnsi="Times New Roman"/>
        </w:rPr>
        <w:tab/>
        <w:t>Universal Service Program draft legislation § 3(1).</w:t>
      </w:r>
    </w:p>
  </w:footnote>
  <w:footnote w:id="11">
    <w:p w:rsidR="001C51A3" w:rsidRPr="0009002B" w:rsidRDefault="001C51A3" w:rsidP="0009002B">
      <w:pPr>
        <w:pStyle w:val="FootnoteText"/>
        <w:spacing w:after="60"/>
        <w:ind w:left="432" w:hanging="432"/>
        <w:rPr>
          <w:rFonts w:ascii="Times New Roman" w:hAnsi="Times New Roman"/>
        </w:rPr>
      </w:pPr>
      <w:r w:rsidRPr="0009002B">
        <w:rPr>
          <w:rStyle w:val="FootnoteReference"/>
          <w:rFonts w:ascii="Times New Roman" w:hAnsi="Times New Roman"/>
        </w:rPr>
        <w:footnoteRef/>
      </w:r>
      <w:r w:rsidRPr="0009002B">
        <w:rPr>
          <w:rFonts w:ascii="Times New Roman" w:hAnsi="Times New Roman"/>
        </w:rPr>
        <w:t xml:space="preserve"> </w:t>
      </w:r>
      <w:r w:rsidRPr="0009002B">
        <w:rPr>
          <w:rFonts w:ascii="Times New Roman" w:hAnsi="Times New Roman"/>
        </w:rPr>
        <w:tab/>
        <w:t>Universal Service Program draft legislation § 2(3).</w:t>
      </w:r>
    </w:p>
  </w:footnote>
  <w:footnote w:id="12">
    <w:p w:rsidR="001C51A3" w:rsidRPr="0009002B" w:rsidRDefault="001C51A3" w:rsidP="0009002B">
      <w:pPr>
        <w:pStyle w:val="FootnoteText"/>
        <w:spacing w:after="60"/>
        <w:ind w:left="432" w:hanging="432"/>
        <w:rPr>
          <w:rFonts w:ascii="Times New Roman" w:hAnsi="Times New Roman"/>
        </w:rPr>
      </w:pPr>
      <w:r w:rsidRPr="0009002B">
        <w:rPr>
          <w:rStyle w:val="FootnoteReference"/>
          <w:rFonts w:ascii="Times New Roman" w:hAnsi="Times New Roman"/>
        </w:rPr>
        <w:footnoteRef/>
      </w:r>
      <w:r w:rsidRPr="0009002B">
        <w:rPr>
          <w:rFonts w:ascii="Times New Roman" w:hAnsi="Times New Roman"/>
        </w:rPr>
        <w:t xml:space="preserve"> </w:t>
      </w:r>
      <w:r w:rsidRPr="0009002B">
        <w:rPr>
          <w:rFonts w:ascii="Times New Roman" w:hAnsi="Times New Roman"/>
        </w:rPr>
        <w:tab/>
        <w:t>Universal Service Program draft legislation § 3(1).</w:t>
      </w:r>
    </w:p>
  </w:footnote>
  <w:footnote w:id="13">
    <w:p w:rsidR="00414F6F" w:rsidRPr="0009002B" w:rsidRDefault="00414F6F" w:rsidP="0009002B">
      <w:pPr>
        <w:pStyle w:val="FootnoteText"/>
        <w:spacing w:after="60"/>
        <w:ind w:left="432" w:hanging="432"/>
        <w:rPr>
          <w:rFonts w:ascii="Times New Roman" w:hAnsi="Times New Roman"/>
        </w:rPr>
      </w:pPr>
      <w:r w:rsidRPr="0009002B">
        <w:rPr>
          <w:rStyle w:val="FootnoteReference"/>
          <w:rFonts w:ascii="Times New Roman" w:hAnsi="Times New Roman"/>
        </w:rPr>
        <w:footnoteRef/>
      </w:r>
      <w:r w:rsidRPr="0009002B">
        <w:rPr>
          <w:rFonts w:ascii="Times New Roman" w:hAnsi="Times New Roman"/>
        </w:rPr>
        <w:t xml:space="preserve"> </w:t>
      </w:r>
      <w:r w:rsidRPr="0009002B">
        <w:rPr>
          <w:rFonts w:ascii="Times New Roman" w:hAnsi="Times New Roman"/>
        </w:rPr>
        <w:tab/>
      </w:r>
      <w:r w:rsidRPr="0009002B">
        <w:rPr>
          <w:rFonts w:ascii="Times New Roman" w:hAnsi="Times New Roman"/>
          <w:i/>
        </w:rPr>
        <w:t>Universal Service Contribution Methodology; A National Broadband Plan For Our Future</w:t>
      </w:r>
      <w:r w:rsidRPr="0009002B">
        <w:rPr>
          <w:rFonts w:ascii="Times New Roman" w:hAnsi="Times New Roman"/>
        </w:rPr>
        <w:t>, WC Dkt. No. 06-122 &amp; GN Dkt. No. 09-51.</w:t>
      </w:r>
    </w:p>
  </w:footnote>
  <w:footnote w:id="14">
    <w:p w:rsidR="00414F6F" w:rsidRDefault="00414F6F" w:rsidP="0009002B">
      <w:pPr>
        <w:pStyle w:val="FootnoteText"/>
        <w:spacing w:after="60"/>
        <w:ind w:left="432" w:hanging="432"/>
      </w:pPr>
      <w:r w:rsidRPr="0009002B">
        <w:rPr>
          <w:rStyle w:val="FootnoteReference"/>
          <w:rFonts w:ascii="Times New Roman" w:hAnsi="Times New Roman"/>
        </w:rPr>
        <w:footnoteRef/>
      </w:r>
      <w:r w:rsidRPr="0009002B">
        <w:rPr>
          <w:rFonts w:ascii="Times New Roman" w:hAnsi="Times New Roman"/>
        </w:rPr>
        <w:t xml:space="preserve"> </w:t>
      </w:r>
      <w:r w:rsidRPr="0009002B">
        <w:rPr>
          <w:rFonts w:ascii="Times New Roman" w:hAnsi="Times New Roman"/>
        </w:rPr>
        <w:tab/>
        <w:t>Universal Service Program draft legislation §§ 7 &amp; 8.  The effective date is set as one year after enactment.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64C4" w:rsidRDefault="001564C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64C4" w:rsidRDefault="001564C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64C4" w:rsidRDefault="001564C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C70E83"/>
    <w:multiLevelType w:val="hybridMultilevel"/>
    <w:tmpl w:val="091482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4291"/>
    <w:rsid w:val="0001332C"/>
    <w:rsid w:val="0005296B"/>
    <w:rsid w:val="0009002B"/>
    <w:rsid w:val="000A4291"/>
    <w:rsid w:val="000B1C23"/>
    <w:rsid w:val="000B750A"/>
    <w:rsid w:val="000F270A"/>
    <w:rsid w:val="001564C4"/>
    <w:rsid w:val="001617E5"/>
    <w:rsid w:val="001C51A3"/>
    <w:rsid w:val="001D2A2E"/>
    <w:rsid w:val="00245882"/>
    <w:rsid w:val="002D0A13"/>
    <w:rsid w:val="002F0774"/>
    <w:rsid w:val="00326809"/>
    <w:rsid w:val="00335E25"/>
    <w:rsid w:val="00337EA8"/>
    <w:rsid w:val="00363F5B"/>
    <w:rsid w:val="00386D39"/>
    <w:rsid w:val="003B2F01"/>
    <w:rsid w:val="003F28A2"/>
    <w:rsid w:val="00410564"/>
    <w:rsid w:val="00414F6F"/>
    <w:rsid w:val="00417F40"/>
    <w:rsid w:val="004313B8"/>
    <w:rsid w:val="004415AE"/>
    <w:rsid w:val="004D44C4"/>
    <w:rsid w:val="005240BB"/>
    <w:rsid w:val="0057005D"/>
    <w:rsid w:val="00597602"/>
    <w:rsid w:val="005B34D7"/>
    <w:rsid w:val="005C34E3"/>
    <w:rsid w:val="005D5B5E"/>
    <w:rsid w:val="005F6F61"/>
    <w:rsid w:val="00604C89"/>
    <w:rsid w:val="00672FDB"/>
    <w:rsid w:val="0067549F"/>
    <w:rsid w:val="006A2639"/>
    <w:rsid w:val="006D3D2A"/>
    <w:rsid w:val="00732B12"/>
    <w:rsid w:val="00757403"/>
    <w:rsid w:val="00771033"/>
    <w:rsid w:val="0078581D"/>
    <w:rsid w:val="007A7ACB"/>
    <w:rsid w:val="007E21D3"/>
    <w:rsid w:val="00827FD7"/>
    <w:rsid w:val="00850A48"/>
    <w:rsid w:val="00851137"/>
    <w:rsid w:val="008A2D97"/>
    <w:rsid w:val="008B369B"/>
    <w:rsid w:val="008B7923"/>
    <w:rsid w:val="008E726A"/>
    <w:rsid w:val="0097676F"/>
    <w:rsid w:val="009972D1"/>
    <w:rsid w:val="009B08B6"/>
    <w:rsid w:val="00A06D66"/>
    <w:rsid w:val="00A345D2"/>
    <w:rsid w:val="00A72B36"/>
    <w:rsid w:val="00A854DB"/>
    <w:rsid w:val="00B70488"/>
    <w:rsid w:val="00B83CF4"/>
    <w:rsid w:val="00B86BC8"/>
    <w:rsid w:val="00BB2724"/>
    <w:rsid w:val="00BE41F3"/>
    <w:rsid w:val="00C02579"/>
    <w:rsid w:val="00C258DD"/>
    <w:rsid w:val="00C75E11"/>
    <w:rsid w:val="00CF71BC"/>
    <w:rsid w:val="00D169FD"/>
    <w:rsid w:val="00D33C0F"/>
    <w:rsid w:val="00D379EB"/>
    <w:rsid w:val="00E4264D"/>
    <w:rsid w:val="00E8098F"/>
    <w:rsid w:val="00E83131"/>
    <w:rsid w:val="00E977E5"/>
    <w:rsid w:val="00EA25F9"/>
    <w:rsid w:val="00EC460B"/>
    <w:rsid w:val="00EE6B69"/>
    <w:rsid w:val="00EF2EFF"/>
    <w:rsid w:val="00F23029"/>
    <w:rsid w:val="00F51D68"/>
    <w:rsid w:val="00FA5D81"/>
    <w:rsid w:val="00FC5C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2D1"/>
    <w:pPr>
      <w:spacing w:after="200"/>
      <w:jc w:val="both"/>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A429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0A4291"/>
    <w:pPr>
      <w:jc w:val="both"/>
    </w:pPr>
    <w:rPr>
      <w:sz w:val="22"/>
      <w:szCs w:val="22"/>
    </w:rPr>
  </w:style>
  <w:style w:type="paragraph" w:styleId="ListParagraph">
    <w:name w:val="List Paragraph"/>
    <w:basedOn w:val="Normal"/>
    <w:uiPriority w:val="34"/>
    <w:qFormat/>
    <w:rsid w:val="000A4291"/>
    <w:pPr>
      <w:ind w:left="720"/>
      <w:contextualSpacing/>
    </w:pPr>
  </w:style>
  <w:style w:type="paragraph" w:styleId="FootnoteText">
    <w:name w:val="footnote text"/>
    <w:aliases w:val="Footnote Text Char1"/>
    <w:basedOn w:val="Normal"/>
    <w:link w:val="FootnoteTextChar"/>
    <w:semiHidden/>
    <w:unhideWhenUsed/>
    <w:rsid w:val="00335E25"/>
    <w:pPr>
      <w:spacing w:after="0"/>
    </w:pPr>
    <w:rPr>
      <w:sz w:val="20"/>
      <w:szCs w:val="20"/>
    </w:rPr>
  </w:style>
  <w:style w:type="character" w:customStyle="1" w:styleId="FootnoteTextChar">
    <w:name w:val="Footnote Text Char"/>
    <w:aliases w:val="Footnote Text Char1 Char"/>
    <w:basedOn w:val="DefaultParagraphFont"/>
    <w:link w:val="FootnoteText"/>
    <w:rsid w:val="00335E25"/>
    <w:rPr>
      <w:sz w:val="20"/>
      <w:szCs w:val="20"/>
    </w:rPr>
  </w:style>
  <w:style w:type="character" w:styleId="FootnoteReference">
    <w:name w:val="footnote reference"/>
    <w:basedOn w:val="DefaultParagraphFont"/>
    <w:semiHidden/>
    <w:unhideWhenUsed/>
    <w:rsid w:val="00335E25"/>
    <w:rPr>
      <w:vertAlign w:val="superscript"/>
    </w:rPr>
  </w:style>
  <w:style w:type="paragraph" w:styleId="BalloonText">
    <w:name w:val="Balloon Text"/>
    <w:basedOn w:val="Normal"/>
    <w:link w:val="BalloonTextChar"/>
    <w:uiPriority w:val="99"/>
    <w:semiHidden/>
    <w:unhideWhenUsed/>
    <w:rsid w:val="0075740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7403"/>
    <w:rPr>
      <w:rFonts w:ascii="Tahoma" w:hAnsi="Tahoma" w:cs="Tahoma"/>
      <w:sz w:val="16"/>
      <w:szCs w:val="16"/>
    </w:rPr>
  </w:style>
  <w:style w:type="character" w:styleId="Hyperlink">
    <w:name w:val="Hyperlink"/>
    <w:basedOn w:val="DefaultParagraphFont"/>
    <w:uiPriority w:val="99"/>
    <w:unhideWhenUsed/>
    <w:rsid w:val="00732B12"/>
    <w:rPr>
      <w:color w:val="0000FF"/>
      <w:u w:val="single"/>
    </w:rPr>
  </w:style>
  <w:style w:type="paragraph" w:customStyle="1" w:styleId="Default">
    <w:name w:val="Default"/>
    <w:rsid w:val="008E726A"/>
    <w:pPr>
      <w:autoSpaceDE w:val="0"/>
      <w:autoSpaceDN w:val="0"/>
      <w:adjustRightInd w:val="0"/>
    </w:pPr>
    <w:rPr>
      <w:rFonts w:ascii="Times New Roman" w:hAnsi="Times New Roman"/>
      <w:color w:val="000000"/>
      <w:sz w:val="24"/>
      <w:szCs w:val="24"/>
    </w:rPr>
  </w:style>
  <w:style w:type="paragraph" w:styleId="Header">
    <w:name w:val="header"/>
    <w:basedOn w:val="Normal"/>
    <w:link w:val="HeaderChar"/>
    <w:uiPriority w:val="99"/>
    <w:unhideWhenUsed/>
    <w:rsid w:val="0001332C"/>
    <w:pPr>
      <w:tabs>
        <w:tab w:val="center" w:pos="4680"/>
        <w:tab w:val="right" w:pos="9360"/>
      </w:tabs>
      <w:spacing w:after="0"/>
    </w:pPr>
  </w:style>
  <w:style w:type="character" w:customStyle="1" w:styleId="HeaderChar">
    <w:name w:val="Header Char"/>
    <w:basedOn w:val="DefaultParagraphFont"/>
    <w:link w:val="Header"/>
    <w:uiPriority w:val="99"/>
    <w:rsid w:val="0001332C"/>
    <w:rPr>
      <w:sz w:val="22"/>
      <w:szCs w:val="22"/>
    </w:rPr>
  </w:style>
  <w:style w:type="paragraph" w:styleId="Footer">
    <w:name w:val="footer"/>
    <w:basedOn w:val="Normal"/>
    <w:link w:val="FooterChar"/>
    <w:uiPriority w:val="99"/>
    <w:unhideWhenUsed/>
    <w:rsid w:val="0001332C"/>
    <w:pPr>
      <w:tabs>
        <w:tab w:val="center" w:pos="4680"/>
        <w:tab w:val="right" w:pos="9360"/>
      </w:tabs>
      <w:spacing w:after="0"/>
    </w:pPr>
  </w:style>
  <w:style w:type="character" w:customStyle="1" w:styleId="FooterChar">
    <w:name w:val="Footer Char"/>
    <w:basedOn w:val="DefaultParagraphFont"/>
    <w:link w:val="Footer"/>
    <w:uiPriority w:val="99"/>
    <w:rsid w:val="0001332C"/>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2D1"/>
    <w:pPr>
      <w:spacing w:after="200"/>
      <w:jc w:val="both"/>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A429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0A4291"/>
    <w:pPr>
      <w:jc w:val="both"/>
    </w:pPr>
    <w:rPr>
      <w:sz w:val="22"/>
      <w:szCs w:val="22"/>
    </w:rPr>
  </w:style>
  <w:style w:type="paragraph" w:styleId="ListParagraph">
    <w:name w:val="List Paragraph"/>
    <w:basedOn w:val="Normal"/>
    <w:uiPriority w:val="34"/>
    <w:qFormat/>
    <w:rsid w:val="000A4291"/>
    <w:pPr>
      <w:ind w:left="720"/>
      <w:contextualSpacing/>
    </w:pPr>
  </w:style>
  <w:style w:type="paragraph" w:styleId="FootnoteText">
    <w:name w:val="footnote text"/>
    <w:aliases w:val="Footnote Text Char1"/>
    <w:basedOn w:val="Normal"/>
    <w:link w:val="FootnoteTextChar"/>
    <w:semiHidden/>
    <w:unhideWhenUsed/>
    <w:rsid w:val="00335E25"/>
    <w:pPr>
      <w:spacing w:after="0"/>
    </w:pPr>
    <w:rPr>
      <w:sz w:val="20"/>
      <w:szCs w:val="20"/>
    </w:rPr>
  </w:style>
  <w:style w:type="character" w:customStyle="1" w:styleId="FootnoteTextChar">
    <w:name w:val="Footnote Text Char"/>
    <w:aliases w:val="Footnote Text Char1 Char"/>
    <w:basedOn w:val="DefaultParagraphFont"/>
    <w:link w:val="FootnoteText"/>
    <w:rsid w:val="00335E25"/>
    <w:rPr>
      <w:sz w:val="20"/>
      <w:szCs w:val="20"/>
    </w:rPr>
  </w:style>
  <w:style w:type="character" w:styleId="FootnoteReference">
    <w:name w:val="footnote reference"/>
    <w:basedOn w:val="DefaultParagraphFont"/>
    <w:semiHidden/>
    <w:unhideWhenUsed/>
    <w:rsid w:val="00335E25"/>
    <w:rPr>
      <w:vertAlign w:val="superscript"/>
    </w:rPr>
  </w:style>
  <w:style w:type="paragraph" w:styleId="BalloonText">
    <w:name w:val="Balloon Text"/>
    <w:basedOn w:val="Normal"/>
    <w:link w:val="BalloonTextChar"/>
    <w:uiPriority w:val="99"/>
    <w:semiHidden/>
    <w:unhideWhenUsed/>
    <w:rsid w:val="0075740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7403"/>
    <w:rPr>
      <w:rFonts w:ascii="Tahoma" w:hAnsi="Tahoma" w:cs="Tahoma"/>
      <w:sz w:val="16"/>
      <w:szCs w:val="16"/>
    </w:rPr>
  </w:style>
  <w:style w:type="character" w:styleId="Hyperlink">
    <w:name w:val="Hyperlink"/>
    <w:basedOn w:val="DefaultParagraphFont"/>
    <w:uiPriority w:val="99"/>
    <w:unhideWhenUsed/>
    <w:rsid w:val="00732B12"/>
    <w:rPr>
      <w:color w:val="0000FF"/>
      <w:u w:val="single"/>
    </w:rPr>
  </w:style>
  <w:style w:type="paragraph" w:customStyle="1" w:styleId="Default">
    <w:name w:val="Default"/>
    <w:rsid w:val="008E726A"/>
    <w:pPr>
      <w:autoSpaceDE w:val="0"/>
      <w:autoSpaceDN w:val="0"/>
      <w:adjustRightInd w:val="0"/>
    </w:pPr>
    <w:rPr>
      <w:rFonts w:ascii="Times New Roman" w:hAnsi="Times New Roman"/>
      <w:color w:val="000000"/>
      <w:sz w:val="24"/>
      <w:szCs w:val="24"/>
    </w:rPr>
  </w:style>
  <w:style w:type="paragraph" w:styleId="Header">
    <w:name w:val="header"/>
    <w:basedOn w:val="Normal"/>
    <w:link w:val="HeaderChar"/>
    <w:uiPriority w:val="99"/>
    <w:unhideWhenUsed/>
    <w:rsid w:val="0001332C"/>
    <w:pPr>
      <w:tabs>
        <w:tab w:val="center" w:pos="4680"/>
        <w:tab w:val="right" w:pos="9360"/>
      </w:tabs>
      <w:spacing w:after="0"/>
    </w:pPr>
  </w:style>
  <w:style w:type="character" w:customStyle="1" w:styleId="HeaderChar">
    <w:name w:val="Header Char"/>
    <w:basedOn w:val="DefaultParagraphFont"/>
    <w:link w:val="Header"/>
    <w:uiPriority w:val="99"/>
    <w:rsid w:val="0001332C"/>
    <w:rPr>
      <w:sz w:val="22"/>
      <w:szCs w:val="22"/>
    </w:rPr>
  </w:style>
  <w:style w:type="paragraph" w:styleId="Footer">
    <w:name w:val="footer"/>
    <w:basedOn w:val="Normal"/>
    <w:link w:val="FooterChar"/>
    <w:uiPriority w:val="99"/>
    <w:unhideWhenUsed/>
    <w:rsid w:val="0001332C"/>
    <w:pPr>
      <w:tabs>
        <w:tab w:val="center" w:pos="4680"/>
        <w:tab w:val="right" w:pos="9360"/>
      </w:tabs>
      <w:spacing w:after="0"/>
    </w:pPr>
  </w:style>
  <w:style w:type="character" w:customStyle="1" w:styleId="FooterChar">
    <w:name w:val="Footer Char"/>
    <w:basedOn w:val="DefaultParagraphFont"/>
    <w:link w:val="Footer"/>
    <w:uiPriority w:val="99"/>
    <w:rsid w:val="0001332C"/>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4925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customXml" Target="../customXml/item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hyperlink" Target="mailto:dkdenney@integratelecom.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ACFB75134C8974E85C00FB4D29BB1AC" ma:contentTypeVersion="131" ma:contentTypeDescription="" ma:contentTypeScope="" ma:versionID="b7b9907a3537b18e4795b786a84ba1e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Comment</DocumentSetType>
    <IsConfidential xmlns="dc463f71-b30c-4ab2-9473-d307f9d35888">false</IsConfidential>
    <AgendaOrder xmlns="dc463f71-b30c-4ab2-9473-d307f9d35888">false</AgendaOrder>
    <CaseType xmlns="dc463f71-b30c-4ab2-9473-d307f9d35888">Staff Investigation</CaseType>
    <IndustryCode xmlns="dc463f71-b30c-4ab2-9473-d307f9d35888">170</IndustryCode>
    <CaseStatus xmlns="dc463f71-b30c-4ab2-9473-d307f9d35888">Closed</CaseStatus>
    <OpenedDate xmlns="dc463f71-b30c-4ab2-9473-d307f9d35888">2010-04-07T07:00:00+00:00</OpenedDate>
    <Date1 xmlns="dc463f71-b30c-4ab2-9473-d307f9d35888">2012-08-10T07:00:00+00:00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100562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69A7D524-7AC4-478F-8049-8A3A7EF9CBAB}"/>
</file>

<file path=customXml/itemProps2.xml><?xml version="1.0" encoding="utf-8"?>
<ds:datastoreItem xmlns:ds="http://schemas.openxmlformats.org/officeDocument/2006/customXml" ds:itemID="{CB9690AC-BE03-40AD-9E65-012C71C820EB}"/>
</file>

<file path=customXml/itemProps3.xml><?xml version="1.0" encoding="utf-8"?>
<ds:datastoreItem xmlns:ds="http://schemas.openxmlformats.org/officeDocument/2006/customXml" ds:itemID="{825490AB-2DD3-4A37-B20E-863D740AEB52}"/>
</file>

<file path=customXml/itemProps4.xml><?xml version="1.0" encoding="utf-8"?>
<ds:datastoreItem xmlns:ds="http://schemas.openxmlformats.org/officeDocument/2006/customXml" ds:itemID="{FD410D95-AF17-4896-B2A3-A1CA99E793F0}"/>
</file>

<file path=customXml/itemProps5.xml><?xml version="1.0" encoding="utf-8"?>
<ds:datastoreItem xmlns:ds="http://schemas.openxmlformats.org/officeDocument/2006/customXml" ds:itemID="{FF6C6CB9-D418-4EB6-9BA3-770134F94BA7}"/>
</file>

<file path=docProps/app.xml><?xml version="1.0" encoding="utf-8"?>
<Properties xmlns="http://schemas.openxmlformats.org/officeDocument/2006/extended-properties" xmlns:vt="http://schemas.openxmlformats.org/officeDocument/2006/docPropsVTypes">
  <Pages>5</Pages>
  <Words>981</Words>
  <Characters>5708</Characters>
  <Application>Microsoft Office Word</Application>
  <DocSecurity>0</DocSecurity>
  <Lines>111</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6689</CharactersWithSpaces>
  <SharedDoc>false</SharedDoc>
  <HyperlinkBase/>
  <HLinks>
    <vt:vector size="6" baseType="variant">
      <vt:variant>
        <vt:i4>4718694</vt:i4>
      </vt:variant>
      <vt:variant>
        <vt:i4>0</vt:i4>
      </vt:variant>
      <vt:variant>
        <vt:i4>0</vt:i4>
      </vt:variant>
      <vt:variant>
        <vt:i4>5</vt:i4>
      </vt:variant>
      <vt:variant>
        <vt:lpwstr>mailto:dkdenney@integratelecom.com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3" name="WS_TRACKING_ID">
    <vt:lpwstr>e6293ec1-8f46-4346-b887-8e56e1ee185c</vt:lpwstr>
  </property>
  <property fmtid="{D5CDD505-2E9C-101B-9397-08002B2CF9AE}" pid="4" name="ContentTypeId">
    <vt:lpwstr>0x0101006E56B4D1795A2E4DB2F0B01679ED314A00BACFB75134C8974E85C00FB4D29BB1AC</vt:lpwstr>
  </property>
  <property fmtid="{D5CDD505-2E9C-101B-9397-08002B2CF9AE}" pid="5" name="_docset_NoMedatataSyncRequired">
    <vt:lpwstr>False</vt:lpwstr>
  </property>
</Properties>
</file>