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D3B" w:rsidRPr="00044D47" w:rsidRDefault="002C2F80">
      <w:pPr>
        <w:pStyle w:val="Question"/>
        <w:jc w:val="center"/>
      </w:pPr>
      <w:r w:rsidRPr="00044D47">
        <w:t>TABLE OF CONTENTS</w:t>
      </w:r>
    </w:p>
    <w:sdt>
      <w:sdtPr>
        <w:id w:val="1051886626"/>
        <w:docPartObj>
          <w:docPartGallery w:val="Table of Contents"/>
          <w:docPartUnique/>
        </w:docPartObj>
      </w:sdtPr>
      <w:sdtEndPr>
        <w:rPr>
          <w:b/>
          <w:bCs/>
          <w:noProof/>
        </w:rPr>
      </w:sdtEndPr>
      <w:sdtContent>
        <w:p w:rsidR="00151D3B" w:rsidRPr="00044D47" w:rsidRDefault="002C2F80" w:rsidP="00290C80">
          <w:pPr>
            <w:pStyle w:val="TOC1"/>
            <w:tabs>
              <w:tab w:val="right" w:leader="dot" w:pos="8990"/>
            </w:tabs>
            <w:spacing w:after="0" w:line="360" w:lineRule="auto"/>
            <w:rPr>
              <w:rFonts w:eastAsiaTheme="minorEastAsia"/>
              <w:noProof/>
              <w:sz w:val="22"/>
              <w:szCs w:val="22"/>
            </w:rPr>
          </w:pPr>
          <w:r w:rsidRPr="00044D47">
            <w:fldChar w:fldCharType="begin"/>
          </w:r>
          <w:r w:rsidRPr="00044D47">
            <w:instrText xml:space="preserve"> TOC \o "1-3" \h \z \u </w:instrText>
          </w:r>
          <w:r w:rsidRPr="00044D47">
            <w:fldChar w:fldCharType="separate"/>
          </w:r>
          <w:hyperlink w:anchor="_Toc450807313" w:history="1">
            <w:r w:rsidRPr="00044D47">
              <w:rPr>
                <w:rStyle w:val="Hyperlink"/>
                <w:noProof/>
              </w:rPr>
              <w:t>PURPOSE AND SUMMARY</w:t>
            </w:r>
            <w:r w:rsidRPr="00044D47">
              <w:rPr>
                <w:noProof/>
                <w:webHidden/>
              </w:rPr>
              <w:tab/>
            </w:r>
            <w:r w:rsidRPr="00044D47">
              <w:rPr>
                <w:noProof/>
                <w:webHidden/>
              </w:rPr>
              <w:fldChar w:fldCharType="begin"/>
            </w:r>
            <w:r w:rsidRPr="00044D47">
              <w:rPr>
                <w:noProof/>
                <w:webHidden/>
              </w:rPr>
              <w:instrText xml:space="preserve"> PAGEREF _Toc450807313 \h </w:instrText>
            </w:r>
            <w:r w:rsidRPr="00044D47">
              <w:rPr>
                <w:noProof/>
                <w:webHidden/>
              </w:rPr>
            </w:r>
            <w:r w:rsidRPr="00044D47">
              <w:rPr>
                <w:noProof/>
                <w:webHidden/>
              </w:rPr>
              <w:fldChar w:fldCharType="separate"/>
            </w:r>
            <w:r w:rsidR="00AF597C">
              <w:rPr>
                <w:noProof/>
                <w:webHidden/>
              </w:rPr>
              <w:t>1</w:t>
            </w:r>
            <w:r w:rsidRPr="00044D47">
              <w:rPr>
                <w:noProof/>
                <w:webHidden/>
              </w:rPr>
              <w:fldChar w:fldCharType="end"/>
            </w:r>
          </w:hyperlink>
        </w:p>
        <w:p w:rsidR="00151D3B" w:rsidRPr="00044D47" w:rsidRDefault="0040201A" w:rsidP="00290C80">
          <w:pPr>
            <w:pStyle w:val="TOC1"/>
            <w:tabs>
              <w:tab w:val="right" w:leader="dot" w:pos="8990"/>
            </w:tabs>
            <w:spacing w:after="0" w:line="360" w:lineRule="auto"/>
            <w:rPr>
              <w:rFonts w:eastAsiaTheme="minorEastAsia"/>
              <w:noProof/>
              <w:sz w:val="22"/>
              <w:szCs w:val="22"/>
            </w:rPr>
          </w:pPr>
          <w:hyperlink w:anchor="_Toc450807314" w:history="1">
            <w:r w:rsidR="002C2F80" w:rsidRPr="00044D47">
              <w:rPr>
                <w:rStyle w:val="Hyperlink"/>
                <w:noProof/>
              </w:rPr>
              <w:t>THE COMPANY’S ANALYSIS</w:t>
            </w:r>
            <w:r w:rsidR="002C2F80" w:rsidRPr="00044D47">
              <w:rPr>
                <w:noProof/>
                <w:webHidden/>
              </w:rPr>
              <w:tab/>
            </w:r>
            <w:r w:rsidR="002C2F80" w:rsidRPr="00044D47">
              <w:rPr>
                <w:noProof/>
                <w:webHidden/>
              </w:rPr>
              <w:fldChar w:fldCharType="begin"/>
            </w:r>
            <w:r w:rsidR="002C2F80" w:rsidRPr="00044D47">
              <w:rPr>
                <w:noProof/>
                <w:webHidden/>
              </w:rPr>
              <w:instrText xml:space="preserve"> PAGEREF _Toc450807314 \h </w:instrText>
            </w:r>
            <w:r w:rsidR="002C2F80" w:rsidRPr="00044D47">
              <w:rPr>
                <w:noProof/>
                <w:webHidden/>
              </w:rPr>
            </w:r>
            <w:r w:rsidR="002C2F80" w:rsidRPr="00044D47">
              <w:rPr>
                <w:noProof/>
                <w:webHidden/>
              </w:rPr>
              <w:fldChar w:fldCharType="separate"/>
            </w:r>
            <w:r w:rsidR="00AF597C">
              <w:rPr>
                <w:noProof/>
                <w:webHidden/>
              </w:rPr>
              <w:t>2</w:t>
            </w:r>
            <w:r w:rsidR="002C2F80" w:rsidRPr="00044D47">
              <w:rPr>
                <w:noProof/>
                <w:webHidden/>
              </w:rPr>
              <w:fldChar w:fldCharType="end"/>
            </w:r>
          </w:hyperlink>
        </w:p>
        <w:p w:rsidR="00151D3B" w:rsidRPr="00044D47" w:rsidRDefault="0040201A" w:rsidP="00290C80">
          <w:pPr>
            <w:pStyle w:val="TOC1"/>
            <w:tabs>
              <w:tab w:val="right" w:leader="dot" w:pos="8990"/>
            </w:tabs>
            <w:spacing w:after="0" w:line="360" w:lineRule="auto"/>
            <w:rPr>
              <w:rFonts w:eastAsiaTheme="minorEastAsia"/>
              <w:noProof/>
              <w:sz w:val="22"/>
              <w:szCs w:val="22"/>
            </w:rPr>
          </w:pPr>
          <w:hyperlink w:anchor="_Toc450807315" w:history="1">
            <w:r w:rsidR="002C2F80" w:rsidRPr="00044D47">
              <w:rPr>
                <w:rStyle w:val="Hyperlink"/>
                <w:noProof/>
              </w:rPr>
              <w:t>DECEMBER 2013 NATURAL GAS PRICES</w:t>
            </w:r>
            <w:r w:rsidR="002C2F80" w:rsidRPr="00044D47">
              <w:rPr>
                <w:noProof/>
                <w:webHidden/>
              </w:rPr>
              <w:tab/>
            </w:r>
            <w:r w:rsidR="002C2F80" w:rsidRPr="00044D47">
              <w:rPr>
                <w:noProof/>
                <w:webHidden/>
              </w:rPr>
              <w:fldChar w:fldCharType="begin"/>
            </w:r>
            <w:r w:rsidR="002C2F80" w:rsidRPr="00044D47">
              <w:rPr>
                <w:noProof/>
                <w:webHidden/>
              </w:rPr>
              <w:instrText xml:space="preserve"> PAGEREF _Toc450807315 \h </w:instrText>
            </w:r>
            <w:r w:rsidR="002C2F80" w:rsidRPr="00044D47">
              <w:rPr>
                <w:noProof/>
                <w:webHidden/>
              </w:rPr>
            </w:r>
            <w:r w:rsidR="002C2F80" w:rsidRPr="00044D47">
              <w:rPr>
                <w:noProof/>
                <w:webHidden/>
              </w:rPr>
              <w:fldChar w:fldCharType="separate"/>
            </w:r>
            <w:r w:rsidR="00AF597C">
              <w:rPr>
                <w:noProof/>
                <w:webHidden/>
              </w:rPr>
              <w:t>6</w:t>
            </w:r>
            <w:r w:rsidR="002C2F80" w:rsidRPr="00044D47">
              <w:rPr>
                <w:noProof/>
                <w:webHidden/>
              </w:rPr>
              <w:fldChar w:fldCharType="end"/>
            </w:r>
          </w:hyperlink>
        </w:p>
        <w:p w:rsidR="00151D3B" w:rsidRPr="00044D47" w:rsidRDefault="0040201A" w:rsidP="00290C80">
          <w:pPr>
            <w:pStyle w:val="TOC1"/>
            <w:tabs>
              <w:tab w:val="right" w:leader="dot" w:pos="8990"/>
            </w:tabs>
            <w:spacing w:after="0" w:line="360" w:lineRule="auto"/>
            <w:rPr>
              <w:rFonts w:eastAsiaTheme="minorEastAsia"/>
              <w:noProof/>
              <w:sz w:val="22"/>
              <w:szCs w:val="22"/>
            </w:rPr>
          </w:pPr>
          <w:hyperlink w:anchor="_Toc450807316" w:history="1">
            <w:r w:rsidR="002C2F80" w:rsidRPr="00044D47">
              <w:rPr>
                <w:rStyle w:val="Hyperlink"/>
                <w:noProof/>
              </w:rPr>
              <w:t>CONCLUSION</w:t>
            </w:r>
            <w:r w:rsidR="002C2F80" w:rsidRPr="00044D47">
              <w:rPr>
                <w:noProof/>
                <w:webHidden/>
              </w:rPr>
              <w:tab/>
            </w:r>
            <w:r w:rsidR="002C2F80" w:rsidRPr="00044D47">
              <w:rPr>
                <w:noProof/>
                <w:webHidden/>
              </w:rPr>
              <w:fldChar w:fldCharType="begin"/>
            </w:r>
            <w:r w:rsidR="002C2F80" w:rsidRPr="00044D47">
              <w:rPr>
                <w:noProof/>
                <w:webHidden/>
              </w:rPr>
              <w:instrText xml:space="preserve"> PAGEREF _Toc450807316 \h </w:instrText>
            </w:r>
            <w:r w:rsidR="002C2F80" w:rsidRPr="00044D47">
              <w:rPr>
                <w:noProof/>
                <w:webHidden/>
              </w:rPr>
            </w:r>
            <w:r w:rsidR="002C2F80" w:rsidRPr="00044D47">
              <w:rPr>
                <w:noProof/>
                <w:webHidden/>
              </w:rPr>
              <w:fldChar w:fldCharType="separate"/>
            </w:r>
            <w:r w:rsidR="00AF597C">
              <w:rPr>
                <w:noProof/>
                <w:webHidden/>
              </w:rPr>
              <w:t>11</w:t>
            </w:r>
            <w:r w:rsidR="002C2F80" w:rsidRPr="00044D47">
              <w:rPr>
                <w:noProof/>
                <w:webHidden/>
              </w:rPr>
              <w:fldChar w:fldCharType="end"/>
            </w:r>
          </w:hyperlink>
        </w:p>
        <w:p w:rsidR="00151D3B" w:rsidRPr="00044D47" w:rsidRDefault="002C2F80" w:rsidP="00290C80">
          <w:pPr>
            <w:spacing w:line="360" w:lineRule="auto"/>
            <w:rPr>
              <w:b/>
              <w:bCs/>
              <w:noProof/>
            </w:rPr>
          </w:pPr>
          <w:r w:rsidRPr="00044D47">
            <w:rPr>
              <w:b/>
              <w:bCs/>
              <w:noProof/>
            </w:rPr>
            <w:fldChar w:fldCharType="end"/>
          </w:r>
        </w:p>
        <w:p w:rsidR="00151D3B" w:rsidRPr="00044D47" w:rsidRDefault="0040201A"/>
      </w:sdtContent>
    </w:sdt>
    <w:p w:rsidR="00151D3B" w:rsidRPr="00044D47" w:rsidRDefault="002C2F80">
      <w:pPr>
        <w:pStyle w:val="Question"/>
        <w:jc w:val="center"/>
      </w:pPr>
      <w:r w:rsidRPr="00044D47">
        <w:t>ATTACHED EXHIBITS</w:t>
      </w:r>
    </w:p>
    <w:p w:rsidR="00151D3B" w:rsidRPr="00044D47" w:rsidRDefault="0097276D">
      <w:pPr>
        <w:pStyle w:val="Question"/>
        <w:jc w:val="left"/>
        <w:rPr>
          <w:b w:val="0"/>
        </w:rPr>
      </w:pPr>
      <w:r w:rsidRPr="00044D47">
        <w:rPr>
          <w:b w:val="0"/>
        </w:rPr>
        <w:t>Exhibit No. RTL-16</w:t>
      </w:r>
      <w:r w:rsidR="002C2F80" w:rsidRPr="00044D47">
        <w:rPr>
          <w:b w:val="0"/>
        </w:rPr>
        <w:t>—Staff’s Response to Pacific Power Data Request No. 47</w:t>
      </w:r>
    </w:p>
    <w:p w:rsidR="00151D3B" w:rsidRPr="00044D47" w:rsidRDefault="00151D3B">
      <w:pPr>
        <w:pStyle w:val="Question"/>
        <w:jc w:val="left"/>
        <w:rPr>
          <w:b w:val="0"/>
        </w:rPr>
      </w:pPr>
    </w:p>
    <w:p w:rsidR="00151D3B" w:rsidRPr="00044D47" w:rsidRDefault="00151D3B">
      <w:pPr>
        <w:pStyle w:val="Question"/>
        <w:jc w:val="left"/>
        <w:rPr>
          <w:b w:val="0"/>
        </w:rPr>
      </w:pPr>
    </w:p>
    <w:p w:rsidR="00151D3B" w:rsidRPr="00044D47" w:rsidRDefault="00151D3B">
      <w:pPr>
        <w:pStyle w:val="Question"/>
        <w:jc w:val="left"/>
      </w:pPr>
    </w:p>
    <w:p w:rsidR="00151D3B" w:rsidRPr="00044D47" w:rsidRDefault="00151D3B">
      <w:pPr>
        <w:pStyle w:val="Question"/>
        <w:jc w:val="left"/>
        <w:sectPr w:rsidR="00151D3B" w:rsidRPr="00044D47">
          <w:footerReference w:type="default" r:id="rId8"/>
          <w:pgSz w:w="12240" w:h="15840" w:code="1"/>
          <w:pgMar w:top="1440" w:right="1440" w:bottom="1440" w:left="1800" w:header="720" w:footer="720" w:gutter="0"/>
          <w:pgNumType w:fmt="lowerRoman" w:start="1"/>
          <w:cols w:space="720"/>
          <w:docGrid w:linePitch="360"/>
        </w:sectPr>
      </w:pPr>
    </w:p>
    <w:p w:rsidR="00151D3B" w:rsidRPr="00044D47" w:rsidRDefault="002C2F80">
      <w:pPr>
        <w:pStyle w:val="Question"/>
        <w:jc w:val="left"/>
      </w:pPr>
      <w:r w:rsidRPr="00044D47">
        <w:t>Q.</w:t>
      </w:r>
      <w:r w:rsidRPr="00044D47">
        <w:tab/>
        <w:t xml:space="preserve">Are you the same Rick T. Link who submitted direct and rebuttal testimony in this case on behalf of Pacific Power &amp; Light Company (Pacific Power or Company), a division of PacifiCorp? </w:t>
      </w:r>
    </w:p>
    <w:p w:rsidR="00151D3B" w:rsidRPr="00044D47" w:rsidRDefault="002C2F80">
      <w:pPr>
        <w:pStyle w:val="Answer"/>
        <w:jc w:val="left"/>
      </w:pPr>
      <w:r w:rsidRPr="00044D47">
        <w:t>A.</w:t>
      </w:r>
      <w:r w:rsidRPr="00044D47">
        <w:tab/>
        <w:t xml:space="preserve">Yes.  </w:t>
      </w:r>
    </w:p>
    <w:p w:rsidR="00151D3B" w:rsidRPr="00044D47" w:rsidRDefault="002C2F80">
      <w:pPr>
        <w:pStyle w:val="Heading1"/>
        <w:rPr>
          <w:rFonts w:ascii="Times New Roman" w:hAnsi="Times New Roman"/>
        </w:rPr>
      </w:pPr>
      <w:bookmarkStart w:id="0" w:name="_Toc450807313"/>
      <w:r w:rsidRPr="00044D47">
        <w:rPr>
          <w:rFonts w:ascii="Times New Roman" w:hAnsi="Times New Roman"/>
        </w:rPr>
        <w:t>PURPOSE AND SUMMARY</w:t>
      </w:r>
      <w:bookmarkEnd w:id="0"/>
      <w:r w:rsidR="005F19DB" w:rsidRPr="00044D47">
        <w:rPr>
          <w:rFonts w:ascii="Times New Roman" w:hAnsi="Times New Roman"/>
        </w:rPr>
        <w:t xml:space="preserve"> OF TESTIMONY</w:t>
      </w:r>
    </w:p>
    <w:p w:rsidR="00151D3B" w:rsidRPr="00044D47" w:rsidRDefault="002C2F80">
      <w:pPr>
        <w:pStyle w:val="Question"/>
        <w:widowControl w:val="0"/>
        <w:rPr>
          <w:b w:val="0"/>
        </w:rPr>
      </w:pPr>
      <w:r w:rsidRPr="00044D47">
        <w:t>Q.</w:t>
      </w:r>
      <w:r w:rsidRPr="00044D47">
        <w:tab/>
        <w:t>What is the purpose of your supplemental rebuttal testimony?</w:t>
      </w:r>
    </w:p>
    <w:p w:rsidR="00151D3B" w:rsidRPr="00044D47" w:rsidRDefault="002C2F80">
      <w:pPr>
        <w:pStyle w:val="Answer"/>
        <w:widowControl w:val="0"/>
        <w:jc w:val="left"/>
        <w:rPr>
          <w:b/>
        </w:rPr>
      </w:pPr>
      <w:r w:rsidRPr="00044D47">
        <w:t>A.</w:t>
      </w:r>
      <w:r w:rsidRPr="00044D47">
        <w:tab/>
        <w:t>I respond to the supplemental testimony filed by Mr. Jeremy B. Twitchell on behalf of Staff of the Washington Utilities and Transportation Commission (Commission) related to the prudence of the Company’s decision to install selective catalytic reduction systems (SCRs) on Units 3 and 4 of the Jim Bridger generating plant</w:t>
      </w:r>
      <w:r w:rsidR="005F19DB" w:rsidRPr="00044D47">
        <w:t xml:space="preserve"> (Jim Bridger Units 3 and 4)</w:t>
      </w:r>
      <w:r w:rsidRPr="00044D47">
        <w:t>.  I specifically address Staff’s assertions that the Company issued the full notice to proceed (FNTP) to the engineering, procurement, and construction services (EPC) contractor based on outdated analysis.</w:t>
      </w:r>
      <w:r w:rsidRPr="00044D47">
        <w:rPr>
          <w:rStyle w:val="FootnoteReference"/>
        </w:rPr>
        <w:footnoteReference w:id="1"/>
      </w:r>
      <w:r w:rsidRPr="00044D47">
        <w:t xml:space="preserve"> </w:t>
      </w:r>
    </w:p>
    <w:p w:rsidR="00151D3B" w:rsidRPr="00044D47" w:rsidRDefault="002C2F80">
      <w:pPr>
        <w:tabs>
          <w:tab w:val="left" w:pos="720"/>
        </w:tabs>
        <w:spacing w:line="480" w:lineRule="auto"/>
        <w:ind w:left="720" w:hanging="720"/>
        <w:jc w:val="left"/>
        <w:rPr>
          <w:szCs w:val="20"/>
        </w:rPr>
      </w:pPr>
      <w:bookmarkStart w:id="1" w:name="_Toc386469982"/>
      <w:r w:rsidRPr="00044D47">
        <w:rPr>
          <w:b/>
          <w:szCs w:val="20"/>
        </w:rPr>
        <w:t>Q.</w:t>
      </w:r>
      <w:r w:rsidRPr="00044D47">
        <w:rPr>
          <w:b/>
          <w:szCs w:val="20"/>
        </w:rPr>
        <w:tab/>
        <w:t>Please summarize your supplemental rebuttal testimony.</w:t>
      </w:r>
    </w:p>
    <w:p w:rsidR="00151D3B" w:rsidRPr="00044D47" w:rsidRDefault="002C2F80">
      <w:pPr>
        <w:pStyle w:val="Answer"/>
        <w:widowControl w:val="0"/>
        <w:jc w:val="left"/>
        <w:rPr>
          <w:szCs w:val="20"/>
        </w:rPr>
      </w:pPr>
      <w:r w:rsidRPr="00044D47">
        <w:rPr>
          <w:szCs w:val="20"/>
        </w:rPr>
        <w:t>A.</w:t>
      </w:r>
      <w:r w:rsidRPr="00044D47">
        <w:rPr>
          <w:szCs w:val="20"/>
        </w:rPr>
        <w:tab/>
        <w:t>My supplemental rebuttal testimony explains how the Company considered changing market conditions in its economic analysis before issuing the FNTP to the EPC contractor on December 1, 2013.  Contrary to Staff’s claims that the Company issued the FNTP based on outdated analysis, I explain that the Company used its comprehensive SCR analysis to assess changes in the base case natural gas price forecasts and EPC contract costs, while considering natural gas price forecast uncertainty, Bridger Coal Company (BCC) mine cost updates, and then-current carbon dioxide (CO</w:t>
      </w:r>
      <w:r w:rsidRPr="00044D47">
        <w:rPr>
          <w:szCs w:val="20"/>
          <w:vertAlign w:val="subscript"/>
        </w:rPr>
        <w:t>2</w:t>
      </w:r>
      <w:r w:rsidRPr="00044D47">
        <w:rPr>
          <w:szCs w:val="20"/>
        </w:rPr>
        <w:t xml:space="preserve">) emission price assumptions before issuing the FNTP.  My supplemental rebuttal testimony further explains that third-party natural gas price information received between December 1, 2013, and January 1, 2014, supports the Company’s decision to issue the FNTP and to proceed with installation of SCRs as the least-cost, least-risk Regional Haze compliance alternative for Jim Bridger Units 3 and 4. </w:t>
      </w:r>
    </w:p>
    <w:p w:rsidR="00151D3B" w:rsidRPr="00044D47" w:rsidRDefault="002C2F80">
      <w:pPr>
        <w:pStyle w:val="Heading1"/>
        <w:rPr>
          <w:rFonts w:ascii="Times New Roman" w:hAnsi="Times New Roman"/>
          <w:szCs w:val="20"/>
        </w:rPr>
      </w:pPr>
      <w:bookmarkStart w:id="2" w:name="_Toc450807314"/>
      <w:r w:rsidRPr="00044D47">
        <w:rPr>
          <w:rFonts w:ascii="Times New Roman" w:hAnsi="Times New Roman"/>
          <w:szCs w:val="20"/>
        </w:rPr>
        <w:t>THE COMPANY’S ANALYSIS</w:t>
      </w:r>
      <w:bookmarkEnd w:id="2"/>
    </w:p>
    <w:p w:rsidR="00151D3B" w:rsidRPr="00044D47" w:rsidRDefault="002C2F80">
      <w:pPr>
        <w:pStyle w:val="Answer"/>
        <w:widowControl w:val="0"/>
        <w:jc w:val="left"/>
        <w:rPr>
          <w:b/>
          <w:szCs w:val="20"/>
        </w:rPr>
      </w:pPr>
      <w:r w:rsidRPr="00044D47">
        <w:rPr>
          <w:b/>
          <w:szCs w:val="20"/>
        </w:rPr>
        <w:t>Q.</w:t>
      </w:r>
      <w:r w:rsidRPr="00044D47">
        <w:rPr>
          <w:b/>
          <w:szCs w:val="20"/>
        </w:rPr>
        <w:tab/>
        <w:t xml:space="preserve">Did the Company consider the impact of changing market conditions on its Jim Bridger SCR analysis before issuing the FNTP on December 1, 2013? </w:t>
      </w:r>
    </w:p>
    <w:p w:rsidR="00151D3B" w:rsidRPr="00044D47" w:rsidRDefault="002C2F80">
      <w:pPr>
        <w:pStyle w:val="Answer"/>
        <w:widowControl w:val="0"/>
        <w:jc w:val="left"/>
        <w:rPr>
          <w:szCs w:val="20"/>
        </w:rPr>
      </w:pPr>
      <w:r w:rsidRPr="00044D47">
        <w:rPr>
          <w:szCs w:val="20"/>
        </w:rPr>
        <w:t>A.</w:t>
      </w:r>
      <w:r w:rsidRPr="00044D47">
        <w:rPr>
          <w:szCs w:val="20"/>
        </w:rPr>
        <w:tab/>
        <w:t>Yes.</w:t>
      </w:r>
    </w:p>
    <w:p w:rsidR="00151D3B" w:rsidRPr="00044D47" w:rsidRDefault="002C2F80">
      <w:pPr>
        <w:pStyle w:val="Answer"/>
        <w:widowControl w:val="0"/>
        <w:jc w:val="left"/>
        <w:rPr>
          <w:b/>
          <w:szCs w:val="20"/>
        </w:rPr>
      </w:pPr>
      <w:r w:rsidRPr="00044D47">
        <w:rPr>
          <w:b/>
          <w:szCs w:val="20"/>
        </w:rPr>
        <w:t>Q.</w:t>
      </w:r>
      <w:r w:rsidRPr="00044D47">
        <w:rPr>
          <w:b/>
          <w:szCs w:val="20"/>
        </w:rPr>
        <w:tab/>
        <w:t>Please explain.</w:t>
      </w:r>
    </w:p>
    <w:p w:rsidR="00151D3B" w:rsidRPr="00044D47" w:rsidRDefault="002C2F80">
      <w:pPr>
        <w:pStyle w:val="Answer"/>
        <w:widowControl w:val="0"/>
        <w:jc w:val="left"/>
        <w:rPr>
          <w:szCs w:val="20"/>
        </w:rPr>
      </w:pPr>
      <w:r w:rsidRPr="00044D47">
        <w:rPr>
          <w:szCs w:val="20"/>
        </w:rPr>
        <w:t>A.</w:t>
      </w:r>
      <w:r w:rsidRPr="00044D47">
        <w:rPr>
          <w:szCs w:val="20"/>
        </w:rPr>
        <w:tab/>
        <w:t xml:space="preserve">The Company performed extensive financial analysis of Regional Haze compliance alternatives for Jim Bridger Units 3 and 4 using a robust methodology that considers risk and uncertainty.  This analysis was designed to allow for rapid re-assessment of the present value revenue requirement differential (PVRR(d)) between the SCR and natural gas conversion compliance alternatives with changing market conditions, complementing flexibility provisions that the Company negotiated in the EPC contract.  The Company used this analysis when choosing installation of SCRs as the best Regional Haze compliance alternative in May 2013 </w:t>
      </w:r>
      <w:r w:rsidRPr="00044D47">
        <w:rPr>
          <w:i/>
          <w:szCs w:val="20"/>
        </w:rPr>
        <w:t>and</w:t>
      </w:r>
      <w:r w:rsidRPr="00044D47">
        <w:rPr>
          <w:szCs w:val="20"/>
        </w:rPr>
        <w:t xml:space="preserve"> to assess how changes in market conditions affected the customer benefits before issuing the FNTP in December 2013.  The Company’s analysis in this case is comprehensive, accurate, and shows that Regional Haze compliance for Jim Bridger Units 3 and 4 can be met most economically with installation of SCRs.</w:t>
      </w:r>
    </w:p>
    <w:p w:rsidR="00151D3B" w:rsidRPr="00044D47" w:rsidRDefault="002C2F80">
      <w:pPr>
        <w:pStyle w:val="Answer"/>
        <w:keepNext/>
        <w:widowControl w:val="0"/>
        <w:jc w:val="left"/>
        <w:rPr>
          <w:b/>
          <w:szCs w:val="20"/>
        </w:rPr>
      </w:pPr>
      <w:r w:rsidRPr="00044D47">
        <w:rPr>
          <w:b/>
          <w:szCs w:val="20"/>
        </w:rPr>
        <w:t>Q.</w:t>
      </w:r>
      <w:r w:rsidRPr="00044D47">
        <w:rPr>
          <w:b/>
          <w:szCs w:val="20"/>
        </w:rPr>
        <w:tab/>
        <w:t>Do you agree with Staff’s claim that the Company issued the FNTP based on outdated analysis?</w:t>
      </w:r>
    </w:p>
    <w:p w:rsidR="00151D3B" w:rsidRPr="00044D47" w:rsidRDefault="002C2F80">
      <w:pPr>
        <w:pStyle w:val="Answer"/>
        <w:widowControl w:val="0"/>
        <w:jc w:val="left"/>
        <w:rPr>
          <w:szCs w:val="20"/>
        </w:rPr>
      </w:pPr>
      <w:r w:rsidRPr="00044D47">
        <w:rPr>
          <w:szCs w:val="20"/>
        </w:rPr>
        <w:t>A.</w:t>
      </w:r>
      <w:r w:rsidRPr="00044D47">
        <w:rPr>
          <w:szCs w:val="20"/>
        </w:rPr>
        <w:tab/>
        <w:t xml:space="preserve">No.  </w:t>
      </w:r>
    </w:p>
    <w:p w:rsidR="00151D3B" w:rsidRPr="00044D47" w:rsidRDefault="002C2F80">
      <w:pPr>
        <w:pStyle w:val="Answer"/>
        <w:widowControl w:val="0"/>
        <w:jc w:val="left"/>
        <w:rPr>
          <w:b/>
          <w:szCs w:val="20"/>
        </w:rPr>
      </w:pPr>
      <w:r w:rsidRPr="00044D47">
        <w:rPr>
          <w:b/>
          <w:szCs w:val="20"/>
        </w:rPr>
        <w:t>Q.</w:t>
      </w:r>
      <w:r w:rsidRPr="00044D47">
        <w:rPr>
          <w:b/>
          <w:szCs w:val="20"/>
        </w:rPr>
        <w:tab/>
        <w:t>What types of changes in market conditions did the Company consider before issuing the FNTP?</w:t>
      </w:r>
    </w:p>
    <w:p w:rsidR="00151D3B" w:rsidRPr="00044D47" w:rsidRDefault="002C2F80">
      <w:pPr>
        <w:pStyle w:val="Answer"/>
        <w:widowControl w:val="0"/>
        <w:jc w:val="left"/>
        <w:rPr>
          <w:szCs w:val="20"/>
        </w:rPr>
      </w:pPr>
      <w:r w:rsidRPr="00044D47">
        <w:rPr>
          <w:szCs w:val="20"/>
        </w:rPr>
        <w:t>A.</w:t>
      </w:r>
      <w:r w:rsidRPr="00044D47">
        <w:rPr>
          <w:szCs w:val="20"/>
        </w:rPr>
        <w:tab/>
        <w:t xml:space="preserve">The Company considered all factors material to its SCR analysis, recognizing that the base case natural gas price forecast had fallen, the estimated cost for the EPC contract had been reduced, </w:t>
      </w:r>
      <w:r w:rsidR="00C36DF6" w:rsidRPr="00044D47">
        <w:rPr>
          <w:szCs w:val="20"/>
        </w:rPr>
        <w:t>BCC</w:t>
      </w:r>
      <w:r w:rsidRPr="00044D47">
        <w:rPr>
          <w:szCs w:val="20"/>
        </w:rPr>
        <w:t xml:space="preserve"> mine costs had been updated to support the Company’s ten-year business plan, and there was no reason to change CO</w:t>
      </w:r>
      <w:r w:rsidRPr="00044D47">
        <w:rPr>
          <w:szCs w:val="20"/>
          <w:vertAlign w:val="subscript"/>
        </w:rPr>
        <w:t>2</w:t>
      </w:r>
      <w:r w:rsidRPr="00044D47">
        <w:rPr>
          <w:szCs w:val="20"/>
        </w:rPr>
        <w:t xml:space="preserve"> price assumptions after the June 2013 issuance of the Presidential Memorandum on carbon emissions</w:t>
      </w:r>
      <w:r w:rsidR="005F19DB" w:rsidRPr="00044D47">
        <w:rPr>
          <w:szCs w:val="20"/>
        </w:rPr>
        <w:t>.</w:t>
      </w:r>
    </w:p>
    <w:p w:rsidR="00151D3B" w:rsidRPr="00044D47" w:rsidRDefault="002C2F80">
      <w:pPr>
        <w:pStyle w:val="Answer"/>
        <w:widowControl w:val="0"/>
        <w:jc w:val="left"/>
        <w:rPr>
          <w:b/>
          <w:szCs w:val="20"/>
        </w:rPr>
      </w:pPr>
      <w:r w:rsidRPr="00044D47">
        <w:rPr>
          <w:b/>
          <w:szCs w:val="20"/>
        </w:rPr>
        <w:t>Q.</w:t>
      </w:r>
      <w:r w:rsidRPr="00044D47">
        <w:rPr>
          <w:b/>
          <w:szCs w:val="20"/>
        </w:rPr>
        <w:tab/>
        <w:t>Did the Company’s consideration of changing market conditions before issuing the FNTP respond to the Commission’s direction in its acknowledgment letter for the 2013 Integrated Resource Plan (IRP), dated November 25, 2013?</w:t>
      </w:r>
    </w:p>
    <w:p w:rsidR="00151D3B" w:rsidRPr="00044D47" w:rsidRDefault="002C2F80">
      <w:pPr>
        <w:pStyle w:val="Answer"/>
        <w:widowControl w:val="0"/>
        <w:tabs>
          <w:tab w:val="left" w:pos="720"/>
          <w:tab w:val="left" w:pos="2130"/>
          <w:tab w:val="center" w:pos="4500"/>
        </w:tabs>
        <w:jc w:val="left"/>
        <w:rPr>
          <w:szCs w:val="20"/>
        </w:rPr>
      </w:pPr>
      <w:r w:rsidRPr="00044D47">
        <w:rPr>
          <w:szCs w:val="20"/>
        </w:rPr>
        <w:t>A.</w:t>
      </w:r>
      <w:r w:rsidRPr="00044D47">
        <w:rPr>
          <w:szCs w:val="20"/>
        </w:rPr>
        <w:tab/>
        <w:t xml:space="preserve">Yes.  In its IRP acknowledgement letter, the Commission directed the Company to update its analysis of coal-related investments, which included the Jim Bridger SCRs.  The Company conducted this review and update before issuing the FNTP and memorialized its analysis in the 2013 IRP Update, filed on March 31, 2014. </w:t>
      </w:r>
    </w:p>
    <w:p w:rsidR="00151D3B" w:rsidRPr="00044D47" w:rsidRDefault="002C2F80">
      <w:pPr>
        <w:pStyle w:val="Answer"/>
        <w:widowControl w:val="0"/>
        <w:jc w:val="left"/>
        <w:rPr>
          <w:b/>
          <w:szCs w:val="20"/>
        </w:rPr>
      </w:pPr>
      <w:r w:rsidRPr="00044D47">
        <w:rPr>
          <w:b/>
          <w:szCs w:val="20"/>
        </w:rPr>
        <w:t>Q.</w:t>
      </w:r>
      <w:r w:rsidRPr="00044D47">
        <w:rPr>
          <w:b/>
          <w:szCs w:val="20"/>
        </w:rPr>
        <w:tab/>
        <w:t>Please explain how the Company considered the impact of a reduced natural gas price forecast on the SCR benefits before issuing the FNTP.</w:t>
      </w:r>
    </w:p>
    <w:p w:rsidR="00151D3B" w:rsidRPr="00044D47" w:rsidRDefault="002C2F80">
      <w:pPr>
        <w:pStyle w:val="Answer"/>
        <w:widowControl w:val="0"/>
        <w:jc w:val="left"/>
        <w:rPr>
          <w:szCs w:val="20"/>
        </w:rPr>
      </w:pPr>
      <w:r w:rsidRPr="00044D47">
        <w:rPr>
          <w:szCs w:val="20"/>
        </w:rPr>
        <w:t>A.</w:t>
      </w:r>
      <w:r w:rsidRPr="00044D47">
        <w:rPr>
          <w:szCs w:val="20"/>
        </w:rPr>
        <w:tab/>
        <w:t>As I stated above, the Company performed comprehensive analysis of the Jim Bridger Units 3 and 4 Regional Haze compliance alternatives.  As part of this analysis, the Company produced natural gas price sensitivities that show a strong linear relationship between natural gas price inputs and the PVRR(d) between the SCR and natural gas conversion Regional Haze compliance alternatives.  I present this relationship in my direct testimony as Exhibit No. RTL-9C.</w:t>
      </w:r>
      <w:r w:rsidRPr="00044D47">
        <w:rPr>
          <w:rStyle w:val="FootnoteReference"/>
          <w:szCs w:val="20"/>
        </w:rPr>
        <w:footnoteReference w:id="2"/>
      </w:r>
      <w:r w:rsidRPr="00044D47">
        <w:rPr>
          <w:szCs w:val="20"/>
        </w:rPr>
        <w:t xml:space="preserve">  </w:t>
      </w:r>
    </w:p>
    <w:p w:rsidR="00151D3B" w:rsidRPr="00044D47" w:rsidRDefault="002C2F80">
      <w:pPr>
        <w:pStyle w:val="Answer"/>
        <w:widowControl w:val="0"/>
        <w:ind w:firstLine="720"/>
        <w:jc w:val="left"/>
        <w:rPr>
          <w:szCs w:val="20"/>
        </w:rPr>
      </w:pPr>
      <w:r w:rsidRPr="00044D47">
        <w:rPr>
          <w:szCs w:val="20"/>
        </w:rPr>
        <w:t>Based upon this relationship, the Company’s comprehensive analysis was used to establish how the SCR benefits are affected by natural gas price assumptions.  Before issuing the FNTP, the Company reviewed its most recent official forward price curve (OFPC), and using the relationship shown in Exhibit No. RTL-9C, readily determined that the base case PVRR(d) continued to show significant SCR benefits (</w:t>
      </w:r>
      <w:r w:rsidR="00C02076" w:rsidRPr="00C02076">
        <w:rPr>
          <w:szCs w:val="20"/>
          <w:highlight w:val="black"/>
        </w:rPr>
        <w:t>__________</w:t>
      </w:r>
      <w:r w:rsidRPr="00044D47">
        <w:rPr>
          <w:szCs w:val="20"/>
        </w:rPr>
        <w:t>).</w:t>
      </w:r>
      <w:r w:rsidRPr="00044D47">
        <w:rPr>
          <w:rStyle w:val="FootnoteReference"/>
          <w:szCs w:val="20"/>
        </w:rPr>
        <w:footnoteReference w:id="3"/>
      </w:r>
      <w:r w:rsidRPr="00044D47">
        <w:rPr>
          <w:szCs w:val="20"/>
        </w:rPr>
        <w:t xml:space="preserve">  </w:t>
      </w:r>
    </w:p>
    <w:p w:rsidR="00151D3B" w:rsidRPr="00044D47" w:rsidRDefault="002C2F80">
      <w:pPr>
        <w:pStyle w:val="Answer"/>
        <w:widowControl w:val="0"/>
        <w:ind w:firstLine="720"/>
        <w:jc w:val="left"/>
        <w:rPr>
          <w:szCs w:val="20"/>
        </w:rPr>
      </w:pPr>
      <w:r w:rsidRPr="00044D47">
        <w:rPr>
          <w:szCs w:val="20"/>
        </w:rPr>
        <w:t>When evaluating natural gas prices before issuing the FNTP, the Company also considered that there is uncertainty in long-term natural gas price forecasts.  Staff testifies that natural gas prices were falling over the period December 2011 through December 2013 and that this powerful trend should have caused the Company to change course.</w:t>
      </w:r>
      <w:r w:rsidRPr="00044D47">
        <w:rPr>
          <w:rStyle w:val="FootnoteReference"/>
          <w:szCs w:val="20"/>
        </w:rPr>
        <w:footnoteReference w:id="4"/>
      </w:r>
      <w:r w:rsidRPr="00044D47">
        <w:rPr>
          <w:szCs w:val="20"/>
        </w:rPr>
        <w:t xml:space="preserve">  The Company was aware that natural gas prices had fallen and considered this in its FNTP decision-making process.  The Company was also aware that there is volatility in long-term price forecasts, that natural gas prices cannot trend downward indefinitely, and that there was a reasonable possibility that actual natural gas prices could be higher than then-current base case projections.</w:t>
      </w:r>
    </w:p>
    <w:p w:rsidR="00151D3B" w:rsidRPr="00044D47" w:rsidRDefault="002C2F80">
      <w:pPr>
        <w:pStyle w:val="Answer"/>
        <w:widowControl w:val="0"/>
        <w:jc w:val="left"/>
        <w:rPr>
          <w:b/>
          <w:szCs w:val="20"/>
        </w:rPr>
      </w:pPr>
      <w:r w:rsidRPr="00044D47">
        <w:rPr>
          <w:b/>
          <w:szCs w:val="20"/>
        </w:rPr>
        <w:t>Q.</w:t>
      </w:r>
      <w:r w:rsidRPr="00044D47">
        <w:rPr>
          <w:b/>
          <w:szCs w:val="20"/>
        </w:rPr>
        <w:tab/>
        <w:t>Please explain how the Company considered the impact of reduced EPC contract costs on the SCR benefits before issuing the FNTP.</w:t>
      </w:r>
    </w:p>
    <w:p w:rsidR="00151D3B" w:rsidRPr="00044D47" w:rsidRDefault="002C2F80">
      <w:pPr>
        <w:pStyle w:val="Answer"/>
        <w:widowControl w:val="0"/>
        <w:jc w:val="left"/>
        <w:rPr>
          <w:szCs w:val="20"/>
        </w:rPr>
      </w:pPr>
      <w:r w:rsidRPr="00044D47">
        <w:rPr>
          <w:szCs w:val="20"/>
        </w:rPr>
        <w:t>A.</w:t>
      </w:r>
      <w:r w:rsidRPr="00044D47">
        <w:rPr>
          <w:szCs w:val="20"/>
        </w:rPr>
        <w:tab/>
        <w:t xml:space="preserve">As stated in my rebuttal testimony, the Company was aware, before issuing the FNTP, that EPC costs for the Jim Bridger SCRs had been reduced by </w:t>
      </w:r>
      <w:r w:rsidR="00C02076" w:rsidRPr="00C02076">
        <w:rPr>
          <w:szCs w:val="20"/>
          <w:highlight w:val="black"/>
        </w:rPr>
        <w:t>__________</w:t>
      </w:r>
      <w:r w:rsidRPr="00044D47">
        <w:rPr>
          <w:szCs w:val="20"/>
        </w:rPr>
        <w:t>.</w:t>
      </w:r>
      <w:r w:rsidRPr="00044D47">
        <w:rPr>
          <w:rStyle w:val="FootnoteReference"/>
          <w:szCs w:val="20"/>
        </w:rPr>
        <w:footnoteReference w:id="5"/>
      </w:r>
      <w:r w:rsidRPr="00044D47">
        <w:rPr>
          <w:szCs w:val="20"/>
        </w:rPr>
        <w:t xml:space="preserve">  The reduced EPC cost contributes approximately </w:t>
      </w:r>
      <w:r w:rsidR="00C02076" w:rsidRPr="00C02076">
        <w:rPr>
          <w:szCs w:val="20"/>
          <w:highlight w:val="black"/>
        </w:rPr>
        <w:t>________</w:t>
      </w:r>
      <w:r w:rsidR="00C02076">
        <w:rPr>
          <w:szCs w:val="20"/>
          <w:highlight w:val="black"/>
        </w:rPr>
        <w:t>_</w:t>
      </w:r>
      <w:r w:rsidR="00C02076" w:rsidRPr="00C02076">
        <w:rPr>
          <w:szCs w:val="20"/>
          <w:highlight w:val="black"/>
        </w:rPr>
        <w:t>__</w:t>
      </w:r>
      <w:r w:rsidR="00C02076">
        <w:rPr>
          <w:szCs w:val="20"/>
        </w:rPr>
        <w:t xml:space="preserve"> </w:t>
      </w:r>
      <w:r w:rsidRPr="00044D47">
        <w:rPr>
          <w:szCs w:val="20"/>
        </w:rPr>
        <w:t>in additional benefits to the SCR compliance alternative.  These incremental benefits, tied to fixed costs for the SCRs, are easily calculated and no model runs are required to understand how reduced EPC costs improve benefits for the SCR compliance alternative.  Before issuing the FNTP, the Company knew that these EPC cost reductions would only add to the already substantial benefits of the SCR compliance alternative even after accounting for reduced base case natural gas price assumptions.</w:t>
      </w:r>
      <w:r w:rsidR="005F19DB" w:rsidRPr="00044D47">
        <w:rPr>
          <w:szCs w:val="20"/>
        </w:rPr>
        <w:t xml:space="preserve">  Moreover, as Mr. Teply testifies, there would be increased costs and risks of natural gas conversion under a hypothetical post-FNTP cancellation.</w:t>
      </w:r>
    </w:p>
    <w:p w:rsidR="00151D3B" w:rsidRPr="00044D47" w:rsidRDefault="002C2F80">
      <w:pPr>
        <w:pStyle w:val="Answer"/>
        <w:widowControl w:val="0"/>
        <w:jc w:val="left"/>
        <w:rPr>
          <w:b/>
          <w:szCs w:val="20"/>
        </w:rPr>
      </w:pPr>
      <w:r w:rsidRPr="00044D47">
        <w:rPr>
          <w:b/>
          <w:szCs w:val="20"/>
        </w:rPr>
        <w:t>Q.</w:t>
      </w:r>
      <w:r w:rsidRPr="00044D47">
        <w:rPr>
          <w:b/>
          <w:szCs w:val="20"/>
        </w:rPr>
        <w:tab/>
        <w:t>Please explain how the Company considered the impact of updated BCC mine costs before issuing the FNTP.</w:t>
      </w:r>
    </w:p>
    <w:p w:rsidR="00151D3B" w:rsidRPr="00044D47" w:rsidRDefault="002C2F80" w:rsidP="00C36DF6">
      <w:pPr>
        <w:pStyle w:val="Answer"/>
        <w:widowControl w:val="0"/>
        <w:jc w:val="left"/>
        <w:rPr>
          <w:szCs w:val="20"/>
        </w:rPr>
      </w:pPr>
      <w:r w:rsidRPr="00044D47">
        <w:rPr>
          <w:szCs w:val="20"/>
        </w:rPr>
        <w:t>A.</w:t>
      </w:r>
      <w:r w:rsidRPr="00044D47">
        <w:rPr>
          <w:szCs w:val="20"/>
        </w:rPr>
        <w:tab/>
        <w:t xml:space="preserve">As described in Mr. Dana Ralston’s testimony and the supplemental rebuttal testimony of Ms. Cindy A. Crane, in October 2013, the Company updated its BCC mine costs to support its ten-year business plan.  But the only complete life-of-mine or long-term fueling plan for the Jim Bridger generating plant when the FNTP was issued was the </w:t>
      </w:r>
      <w:r w:rsidR="00C36DF6" w:rsidRPr="00044D47">
        <w:rPr>
          <w:szCs w:val="20"/>
        </w:rPr>
        <w:t xml:space="preserve">January 2013 </w:t>
      </w:r>
      <w:r w:rsidR="00044D47" w:rsidRPr="00044D47">
        <w:rPr>
          <w:szCs w:val="20"/>
        </w:rPr>
        <w:t>long-term fueling plan</w:t>
      </w:r>
      <w:r w:rsidRPr="00044D47">
        <w:rPr>
          <w:szCs w:val="20"/>
        </w:rPr>
        <w:t xml:space="preserve">.  As Ms. Crane testifies, Staff’s attempt to produce a long-term fueling plan for the Jim Bridger generating plant from </w:t>
      </w:r>
      <w:r w:rsidR="0008788E" w:rsidRPr="00044D47">
        <w:t xml:space="preserve">BCC coal costs prepared by the Company in fall 2013 as part of its annual budgeting process </w:t>
      </w:r>
      <w:r w:rsidR="0008788E" w:rsidRPr="00044D47">
        <w:rPr>
          <w:szCs w:val="20"/>
        </w:rPr>
        <w:t>(</w:t>
      </w:r>
      <w:r w:rsidRPr="00044D47">
        <w:rPr>
          <w:szCs w:val="20"/>
        </w:rPr>
        <w:t xml:space="preserve">the October 2013 </w:t>
      </w:r>
      <w:r w:rsidR="00044D47">
        <w:rPr>
          <w:szCs w:val="20"/>
        </w:rPr>
        <w:t>mine p</w:t>
      </w:r>
      <w:r w:rsidR="00C36DF6" w:rsidRPr="00044D47">
        <w:rPr>
          <w:szCs w:val="20"/>
        </w:rPr>
        <w:t>lan</w:t>
      </w:r>
      <w:r w:rsidR="0008788E" w:rsidRPr="00044D47">
        <w:rPr>
          <w:szCs w:val="20"/>
        </w:rPr>
        <w:t>)</w:t>
      </w:r>
      <w:r w:rsidRPr="00044D47">
        <w:rPr>
          <w:szCs w:val="20"/>
        </w:rPr>
        <w:t xml:space="preserve"> relies on extrapolation and use of incorrect assumptions.  </w:t>
      </w:r>
    </w:p>
    <w:p w:rsidR="00151D3B" w:rsidRPr="00044D47" w:rsidRDefault="002C2F80">
      <w:pPr>
        <w:pStyle w:val="Answer"/>
        <w:widowControl w:val="0"/>
        <w:ind w:firstLine="720"/>
        <w:jc w:val="left"/>
        <w:rPr>
          <w:szCs w:val="20"/>
        </w:rPr>
      </w:pPr>
      <w:r w:rsidRPr="00044D47">
        <w:rPr>
          <w:szCs w:val="20"/>
        </w:rPr>
        <w:t xml:space="preserve">At the time the FNTP was issued, the Company was aware that the base case SCR compliance alternative was approximately </w:t>
      </w:r>
      <w:r w:rsidR="00C02076" w:rsidRPr="00C02076">
        <w:rPr>
          <w:szCs w:val="20"/>
          <w:highlight w:val="black"/>
        </w:rPr>
        <w:t>______</w:t>
      </w:r>
      <w:r w:rsidR="00C02076">
        <w:rPr>
          <w:szCs w:val="20"/>
          <w:highlight w:val="black"/>
        </w:rPr>
        <w:t>__</w:t>
      </w:r>
      <w:r w:rsidR="00C02076" w:rsidRPr="00C02076">
        <w:rPr>
          <w:szCs w:val="20"/>
          <w:highlight w:val="black"/>
        </w:rPr>
        <w:t>____</w:t>
      </w:r>
      <w:r w:rsidRPr="00044D47">
        <w:rPr>
          <w:szCs w:val="20"/>
        </w:rPr>
        <w:t xml:space="preserve"> (</w:t>
      </w:r>
      <w:r w:rsidR="00C02076" w:rsidRPr="00C02076">
        <w:rPr>
          <w:szCs w:val="20"/>
          <w:highlight w:val="black"/>
        </w:rPr>
        <w:t>_____</w:t>
      </w:r>
      <w:r w:rsidR="00C02076">
        <w:rPr>
          <w:szCs w:val="20"/>
          <w:highlight w:val="black"/>
        </w:rPr>
        <w:t>_</w:t>
      </w:r>
      <w:r w:rsidR="00C02076" w:rsidRPr="00C02076">
        <w:rPr>
          <w:szCs w:val="20"/>
          <w:highlight w:val="black"/>
        </w:rPr>
        <w:t>_____</w:t>
      </w:r>
      <w:r w:rsidR="00C02076">
        <w:rPr>
          <w:szCs w:val="20"/>
        </w:rPr>
        <w:t xml:space="preserve"> </w:t>
      </w:r>
      <w:r w:rsidRPr="00044D47">
        <w:rPr>
          <w:szCs w:val="20"/>
        </w:rPr>
        <w:t xml:space="preserve">PVRR(d) based on the September 2013 OFPC plus </w:t>
      </w:r>
      <w:r w:rsidR="00C02076" w:rsidRPr="00C02076">
        <w:rPr>
          <w:szCs w:val="20"/>
          <w:highlight w:val="black"/>
        </w:rPr>
        <w:t>______</w:t>
      </w:r>
      <w:r w:rsidR="00C02076">
        <w:rPr>
          <w:szCs w:val="20"/>
          <w:highlight w:val="black"/>
        </w:rPr>
        <w:t>_</w:t>
      </w:r>
      <w:r w:rsidR="00C02076" w:rsidRPr="00C02076">
        <w:rPr>
          <w:szCs w:val="20"/>
          <w:highlight w:val="black"/>
        </w:rPr>
        <w:t>____</w:t>
      </w:r>
      <w:r w:rsidR="00C02076">
        <w:rPr>
          <w:szCs w:val="20"/>
        </w:rPr>
        <w:t xml:space="preserve"> </w:t>
      </w:r>
      <w:r w:rsidRPr="00044D47">
        <w:rPr>
          <w:szCs w:val="20"/>
        </w:rPr>
        <w:t xml:space="preserve">for EPC cost savings) lower cost than the natural gas conversion alternative.  While the Company was aware that its BCC mine costs had been updated before issuing the FNTP, there was nothing in the updated mine cost projections—an interim step to developing a new long-term fueling plan for the Jim Bridger generating plant, which was completed in November 2014 and used in the 2015 IRP—to suggest delivered coal costs were increasing to a level that would eliminate the substantial SCR benefits.  In fact, this observation was later substantiated when the long-term fueling plan for the Jim Bridger generating plant used in the 2015 IRP was completed.  As stated in my rebuttal testimony, when coal costs for the Jim Bridger generating plant used in the Company’s SCR analysis are compared to coal costs used in the 2015 IRP, SCR benefits would be reduced by only </w:t>
      </w:r>
      <w:r w:rsidR="00C02076">
        <w:rPr>
          <w:szCs w:val="20"/>
          <w:highlight w:val="black"/>
        </w:rPr>
        <w:t>____</w:t>
      </w:r>
      <w:r w:rsidR="00C02076" w:rsidRPr="00C02076">
        <w:rPr>
          <w:szCs w:val="20"/>
          <w:highlight w:val="black"/>
        </w:rPr>
        <w:t>_____</w:t>
      </w:r>
      <w:r w:rsidRPr="00044D47">
        <w:rPr>
          <w:szCs w:val="20"/>
        </w:rPr>
        <w:t>.</w:t>
      </w:r>
      <w:r w:rsidRPr="00044D47">
        <w:rPr>
          <w:rStyle w:val="FootnoteReference"/>
          <w:szCs w:val="20"/>
        </w:rPr>
        <w:footnoteReference w:id="6"/>
      </w:r>
      <w:r w:rsidRPr="00044D47">
        <w:rPr>
          <w:szCs w:val="20"/>
        </w:rPr>
        <w:t xml:space="preserve">  Ms. Crane’s supplemental rebuttal testimony notes that this estimate is conservative because it assumes the percentage increase to coal costs for a two-unit operating scenario (the gas conversion alternative) is the same as the four-unit operating scenario (the SCR alternative).  </w:t>
      </w:r>
    </w:p>
    <w:p w:rsidR="00151D3B" w:rsidRPr="00044D47" w:rsidRDefault="002C2F80">
      <w:pPr>
        <w:pStyle w:val="Heading1"/>
        <w:rPr>
          <w:rFonts w:ascii="Times New Roman" w:hAnsi="Times New Roman"/>
          <w:szCs w:val="20"/>
        </w:rPr>
      </w:pPr>
      <w:bookmarkStart w:id="3" w:name="_Toc450807315"/>
      <w:r w:rsidRPr="00044D47">
        <w:rPr>
          <w:rFonts w:ascii="Times New Roman" w:hAnsi="Times New Roman"/>
          <w:szCs w:val="20"/>
        </w:rPr>
        <w:t>DECEMBER 2013 NATURAL GAS PRICES</w:t>
      </w:r>
      <w:bookmarkEnd w:id="3"/>
    </w:p>
    <w:p w:rsidR="00151D3B" w:rsidRPr="00044D47" w:rsidRDefault="002C2F80">
      <w:pPr>
        <w:pStyle w:val="Answer"/>
        <w:keepNext/>
        <w:widowControl w:val="0"/>
        <w:jc w:val="left"/>
        <w:rPr>
          <w:b/>
        </w:rPr>
      </w:pPr>
      <w:r w:rsidRPr="00044D47">
        <w:rPr>
          <w:b/>
        </w:rPr>
        <w:t>Q.</w:t>
      </w:r>
      <w:r w:rsidRPr="00044D47">
        <w:rPr>
          <w:b/>
        </w:rPr>
        <w:tab/>
        <w:t>In its supplemental testimony, did Staff change its position on the natural gas price information the Company should have considered before issuing the FNTP?</w:t>
      </w:r>
    </w:p>
    <w:p w:rsidR="00151D3B" w:rsidRPr="00044D47" w:rsidRDefault="002C2F80">
      <w:pPr>
        <w:pStyle w:val="Answer"/>
        <w:widowControl w:val="0"/>
        <w:jc w:val="left"/>
      </w:pPr>
      <w:r w:rsidRPr="00044D47">
        <w:t>A.</w:t>
      </w:r>
      <w:r w:rsidRPr="00044D47">
        <w:tab/>
        <w:t xml:space="preserve">Yes.  </w:t>
      </w:r>
    </w:p>
    <w:p w:rsidR="00151D3B" w:rsidRPr="00044D47" w:rsidRDefault="002C2F80">
      <w:pPr>
        <w:pStyle w:val="Answer"/>
        <w:jc w:val="left"/>
        <w:rPr>
          <w:b/>
        </w:rPr>
      </w:pPr>
      <w:r w:rsidRPr="00044D47">
        <w:rPr>
          <w:b/>
        </w:rPr>
        <w:t>Q.</w:t>
      </w:r>
      <w:r w:rsidRPr="00044D47">
        <w:rPr>
          <w:b/>
        </w:rPr>
        <w:tab/>
        <w:t xml:space="preserve">Is this testimony outside the scope of the supplemental testimony Staff was permitted to file in this case under Order 08? </w:t>
      </w:r>
    </w:p>
    <w:p w:rsidR="00151D3B" w:rsidRPr="00044D47" w:rsidRDefault="002C2F80">
      <w:pPr>
        <w:pStyle w:val="Answer"/>
        <w:widowControl w:val="0"/>
        <w:jc w:val="left"/>
      </w:pPr>
      <w:r w:rsidRPr="00044D47">
        <w:t>A.</w:t>
      </w:r>
      <w:r w:rsidRPr="00044D47">
        <w:tab/>
        <w:t>Yes, that is my understanding.  Staff requested permission to file supplemental testimo</w:t>
      </w:r>
      <w:r w:rsidR="00044D47">
        <w:t>ny related to the October 2013 mine p</w:t>
      </w:r>
      <w:r w:rsidRPr="00044D47">
        <w:t>lan, which the Administrative Law Judge granted in Order 08.  Staff did not seek or receive authorization to file supplemental testimony to change its position on the applicable forward price curve.  Staff states that it changed its position after it became aware, “based on new information provided by the Company in its rebuttal case and subsequent discovery,” that the Company “came into new information regarding natural gas price forecast between October and December 2013[.]”</w:t>
      </w:r>
      <w:r w:rsidRPr="00044D47">
        <w:rPr>
          <w:rStyle w:val="FootnoteReference"/>
        </w:rPr>
        <w:footnoteReference w:id="7"/>
      </w:r>
      <w:r w:rsidRPr="00044D47">
        <w:t xml:space="preserve">  </w:t>
      </w:r>
    </w:p>
    <w:p w:rsidR="00151D3B" w:rsidRPr="00044D47" w:rsidRDefault="002C2F80">
      <w:pPr>
        <w:pStyle w:val="Answer"/>
        <w:widowControl w:val="0"/>
        <w:jc w:val="left"/>
        <w:rPr>
          <w:b/>
        </w:rPr>
      </w:pPr>
      <w:r w:rsidRPr="00044D47">
        <w:rPr>
          <w:b/>
        </w:rPr>
        <w:t>Q.</w:t>
      </w:r>
      <w:r w:rsidRPr="00044D47">
        <w:rPr>
          <w:b/>
        </w:rPr>
        <w:tab/>
        <w:t>Is Staff’s justification valid?</w:t>
      </w:r>
    </w:p>
    <w:p w:rsidR="00151D3B" w:rsidRPr="00044D47" w:rsidRDefault="002C2F80">
      <w:pPr>
        <w:pStyle w:val="Answer"/>
        <w:widowControl w:val="0"/>
        <w:jc w:val="left"/>
      </w:pPr>
      <w:r w:rsidRPr="00044D47">
        <w:t>A.</w:t>
      </w:r>
      <w:r w:rsidRPr="00044D47">
        <w:tab/>
        <w:t>No.  In a data request issued May 9, 2016, the Company asked Staff to provide citations to the “new information” that Staff received in rebuttal testimony and subsequent discovery.  Staff’s response to that request i</w:t>
      </w:r>
      <w:r w:rsidR="0097276D" w:rsidRPr="00044D47">
        <w:t>s attached as Exhibit No. RTL-16</w:t>
      </w:r>
      <w:r w:rsidRPr="00044D47">
        <w:t>.  Of the 28 citations provided by Staff in its response, only two citations relate to natural gas price forecasts.</w:t>
      </w:r>
      <w:r w:rsidRPr="00044D47">
        <w:rPr>
          <w:rStyle w:val="FootnoteReference"/>
        </w:rPr>
        <w:footnoteReference w:id="8"/>
      </w:r>
      <w:r w:rsidRPr="00044D47">
        <w:t xml:space="preserve">  These two citations refer to portions of my rebuttal testimony describing Staff’s assessment of the Company’s September 2013 OFPC and the long-term natural gas forecasts available to the Company when it developed the December 2013 OFPC.  Of the information provided in these citations, only the </w:t>
      </w:r>
      <w:r w:rsidR="00C02076">
        <w:rPr>
          <w:szCs w:val="20"/>
          <w:highlight w:val="black"/>
        </w:rPr>
        <w:t>_____</w:t>
      </w:r>
      <w:r w:rsidR="00C02076">
        <w:rPr>
          <w:szCs w:val="20"/>
        </w:rPr>
        <w:t xml:space="preserve"> </w:t>
      </w:r>
      <w:r w:rsidR="00B83036" w:rsidRPr="00044D47">
        <w:t>long-term forecast was new to S</w:t>
      </w:r>
      <w:r w:rsidRPr="00044D47">
        <w:t>taff.  All other information was</w:t>
      </w:r>
      <w:r w:rsidR="009B5DE7" w:rsidRPr="00044D47">
        <w:t xml:space="preserve"> provided in response to Staff Data R</w:t>
      </w:r>
      <w:r w:rsidRPr="00044D47">
        <w:t>equest 92, in which, as detailed in the Company’s response to Bench Request 6, the Company provided forward natural gas curves used to develop its 2012 and 2013 OFPCs.</w:t>
      </w:r>
      <w:r w:rsidRPr="00044D47">
        <w:rPr>
          <w:rStyle w:val="FootnoteReference"/>
        </w:rPr>
        <w:footnoteReference w:id="9"/>
      </w:r>
      <w:r w:rsidRPr="00044D47">
        <w:t xml:space="preserve">  This information was provided to Staff February 10, 2016, over a month before it filed testimony on March 17, 2016.  The </w:t>
      </w:r>
      <w:r w:rsidR="00C02076">
        <w:rPr>
          <w:szCs w:val="20"/>
          <w:highlight w:val="black"/>
        </w:rPr>
        <w:t>_____</w:t>
      </w:r>
      <w:r w:rsidR="00C02076">
        <w:rPr>
          <w:szCs w:val="20"/>
        </w:rPr>
        <w:t xml:space="preserve"> </w:t>
      </w:r>
      <w:r w:rsidRPr="00044D47">
        <w:t>price forecast, issued in November 2013, was not inc</w:t>
      </w:r>
      <w:r w:rsidR="009B5DE7" w:rsidRPr="00044D47">
        <w:t>luded in the response to Staff Data R</w:t>
      </w:r>
      <w:r w:rsidRPr="00044D47">
        <w:t>equest 92 because the Company did not use it in developing the December 2013 OFPC.</w:t>
      </w:r>
      <w:r w:rsidR="00044D47" w:rsidRPr="00044D47">
        <w:rPr>
          <w:noProof/>
        </w:rPr>
        <w:t xml:space="preserve"> </w:t>
      </w:r>
    </w:p>
    <w:p w:rsidR="00151D3B" w:rsidRPr="00044D47" w:rsidRDefault="002C2F80">
      <w:pPr>
        <w:pStyle w:val="Answer"/>
        <w:widowControl w:val="0"/>
        <w:jc w:val="left"/>
        <w:rPr>
          <w:b/>
        </w:rPr>
      </w:pPr>
      <w:r w:rsidRPr="00044D47">
        <w:rPr>
          <w:b/>
        </w:rPr>
        <w:t>Q.</w:t>
      </w:r>
      <w:r w:rsidRPr="00044D47">
        <w:rPr>
          <w:b/>
        </w:rPr>
        <w:tab/>
        <w:t xml:space="preserve">Please explain Staff’s change of position on the applicable forward price curve. </w:t>
      </w:r>
    </w:p>
    <w:p w:rsidR="00151D3B" w:rsidRPr="00044D47" w:rsidRDefault="002C2F80">
      <w:pPr>
        <w:pStyle w:val="Answer"/>
        <w:widowControl w:val="0"/>
        <w:jc w:val="left"/>
      </w:pPr>
      <w:r w:rsidRPr="00044D47">
        <w:t>A.</w:t>
      </w:r>
      <w:r w:rsidRPr="00044D47">
        <w:tab/>
        <w:t>In its initial testimony, Staff testified that the most relevant natural gas price forecasts were those available when the Company developed its September 2013 OFPC because the Company “should only be held accountable to act on the information that was in its possession” at that time.</w:t>
      </w:r>
      <w:r w:rsidRPr="00044D47">
        <w:rPr>
          <w:rStyle w:val="FootnoteReference"/>
        </w:rPr>
        <w:footnoteReference w:id="10"/>
      </w:r>
      <w:r w:rsidRPr="00044D47">
        <w:t xml:space="preserve">  Staff calculated its own natural gas price assumptions based on information Pacific Power received from its third-party providers that it believed were available when the Company developed its September 2013 OFPC.  Because Staff’s calculation improperly combined real and nominal forecasts and inappropriately used a forecast that was produced after the Company issued its September 2013 OFPC, Staff’s proposed natural gas price assumption was understated.  Once corrected, Staff’s proposed forward price curve </w:t>
      </w:r>
      <w:r w:rsidRPr="00044D47">
        <w:rPr>
          <w:i/>
        </w:rPr>
        <w:t>increased</w:t>
      </w:r>
      <w:r w:rsidRPr="00044D47">
        <w:t xml:space="preserve"> the benefits of the Bridger SCRs by </w:t>
      </w:r>
      <w:r w:rsidR="00C02076">
        <w:rPr>
          <w:szCs w:val="20"/>
          <w:highlight w:val="black"/>
        </w:rPr>
        <w:t>_________</w:t>
      </w:r>
      <w:r w:rsidRPr="00044D47">
        <w:t>.</w:t>
      </w:r>
      <w:r w:rsidRPr="00044D47">
        <w:rPr>
          <w:rStyle w:val="FootnoteReference"/>
        </w:rPr>
        <w:footnoteReference w:id="11"/>
      </w:r>
      <w:r w:rsidRPr="00044D47">
        <w:t xml:space="preserve">  </w:t>
      </w:r>
    </w:p>
    <w:p w:rsidR="00151D3B" w:rsidRPr="00044D47" w:rsidRDefault="002C2F80">
      <w:pPr>
        <w:pStyle w:val="Answer"/>
        <w:widowControl w:val="0"/>
        <w:jc w:val="left"/>
      </w:pPr>
      <w:r w:rsidRPr="00044D47">
        <w:tab/>
      </w:r>
      <w:r w:rsidRPr="00044D47">
        <w:tab/>
        <w:t>In its supplemental testimony, Staff now testifies that the Company had new natural gas price information between October and December 2013 that significantly improved the cost-effectiveness of natural gas conversion, which should have been considered before issuing the FNTP.</w:t>
      </w:r>
      <w:r w:rsidRPr="00044D47">
        <w:rPr>
          <w:rStyle w:val="FootnoteReference"/>
        </w:rPr>
        <w:footnoteReference w:id="12"/>
      </w:r>
      <w:r w:rsidRPr="00044D47">
        <w:t xml:space="preserve">  Based on this rationale, Staff argues the Company’s December 2013 OFPC, issued in early January 2014, more than one month after the FNTP was issued, should have been considered. </w:t>
      </w:r>
    </w:p>
    <w:p w:rsidR="00151D3B" w:rsidRPr="00044D47" w:rsidRDefault="002C2F80">
      <w:pPr>
        <w:pStyle w:val="Answer"/>
        <w:keepNext/>
        <w:widowControl w:val="0"/>
        <w:jc w:val="left"/>
        <w:rPr>
          <w:b/>
        </w:rPr>
      </w:pPr>
      <w:r w:rsidRPr="00044D47">
        <w:rPr>
          <w:b/>
        </w:rPr>
        <w:t>Q.</w:t>
      </w:r>
      <w:r w:rsidRPr="00044D47">
        <w:rPr>
          <w:b/>
        </w:rPr>
        <w:tab/>
        <w:t>Was Staff aware that the Company had received updated natural gas price forecasts between October and December 2013 when it prepared its original testimony in this case?</w:t>
      </w:r>
    </w:p>
    <w:p w:rsidR="00151D3B" w:rsidRPr="00044D47" w:rsidRDefault="002C2F80">
      <w:pPr>
        <w:pStyle w:val="Answer"/>
        <w:widowControl w:val="0"/>
        <w:jc w:val="left"/>
      </w:pPr>
      <w:r w:rsidRPr="00044D47">
        <w:t>A.</w:t>
      </w:r>
      <w:r w:rsidRPr="00044D47">
        <w:tab/>
        <w:t xml:space="preserve">Yes.  As mentioned above and as detailed in the Company’s response to Bench Request 6, the Company provided forward natural gas curves used to develop its December 2013 OFPC in response to </w:t>
      </w:r>
      <w:r w:rsidR="009B5DE7" w:rsidRPr="00044D47">
        <w:t>Staff Data Request</w:t>
      </w:r>
      <w:r w:rsidRPr="00044D47">
        <w:t xml:space="preserve"> 92 dated February 10, 2016.</w:t>
      </w:r>
      <w:r w:rsidRPr="00044D47">
        <w:rPr>
          <w:rStyle w:val="FootnoteReference"/>
        </w:rPr>
        <w:footnoteReference w:id="13"/>
      </w:r>
      <w:r w:rsidRPr="00044D47">
        <w:t xml:space="preserve">  </w:t>
      </w:r>
    </w:p>
    <w:p w:rsidR="00151D3B" w:rsidRPr="00044D47" w:rsidRDefault="002C2F80">
      <w:pPr>
        <w:pStyle w:val="Answer"/>
        <w:keepNext/>
        <w:widowControl w:val="0"/>
        <w:jc w:val="left"/>
        <w:rPr>
          <w:b/>
        </w:rPr>
      </w:pPr>
      <w:r w:rsidRPr="00044D47">
        <w:rPr>
          <w:b/>
        </w:rPr>
        <w:t>Q.</w:t>
      </w:r>
      <w:r w:rsidRPr="00044D47">
        <w:rPr>
          <w:b/>
        </w:rPr>
        <w:tab/>
        <w:t>Do you agree with Staff’s changed position?</w:t>
      </w:r>
    </w:p>
    <w:p w:rsidR="00151D3B" w:rsidRPr="00044D47" w:rsidRDefault="002C2F80">
      <w:pPr>
        <w:pStyle w:val="Answer"/>
        <w:widowControl w:val="0"/>
        <w:jc w:val="left"/>
      </w:pPr>
      <w:r w:rsidRPr="00044D47">
        <w:t>A.</w:t>
      </w:r>
      <w:r w:rsidRPr="00044D47">
        <w:tab/>
        <w:t>No.  As stated in my direct and rebuttal testimony, the most current OFPC available to the Company at the time the FNTP was issued was the September 2013 OFPC.  As discussed above, the Company considered the impact of natural gas prices from the September 2013 OFPC on its base case analysis.  The Company also considered that there is volatility in long-term price forecasts, recognizing that actual natural gas prices will differ from any forecast regardless of when the forecast is issued.  Simply stated, the Company assessed the most current information available before issuing the FNTP.</w:t>
      </w:r>
    </w:p>
    <w:p w:rsidR="00151D3B" w:rsidRPr="00044D47" w:rsidRDefault="002C2F80">
      <w:pPr>
        <w:pStyle w:val="Answer"/>
        <w:keepNext/>
        <w:jc w:val="left"/>
        <w:rPr>
          <w:b/>
        </w:rPr>
      </w:pPr>
      <w:r w:rsidRPr="00044D47">
        <w:t xml:space="preserve"> </w:t>
      </w:r>
      <w:r w:rsidRPr="00044D47">
        <w:rPr>
          <w:b/>
        </w:rPr>
        <w:t>Q.</w:t>
      </w:r>
      <w:r w:rsidRPr="00044D47">
        <w:rPr>
          <w:b/>
        </w:rPr>
        <w:tab/>
        <w:t>What additional third-party natural gas price information was available to the Company after it issued the FNTP?</w:t>
      </w:r>
    </w:p>
    <w:p w:rsidR="00151D3B" w:rsidRPr="00044D47" w:rsidRDefault="002C2F80">
      <w:pPr>
        <w:pStyle w:val="Answer"/>
        <w:widowControl w:val="0"/>
        <w:jc w:val="left"/>
      </w:pPr>
      <w:r w:rsidRPr="00044D47">
        <w:t>A.</w:t>
      </w:r>
      <w:r w:rsidRPr="00044D47">
        <w:tab/>
        <w:t xml:space="preserve">In my rebuttal testimony, I explain that the Company received updated natural gas price forecasts from </w:t>
      </w:r>
      <w:r w:rsidR="00C02076" w:rsidRPr="00C02076">
        <w:rPr>
          <w:szCs w:val="20"/>
          <w:highlight w:val="black"/>
        </w:rPr>
        <w:t>______________</w:t>
      </w:r>
      <w:r w:rsidR="00C02076">
        <w:rPr>
          <w:szCs w:val="20"/>
        </w:rPr>
        <w:t xml:space="preserve"> </w:t>
      </w:r>
      <w:r w:rsidRPr="00044D47">
        <w:t xml:space="preserve">on October 22, 2013; an updated forecast from </w:t>
      </w:r>
      <w:r w:rsidR="00C02076">
        <w:rPr>
          <w:szCs w:val="20"/>
          <w:highlight w:val="black"/>
        </w:rPr>
        <w:t>_____</w:t>
      </w:r>
      <w:r w:rsidR="00C02076">
        <w:rPr>
          <w:szCs w:val="20"/>
        </w:rPr>
        <w:t xml:space="preserve"> </w:t>
      </w:r>
      <w:r w:rsidRPr="00044D47">
        <w:t xml:space="preserve">on November 20, 2013; and an updated forecast from </w:t>
      </w:r>
      <w:r w:rsidR="00C02076">
        <w:rPr>
          <w:szCs w:val="20"/>
          <w:highlight w:val="black"/>
        </w:rPr>
        <w:t>_____</w:t>
      </w:r>
      <w:r w:rsidR="00C02076">
        <w:rPr>
          <w:szCs w:val="20"/>
        </w:rPr>
        <w:t xml:space="preserve"> </w:t>
      </w:r>
      <w:r w:rsidRPr="00044D47">
        <w:t xml:space="preserve">on December 11, 2013.  The only forecast that was received by the Company </w:t>
      </w:r>
      <w:r w:rsidRPr="00044D47">
        <w:rPr>
          <w:i/>
        </w:rPr>
        <w:t>after</w:t>
      </w:r>
      <w:r w:rsidRPr="00044D47">
        <w:t xml:space="preserve"> the FNTP was issued was the </w:t>
      </w:r>
      <w:r w:rsidR="00C02076">
        <w:rPr>
          <w:szCs w:val="20"/>
          <w:highlight w:val="black"/>
        </w:rPr>
        <w:t>_____</w:t>
      </w:r>
      <w:r w:rsidR="00C02076">
        <w:rPr>
          <w:szCs w:val="20"/>
        </w:rPr>
        <w:t xml:space="preserve"> </w:t>
      </w:r>
      <w:r w:rsidRPr="00044D47">
        <w:t>forecast.</w:t>
      </w:r>
      <w:r w:rsidRPr="00044D47">
        <w:rPr>
          <w:rStyle w:val="FootnoteReference"/>
        </w:rPr>
        <w:footnoteReference w:id="14"/>
      </w:r>
    </w:p>
    <w:p w:rsidR="00151D3B" w:rsidRPr="00044D47" w:rsidRDefault="002C2F80">
      <w:pPr>
        <w:pStyle w:val="Answer"/>
        <w:keepNext/>
        <w:widowControl w:val="0"/>
        <w:jc w:val="left"/>
        <w:rPr>
          <w:b/>
        </w:rPr>
      </w:pPr>
      <w:r w:rsidRPr="00044D47">
        <w:rPr>
          <w:b/>
        </w:rPr>
        <w:t>Q.</w:t>
      </w:r>
      <w:r w:rsidRPr="00044D47">
        <w:rPr>
          <w:b/>
        </w:rPr>
        <w:tab/>
        <w:t xml:space="preserve">Have you calculated the PVRR(d) between the SCR and natural gas conversion alternatives based on the natural gas price forecasted provided by </w:t>
      </w:r>
      <w:r w:rsidRPr="00575EDA">
        <w:rPr>
          <w:b/>
        </w:rPr>
        <w:t>PIRA</w:t>
      </w:r>
      <w:r w:rsidRPr="00044D47">
        <w:rPr>
          <w:b/>
        </w:rPr>
        <w:t xml:space="preserve"> in December 2013?</w:t>
      </w:r>
    </w:p>
    <w:p w:rsidR="00151D3B" w:rsidRPr="00044D47" w:rsidRDefault="002C2F80">
      <w:pPr>
        <w:pStyle w:val="Answer"/>
        <w:widowControl w:val="0"/>
        <w:jc w:val="left"/>
      </w:pPr>
      <w:r w:rsidRPr="00044D47">
        <w:t>A.</w:t>
      </w:r>
      <w:r w:rsidRPr="00044D47">
        <w:tab/>
        <w:t xml:space="preserve">Yes. As stated in my rebuttal testimony, the nominal levelized price calculated from </w:t>
      </w:r>
      <w:r w:rsidRPr="00575EDA">
        <w:t>PIRA’s</w:t>
      </w:r>
      <w:r w:rsidRPr="00044D47">
        <w:t xml:space="preserve"> December 2013 natural gas price forecast is </w:t>
      </w:r>
      <w:r w:rsidR="00C02076">
        <w:rPr>
          <w:szCs w:val="20"/>
          <w:highlight w:val="black"/>
        </w:rPr>
        <w:t>__-__</w:t>
      </w:r>
      <w:r w:rsidRPr="00044D47">
        <w:t>/mmBtu.</w:t>
      </w:r>
      <w:r w:rsidRPr="00044D47">
        <w:rPr>
          <w:rStyle w:val="FootnoteReference"/>
        </w:rPr>
        <w:footnoteReference w:id="15"/>
      </w:r>
      <w:r w:rsidRPr="00044D47">
        <w:t xml:space="preserve">  Using the same relationship between nominal levelized natural gas prices and PVRR(d) results that is presented in Exhibit RTL-9C, application of the </w:t>
      </w:r>
      <w:r w:rsidR="00C02076">
        <w:rPr>
          <w:szCs w:val="20"/>
          <w:highlight w:val="black"/>
        </w:rPr>
        <w:t>_____</w:t>
      </w:r>
      <w:r w:rsidR="00C02076">
        <w:rPr>
          <w:szCs w:val="20"/>
        </w:rPr>
        <w:t xml:space="preserve"> </w:t>
      </w:r>
      <w:r w:rsidRPr="00044D47">
        <w:t xml:space="preserve">natural gas price forecast yields a PVRR(d) that is </w:t>
      </w:r>
      <w:r w:rsidR="00C02076">
        <w:rPr>
          <w:szCs w:val="20"/>
          <w:highlight w:val="black"/>
        </w:rPr>
        <w:t>__________</w:t>
      </w:r>
      <w:r w:rsidR="00C02076">
        <w:rPr>
          <w:szCs w:val="20"/>
        </w:rPr>
        <w:t xml:space="preserve"> </w:t>
      </w:r>
      <w:r w:rsidRPr="00044D47">
        <w:t xml:space="preserve">favorable to installation of SCRs </w:t>
      </w:r>
      <w:r w:rsidRPr="00044D47">
        <w:rPr>
          <w:i/>
        </w:rPr>
        <w:t>before</w:t>
      </w:r>
      <w:r w:rsidRPr="00044D47">
        <w:t xml:space="preserve"> accounting for known EPC cost reductions.  Adding in the EPC cost reductions that were known by December 2013 improves the PVRR(d) benefit of SCRs to </w:t>
      </w:r>
      <w:r w:rsidR="00C02076">
        <w:rPr>
          <w:szCs w:val="20"/>
          <w:highlight w:val="black"/>
        </w:rPr>
        <w:t>____________</w:t>
      </w:r>
      <w:r w:rsidRPr="00044D47">
        <w:t>.</w:t>
      </w:r>
    </w:p>
    <w:p w:rsidR="00151D3B" w:rsidRPr="00044D47" w:rsidRDefault="002C2F80">
      <w:pPr>
        <w:pStyle w:val="Answer"/>
        <w:keepNext/>
        <w:widowControl w:val="0"/>
        <w:jc w:val="left"/>
        <w:rPr>
          <w:b/>
        </w:rPr>
      </w:pPr>
      <w:r w:rsidRPr="00044D47">
        <w:rPr>
          <w:b/>
        </w:rPr>
        <w:t>Q.</w:t>
      </w:r>
      <w:r w:rsidRPr="00044D47">
        <w:rPr>
          <w:b/>
        </w:rPr>
        <w:tab/>
        <w:t>Are you suggesting the Company should have based its decision to issue the FNTP based on individual consultant forecasts as opposed to its own OFPC?</w:t>
      </w:r>
    </w:p>
    <w:p w:rsidR="00151D3B" w:rsidRPr="00044D47" w:rsidRDefault="002C2F80">
      <w:pPr>
        <w:pStyle w:val="Answer"/>
        <w:widowControl w:val="0"/>
        <w:jc w:val="left"/>
        <w:rPr>
          <w:szCs w:val="20"/>
        </w:rPr>
      </w:pPr>
      <w:r w:rsidRPr="00044D47">
        <w:t>A.</w:t>
      </w:r>
      <w:r w:rsidRPr="00044D47">
        <w:tab/>
        <w:t>No.  I am simply highlighting that the only new information available to the Company after it issued its FNTP on December 1, 2013, was a third-party forecast issued on December 11, 2013.  If this forecast is applied to the relationship in Exhibit No. RTL-9C, the PVRR(d) results are even higher than those based on the Company’s September 2013 OFPC.  The Company reasonably used the September 2013 OFPC and appropriately considered natural gas forecast volatility before issuing the FNTP on December 1, 2013.</w:t>
      </w:r>
    </w:p>
    <w:p w:rsidR="00151D3B" w:rsidRPr="00044D47" w:rsidRDefault="002C2F80">
      <w:pPr>
        <w:pStyle w:val="Heading1"/>
        <w:keepNext/>
        <w:rPr>
          <w:rFonts w:ascii="Times New Roman" w:hAnsi="Times New Roman"/>
        </w:rPr>
      </w:pPr>
      <w:bookmarkStart w:id="4" w:name="_Toc450807316"/>
      <w:r w:rsidRPr="00044D47">
        <w:rPr>
          <w:rFonts w:ascii="Times New Roman" w:hAnsi="Times New Roman"/>
        </w:rPr>
        <w:t>CONCLUSION</w:t>
      </w:r>
      <w:bookmarkEnd w:id="4"/>
    </w:p>
    <w:bookmarkEnd w:id="1"/>
    <w:p w:rsidR="00151D3B" w:rsidRPr="00044D47" w:rsidRDefault="002C2F80">
      <w:pPr>
        <w:pStyle w:val="Answer"/>
        <w:keepNext/>
        <w:widowControl w:val="0"/>
        <w:jc w:val="left"/>
        <w:rPr>
          <w:b/>
        </w:rPr>
      </w:pPr>
      <w:r w:rsidRPr="00044D47">
        <w:rPr>
          <w:b/>
        </w:rPr>
        <w:t>Q.</w:t>
      </w:r>
      <w:r w:rsidRPr="00044D47">
        <w:rPr>
          <w:b/>
        </w:rPr>
        <w:tab/>
        <w:t>What is your recommendation to the Commission?</w:t>
      </w:r>
    </w:p>
    <w:p w:rsidR="00151D3B" w:rsidRPr="00044D47" w:rsidRDefault="002C2F80">
      <w:pPr>
        <w:tabs>
          <w:tab w:val="left" w:pos="720"/>
        </w:tabs>
        <w:spacing w:line="480" w:lineRule="auto"/>
        <w:ind w:left="720" w:hanging="720"/>
        <w:jc w:val="left"/>
      </w:pPr>
      <w:r w:rsidRPr="00044D47">
        <w:t>A.</w:t>
      </w:r>
      <w:r w:rsidRPr="00044D47">
        <w:tab/>
        <w:t xml:space="preserve">The Company’s analysis supporting its decision to install SCRs on Jim Bridger Units 3 and 4 is comprehensive and clearly demonstrates customer benefits as compared to natural gas conversion.  The Company reasonably updated its analysis based on changing market conditions before issuing the FNTP.  When considering changes to market conditions, the Company re-affirmed that installation of SCRs is the least-cost, least-risk compliance alternative for meeting Regional Haze obligations for Jim Bridger Units 3 and 4. </w:t>
      </w:r>
      <w:r w:rsidR="004A2799" w:rsidRPr="00044D47">
        <w:t xml:space="preserve"> I recommend the Commission determine the Company’s decision to install SCRs on Jim Bridger Units 3 and 4 was prudent.</w:t>
      </w:r>
    </w:p>
    <w:p w:rsidR="00151D3B" w:rsidRPr="00044D47" w:rsidRDefault="002C2F80">
      <w:pPr>
        <w:pStyle w:val="Answer"/>
        <w:keepNext/>
        <w:widowControl w:val="0"/>
        <w:jc w:val="left"/>
        <w:rPr>
          <w:b/>
        </w:rPr>
      </w:pPr>
      <w:r w:rsidRPr="00044D47">
        <w:rPr>
          <w:b/>
        </w:rPr>
        <w:t>Q.</w:t>
      </w:r>
      <w:r w:rsidRPr="00044D47">
        <w:rPr>
          <w:b/>
        </w:rPr>
        <w:tab/>
        <w:t>Does this conclude your supplemental rebuttal testimony?</w:t>
      </w:r>
    </w:p>
    <w:p w:rsidR="00151D3B" w:rsidRPr="00044D47" w:rsidRDefault="002C2F80">
      <w:pPr>
        <w:pStyle w:val="Answer"/>
        <w:widowControl w:val="0"/>
        <w:jc w:val="left"/>
      </w:pPr>
      <w:r w:rsidRPr="00044D47">
        <w:t>A.</w:t>
      </w:r>
      <w:r w:rsidRPr="00044D47">
        <w:tab/>
        <w:t>Yes.</w:t>
      </w:r>
    </w:p>
    <w:sectPr w:rsidR="00151D3B" w:rsidRPr="00044D47" w:rsidSect="00C36DF6">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01A" w:rsidRDefault="0040201A">
      <w:r>
        <w:separator/>
      </w:r>
    </w:p>
  </w:endnote>
  <w:endnote w:type="continuationSeparator" w:id="0">
    <w:p w:rsidR="0040201A" w:rsidRDefault="0040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D3B" w:rsidRDefault="004755E9">
    <w:pPr>
      <w:pStyle w:val="Footer"/>
      <w:tabs>
        <w:tab w:val="clear" w:pos="4320"/>
        <w:tab w:val="clear" w:pos="8640"/>
        <w:tab w:val="center" w:pos="5130"/>
        <w:tab w:val="right" w:pos="9000"/>
      </w:tabs>
      <w:jc w:val="left"/>
    </w:pPr>
    <w:r>
      <w:t>Redacted</w:t>
    </w:r>
    <w:r w:rsidR="006C1C72">
      <w:t xml:space="preserve"> </w:t>
    </w:r>
    <w:r w:rsidR="002C2F80">
      <w:t xml:space="preserve">Supplemental Rebuttal Testimony of </w:t>
    </w:r>
    <w:r w:rsidR="0097276D">
      <w:t>Rick T. Link</w:t>
    </w:r>
    <w:r w:rsidR="0097276D">
      <w:tab/>
      <w:t>Exhibit No. RTL-15</w:t>
    </w:r>
    <w:r w:rsidR="002C2F80">
      <w:t>CT</w:t>
    </w:r>
  </w:p>
  <w:p w:rsidR="00151D3B" w:rsidRDefault="002C2F80">
    <w:pPr>
      <w:pStyle w:val="Footer"/>
      <w:jc w:val="right"/>
    </w:pPr>
    <w:r>
      <w:t xml:space="preserve">Page </w:t>
    </w:r>
    <w:r>
      <w:fldChar w:fldCharType="begin"/>
    </w:r>
    <w:r>
      <w:instrText xml:space="preserve"> PAGE   \* MERGEFORMAT </w:instrText>
    </w:r>
    <w:r>
      <w:fldChar w:fldCharType="separate"/>
    </w:r>
    <w:r w:rsidR="00AF597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01A" w:rsidRDefault="0040201A">
      <w:r>
        <w:separator/>
      </w:r>
    </w:p>
  </w:footnote>
  <w:footnote w:type="continuationSeparator" w:id="0">
    <w:p w:rsidR="0040201A" w:rsidRDefault="0040201A">
      <w:r>
        <w:continuationSeparator/>
      </w:r>
    </w:p>
  </w:footnote>
  <w:footnote w:id="1">
    <w:p w:rsidR="00151D3B" w:rsidRDefault="002C2F80" w:rsidP="005F19DB">
      <w:pPr>
        <w:pStyle w:val="FootnoteText"/>
        <w:jc w:val="left"/>
      </w:pPr>
      <w:r>
        <w:rPr>
          <w:rStyle w:val="FootnoteReference"/>
        </w:rPr>
        <w:footnoteRef/>
      </w:r>
      <w:r w:rsidR="005F19DB">
        <w:t xml:space="preserve"> Twitchell, Exh. No. JBT-28HCT 1:23-</w:t>
      </w:r>
      <w:r>
        <w:t>2:2.</w:t>
      </w:r>
    </w:p>
  </w:footnote>
  <w:footnote w:id="2">
    <w:p w:rsidR="00151D3B" w:rsidRDefault="002C2F80" w:rsidP="005F19DB">
      <w:pPr>
        <w:pStyle w:val="FootnoteText"/>
        <w:jc w:val="left"/>
      </w:pPr>
      <w:r>
        <w:rPr>
          <w:rStyle w:val="FootnoteReference"/>
        </w:rPr>
        <w:footnoteRef/>
      </w:r>
      <w:r>
        <w:t xml:space="preserve"> Link, Exh. No. RTL-1CT 19:14-20.</w:t>
      </w:r>
    </w:p>
  </w:footnote>
  <w:footnote w:id="3">
    <w:p w:rsidR="00151D3B" w:rsidRDefault="002C2F80" w:rsidP="005F19DB">
      <w:pPr>
        <w:pStyle w:val="FootnoteText"/>
        <w:jc w:val="left"/>
      </w:pPr>
      <w:r>
        <w:rPr>
          <w:rStyle w:val="FootnoteReference"/>
        </w:rPr>
        <w:footnoteRef/>
      </w:r>
      <w:r>
        <w:t xml:space="preserve"> </w:t>
      </w:r>
      <w:r>
        <w:rPr>
          <w:i/>
        </w:rPr>
        <w:t>Id.</w:t>
      </w:r>
      <w:r>
        <w:t xml:space="preserve">, 20:18-21. </w:t>
      </w:r>
    </w:p>
  </w:footnote>
  <w:footnote w:id="4">
    <w:p w:rsidR="00151D3B" w:rsidRDefault="002C2F80" w:rsidP="005F19DB">
      <w:pPr>
        <w:pStyle w:val="FootnoteText"/>
        <w:jc w:val="left"/>
      </w:pPr>
      <w:r>
        <w:rPr>
          <w:rStyle w:val="FootnoteReference"/>
        </w:rPr>
        <w:footnoteRef/>
      </w:r>
      <w:r w:rsidR="004A2799">
        <w:t xml:space="preserve"> Twitchell, Exh. No. JBT-28</w:t>
      </w:r>
      <w:r>
        <w:t>HCT 27:4-13.</w:t>
      </w:r>
    </w:p>
  </w:footnote>
  <w:footnote w:id="5">
    <w:p w:rsidR="00151D3B" w:rsidRDefault="002C2F80" w:rsidP="005F19DB">
      <w:pPr>
        <w:pStyle w:val="FootnoteText"/>
        <w:jc w:val="left"/>
      </w:pPr>
      <w:r>
        <w:rPr>
          <w:rStyle w:val="FootnoteReference"/>
        </w:rPr>
        <w:footnoteRef/>
      </w:r>
      <w:r>
        <w:t xml:space="preserve"> Link, Exh. No. RTL-11CT 27:10-15.</w:t>
      </w:r>
    </w:p>
  </w:footnote>
  <w:footnote w:id="6">
    <w:p w:rsidR="00151D3B" w:rsidRDefault="002C2F80" w:rsidP="005F19DB">
      <w:pPr>
        <w:pStyle w:val="FootnoteText"/>
        <w:jc w:val="left"/>
      </w:pPr>
      <w:r>
        <w:rPr>
          <w:rStyle w:val="FootnoteReference"/>
        </w:rPr>
        <w:footnoteRef/>
      </w:r>
      <w:r>
        <w:t xml:space="preserve"> </w:t>
      </w:r>
      <w:r>
        <w:rPr>
          <w:i/>
        </w:rPr>
        <w:t>Id</w:t>
      </w:r>
      <w:r>
        <w:t>., 10:12-15</w:t>
      </w:r>
    </w:p>
  </w:footnote>
  <w:footnote w:id="7">
    <w:p w:rsidR="00151D3B" w:rsidRDefault="002C2F80" w:rsidP="005F19DB">
      <w:pPr>
        <w:pStyle w:val="FootnoteText"/>
        <w:jc w:val="left"/>
      </w:pPr>
      <w:r>
        <w:rPr>
          <w:rStyle w:val="FootnoteReference"/>
        </w:rPr>
        <w:footnoteRef/>
      </w:r>
      <w:r w:rsidR="004A2799">
        <w:t xml:space="preserve"> Twitchell, Exh. No. JBT-28</w:t>
      </w:r>
      <w:r>
        <w:t>HCT 26:8-11.</w:t>
      </w:r>
    </w:p>
  </w:footnote>
  <w:footnote w:id="8">
    <w:p w:rsidR="00151D3B" w:rsidRDefault="002C2F80" w:rsidP="005F19DB">
      <w:pPr>
        <w:pStyle w:val="FootnoteText"/>
        <w:jc w:val="left"/>
      </w:pPr>
      <w:r>
        <w:rPr>
          <w:rStyle w:val="FootnoteReference"/>
        </w:rPr>
        <w:footnoteRef/>
      </w:r>
      <w:r>
        <w:t xml:space="preserve"> The citations are to Exhibit No. RTL-11CT 13:6-7, 18:3-14.</w:t>
      </w:r>
    </w:p>
  </w:footnote>
  <w:footnote w:id="9">
    <w:p w:rsidR="00151D3B" w:rsidRDefault="002C2F80" w:rsidP="005F19DB">
      <w:pPr>
        <w:pStyle w:val="FootnoteText"/>
        <w:jc w:val="left"/>
      </w:pPr>
      <w:r>
        <w:rPr>
          <w:rStyle w:val="FootnoteReference"/>
        </w:rPr>
        <w:footnoteRef/>
      </w:r>
      <w:r>
        <w:t xml:space="preserve"> A copy of this response is attached as Exhibit No. JIF-10 to the confidential testimony of Sierra Club witness Dr. Jeremy I. Fisher.  </w:t>
      </w:r>
    </w:p>
  </w:footnote>
  <w:footnote w:id="10">
    <w:p w:rsidR="00151D3B" w:rsidRDefault="002C2F80" w:rsidP="005F19DB">
      <w:pPr>
        <w:pStyle w:val="FootnoteText"/>
        <w:jc w:val="left"/>
      </w:pPr>
      <w:r>
        <w:rPr>
          <w:rStyle w:val="FootnoteReference"/>
        </w:rPr>
        <w:footnoteRef/>
      </w:r>
      <w:r>
        <w:t xml:space="preserve"> Twitchell, Exh. No. JBT-1CT 53: 5-8; 52:9-11; Exh. No. RTL-12C (WUTC Staff’s Response to Pacific Power’s Data Request No. 4).</w:t>
      </w:r>
    </w:p>
  </w:footnote>
  <w:footnote w:id="11">
    <w:p w:rsidR="00151D3B" w:rsidRDefault="002C2F80" w:rsidP="005F19DB">
      <w:pPr>
        <w:pStyle w:val="FootnoteText"/>
        <w:jc w:val="left"/>
      </w:pPr>
      <w:r>
        <w:rPr>
          <w:rStyle w:val="FootnoteReference"/>
        </w:rPr>
        <w:footnoteRef/>
      </w:r>
      <w:r>
        <w:t xml:space="preserve"> Link, Exh. RTL-11CT 13-14. </w:t>
      </w:r>
    </w:p>
  </w:footnote>
  <w:footnote w:id="12">
    <w:p w:rsidR="00151D3B" w:rsidRDefault="002C2F80" w:rsidP="005F19DB">
      <w:pPr>
        <w:pStyle w:val="FootnoteText"/>
        <w:jc w:val="left"/>
      </w:pPr>
      <w:r>
        <w:rPr>
          <w:rStyle w:val="FootnoteReference"/>
        </w:rPr>
        <w:footnoteRef/>
      </w:r>
      <w:r>
        <w:t xml:space="preserve"> Twitchell, Exh. No</w:t>
      </w:r>
      <w:r w:rsidR="004A2799">
        <w:t xml:space="preserve"> JBT-28</w:t>
      </w:r>
      <w:r>
        <w:t>HCT 26:4-11.</w:t>
      </w:r>
    </w:p>
  </w:footnote>
  <w:footnote w:id="13">
    <w:p w:rsidR="00151D3B" w:rsidRDefault="002C2F80" w:rsidP="005F19DB">
      <w:pPr>
        <w:pStyle w:val="FootnoteText"/>
        <w:jc w:val="left"/>
      </w:pPr>
      <w:r>
        <w:rPr>
          <w:rStyle w:val="FootnoteReference"/>
        </w:rPr>
        <w:footnoteRef/>
      </w:r>
      <w:r>
        <w:t xml:space="preserve"> A copy of this response is attached  as Exhibit No. JIF-10 to the confidential testimony of Sierra Club witness Dr. Jeremy I. Fisher.  </w:t>
      </w:r>
    </w:p>
  </w:footnote>
  <w:footnote w:id="14">
    <w:p w:rsidR="00151D3B" w:rsidRDefault="002C2F80" w:rsidP="005F19DB">
      <w:pPr>
        <w:pStyle w:val="FootnoteText"/>
        <w:jc w:val="left"/>
      </w:pPr>
      <w:r>
        <w:rPr>
          <w:rStyle w:val="FootnoteReference"/>
        </w:rPr>
        <w:footnoteRef/>
      </w:r>
      <w:r>
        <w:t xml:space="preserve"> Link, Exh. No. RTL-11CT 18:3-9.</w:t>
      </w:r>
    </w:p>
  </w:footnote>
  <w:footnote w:id="15">
    <w:p w:rsidR="00151D3B" w:rsidRDefault="002C2F80" w:rsidP="005F19DB">
      <w:pPr>
        <w:pStyle w:val="FootnoteText"/>
        <w:jc w:val="left"/>
      </w:pPr>
      <w:r>
        <w:rPr>
          <w:rStyle w:val="FootnoteReference"/>
        </w:rPr>
        <w:footnoteRef/>
      </w:r>
      <w:r>
        <w:t xml:space="preserve"> </w:t>
      </w:r>
      <w:r>
        <w:rPr>
          <w:i/>
        </w:rPr>
        <w:t>Id</w:t>
      </w:r>
      <w:r>
        <w:t>., 18:10-12.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D205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A2E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22F2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9405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CC1A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3A69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6209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F0ED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0AE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D2AE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30A6D"/>
    <w:multiLevelType w:val="hybridMultilevel"/>
    <w:tmpl w:val="75300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01B6423A"/>
    <w:multiLevelType w:val="hybridMultilevel"/>
    <w:tmpl w:val="C9AE8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F4F6B"/>
    <w:multiLevelType w:val="hybridMultilevel"/>
    <w:tmpl w:val="26D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86D02"/>
    <w:multiLevelType w:val="hybridMultilevel"/>
    <w:tmpl w:val="8E6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A51204"/>
    <w:multiLevelType w:val="hybridMultilevel"/>
    <w:tmpl w:val="C9AE8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042EB2"/>
    <w:multiLevelType w:val="hybridMultilevel"/>
    <w:tmpl w:val="5544A714"/>
    <w:lvl w:ilvl="0" w:tplc="2756748E">
      <w:start w:val="1"/>
      <w:numFmt w:val="decimal"/>
      <w:pStyle w:val="WAP1"/>
      <w:lvlText w:val="%1"/>
      <w:lvlJc w:val="left"/>
      <w:pPr>
        <w:tabs>
          <w:tab w:val="num" w:pos="360"/>
        </w:tabs>
        <w:ind w:left="720" w:hanging="720"/>
      </w:pPr>
      <w:rPr>
        <w:rFonts w:ascii="Times New Roman" w:hAnsi="Times New Roman" w:hint="default"/>
        <w:b w:val="0"/>
        <w:i/>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13153F48"/>
    <w:multiLevelType w:val="hybridMultilevel"/>
    <w:tmpl w:val="CB7A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4721AA"/>
    <w:multiLevelType w:val="hybridMultilevel"/>
    <w:tmpl w:val="C9AE8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875B3B"/>
    <w:multiLevelType w:val="hybridMultilevel"/>
    <w:tmpl w:val="FAEE0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0C6720"/>
    <w:multiLevelType w:val="hybridMultilevel"/>
    <w:tmpl w:val="FA36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21" w15:restartNumberingAfterBreak="0">
    <w:nsid w:val="33B0375E"/>
    <w:multiLevelType w:val="hybridMultilevel"/>
    <w:tmpl w:val="E3BA14E4"/>
    <w:lvl w:ilvl="0" w:tplc="C1D23F24">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2A53D9"/>
    <w:multiLevelType w:val="hybridMultilevel"/>
    <w:tmpl w:val="D0B2B5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D1F28"/>
    <w:multiLevelType w:val="hybridMultilevel"/>
    <w:tmpl w:val="0F76892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cs="Wingdings" w:hint="default"/>
      </w:rPr>
    </w:lvl>
    <w:lvl w:ilvl="3" w:tplc="04090001" w:tentative="1">
      <w:start w:val="1"/>
      <w:numFmt w:val="bullet"/>
      <w:lvlText w:val=""/>
      <w:lvlJc w:val="left"/>
      <w:pPr>
        <w:tabs>
          <w:tab w:val="num" w:pos="1080"/>
        </w:tabs>
        <w:ind w:left="1080" w:hanging="360"/>
      </w:pPr>
      <w:rPr>
        <w:rFonts w:ascii="Symbol" w:hAnsi="Symbol" w:cs="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cs="Wingdings" w:hint="default"/>
      </w:rPr>
    </w:lvl>
    <w:lvl w:ilvl="6" w:tplc="04090001" w:tentative="1">
      <w:start w:val="1"/>
      <w:numFmt w:val="bullet"/>
      <w:lvlText w:val=""/>
      <w:lvlJc w:val="left"/>
      <w:pPr>
        <w:tabs>
          <w:tab w:val="num" w:pos="3240"/>
        </w:tabs>
        <w:ind w:left="3240" w:hanging="360"/>
      </w:pPr>
      <w:rPr>
        <w:rFonts w:ascii="Symbol" w:hAnsi="Symbol" w:cs="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cs="Wingdings" w:hint="default"/>
      </w:rPr>
    </w:lvl>
  </w:abstractNum>
  <w:abstractNum w:abstractNumId="25" w15:restartNumberingAfterBreak="0">
    <w:nsid w:val="5DE43D80"/>
    <w:multiLevelType w:val="hybridMultilevel"/>
    <w:tmpl w:val="06EAA79E"/>
    <w:lvl w:ilvl="0" w:tplc="04090015">
      <w:start w:val="1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531D8F"/>
    <w:multiLevelType w:val="hybridMultilevel"/>
    <w:tmpl w:val="45FAE9B2"/>
    <w:lvl w:ilvl="0" w:tplc="04090001">
      <w:start w:val="1"/>
      <w:numFmt w:val="bullet"/>
      <w:lvlText w:val=""/>
      <w:lvlJc w:val="left"/>
      <w:pPr>
        <w:ind w:left="10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CB82836"/>
    <w:multiLevelType w:val="hybridMultilevel"/>
    <w:tmpl w:val="ADE233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9A4273"/>
    <w:multiLevelType w:val="hybridMultilevel"/>
    <w:tmpl w:val="E494A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663E51"/>
    <w:multiLevelType w:val="hybridMultilevel"/>
    <w:tmpl w:val="581240D2"/>
    <w:lvl w:ilvl="0" w:tplc="1B8622EE">
      <w:start w:val="1"/>
      <w:numFmt w:val="bullet"/>
      <w:pStyle w:val="AutoNumBodyCharCharCharChar"/>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EB71B7"/>
    <w:multiLevelType w:val="hybridMultilevel"/>
    <w:tmpl w:val="924C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5"/>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9"/>
  </w:num>
  <w:num w:numId="16">
    <w:abstractNumId w:val="16"/>
  </w:num>
  <w:num w:numId="17">
    <w:abstractNumId w:val="23"/>
  </w:num>
  <w:num w:numId="18">
    <w:abstractNumId w:val="12"/>
  </w:num>
  <w:num w:numId="19">
    <w:abstractNumId w:val="18"/>
  </w:num>
  <w:num w:numId="20">
    <w:abstractNumId w:val="29"/>
  </w:num>
  <w:num w:numId="21">
    <w:abstractNumId w:val="13"/>
  </w:num>
  <w:num w:numId="22">
    <w:abstractNumId w:val="15"/>
  </w:num>
  <w:num w:numId="23">
    <w:abstractNumId w:val="21"/>
  </w:num>
  <w:num w:numId="24">
    <w:abstractNumId w:val="10"/>
  </w:num>
  <w:num w:numId="25">
    <w:abstractNumId w:val="30"/>
  </w:num>
  <w:num w:numId="26">
    <w:abstractNumId w:val="28"/>
  </w:num>
  <w:num w:numId="27">
    <w:abstractNumId w:val="17"/>
  </w:num>
  <w:num w:numId="28">
    <w:abstractNumId w:val="22"/>
  </w:num>
  <w:num w:numId="29">
    <w:abstractNumId w:val="27"/>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D3B"/>
    <w:rsid w:val="00044D47"/>
    <w:rsid w:val="0008788E"/>
    <w:rsid w:val="0013627A"/>
    <w:rsid w:val="00151D3B"/>
    <w:rsid w:val="00272785"/>
    <w:rsid w:val="00290C80"/>
    <w:rsid w:val="002C2F80"/>
    <w:rsid w:val="002D7FD6"/>
    <w:rsid w:val="0040201A"/>
    <w:rsid w:val="004755E9"/>
    <w:rsid w:val="004A2799"/>
    <w:rsid w:val="00575EDA"/>
    <w:rsid w:val="005F19DB"/>
    <w:rsid w:val="006C1C72"/>
    <w:rsid w:val="007C1C46"/>
    <w:rsid w:val="0097276D"/>
    <w:rsid w:val="009B5DE7"/>
    <w:rsid w:val="00A54915"/>
    <w:rsid w:val="00AF597C"/>
    <w:rsid w:val="00B83036"/>
    <w:rsid w:val="00C02076"/>
    <w:rsid w:val="00C36DF6"/>
    <w:rsid w:val="00CA6E44"/>
    <w:rsid w:val="00E10528"/>
    <w:rsid w:val="00FF24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C15F6"/>
  <w15:docId w15:val="{E52DCCC0-335A-46C9-86BF-CC95B98F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0"/>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9"/>
    <w:qFormat/>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pPr>
      <w:keepNext/>
      <w:spacing w:line="480" w:lineRule="auto"/>
      <w:outlineLvl w:val="1"/>
    </w:pPr>
    <w:rPr>
      <w:b/>
      <w:bCs/>
    </w:rPr>
  </w:style>
  <w:style w:type="paragraph" w:styleId="Heading3">
    <w:name w:val="heading 3"/>
    <w:basedOn w:val="Heading2"/>
    <w:next w:val="Normal"/>
    <w:link w:val="Heading3Char"/>
    <w:uiPriority w:val="99"/>
    <w:qFormat/>
    <w:pPr>
      <w:outlineLvl w:val="2"/>
    </w:pPr>
    <w:rPr>
      <w:b w:val="0"/>
      <w:bCs w:val="0"/>
      <w:u w:val="single"/>
    </w:rPr>
  </w:style>
  <w:style w:type="paragraph" w:styleId="Heading6">
    <w:name w:val="heading 6"/>
    <w:basedOn w:val="Normal"/>
    <w:next w:val="Normal"/>
    <w:link w:val="Heading6Char"/>
    <w:uiPriority w:val="9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Bold" w:hAnsi="Times New Roman Bold"/>
      <w:b/>
      <w:bCs/>
      <w:sz w:val="24"/>
      <w:szCs w:val="24"/>
    </w:rPr>
  </w:style>
  <w:style w:type="character" w:customStyle="1" w:styleId="Heading2Char">
    <w:name w:val="Heading 2 Char"/>
    <w:basedOn w:val="DefaultParagraphFont"/>
    <w:link w:val="Heading2"/>
    <w:uiPriority w:val="99"/>
    <w:rPr>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styleId="LineNumber">
    <w:name w:val="line number"/>
    <w:basedOn w:val="DefaultParagraphFont"/>
    <w:uiPriority w:val="99"/>
  </w:style>
  <w:style w:type="paragraph" w:customStyle="1" w:styleId="Question">
    <w:name w:val="Question"/>
    <w:basedOn w:val="Normal"/>
    <w:link w:val="QuestionChar"/>
    <w:pPr>
      <w:spacing w:line="480" w:lineRule="auto"/>
      <w:ind w:left="720" w:hanging="720"/>
    </w:pPr>
    <w:rPr>
      <w:b/>
      <w:bCs/>
    </w:rPr>
  </w:style>
  <w:style w:type="character" w:customStyle="1" w:styleId="QuestionChar">
    <w:name w:val="Question Char"/>
    <w:basedOn w:val="DefaultParagraphFont"/>
    <w:link w:val="Question"/>
    <w:rPr>
      <w:b/>
      <w:bCs/>
      <w:sz w:val="24"/>
      <w:szCs w:val="24"/>
      <w:lang w:val="en-US" w:eastAsia="en-US"/>
    </w:rPr>
  </w:style>
  <w:style w:type="paragraph" w:customStyle="1" w:styleId="Answer">
    <w:name w:val="Answer"/>
    <w:basedOn w:val="Normal"/>
    <w:link w:val="AnswerChar1"/>
    <w:qFormat/>
    <w:pPr>
      <w:spacing w:line="480" w:lineRule="auto"/>
      <w:ind w:left="720" w:hanging="720"/>
    </w:pPr>
  </w:style>
  <w:style w:type="character" w:customStyle="1" w:styleId="AnswerChar1">
    <w:name w:val="Answer Char1"/>
    <w:basedOn w:val="DefaultParagraphFont"/>
    <w:link w:val="Answer"/>
    <w:rPr>
      <w:sz w:val="24"/>
      <w:szCs w:val="24"/>
      <w:lang w:val="en-US" w:eastAsia="en-US"/>
    </w:rPr>
  </w:style>
  <w:style w:type="character" w:styleId="PageNumber">
    <w:name w:val="page number"/>
    <w:basedOn w:val="DefaultParagraphFont"/>
    <w:uiPriority w:val="99"/>
  </w:style>
  <w:style w:type="paragraph" w:customStyle="1" w:styleId="Bullet">
    <w:name w:val="Bullet"/>
    <w:basedOn w:val="Answer"/>
    <w:pPr>
      <w:tabs>
        <w:tab w:val="num" w:pos="2160"/>
      </w:tabs>
      <w:ind w:left="2160" w:hanging="360"/>
    </w:p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sz w:val="0"/>
      <w:szCs w:val="0"/>
    </w:rPr>
  </w:style>
  <w:style w:type="paragraph" w:styleId="Quote">
    <w:name w:val="Quote"/>
    <w:basedOn w:val="Normal"/>
    <w:link w:val="QuoteChar"/>
    <w:uiPriority w:val="29"/>
    <w:qFormat/>
    <w:pPr>
      <w:spacing w:after="240"/>
      <w:ind w:left="1440"/>
    </w:pPr>
  </w:style>
  <w:style w:type="character" w:customStyle="1" w:styleId="QuoteChar">
    <w:name w:val="Quote Char"/>
    <w:basedOn w:val="DefaultParagraphFont"/>
    <w:link w:val="Quote"/>
    <w:uiPriority w:val="29"/>
    <w:rPr>
      <w:i/>
      <w:iCs/>
      <w:color w:val="000000" w:themeColor="text1"/>
      <w:sz w:val="24"/>
      <w:szCs w:val="24"/>
    </w:rPr>
  </w:style>
  <w:style w:type="paragraph" w:customStyle="1" w:styleId="answer0">
    <w:name w:val="answer"/>
    <w:basedOn w:val="Normal"/>
    <w:link w:val="answerChar"/>
    <w:uiPriority w:val="99"/>
    <w:pPr>
      <w:spacing w:before="100" w:beforeAutospacing="1" w:after="100" w:afterAutospacing="1"/>
      <w:jc w:val="left"/>
    </w:pPr>
  </w:style>
  <w:style w:type="character" w:customStyle="1" w:styleId="answerChar">
    <w:name w:val="answer Char"/>
    <w:basedOn w:val="DefaultParagraphFont"/>
    <w:link w:val="answer0"/>
    <w:uiPriority w:val="99"/>
    <w:rPr>
      <w:sz w:val="24"/>
      <w:szCs w:val="24"/>
      <w:lang w:val="en-US" w:eastAsia="en-US"/>
    </w:rPr>
  </w:style>
  <w:style w:type="paragraph" w:customStyle="1" w:styleId="CharChar">
    <w:name w:val="Char Char"/>
    <w:basedOn w:val="Normal"/>
    <w:uiPriority w:val="99"/>
    <w:pPr>
      <w:spacing w:after="160" w:line="240" w:lineRule="exact"/>
      <w:jc w:val="left"/>
    </w:pPr>
    <w:rPr>
      <w:rFonts w:ascii="Verdana" w:hAnsi="Verdana" w:cs="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
    <w:basedOn w:val="Normal"/>
    <w:link w:val="FootnoteTextChar1"/>
    <w:uiPriority w:val="99"/>
    <w:qFormat/>
    <w:rPr>
      <w:sz w:val="20"/>
      <w:szCs w:val="20"/>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link w:val="FootnoteText"/>
    <w:uiPriority w:val="99"/>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Pr>
      <w:vertAlign w:val="superscript"/>
    </w:rPr>
  </w:style>
  <w:style w:type="character" w:customStyle="1" w:styleId="AnswerChar0">
    <w:name w:val="Answer Char"/>
    <w:basedOn w:val="DefaultParagraphFont"/>
    <w:rPr>
      <w:sz w:val="24"/>
      <w:szCs w:val="24"/>
      <w:lang w:val="en-US" w:eastAsia="en-US"/>
    </w:rPr>
  </w:style>
  <w:style w:type="paragraph" w:customStyle="1" w:styleId="Commitmenttable">
    <w:name w:val="Commitment table"/>
    <w:basedOn w:val="Normal"/>
    <w:uiPriority w:val="99"/>
    <w:pPr>
      <w:spacing w:before="60" w:after="60"/>
    </w:pPr>
    <w:rPr>
      <w:sz w:val="20"/>
      <w:szCs w:val="20"/>
    </w:rPr>
  </w:style>
  <w:style w:type="paragraph" w:customStyle="1" w:styleId="CommitmenttableIndent">
    <w:name w:val="Commitment table Indent"/>
    <w:basedOn w:val="Normal"/>
    <w:uiPriority w:val="99"/>
    <w:pPr>
      <w:spacing w:before="60" w:after="60"/>
      <w:ind w:left="720"/>
    </w:pPr>
    <w:rPr>
      <w:sz w:val="20"/>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uiPriority w:val="99"/>
    <w:pPr>
      <w:spacing w:after="160" w:line="240" w:lineRule="exact"/>
      <w:jc w:val="left"/>
    </w:pPr>
    <w:rPr>
      <w:rFonts w:ascii="Verdana" w:hAnsi="Verdana" w:cs="Verdana"/>
      <w:sz w:val="20"/>
      <w:szCs w:val="20"/>
    </w:rPr>
  </w:style>
  <w:style w:type="paragraph" w:styleId="BodyText">
    <w:name w:val="Body Text"/>
    <w:basedOn w:val="Normal"/>
    <w:link w:val="BodyTextChar"/>
    <w:uiPriority w:val="99"/>
    <w:pPr>
      <w:spacing w:line="480" w:lineRule="auto"/>
      <w:ind w:firstLine="720"/>
      <w:jc w:val="left"/>
    </w:pPr>
  </w:style>
  <w:style w:type="character" w:customStyle="1" w:styleId="BodyTextChar">
    <w:name w:val="Body Text Char"/>
    <w:basedOn w:val="DefaultParagraphFont"/>
    <w:link w:val="BodyText"/>
    <w:uiPriority w:val="99"/>
    <w:semiHidden/>
    <w:rPr>
      <w:sz w:val="24"/>
      <w:szCs w:val="24"/>
    </w:rPr>
  </w:style>
  <w:style w:type="paragraph" w:customStyle="1" w:styleId="CharChar2">
    <w:name w:val="Char Char2"/>
    <w:basedOn w:val="Normal"/>
    <w:uiPriority w:val="99"/>
    <w:pPr>
      <w:spacing w:after="160" w:line="240" w:lineRule="exact"/>
      <w:jc w:val="left"/>
    </w:pPr>
    <w:rPr>
      <w:rFonts w:ascii="Verdana" w:hAnsi="Verdana" w:cs="Verdana"/>
      <w:sz w:val="20"/>
      <w:szCs w:val="20"/>
    </w:rPr>
  </w:style>
  <w:style w:type="paragraph" w:styleId="NormalWeb">
    <w:name w:val="Normal (Web)"/>
    <w:basedOn w:val="Normal"/>
    <w:uiPriority w:val="99"/>
    <w:semiHidden/>
    <w:pPr>
      <w:spacing w:before="100" w:beforeAutospacing="1" w:after="100" w:afterAutospacing="1"/>
      <w:jc w:val="left"/>
    </w:pPr>
  </w:style>
  <w:style w:type="paragraph" w:customStyle="1" w:styleId="msolistparagraph0">
    <w:name w:val="msolistparagraph"/>
    <w:basedOn w:val="Normal"/>
    <w:uiPriority w:val="99"/>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pPr>
      <w:spacing w:line="480" w:lineRule="auto"/>
      <w:ind w:left="0" w:firstLine="720"/>
      <w:jc w:val="left"/>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Pr>
      <w:sz w:val="24"/>
      <w:szCs w:val="24"/>
    </w:rPr>
  </w:style>
  <w:style w:type="character" w:customStyle="1" w:styleId="QuestionChar1">
    <w:name w:val="Question Char1"/>
    <w:basedOn w:val="DefaultParagraphFont"/>
    <w:rPr>
      <w:b/>
      <w:bCs/>
      <w:sz w:val="24"/>
      <w:szCs w:val="24"/>
      <w:lang w:val="en-US" w:eastAsia="en-US" w:bidi="ar-SA"/>
    </w:rPr>
  </w:style>
  <w:style w:type="paragraph" w:styleId="Revision">
    <w:name w:val="Revision"/>
    <w:hidden/>
    <w:uiPriority w:val="99"/>
    <w:semiHidden/>
    <w:rPr>
      <w:sz w:val="24"/>
      <w:szCs w:val="24"/>
    </w:rPr>
  </w:style>
  <w:style w:type="paragraph" w:styleId="ListParagraph">
    <w:name w:val="List Paragraph"/>
    <w:basedOn w:val="Normal"/>
    <w:link w:val="ListParagraphChar"/>
    <w:uiPriority w:val="34"/>
    <w:qFormat/>
    <w:pPr>
      <w:ind w:left="720"/>
      <w:contextualSpacing/>
    </w:pPr>
  </w:style>
  <w:style w:type="paragraph" w:styleId="TOCHeading">
    <w:name w:val="TOC Heading"/>
    <w:basedOn w:val="Heading1"/>
    <w:next w:val="Normal"/>
    <w:uiPriority w:val="39"/>
    <w:unhideWhenUsed/>
    <w:qFormat/>
    <w:pPr>
      <w:keepNext/>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uppressLineNumbers/>
      <w:tabs>
        <w:tab w:val="right" w:leader="dot" w:pos="8630"/>
      </w:tabs>
      <w:spacing w:after="100"/>
      <w:ind w:left="245"/>
    </w:pPr>
    <w:rPr>
      <w:noProof/>
    </w:rPr>
  </w:style>
  <w:style w:type="character" w:styleId="Hyperlink">
    <w:name w:val="Hyperlink"/>
    <w:basedOn w:val="DefaultParagraphFont"/>
    <w:uiPriority w:val="99"/>
    <w:unhideWhenUsed/>
    <w:rPr>
      <w:color w:val="0000FF" w:themeColor="hyperlink"/>
      <w:u w:val="single"/>
    </w:rPr>
  </w:style>
  <w:style w:type="paragraph" w:customStyle="1" w:styleId="AutoNumBodyCharCharCharChar">
    <w:name w:val="AutoNum Body Char Char Char Char"/>
    <w:basedOn w:val="Normal"/>
    <w:link w:val="AutoNumBodyCharCharCharCharChar"/>
    <w:autoRedefine/>
    <w:qFormat/>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Pr>
      <w:color w:val="000000"/>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character" w:customStyle="1" w:styleId="ListParagraphChar">
    <w:name w:val="List Paragraph Char"/>
    <w:basedOn w:val="DefaultParagraphFont"/>
    <w:link w:val="ListParagraph"/>
    <w:uiPriority w:val="34"/>
    <w:rPr>
      <w:sz w:val="24"/>
      <w:szCs w:val="24"/>
    </w:rPr>
  </w:style>
  <w:style w:type="paragraph" w:customStyle="1" w:styleId="WAP1">
    <w:name w:val="WA P1"/>
    <w:basedOn w:val="ListParagraph"/>
    <w:link w:val="WAP1Char"/>
    <w:autoRedefine/>
    <w:qFormat/>
    <w:pPr>
      <w:numPr>
        <w:numId w:val="22"/>
      </w:numPr>
      <w:tabs>
        <w:tab w:val="clear" w:pos="360"/>
        <w:tab w:val="num" w:pos="720"/>
      </w:tabs>
      <w:spacing w:line="480" w:lineRule="exact"/>
      <w:ind w:left="0"/>
      <w:contextualSpacing w:val="0"/>
      <w:jc w:val="left"/>
    </w:pPr>
    <w:rPr>
      <w:rFonts w:eastAsia="Times"/>
    </w:rPr>
  </w:style>
  <w:style w:type="character" w:customStyle="1" w:styleId="WAP1Char">
    <w:name w:val="WA P1 Char"/>
    <w:basedOn w:val="ListParagraphChar"/>
    <w:link w:val="WAP1"/>
    <w:rPr>
      <w:rFonts w:eastAsia="Times"/>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3155">
      <w:bodyDiv w:val="1"/>
      <w:marLeft w:val="0"/>
      <w:marRight w:val="0"/>
      <w:marTop w:val="0"/>
      <w:marBottom w:val="0"/>
      <w:divBdr>
        <w:top w:val="none" w:sz="0" w:space="0" w:color="auto"/>
        <w:left w:val="none" w:sz="0" w:space="0" w:color="auto"/>
        <w:bottom w:val="none" w:sz="0" w:space="0" w:color="auto"/>
        <w:right w:val="none" w:sz="0" w:space="0" w:color="auto"/>
      </w:divBdr>
    </w:div>
    <w:div w:id="1020283482">
      <w:bodyDiv w:val="1"/>
      <w:marLeft w:val="0"/>
      <w:marRight w:val="0"/>
      <w:marTop w:val="0"/>
      <w:marBottom w:val="0"/>
      <w:divBdr>
        <w:top w:val="none" w:sz="0" w:space="0" w:color="auto"/>
        <w:left w:val="none" w:sz="0" w:space="0" w:color="auto"/>
        <w:bottom w:val="none" w:sz="0" w:space="0" w:color="auto"/>
        <w:right w:val="none" w:sz="0" w:space="0" w:color="auto"/>
      </w:divBdr>
    </w:div>
    <w:div w:id="1377703407">
      <w:bodyDiv w:val="1"/>
      <w:marLeft w:val="0"/>
      <w:marRight w:val="0"/>
      <w:marTop w:val="0"/>
      <w:marBottom w:val="0"/>
      <w:divBdr>
        <w:top w:val="none" w:sz="0" w:space="0" w:color="auto"/>
        <w:left w:val="none" w:sz="0" w:space="0" w:color="auto"/>
        <w:bottom w:val="none" w:sz="0" w:space="0" w:color="auto"/>
        <w:right w:val="none" w:sz="0" w:space="0" w:color="auto"/>
      </w:divBdr>
    </w:div>
    <w:div w:id="1514144330">
      <w:bodyDiv w:val="1"/>
      <w:marLeft w:val="0"/>
      <w:marRight w:val="0"/>
      <w:marTop w:val="0"/>
      <w:marBottom w:val="0"/>
      <w:divBdr>
        <w:top w:val="none" w:sz="0" w:space="0" w:color="auto"/>
        <w:left w:val="none" w:sz="0" w:space="0" w:color="auto"/>
        <w:bottom w:val="none" w:sz="0" w:space="0" w:color="auto"/>
        <w:right w:val="none" w:sz="0" w:space="0" w:color="auto"/>
      </w:divBdr>
    </w:div>
    <w:div w:id="1545486726">
      <w:bodyDiv w:val="1"/>
      <w:marLeft w:val="0"/>
      <w:marRight w:val="0"/>
      <w:marTop w:val="0"/>
      <w:marBottom w:val="0"/>
      <w:divBdr>
        <w:top w:val="none" w:sz="0" w:space="0" w:color="auto"/>
        <w:left w:val="none" w:sz="0" w:space="0" w:color="auto"/>
        <w:bottom w:val="none" w:sz="0" w:space="0" w:color="auto"/>
        <w:right w:val="none" w:sz="0" w:space="0" w:color="auto"/>
      </w:divBdr>
    </w:div>
    <w:div w:id="1629773801">
      <w:bodyDiv w:val="1"/>
      <w:marLeft w:val="0"/>
      <w:marRight w:val="0"/>
      <w:marTop w:val="0"/>
      <w:marBottom w:val="0"/>
      <w:divBdr>
        <w:top w:val="none" w:sz="0" w:space="0" w:color="auto"/>
        <w:left w:val="none" w:sz="0" w:space="0" w:color="auto"/>
        <w:bottom w:val="none" w:sz="0" w:space="0" w:color="auto"/>
        <w:right w:val="none" w:sz="0" w:space="0" w:color="auto"/>
      </w:divBdr>
    </w:div>
    <w:div w:id="1956911145">
      <w:bodyDiv w:val="1"/>
      <w:marLeft w:val="0"/>
      <w:marRight w:val="0"/>
      <w:marTop w:val="0"/>
      <w:marBottom w:val="0"/>
      <w:divBdr>
        <w:top w:val="none" w:sz="0" w:space="0" w:color="auto"/>
        <w:left w:val="none" w:sz="0" w:space="0" w:color="auto"/>
        <w:bottom w:val="none" w:sz="0" w:space="0" w:color="auto"/>
        <w:right w:val="none" w:sz="0" w:space="0" w:color="auto"/>
      </w:divBdr>
    </w:div>
    <w:div w:id="1970546924">
      <w:bodyDiv w:val="1"/>
      <w:marLeft w:val="0"/>
      <w:marRight w:val="0"/>
      <w:marTop w:val="0"/>
      <w:marBottom w:val="0"/>
      <w:divBdr>
        <w:top w:val="none" w:sz="0" w:space="0" w:color="auto"/>
        <w:left w:val="none" w:sz="0" w:space="0" w:color="auto"/>
        <w:bottom w:val="none" w:sz="0" w:space="0" w:color="auto"/>
        <w:right w:val="none" w:sz="0" w:space="0" w:color="auto"/>
      </w:divBdr>
    </w:div>
    <w:div w:id="2035500685">
      <w:bodyDiv w:val="1"/>
      <w:marLeft w:val="0"/>
      <w:marRight w:val="0"/>
      <w:marTop w:val="0"/>
      <w:marBottom w:val="0"/>
      <w:divBdr>
        <w:top w:val="none" w:sz="0" w:space="0" w:color="auto"/>
        <w:left w:val="none" w:sz="0" w:space="0" w:color="auto"/>
        <w:bottom w:val="none" w:sz="0" w:space="0" w:color="auto"/>
        <w:right w:val="none" w:sz="0" w:space="0" w:color="auto"/>
      </w:divBdr>
    </w:div>
    <w:div w:id="2098548532">
      <w:marLeft w:val="0"/>
      <w:marRight w:val="0"/>
      <w:marTop w:val="0"/>
      <w:marBottom w:val="0"/>
      <w:divBdr>
        <w:top w:val="none" w:sz="0" w:space="0" w:color="auto"/>
        <w:left w:val="none" w:sz="0" w:space="0" w:color="auto"/>
        <w:bottom w:val="none" w:sz="0" w:space="0" w:color="auto"/>
        <w:right w:val="none" w:sz="0" w:space="0" w:color="auto"/>
      </w:divBdr>
    </w:div>
    <w:div w:id="2098548533">
      <w:marLeft w:val="0"/>
      <w:marRight w:val="0"/>
      <w:marTop w:val="0"/>
      <w:marBottom w:val="0"/>
      <w:divBdr>
        <w:top w:val="none" w:sz="0" w:space="0" w:color="auto"/>
        <w:left w:val="none" w:sz="0" w:space="0" w:color="auto"/>
        <w:bottom w:val="none" w:sz="0" w:space="0" w:color="auto"/>
        <w:right w:val="none" w:sz="0" w:space="0" w:color="auto"/>
      </w:divBdr>
      <w:divsChild>
        <w:div w:id="2098548531">
          <w:marLeft w:val="0"/>
          <w:marRight w:val="0"/>
          <w:marTop w:val="0"/>
          <w:marBottom w:val="0"/>
          <w:divBdr>
            <w:top w:val="none" w:sz="0" w:space="0" w:color="auto"/>
            <w:left w:val="none" w:sz="0" w:space="0" w:color="auto"/>
            <w:bottom w:val="none" w:sz="0" w:space="0" w:color="auto"/>
            <w:right w:val="none" w:sz="0" w:space="0" w:color="auto"/>
          </w:divBdr>
        </w:div>
      </w:divsChild>
    </w:div>
    <w:div w:id="2098548534">
      <w:marLeft w:val="0"/>
      <w:marRight w:val="0"/>
      <w:marTop w:val="0"/>
      <w:marBottom w:val="0"/>
      <w:divBdr>
        <w:top w:val="none" w:sz="0" w:space="0" w:color="auto"/>
        <w:left w:val="none" w:sz="0" w:space="0" w:color="auto"/>
        <w:bottom w:val="none" w:sz="0" w:space="0" w:color="auto"/>
        <w:right w:val="none" w:sz="0" w:space="0" w:color="auto"/>
      </w:divBdr>
    </w:div>
    <w:div w:id="2098548535">
      <w:marLeft w:val="0"/>
      <w:marRight w:val="0"/>
      <w:marTop w:val="0"/>
      <w:marBottom w:val="0"/>
      <w:divBdr>
        <w:top w:val="none" w:sz="0" w:space="0" w:color="auto"/>
        <w:left w:val="none" w:sz="0" w:space="0" w:color="auto"/>
        <w:bottom w:val="none" w:sz="0" w:space="0" w:color="auto"/>
        <w:right w:val="none" w:sz="0" w:space="0" w:color="auto"/>
      </w:divBdr>
      <w:divsChild>
        <w:div w:id="2098548530">
          <w:marLeft w:val="0"/>
          <w:marRight w:val="0"/>
          <w:marTop w:val="0"/>
          <w:marBottom w:val="0"/>
          <w:divBdr>
            <w:top w:val="none" w:sz="0" w:space="0" w:color="auto"/>
            <w:left w:val="none" w:sz="0" w:space="0" w:color="auto"/>
            <w:bottom w:val="none" w:sz="0" w:space="0" w:color="auto"/>
            <w:right w:val="none" w:sz="0" w:space="0" w:color="auto"/>
          </w:divBdr>
        </w:div>
      </w:divsChild>
    </w:div>
    <w:div w:id="2098548536">
      <w:marLeft w:val="0"/>
      <w:marRight w:val="0"/>
      <w:marTop w:val="0"/>
      <w:marBottom w:val="0"/>
      <w:divBdr>
        <w:top w:val="none" w:sz="0" w:space="0" w:color="auto"/>
        <w:left w:val="none" w:sz="0" w:space="0" w:color="auto"/>
        <w:bottom w:val="none" w:sz="0" w:space="0" w:color="auto"/>
        <w:right w:val="none" w:sz="0" w:space="0" w:color="auto"/>
      </w:divBdr>
    </w:div>
    <w:div w:id="2098548537">
      <w:marLeft w:val="0"/>
      <w:marRight w:val="0"/>
      <w:marTop w:val="0"/>
      <w:marBottom w:val="0"/>
      <w:divBdr>
        <w:top w:val="none" w:sz="0" w:space="0" w:color="auto"/>
        <w:left w:val="none" w:sz="0" w:space="0" w:color="auto"/>
        <w:bottom w:val="none" w:sz="0" w:space="0" w:color="auto"/>
        <w:right w:val="none" w:sz="0" w:space="0" w:color="auto"/>
      </w:divBdr>
    </w:div>
    <w:div w:id="20985485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2016-05-13T07:00:00+00:00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249DAA-DD86-450D-8611-893D442DE077}"/>
</file>

<file path=customXml/itemProps2.xml><?xml version="1.0" encoding="utf-8"?>
<ds:datastoreItem xmlns:ds="http://schemas.openxmlformats.org/officeDocument/2006/customXml" ds:itemID="{97B55667-3911-4D7E-80B7-A9D412DCC0E2}"/>
</file>

<file path=customXml/itemProps3.xml><?xml version="1.0" encoding="utf-8"?>
<ds:datastoreItem xmlns:ds="http://schemas.openxmlformats.org/officeDocument/2006/customXml" ds:itemID="{5719F835-AD7B-48FD-B601-0B19241406DF}"/>
</file>

<file path=customXml/itemProps4.xml><?xml version="1.0" encoding="utf-8"?>
<ds:datastoreItem xmlns:ds="http://schemas.openxmlformats.org/officeDocument/2006/customXml" ds:itemID="{5FB0D96C-ADD3-4B5A-9660-F59B29FA631D}"/>
</file>

<file path=customXml/itemProps5.xml><?xml version="1.0" encoding="utf-8"?>
<ds:datastoreItem xmlns:ds="http://schemas.openxmlformats.org/officeDocument/2006/customXml" ds:itemID="{F5F246CA-B504-4DF4-A0AF-C1755D03A90C}"/>
</file>

<file path=docProps/app.xml><?xml version="1.0" encoding="utf-8"?>
<Properties xmlns="http://schemas.openxmlformats.org/officeDocument/2006/extended-properties" xmlns:vt="http://schemas.openxmlformats.org/officeDocument/2006/docPropsVTypes">
  <Template>Normal</Template>
  <TotalTime>0</TotalTime>
  <Pages>1</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McDowell</dc:creator>
  <cp:lastModifiedBy>Adam Lowney</cp:lastModifiedBy>
  <cp:revision>3</cp:revision>
  <cp:lastPrinted>2016-05-13T20:05:00Z</cp:lastPrinted>
  <dcterms:created xsi:type="dcterms:W3CDTF">2016-05-13T20:05:00Z</dcterms:created>
  <dcterms:modified xsi:type="dcterms:W3CDTF">2016-05-13T20:05:00Z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