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tbl>
      <w:tblPr>
        <w:tblW w:w="9918" w:type="dxa"/>
        <w:tblLook w:val="04A0"/>
      </w:tblPr>
      <w:tblGrid>
        <w:gridCol w:w="5238"/>
        <w:gridCol w:w="360"/>
        <w:gridCol w:w="4320"/>
      </w:tblGrid>
      <w:tr w:rsidR="003D2170" w:rsidRPr="00F5458D" w:rsidTr="00744694">
        <w:trPr>
          <w:trHeight w:val="3312"/>
        </w:trPr>
        <w:tc>
          <w:tcPr>
            <w:tcW w:w="5238" w:type="dxa"/>
          </w:tcPr>
          <w:p w:rsidR="003D2170" w:rsidRDefault="003D2170" w:rsidP="00744694">
            <w:pPr>
              <w:ind w:right="-270"/>
              <w:rPr>
                <w:sz w:val="23"/>
                <w:szCs w:val="23"/>
              </w:rPr>
            </w:pPr>
          </w:p>
          <w:p w:rsidR="00FA2F78" w:rsidRDefault="00FA2F78" w:rsidP="00744694">
            <w:pPr>
              <w:ind w:right="-270"/>
              <w:rPr>
                <w:sz w:val="23"/>
                <w:szCs w:val="23"/>
              </w:rPr>
            </w:pPr>
          </w:p>
          <w:p w:rsidR="003D2170" w:rsidRDefault="006521EC" w:rsidP="00744694">
            <w:pPr>
              <w:ind w:right="-270"/>
              <w:rPr>
                <w:sz w:val="23"/>
                <w:szCs w:val="23"/>
              </w:rPr>
            </w:pPr>
            <w:r>
              <w:rPr>
                <w:sz w:val="23"/>
                <w:szCs w:val="23"/>
              </w:rPr>
              <w:t xml:space="preserve">WASHINGTON UTILITIES AND </w:t>
            </w:r>
          </w:p>
          <w:p w:rsidR="003D2170" w:rsidRDefault="006521EC" w:rsidP="00744694">
            <w:pPr>
              <w:ind w:right="-270"/>
              <w:rPr>
                <w:sz w:val="23"/>
                <w:szCs w:val="23"/>
              </w:rPr>
            </w:pPr>
            <w:r>
              <w:rPr>
                <w:sz w:val="23"/>
                <w:szCs w:val="23"/>
              </w:rPr>
              <w:t>TRANSPORTATION COMMISSION,</w:t>
            </w:r>
          </w:p>
          <w:p w:rsidR="003D2170" w:rsidRDefault="003D2170" w:rsidP="00744694">
            <w:pPr>
              <w:ind w:right="-270"/>
              <w:rPr>
                <w:sz w:val="23"/>
                <w:szCs w:val="23"/>
              </w:rPr>
            </w:pPr>
          </w:p>
          <w:p w:rsidR="006521EC" w:rsidRDefault="006521EC" w:rsidP="00744694">
            <w:pPr>
              <w:tabs>
                <w:tab w:val="left" w:pos="1428"/>
              </w:tabs>
              <w:ind w:left="1440" w:right="-270"/>
              <w:rPr>
                <w:sz w:val="23"/>
                <w:szCs w:val="23"/>
              </w:rPr>
            </w:pPr>
            <w:r>
              <w:rPr>
                <w:sz w:val="23"/>
                <w:szCs w:val="23"/>
              </w:rPr>
              <w:t>Complainant,</w:t>
            </w:r>
          </w:p>
          <w:p w:rsidR="006521EC" w:rsidRDefault="006521EC" w:rsidP="00744694">
            <w:pPr>
              <w:tabs>
                <w:tab w:val="left" w:pos="1428"/>
              </w:tabs>
              <w:ind w:left="1440" w:right="-270"/>
              <w:rPr>
                <w:sz w:val="23"/>
                <w:szCs w:val="23"/>
              </w:rPr>
            </w:pPr>
          </w:p>
          <w:p w:rsidR="006521EC" w:rsidRDefault="006521EC" w:rsidP="00744694">
            <w:pPr>
              <w:ind w:right="-270"/>
              <w:rPr>
                <w:sz w:val="23"/>
                <w:szCs w:val="23"/>
              </w:rPr>
            </w:pPr>
            <w:r>
              <w:rPr>
                <w:sz w:val="23"/>
                <w:szCs w:val="23"/>
              </w:rPr>
              <w:t>v.</w:t>
            </w:r>
          </w:p>
          <w:p w:rsidR="006521EC" w:rsidRDefault="006521EC" w:rsidP="00744694">
            <w:pPr>
              <w:ind w:right="-270"/>
              <w:rPr>
                <w:sz w:val="23"/>
                <w:szCs w:val="23"/>
              </w:rPr>
            </w:pPr>
          </w:p>
          <w:p w:rsidR="006521EC" w:rsidRDefault="006521EC" w:rsidP="00744694">
            <w:pPr>
              <w:ind w:right="-270"/>
              <w:rPr>
                <w:sz w:val="23"/>
                <w:szCs w:val="23"/>
              </w:rPr>
            </w:pPr>
            <w:r>
              <w:rPr>
                <w:sz w:val="23"/>
                <w:szCs w:val="23"/>
              </w:rPr>
              <w:t>AVISTA CORPORATION, dba</w:t>
            </w:r>
          </w:p>
          <w:p w:rsidR="006521EC" w:rsidRDefault="006521EC" w:rsidP="00744694">
            <w:pPr>
              <w:ind w:right="-270"/>
              <w:rPr>
                <w:sz w:val="23"/>
                <w:szCs w:val="23"/>
              </w:rPr>
            </w:pPr>
            <w:r>
              <w:rPr>
                <w:sz w:val="23"/>
                <w:szCs w:val="23"/>
              </w:rPr>
              <w:t>AVISTA UTILITIES,</w:t>
            </w:r>
          </w:p>
          <w:p w:rsidR="006521EC" w:rsidRDefault="006521EC" w:rsidP="00744694">
            <w:pPr>
              <w:ind w:right="-270"/>
              <w:rPr>
                <w:sz w:val="23"/>
                <w:szCs w:val="23"/>
              </w:rPr>
            </w:pPr>
          </w:p>
          <w:p w:rsidR="004850A5" w:rsidRPr="00FE2D3F" w:rsidRDefault="006521EC" w:rsidP="00744694">
            <w:pPr>
              <w:ind w:left="1440" w:right="-270"/>
              <w:rPr>
                <w:sz w:val="23"/>
                <w:szCs w:val="23"/>
              </w:rPr>
            </w:pPr>
            <w:r>
              <w:rPr>
                <w:sz w:val="23"/>
                <w:szCs w:val="23"/>
              </w:rPr>
              <w:t>Respondent.</w:t>
            </w:r>
            <w:r w:rsidR="00E27AD3">
              <w:t xml:space="preserve"> </w:t>
            </w:r>
          </w:p>
        </w:tc>
        <w:tc>
          <w:tcPr>
            <w:tcW w:w="360" w:type="dxa"/>
          </w:tcPr>
          <w:p w:rsidR="003D2170" w:rsidRPr="00F5458D" w:rsidRDefault="003D2170" w:rsidP="00744694">
            <w:pPr>
              <w:ind w:right="-270"/>
            </w:pPr>
          </w:p>
          <w:p w:rsidR="003D2170" w:rsidRPr="00F5458D" w:rsidRDefault="003D2170" w:rsidP="00744694">
            <w:pPr>
              <w:ind w:right="-270"/>
            </w:pPr>
          </w:p>
          <w:p w:rsidR="003D2170" w:rsidRPr="00F5458D" w:rsidRDefault="003D2170" w:rsidP="00744694">
            <w:pPr>
              <w:ind w:right="-270"/>
            </w:pPr>
            <w:r w:rsidRPr="00F5458D">
              <w:t>)</w:t>
            </w:r>
          </w:p>
          <w:p w:rsidR="009C1B5C" w:rsidRDefault="003D2170" w:rsidP="00744694">
            <w:pPr>
              <w:ind w:right="-270"/>
            </w:pPr>
            <w:r w:rsidRPr="00F5458D">
              <w:t>)</w:t>
            </w:r>
            <w:r w:rsidRPr="00F5458D">
              <w:br/>
              <w:t>)</w:t>
            </w:r>
            <w:r w:rsidRPr="00F5458D">
              <w:br/>
              <w:t>)</w:t>
            </w:r>
            <w:r w:rsidRPr="00F5458D">
              <w:br/>
              <w:t>)</w:t>
            </w:r>
            <w:r w:rsidRPr="00F5458D">
              <w:br/>
              <w:t>)</w:t>
            </w:r>
            <w:r w:rsidRPr="00F5458D">
              <w:br/>
              <w:t>)</w:t>
            </w:r>
          </w:p>
          <w:p w:rsidR="006521EC" w:rsidRDefault="000B3027" w:rsidP="00744694">
            <w:pPr>
              <w:ind w:right="-270"/>
            </w:pPr>
            <w:r w:rsidRPr="00F5458D">
              <w:t>)</w:t>
            </w:r>
          </w:p>
          <w:p w:rsidR="006521EC" w:rsidRDefault="006521EC" w:rsidP="00744694">
            <w:pPr>
              <w:ind w:right="-270"/>
            </w:pPr>
            <w:r>
              <w:t>)</w:t>
            </w:r>
          </w:p>
          <w:p w:rsidR="000B3027" w:rsidRPr="00F5458D" w:rsidRDefault="006521EC" w:rsidP="00744694">
            <w:pPr>
              <w:ind w:right="-270"/>
            </w:pPr>
            <w:r>
              <w:t>)</w:t>
            </w:r>
            <w:r w:rsidR="000B3027" w:rsidRPr="00F5458D">
              <w:t xml:space="preserve"> </w:t>
            </w:r>
          </w:p>
        </w:tc>
        <w:tc>
          <w:tcPr>
            <w:tcW w:w="4320" w:type="dxa"/>
          </w:tcPr>
          <w:p w:rsidR="003D2170" w:rsidRPr="00F5458D" w:rsidRDefault="003D2170" w:rsidP="00744694">
            <w:pPr>
              <w:ind w:right="-270"/>
            </w:pPr>
          </w:p>
          <w:p w:rsidR="003D2170" w:rsidRPr="00F5458D" w:rsidRDefault="003D2170" w:rsidP="00744694">
            <w:pPr>
              <w:ind w:right="-270"/>
            </w:pPr>
          </w:p>
          <w:p w:rsidR="003D2170" w:rsidRPr="00F5458D" w:rsidRDefault="003D2170" w:rsidP="00744694">
            <w:pPr>
              <w:ind w:right="-270"/>
            </w:pPr>
          </w:p>
          <w:p w:rsidR="003D2170" w:rsidRDefault="007000DA" w:rsidP="00744694">
            <w:pPr>
              <w:ind w:right="-270"/>
            </w:pPr>
            <w:r>
              <w:t>DOCKETS</w:t>
            </w:r>
            <w:r w:rsidR="003E09B6">
              <w:t xml:space="preserve"> U</w:t>
            </w:r>
            <w:r w:rsidR="005727A1">
              <w:t>E</w:t>
            </w:r>
            <w:r w:rsidR="003E09B6">
              <w:t>-1</w:t>
            </w:r>
            <w:r w:rsidR="006521EC">
              <w:t xml:space="preserve">50204 and </w:t>
            </w:r>
          </w:p>
          <w:p w:rsidR="003E09B6" w:rsidRDefault="006521EC" w:rsidP="00744694">
            <w:pPr>
              <w:ind w:right="-270"/>
            </w:pPr>
            <w:r>
              <w:t xml:space="preserve">UG-150205 </w:t>
            </w:r>
            <w:r w:rsidRPr="006521EC">
              <w:rPr>
                <w:i/>
              </w:rPr>
              <w:t>(Consolidated)</w:t>
            </w:r>
          </w:p>
          <w:p w:rsidR="00C461E0" w:rsidRDefault="003D2170" w:rsidP="00744694">
            <w:pPr>
              <w:ind w:right="-270"/>
            </w:pPr>
            <w:r>
              <w:t xml:space="preserve"> </w:t>
            </w:r>
          </w:p>
          <w:p w:rsidR="003554A9" w:rsidRDefault="00744694" w:rsidP="00744694">
            <w:pPr>
              <w:ind w:right="-270"/>
            </w:pPr>
            <w:r>
              <w:t xml:space="preserve">MOTION/PETITION FOR A WAIVER </w:t>
            </w:r>
          </w:p>
          <w:p w:rsidR="006521EC" w:rsidRPr="00F5458D" w:rsidRDefault="00744694" w:rsidP="00744694">
            <w:pPr>
              <w:ind w:right="-270"/>
            </w:pPr>
            <w:r>
              <w:t xml:space="preserve">OF RULES TO ALLOW FOR AN ANSWER </w:t>
            </w:r>
            <w:r w:rsidR="002D326F">
              <w:t>TO ICNU AND</w:t>
            </w:r>
            <w:r>
              <w:t xml:space="preserve"> </w:t>
            </w:r>
            <w:r w:rsidR="002D326F">
              <w:t xml:space="preserve">PUBLIC COUNSEL’S </w:t>
            </w:r>
            <w:r w:rsidR="006521EC">
              <w:t>MOTION FOR CLARIFICATION, AND COMMISSION STAFF’S MOTION TO RECONSIDER</w:t>
            </w:r>
          </w:p>
        </w:tc>
      </w:tr>
      <w:tr w:rsidR="006521EC" w:rsidRPr="00F5458D" w:rsidTr="00744694">
        <w:trPr>
          <w:trHeight w:val="80"/>
        </w:trPr>
        <w:tc>
          <w:tcPr>
            <w:tcW w:w="5238" w:type="dxa"/>
            <w:tcBorders>
              <w:bottom w:val="single" w:sz="4" w:space="0" w:color="auto"/>
            </w:tcBorders>
          </w:tcPr>
          <w:p w:rsidR="006521EC" w:rsidRDefault="006521EC" w:rsidP="00744694">
            <w:pPr>
              <w:ind w:right="-270"/>
              <w:rPr>
                <w:sz w:val="23"/>
                <w:szCs w:val="23"/>
              </w:rPr>
            </w:pPr>
          </w:p>
        </w:tc>
        <w:tc>
          <w:tcPr>
            <w:tcW w:w="360" w:type="dxa"/>
          </w:tcPr>
          <w:p w:rsidR="006521EC" w:rsidRPr="00F5458D" w:rsidRDefault="006521EC" w:rsidP="00744694">
            <w:pPr>
              <w:ind w:right="-270"/>
            </w:pPr>
            <w:r>
              <w:t>)</w:t>
            </w:r>
          </w:p>
        </w:tc>
        <w:tc>
          <w:tcPr>
            <w:tcW w:w="4320" w:type="dxa"/>
          </w:tcPr>
          <w:p w:rsidR="006521EC" w:rsidRPr="00F5458D" w:rsidRDefault="006521EC" w:rsidP="00744694">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A2F78" w:rsidRDefault="00FA2F78" w:rsidP="00FA2F78"/>
    <w:p w:rsidR="003D2170" w:rsidRPr="000204B9" w:rsidRDefault="003D2170" w:rsidP="001D2866">
      <w:pPr>
        <w:pStyle w:val="Heading1"/>
        <w:spacing w:line="480" w:lineRule="auto"/>
        <w:jc w:val="center"/>
        <w:rPr>
          <w:u w:val="none"/>
        </w:rPr>
      </w:pPr>
      <w:r w:rsidRPr="000204B9">
        <w:rPr>
          <w:u w:val="none"/>
        </w:rPr>
        <w:t xml:space="preserve">I.  </w:t>
      </w:r>
      <w:r w:rsidR="00744694" w:rsidRPr="00744694">
        <w:rPr>
          <w:u w:val="none"/>
        </w:rPr>
        <w:t>MOTION/PETITION FOR A WAIVER OF RULES TO ALLOW FOR AN ANSWER</w:t>
      </w:r>
    </w:p>
    <w:p w:rsidR="00237239" w:rsidRDefault="005A3125" w:rsidP="00FD6B81">
      <w:pPr>
        <w:pStyle w:val="Header"/>
        <w:numPr>
          <w:ilvl w:val="0"/>
          <w:numId w:val="13"/>
        </w:numPr>
        <w:tabs>
          <w:tab w:val="clear" w:pos="240"/>
          <w:tab w:val="left" w:pos="720"/>
        </w:tabs>
        <w:autoSpaceDE w:val="0"/>
        <w:autoSpaceDN w:val="0"/>
        <w:adjustRightInd w:val="0"/>
        <w:spacing w:line="480" w:lineRule="auto"/>
        <w:jc w:val="both"/>
      </w:pPr>
      <w:r>
        <w:t xml:space="preserve">    </w:t>
      </w:r>
      <w:r w:rsidR="006B69F1">
        <w:t xml:space="preserve"> </w:t>
      </w:r>
      <w:r w:rsidR="00FF7C4F">
        <w:t xml:space="preserve">  </w:t>
      </w:r>
      <w:r w:rsidR="00744694">
        <w:t xml:space="preserve">Pursuant to WAC 480-07-110, WAC 480-07-370, and WAC 480-07-375, Avista Corporation (“Avista” or “Company”) seeks a </w:t>
      </w:r>
      <w:r w:rsidR="007D74FC">
        <w:t>waiver of</w:t>
      </w:r>
      <w:r w:rsidR="00744694">
        <w:t xml:space="preserve"> WAC 480-07-835(3) and WAC 480-07-850(3) which, in both instances, provide that no party may file an answer to a Motion for Clarification or a Petition for Reconsideration unless requested by the Commission.</w:t>
      </w:r>
      <w:r w:rsidR="00744694">
        <w:rPr>
          <w:rStyle w:val="FootnoteReference"/>
        </w:rPr>
        <w:footnoteReference w:id="2"/>
      </w:r>
      <w:r w:rsidR="00DD5E5B">
        <w:t xml:space="preserve">  For the reasons set forth in this pleading, good cause exists for waiving this limitation on the opportunity for the Company to respond.  The public interest will be served by providing the Company with an opportunity to respond, given the undue hardship on the Company were its views not considered and the Commission were to</w:t>
      </w:r>
      <w:r w:rsidR="00196FB0">
        <w:t xml:space="preserve"> modify its order to reflect the calculations of the electric revenue requirement </w:t>
      </w:r>
      <w:r w:rsidR="00200608">
        <w:t>proffered</w:t>
      </w:r>
      <w:r w:rsidR="00196FB0">
        <w:t xml:space="preserve"> by Staff and ICNU/Public Counsel in their </w:t>
      </w:r>
      <w:r w:rsidR="00196FB0">
        <w:lastRenderedPageBreak/>
        <w:t>Motion to Reconsider and Motion for Clarification, respectively</w:t>
      </w:r>
      <w:r w:rsidR="00DD5E5B">
        <w:t>.</w:t>
      </w:r>
      <w:r w:rsidR="00DD5E5B">
        <w:rPr>
          <w:rStyle w:val="FootnoteReference"/>
        </w:rPr>
        <w:footnoteReference w:id="3"/>
      </w:r>
      <w:r w:rsidR="00DD5E5B">
        <w:t xml:space="preserve">  As demonstrated below, the “end result” of </w:t>
      </w:r>
      <w:r w:rsidR="00196FB0">
        <w:t>a</w:t>
      </w:r>
      <w:r w:rsidR="00DD5E5B">
        <w:t xml:space="preserve"> reduction of $27</w:t>
      </w:r>
      <w:r w:rsidR="00196FB0">
        <w:t>.4</w:t>
      </w:r>
      <w:r w:rsidR="00DD5E5B">
        <w:t xml:space="preserve"> million</w:t>
      </w:r>
      <w:r w:rsidR="00196FB0">
        <w:t xml:space="preserve"> (calculated by Staff)</w:t>
      </w:r>
      <w:r w:rsidR="00FE330C">
        <w:t xml:space="preserve">, </w:t>
      </w:r>
      <w:r w:rsidR="00196FB0">
        <w:t xml:space="preserve">or a </w:t>
      </w:r>
      <w:r w:rsidR="00FE330C">
        <w:t xml:space="preserve"> revenue decrease of $19.8 million</w:t>
      </w:r>
      <w:r w:rsidR="007E6DE4">
        <w:t xml:space="preserve"> </w:t>
      </w:r>
      <w:r w:rsidR="00196FB0">
        <w:t>(calculated</w:t>
      </w:r>
      <w:r w:rsidR="00FE330C">
        <w:t xml:space="preserve"> by ICNU/Public Counsel</w:t>
      </w:r>
      <w:r w:rsidR="00196FB0">
        <w:t>)</w:t>
      </w:r>
      <w:r w:rsidR="00FE330C">
        <w:t>,</w:t>
      </w:r>
      <w:r w:rsidR="00DD5E5B">
        <w:t xml:space="preserve"> would not produce rates that are just, fair, reasonable and sufficient (RCW 80.20.010).</w:t>
      </w:r>
    </w:p>
    <w:p w:rsidR="00196FB0" w:rsidRPr="00237239" w:rsidRDefault="007E6DE4" w:rsidP="00FD6B81">
      <w:pPr>
        <w:pStyle w:val="Header"/>
        <w:numPr>
          <w:ilvl w:val="0"/>
          <w:numId w:val="13"/>
        </w:numPr>
        <w:tabs>
          <w:tab w:val="clear" w:pos="240"/>
          <w:tab w:val="left" w:pos="720"/>
        </w:tabs>
        <w:autoSpaceDE w:val="0"/>
        <w:autoSpaceDN w:val="0"/>
        <w:adjustRightInd w:val="0"/>
        <w:spacing w:line="480" w:lineRule="auto"/>
        <w:jc w:val="both"/>
      </w:pPr>
      <w:r>
        <w:t xml:space="preserve">       </w:t>
      </w:r>
      <w:r w:rsidR="00196FB0">
        <w:t>Avista does not challenge the end result of Order 05, which produced an $8.1 million reduction to electric</w:t>
      </w:r>
      <w:r w:rsidR="00EA02C3">
        <w:t xml:space="preserve"> revenues</w:t>
      </w:r>
      <w:r>
        <w:t xml:space="preserve">, and </w:t>
      </w:r>
      <w:r w:rsidR="00EA02C3">
        <w:t>believes that such a result would provide the Company with a reasonable opportunity to earn its authorized rate of return.</w:t>
      </w:r>
    </w:p>
    <w:p w:rsidR="00C7791A" w:rsidRDefault="007E6DE4" w:rsidP="00C7791A">
      <w:pPr>
        <w:pStyle w:val="Header"/>
        <w:numPr>
          <w:ilvl w:val="0"/>
          <w:numId w:val="13"/>
        </w:numPr>
        <w:tabs>
          <w:tab w:val="clear" w:pos="240"/>
          <w:tab w:val="left" w:pos="720"/>
        </w:tabs>
        <w:autoSpaceDE w:val="0"/>
        <w:autoSpaceDN w:val="0"/>
        <w:adjustRightInd w:val="0"/>
        <w:spacing w:line="480" w:lineRule="auto"/>
        <w:jc w:val="both"/>
      </w:pPr>
      <w:r>
        <w:t xml:space="preserve">       </w:t>
      </w:r>
      <w:r w:rsidR="00C7791A">
        <w:t>Please direct all correspondence related to this filing as follows:</w:t>
      </w:r>
    </w:p>
    <w:p w:rsidR="005727A1" w:rsidRDefault="005727A1" w:rsidP="005727A1">
      <w:pPr>
        <w:tabs>
          <w:tab w:val="left" w:pos="5400"/>
        </w:tabs>
        <w:ind w:left="720" w:hanging="720"/>
        <w:jc w:val="both"/>
      </w:pPr>
      <w:r>
        <w:tab/>
        <w:t>David J. Meyer, Esq.</w:t>
      </w:r>
      <w:r>
        <w:tab/>
      </w:r>
      <w:r w:rsidR="001D2866">
        <w:t>Kelly Norwood</w:t>
      </w:r>
    </w:p>
    <w:p w:rsidR="005727A1" w:rsidRDefault="005727A1" w:rsidP="005727A1">
      <w:pPr>
        <w:tabs>
          <w:tab w:val="left" w:pos="720"/>
          <w:tab w:val="left" w:pos="5400"/>
        </w:tabs>
        <w:ind w:left="720" w:hanging="720"/>
        <w:jc w:val="both"/>
      </w:pPr>
      <w:r>
        <w:tab/>
        <w:t>Vice President and Chief Counsel for</w:t>
      </w:r>
      <w:r>
        <w:tab/>
      </w:r>
      <w:r w:rsidR="001D2866">
        <w:t>Vice President</w:t>
      </w:r>
    </w:p>
    <w:p w:rsidR="005727A1" w:rsidRDefault="005727A1" w:rsidP="005727A1">
      <w:pPr>
        <w:tabs>
          <w:tab w:val="left" w:pos="720"/>
          <w:tab w:val="left" w:pos="5400"/>
        </w:tabs>
        <w:ind w:left="720" w:hanging="720"/>
        <w:jc w:val="both"/>
      </w:pPr>
      <w:r>
        <w:tab/>
        <w:t>Regulatory &amp; Governmental Affairs</w:t>
      </w:r>
      <w:r>
        <w:tab/>
        <w:t>State and Federal Regulation</w:t>
      </w:r>
    </w:p>
    <w:p w:rsidR="005727A1" w:rsidRPr="00821551" w:rsidRDefault="005727A1" w:rsidP="005727A1">
      <w:pPr>
        <w:tabs>
          <w:tab w:val="left" w:pos="720"/>
          <w:tab w:val="left" w:pos="5400"/>
        </w:tabs>
        <w:ind w:left="720" w:hanging="720"/>
        <w:jc w:val="both"/>
        <w:rPr>
          <w:lang w:val="fr-FR"/>
        </w:rPr>
      </w:pPr>
      <w:r>
        <w:tab/>
      </w:r>
      <w:r w:rsidRPr="00051163">
        <w:rPr>
          <w:lang w:val="fr-FR"/>
        </w:rPr>
        <w:t>Avista Corp.</w:t>
      </w:r>
      <w:r w:rsidRPr="00051163">
        <w:rPr>
          <w:lang w:val="fr-FR"/>
        </w:rPr>
        <w:tab/>
        <w:t>Avista Corp.</w:t>
      </w:r>
    </w:p>
    <w:p w:rsidR="005727A1" w:rsidRPr="00821551" w:rsidRDefault="005727A1" w:rsidP="005727A1">
      <w:pPr>
        <w:tabs>
          <w:tab w:val="left" w:pos="720"/>
          <w:tab w:val="left" w:pos="5400"/>
        </w:tabs>
        <w:ind w:left="720" w:hanging="720"/>
        <w:jc w:val="both"/>
        <w:rPr>
          <w:lang w:val="fr-FR"/>
        </w:rPr>
      </w:pPr>
      <w:r w:rsidRPr="00051163">
        <w:rPr>
          <w:lang w:val="fr-FR"/>
        </w:rPr>
        <w:tab/>
        <w:t>P. O. Box 3727</w:t>
      </w:r>
      <w:r w:rsidRPr="00051163">
        <w:rPr>
          <w:lang w:val="fr-FR"/>
        </w:rPr>
        <w:tab/>
        <w:t>P. O. Box 3727</w:t>
      </w:r>
    </w:p>
    <w:p w:rsidR="005727A1" w:rsidRPr="00821551" w:rsidRDefault="005727A1" w:rsidP="005727A1">
      <w:pPr>
        <w:tabs>
          <w:tab w:val="left" w:pos="720"/>
          <w:tab w:val="left" w:pos="5400"/>
        </w:tabs>
        <w:ind w:left="720" w:hanging="720"/>
        <w:jc w:val="both"/>
        <w:rPr>
          <w:lang w:val="fr-FR"/>
        </w:rPr>
      </w:pPr>
      <w:r w:rsidRPr="00051163">
        <w:rPr>
          <w:lang w:val="fr-FR"/>
        </w:rPr>
        <w:tab/>
        <w:t xml:space="preserve">1411 E. Mission Avenue, MSC </w:t>
      </w:r>
      <w:r w:rsidR="00200608">
        <w:rPr>
          <w:lang w:val="fr-FR"/>
        </w:rPr>
        <w:t>27</w:t>
      </w:r>
      <w:r w:rsidRPr="00051163">
        <w:rPr>
          <w:lang w:val="fr-FR"/>
        </w:rPr>
        <w:tab/>
        <w:t xml:space="preserve">1411 E. Mission Avenue, MSC </w:t>
      </w:r>
      <w:r>
        <w:rPr>
          <w:lang w:val="fr-FR"/>
        </w:rPr>
        <w:t>27</w:t>
      </w:r>
    </w:p>
    <w:p w:rsidR="005727A1" w:rsidRDefault="005727A1" w:rsidP="005727A1">
      <w:pPr>
        <w:tabs>
          <w:tab w:val="left" w:pos="720"/>
          <w:tab w:val="left" w:pos="5400"/>
        </w:tabs>
        <w:ind w:left="720" w:hanging="720"/>
        <w:jc w:val="both"/>
      </w:pPr>
      <w:r w:rsidRPr="00051163">
        <w:rPr>
          <w:lang w:val="fr-FR"/>
        </w:rPr>
        <w:tab/>
      </w:r>
      <w:r>
        <w:t>Spokane, Washington 99220-3727</w:t>
      </w:r>
      <w:r>
        <w:tab/>
        <w:t>Spokane, Washington 99220-3727</w:t>
      </w:r>
    </w:p>
    <w:p w:rsidR="005727A1" w:rsidRDefault="005727A1" w:rsidP="005727A1">
      <w:pPr>
        <w:tabs>
          <w:tab w:val="left" w:pos="-1440"/>
          <w:tab w:val="left" w:pos="720"/>
          <w:tab w:val="left" w:pos="5400"/>
        </w:tabs>
        <w:ind w:left="720" w:hanging="720"/>
      </w:pPr>
      <w:r>
        <w:tab/>
        <w:t>Telephone:  (509) 495-4316</w:t>
      </w:r>
      <w:r>
        <w:tab/>
        <w:t>Telephone:  (509) 495-</w:t>
      </w:r>
      <w:r w:rsidR="001D2866">
        <w:t>4267</w:t>
      </w:r>
    </w:p>
    <w:p w:rsidR="005727A1" w:rsidRDefault="005727A1" w:rsidP="005727A1">
      <w:pPr>
        <w:tabs>
          <w:tab w:val="left" w:pos="720"/>
          <w:tab w:val="left" w:pos="5400"/>
        </w:tabs>
        <w:ind w:left="720" w:hanging="720"/>
      </w:pPr>
      <w:r>
        <w:tab/>
        <w:t>Facsimile:    (509) 495-8851</w:t>
      </w:r>
      <w:r>
        <w:tab/>
        <w:t>Facsimile:    (509) 495-8851</w:t>
      </w:r>
    </w:p>
    <w:p w:rsidR="005727A1" w:rsidRDefault="005727A1" w:rsidP="005727A1">
      <w:pPr>
        <w:tabs>
          <w:tab w:val="left" w:pos="720"/>
          <w:tab w:val="left" w:pos="5400"/>
        </w:tabs>
        <w:ind w:left="720" w:hanging="720"/>
      </w:pPr>
      <w:r>
        <w:tab/>
        <w:t xml:space="preserve">E-mail: </w:t>
      </w:r>
      <w:hyperlink r:id="rId10" w:history="1">
        <w:r w:rsidRPr="00F129D6">
          <w:rPr>
            <w:rStyle w:val="Hyperlink"/>
            <w:color w:val="auto"/>
          </w:rPr>
          <w:t>david.meyer@avistacorp.com</w:t>
        </w:r>
      </w:hyperlink>
      <w:r w:rsidRPr="00F129D6">
        <w:tab/>
        <w:t xml:space="preserve">E-mail: </w:t>
      </w:r>
      <w:r w:rsidR="001D2866" w:rsidRPr="001D2866">
        <w:rPr>
          <w:u w:val="single"/>
        </w:rPr>
        <w:t>kelly.norwood@avistacorp.com</w:t>
      </w:r>
      <w:r>
        <w:t xml:space="preserve"> </w:t>
      </w:r>
    </w:p>
    <w:p w:rsidR="005727A1" w:rsidRDefault="005727A1" w:rsidP="005727A1">
      <w:pPr>
        <w:pStyle w:val="Header"/>
        <w:tabs>
          <w:tab w:val="clear" w:pos="4320"/>
          <w:tab w:val="clear" w:pos="8640"/>
        </w:tabs>
      </w:pPr>
    </w:p>
    <w:p w:rsidR="000F7A62" w:rsidRDefault="000F7A62" w:rsidP="00492331">
      <w:pPr>
        <w:pStyle w:val="Header"/>
        <w:tabs>
          <w:tab w:val="left" w:pos="720"/>
        </w:tabs>
        <w:autoSpaceDE w:val="0"/>
        <w:autoSpaceDN w:val="0"/>
        <w:adjustRightInd w:val="0"/>
        <w:spacing w:line="480" w:lineRule="auto"/>
        <w:ind w:left="240"/>
        <w:jc w:val="both"/>
      </w:pPr>
    </w:p>
    <w:p w:rsidR="000F7A62" w:rsidRDefault="00FF7C4F" w:rsidP="000F7A62">
      <w:pPr>
        <w:pStyle w:val="Heading1"/>
        <w:spacing w:line="480" w:lineRule="auto"/>
        <w:jc w:val="center"/>
        <w:rPr>
          <w:u w:val="none"/>
        </w:rPr>
      </w:pPr>
      <w:r w:rsidRPr="00FB72FF">
        <w:rPr>
          <w:u w:val="none"/>
        </w:rPr>
        <w:t>I</w:t>
      </w:r>
      <w:r w:rsidR="00574CBC">
        <w:rPr>
          <w:u w:val="none"/>
        </w:rPr>
        <w:t>I</w:t>
      </w:r>
      <w:r w:rsidRPr="00FB72FF">
        <w:rPr>
          <w:u w:val="none"/>
        </w:rPr>
        <w:t xml:space="preserve">.  </w:t>
      </w:r>
      <w:r w:rsidR="00744694">
        <w:rPr>
          <w:u w:val="none"/>
        </w:rPr>
        <w:t>INTRODUCTION</w:t>
      </w:r>
    </w:p>
    <w:p w:rsidR="008052A5" w:rsidRPr="008052A5" w:rsidRDefault="008052A5" w:rsidP="008052A5">
      <w:pPr>
        <w:pStyle w:val="Header"/>
        <w:numPr>
          <w:ilvl w:val="0"/>
          <w:numId w:val="13"/>
        </w:numPr>
        <w:tabs>
          <w:tab w:val="clear" w:pos="240"/>
          <w:tab w:val="left" w:pos="720"/>
        </w:tabs>
        <w:autoSpaceDE w:val="0"/>
        <w:autoSpaceDN w:val="0"/>
        <w:adjustRightInd w:val="0"/>
        <w:spacing w:line="480" w:lineRule="auto"/>
        <w:jc w:val="both"/>
        <w:rPr>
          <w:color w:val="000000" w:themeColor="text1"/>
        </w:rPr>
      </w:pPr>
      <w:r>
        <w:t xml:space="preserve">       </w:t>
      </w:r>
      <w:r w:rsidRPr="008052A5">
        <w:t xml:space="preserve">On January 6, 2016 the </w:t>
      </w:r>
      <w:r w:rsidR="0080666D">
        <w:t>Commission</w:t>
      </w:r>
      <w:r w:rsidRPr="008052A5">
        <w:t xml:space="preserve"> issued its final order (Order 05 in the above-referenced </w:t>
      </w:r>
      <w:r w:rsidR="00200608">
        <w:t>d</w:t>
      </w:r>
      <w:r w:rsidRPr="008052A5">
        <w:t xml:space="preserve">ockets) in Avista’s electric and natural gas general rate cases, which were originally filed by the Company on February 9, 2015.  The Order approved an electric revenue </w:t>
      </w:r>
      <w:r w:rsidRPr="008052A5">
        <w:lastRenderedPageBreak/>
        <w:t>decrease of $8.1 million (1.6%), and a natural gas revenue increase of $10.8 million (7.4%).  The new rates became effective January 11, 2016.</w:t>
      </w:r>
    </w:p>
    <w:p w:rsidR="00016783" w:rsidRPr="0080666D" w:rsidRDefault="008052A5" w:rsidP="008052A5">
      <w:pPr>
        <w:pStyle w:val="Header"/>
        <w:numPr>
          <w:ilvl w:val="0"/>
          <w:numId w:val="13"/>
        </w:numPr>
        <w:tabs>
          <w:tab w:val="left" w:pos="720"/>
        </w:tabs>
        <w:autoSpaceDE w:val="0"/>
        <w:autoSpaceDN w:val="0"/>
        <w:adjustRightInd w:val="0"/>
        <w:spacing w:line="480" w:lineRule="auto"/>
        <w:jc w:val="both"/>
        <w:rPr>
          <w:color w:val="000000" w:themeColor="text1"/>
        </w:rPr>
      </w:pPr>
      <w:r>
        <w:t xml:space="preserve">       </w:t>
      </w:r>
      <w:r w:rsidR="00016783" w:rsidRPr="0080666D">
        <w:rPr>
          <w:color w:val="000000" w:themeColor="text1"/>
        </w:rPr>
        <w:t xml:space="preserve">On January 19, 2016, </w:t>
      </w:r>
      <w:r w:rsidR="00E409F9" w:rsidRPr="0080666D">
        <w:rPr>
          <w:color w:val="000000" w:themeColor="text1"/>
        </w:rPr>
        <w:t>ICNU</w:t>
      </w:r>
      <w:r w:rsidR="000D7AE6">
        <w:rPr>
          <w:color w:val="000000" w:themeColor="text1"/>
        </w:rPr>
        <w:t xml:space="preserve"> an</w:t>
      </w:r>
      <w:r w:rsidR="00DD0334">
        <w:rPr>
          <w:color w:val="000000" w:themeColor="text1"/>
        </w:rPr>
        <w:t>d the Public Counsel</w:t>
      </w:r>
      <w:r w:rsidR="00016783" w:rsidRPr="0080666D">
        <w:rPr>
          <w:color w:val="000000" w:themeColor="text1"/>
        </w:rPr>
        <w:t xml:space="preserve"> filed a Joint Motion for Clarification with the</w:t>
      </w:r>
      <w:r w:rsidR="00E409F9" w:rsidRPr="0080666D">
        <w:rPr>
          <w:color w:val="000000" w:themeColor="text1"/>
        </w:rPr>
        <w:t xml:space="preserve"> </w:t>
      </w:r>
      <w:r w:rsidR="0080666D" w:rsidRPr="0080666D">
        <w:rPr>
          <w:color w:val="000000" w:themeColor="text1"/>
        </w:rPr>
        <w:t>C</w:t>
      </w:r>
      <w:r w:rsidR="0080666D">
        <w:rPr>
          <w:color w:val="000000" w:themeColor="text1"/>
        </w:rPr>
        <w:t>ommission</w:t>
      </w:r>
      <w:r w:rsidR="00016783" w:rsidRPr="0080666D">
        <w:rPr>
          <w:color w:val="000000" w:themeColor="text1"/>
        </w:rPr>
        <w:t xml:space="preserve">.  In </w:t>
      </w:r>
      <w:r w:rsidR="007D74FC">
        <w:rPr>
          <w:color w:val="000000" w:themeColor="text1"/>
        </w:rPr>
        <w:t>their</w:t>
      </w:r>
      <w:r w:rsidR="00016783" w:rsidRPr="0080666D">
        <w:rPr>
          <w:color w:val="000000" w:themeColor="text1"/>
        </w:rPr>
        <w:t xml:space="preserve"> Motion</w:t>
      </w:r>
      <w:r w:rsidR="00C31D55">
        <w:rPr>
          <w:color w:val="000000" w:themeColor="text1"/>
        </w:rPr>
        <w:t>,</w:t>
      </w:r>
      <w:r w:rsidR="00016783" w:rsidRPr="0080666D">
        <w:rPr>
          <w:color w:val="000000" w:themeColor="text1"/>
        </w:rPr>
        <w:t xml:space="preserve"> ICNU and P</w:t>
      </w:r>
      <w:r w:rsidR="000D7AE6">
        <w:rPr>
          <w:color w:val="000000" w:themeColor="text1"/>
        </w:rPr>
        <w:t>ublic Counsel</w:t>
      </w:r>
      <w:r w:rsidR="00016783" w:rsidRPr="0080666D">
        <w:rPr>
          <w:color w:val="000000" w:themeColor="text1"/>
        </w:rPr>
        <w:t xml:space="preserve"> request</w:t>
      </w:r>
      <w:r w:rsidR="00E409F9" w:rsidRPr="0080666D">
        <w:rPr>
          <w:color w:val="000000" w:themeColor="text1"/>
        </w:rPr>
        <w:t>ed</w:t>
      </w:r>
      <w:r w:rsidR="00016783" w:rsidRPr="0080666D">
        <w:rPr>
          <w:color w:val="000000" w:themeColor="text1"/>
        </w:rPr>
        <w:t xml:space="preserve"> that the Commission clarify the calculation of the electric attrition adjustment and the end-result revenue </w:t>
      </w:r>
      <w:r w:rsidR="00E409F9" w:rsidRPr="0080666D">
        <w:rPr>
          <w:color w:val="000000" w:themeColor="text1"/>
        </w:rPr>
        <w:t>decrease of $8.1 million.  ICNU and Public Counsel</w:t>
      </w:r>
      <w:r w:rsidR="00016783" w:rsidRPr="0080666D">
        <w:rPr>
          <w:color w:val="000000" w:themeColor="text1"/>
        </w:rPr>
        <w:t xml:space="preserve"> provided their own calculations in their Motion, and suggest</w:t>
      </w:r>
      <w:r w:rsidR="00E409F9" w:rsidRPr="0080666D">
        <w:rPr>
          <w:color w:val="000000" w:themeColor="text1"/>
        </w:rPr>
        <w:t>ed</w:t>
      </w:r>
      <w:r w:rsidR="00016783" w:rsidRPr="0080666D">
        <w:rPr>
          <w:color w:val="000000" w:themeColor="text1"/>
        </w:rPr>
        <w:t xml:space="preserve"> that the revenue decrease should have been $19.8 million based on their reading of the Commission’s Order.  </w:t>
      </w:r>
      <w:r w:rsidR="0080666D">
        <w:rPr>
          <w:color w:val="000000" w:themeColor="text1"/>
        </w:rPr>
        <w:t>They do not, however, seek to change the outcome of any issues resolved in Order 05.</w:t>
      </w:r>
      <w:r w:rsidR="0080666D">
        <w:rPr>
          <w:rStyle w:val="FootnoteReference"/>
          <w:color w:val="000000" w:themeColor="text1"/>
        </w:rPr>
        <w:footnoteReference w:id="4"/>
      </w:r>
    </w:p>
    <w:p w:rsidR="00016783" w:rsidRPr="008052A5" w:rsidRDefault="008052A5" w:rsidP="008052A5">
      <w:pPr>
        <w:pStyle w:val="ListParagraph"/>
        <w:numPr>
          <w:ilvl w:val="0"/>
          <w:numId w:val="13"/>
        </w:numPr>
        <w:spacing w:line="480" w:lineRule="auto"/>
        <w:jc w:val="both"/>
        <w:rPr>
          <w:color w:val="000000" w:themeColor="text1"/>
        </w:rPr>
      </w:pPr>
      <w:r>
        <w:t xml:space="preserve">       </w:t>
      </w:r>
      <w:r w:rsidR="00E409F9" w:rsidRPr="008052A5">
        <w:rPr>
          <w:color w:val="000000" w:themeColor="text1"/>
        </w:rPr>
        <w:t xml:space="preserve">On January 19, the Commission Staff filed a Motion to Reconsider with the </w:t>
      </w:r>
      <w:r w:rsidR="0080666D">
        <w:rPr>
          <w:color w:val="000000" w:themeColor="text1"/>
        </w:rPr>
        <w:t>Commission</w:t>
      </w:r>
      <w:r w:rsidR="00016783" w:rsidRPr="008052A5">
        <w:rPr>
          <w:color w:val="000000" w:themeColor="text1"/>
        </w:rPr>
        <w:t>.  In its Motion</w:t>
      </w:r>
      <w:r w:rsidR="0080666D">
        <w:rPr>
          <w:color w:val="000000" w:themeColor="text1"/>
        </w:rPr>
        <w:t>,</w:t>
      </w:r>
      <w:r w:rsidR="00016783" w:rsidRPr="008052A5">
        <w:rPr>
          <w:color w:val="000000" w:themeColor="text1"/>
        </w:rPr>
        <w:t xml:space="preserve"> the </w:t>
      </w:r>
      <w:r w:rsidR="0080666D">
        <w:rPr>
          <w:color w:val="000000" w:themeColor="text1"/>
        </w:rPr>
        <w:t>Commission</w:t>
      </w:r>
      <w:r w:rsidR="00E409F9" w:rsidRPr="008052A5">
        <w:rPr>
          <w:color w:val="000000" w:themeColor="text1"/>
        </w:rPr>
        <w:t xml:space="preserve"> </w:t>
      </w:r>
      <w:r w:rsidR="00016783" w:rsidRPr="008052A5">
        <w:rPr>
          <w:color w:val="000000" w:themeColor="text1"/>
        </w:rPr>
        <w:t>Staff provided calculations and explanations that suggest</w:t>
      </w:r>
      <w:r w:rsidR="00E409F9" w:rsidRPr="008052A5">
        <w:rPr>
          <w:color w:val="000000" w:themeColor="text1"/>
        </w:rPr>
        <w:t>ed</w:t>
      </w:r>
      <w:r w:rsidR="00016783" w:rsidRPr="008052A5">
        <w:rPr>
          <w:color w:val="000000" w:themeColor="text1"/>
        </w:rPr>
        <w:t xml:space="preserve"> that the electric revenue decrease should have been a revenue decrease of $27.4 million instead of $8.1 million, based on their reading of the Order.</w:t>
      </w:r>
      <w:r w:rsidR="007D74FC">
        <w:rPr>
          <w:color w:val="000000" w:themeColor="text1"/>
        </w:rPr>
        <w:t xml:space="preserve">  Subsequently, in its January 26, 2016 response to Bench Request No. 19, Staff clarified that </w:t>
      </w:r>
      <w:r w:rsidR="007D74FC">
        <w:t xml:space="preserve">“The Commission now has the opportunity and authority to revisit its analysis, and at its discretion, confirm, explain, or alter its decision as it believes necessary.”  </w:t>
      </w:r>
    </w:p>
    <w:p w:rsidR="004E2C7E" w:rsidRPr="007D74FC" w:rsidRDefault="008052A5" w:rsidP="004E2C7E">
      <w:pPr>
        <w:pStyle w:val="ListParagraph"/>
        <w:numPr>
          <w:ilvl w:val="0"/>
          <w:numId w:val="13"/>
        </w:numPr>
        <w:spacing w:line="480" w:lineRule="auto"/>
        <w:jc w:val="both"/>
        <w:rPr>
          <w:color w:val="000000" w:themeColor="text1"/>
        </w:rPr>
      </w:pPr>
      <w:r>
        <w:t xml:space="preserve">       </w:t>
      </w:r>
      <w:r w:rsidR="00224F42" w:rsidRPr="007D74FC">
        <w:rPr>
          <w:color w:val="000000" w:themeColor="text1"/>
        </w:rPr>
        <w:t>None of the parties in their Motions raised issues with the Commission’s decision on the natural gas revenue increase of $10.8 million.</w:t>
      </w:r>
    </w:p>
    <w:p w:rsidR="007D74FC" w:rsidRDefault="007D74FC" w:rsidP="007D74FC">
      <w:pPr>
        <w:spacing w:after="200" w:line="276" w:lineRule="auto"/>
        <w:rPr>
          <w:b/>
          <w:color w:val="000000" w:themeColor="text1"/>
          <w:u w:val="single"/>
        </w:rPr>
      </w:pPr>
    </w:p>
    <w:p w:rsidR="00B47ABF" w:rsidRDefault="00B47ABF" w:rsidP="007D74FC">
      <w:pPr>
        <w:spacing w:after="200" w:line="276" w:lineRule="auto"/>
        <w:rPr>
          <w:b/>
          <w:color w:val="000000" w:themeColor="text1"/>
          <w:u w:val="single"/>
        </w:rPr>
      </w:pPr>
      <w:r>
        <w:rPr>
          <w:b/>
          <w:color w:val="000000" w:themeColor="text1"/>
          <w:u w:val="single"/>
        </w:rPr>
        <w:t xml:space="preserve">A.  </w:t>
      </w:r>
      <w:r w:rsidRPr="00B47ABF">
        <w:rPr>
          <w:b/>
          <w:color w:val="000000" w:themeColor="text1"/>
          <w:u w:val="single"/>
        </w:rPr>
        <w:t>Order Conference</w:t>
      </w:r>
    </w:p>
    <w:p w:rsidR="009747BD" w:rsidRPr="008052A5" w:rsidRDefault="008052A5" w:rsidP="008052A5">
      <w:pPr>
        <w:pStyle w:val="ListParagraph"/>
        <w:numPr>
          <w:ilvl w:val="0"/>
          <w:numId w:val="13"/>
        </w:numPr>
        <w:tabs>
          <w:tab w:val="left" w:pos="720"/>
        </w:tabs>
        <w:spacing w:line="480" w:lineRule="auto"/>
        <w:ind w:left="270"/>
        <w:jc w:val="both"/>
        <w:rPr>
          <w:color w:val="000000" w:themeColor="text1"/>
        </w:rPr>
      </w:pPr>
      <w:r>
        <w:t xml:space="preserve">       </w:t>
      </w:r>
      <w:r w:rsidR="00B47ABF" w:rsidRPr="008052A5">
        <w:rPr>
          <w:color w:val="000000" w:themeColor="text1"/>
        </w:rPr>
        <w:t>On the afternoon of January</w:t>
      </w:r>
      <w:r w:rsidR="00BB178A">
        <w:rPr>
          <w:color w:val="000000" w:themeColor="text1"/>
        </w:rPr>
        <w:t xml:space="preserve"> 6, 2016</w:t>
      </w:r>
      <w:r w:rsidR="00B47ABF" w:rsidRPr="008052A5">
        <w:rPr>
          <w:color w:val="000000" w:themeColor="text1"/>
        </w:rPr>
        <w:t xml:space="preserve">, Avista requested an “order conference” pursuant to WAC 480-07-840 to seek clarification related to the derivation of the Commission-approved </w:t>
      </w:r>
      <w:r w:rsidR="00B47ABF" w:rsidRPr="008052A5">
        <w:rPr>
          <w:color w:val="000000" w:themeColor="text1"/>
        </w:rPr>
        <w:lastRenderedPageBreak/>
        <w:t>revenue adjustments.  The conference was convened by Administrative Law Judge Marguerite Friedlander, and was held at 3:00 pm on January 6</w:t>
      </w:r>
      <w:r w:rsidR="00B47ABF" w:rsidRPr="008052A5">
        <w:rPr>
          <w:color w:val="000000" w:themeColor="text1"/>
          <w:vertAlign w:val="superscript"/>
        </w:rPr>
        <w:t>th</w:t>
      </w:r>
      <w:r w:rsidR="00B47ABF" w:rsidRPr="008052A5">
        <w:rPr>
          <w:color w:val="000000" w:themeColor="text1"/>
        </w:rPr>
        <w:t xml:space="preserve">, the same day in which the Order was issued.  Participants on the call included Judge Friedlander, a representative of the </w:t>
      </w:r>
      <w:r w:rsidR="00804292">
        <w:rPr>
          <w:color w:val="000000" w:themeColor="text1"/>
        </w:rPr>
        <w:t>Commissioner’s Policy and Accounting Advisors (“</w:t>
      </w:r>
      <w:r w:rsidR="00B47ABF" w:rsidRPr="008052A5">
        <w:rPr>
          <w:color w:val="000000" w:themeColor="text1"/>
        </w:rPr>
        <w:t>Advisory Staff</w:t>
      </w:r>
      <w:r w:rsidR="00804292">
        <w:rPr>
          <w:color w:val="000000" w:themeColor="text1"/>
        </w:rPr>
        <w:t>”)</w:t>
      </w:r>
      <w:r w:rsidR="00804292">
        <w:rPr>
          <w:rStyle w:val="FootnoteReference"/>
          <w:color w:val="000000" w:themeColor="text1"/>
        </w:rPr>
        <w:footnoteReference w:id="5"/>
      </w:r>
      <w:r w:rsidR="00C31D55">
        <w:rPr>
          <w:color w:val="000000" w:themeColor="text1"/>
        </w:rPr>
        <w:t xml:space="preserve"> who was knowledgeable of the derivation of the approved revenue requirement</w:t>
      </w:r>
      <w:r w:rsidR="00B47ABF" w:rsidRPr="008052A5">
        <w:rPr>
          <w:color w:val="000000" w:themeColor="text1"/>
        </w:rPr>
        <w:t>, and representatives of all the parties (</w:t>
      </w:r>
      <w:r w:rsidR="0080666D">
        <w:rPr>
          <w:color w:val="000000" w:themeColor="text1"/>
        </w:rPr>
        <w:t>Commission</w:t>
      </w:r>
      <w:r w:rsidR="00B47ABF" w:rsidRPr="008052A5">
        <w:rPr>
          <w:color w:val="000000" w:themeColor="text1"/>
        </w:rPr>
        <w:t xml:space="preserve"> Staff, ICNU, Public Counsel, and the Northwest Industrial Gas Users), with the exception of The Energy Project.</w:t>
      </w:r>
    </w:p>
    <w:p w:rsidR="009747BD" w:rsidRDefault="008052A5" w:rsidP="008052A5">
      <w:pPr>
        <w:pStyle w:val="ListParagraph"/>
        <w:numPr>
          <w:ilvl w:val="0"/>
          <w:numId w:val="13"/>
        </w:numPr>
        <w:spacing w:line="480" w:lineRule="auto"/>
        <w:jc w:val="both"/>
        <w:rPr>
          <w:color w:val="000000" w:themeColor="text1"/>
        </w:rPr>
      </w:pPr>
      <w:r>
        <w:t xml:space="preserve">       </w:t>
      </w:r>
      <w:r w:rsidR="00004144" w:rsidRPr="008052A5">
        <w:rPr>
          <w:color w:val="000000" w:themeColor="text1"/>
        </w:rPr>
        <w:t>During the call</w:t>
      </w:r>
      <w:r w:rsidR="0080666D">
        <w:rPr>
          <w:color w:val="000000" w:themeColor="text1"/>
        </w:rPr>
        <w:t>,</w:t>
      </w:r>
      <w:r w:rsidR="00004144" w:rsidRPr="008052A5">
        <w:rPr>
          <w:color w:val="000000" w:themeColor="text1"/>
        </w:rPr>
        <w:t xml:space="preserve"> a number of questions were asked related to the derivation of the electric revenue decrease of $8.1 million.  Among the questions asked was a question by </w:t>
      </w:r>
      <w:r w:rsidR="000D7AE6">
        <w:rPr>
          <w:color w:val="000000" w:themeColor="text1"/>
        </w:rPr>
        <w:t>Commission</w:t>
      </w:r>
      <w:r w:rsidR="00004144" w:rsidRPr="008052A5">
        <w:rPr>
          <w:color w:val="000000" w:themeColor="text1"/>
        </w:rPr>
        <w:t xml:space="preserve"> Staff related to the significant difference between the attrition adjustment proposed by </w:t>
      </w:r>
      <w:r w:rsidR="000D7AE6">
        <w:rPr>
          <w:color w:val="000000" w:themeColor="text1"/>
        </w:rPr>
        <w:t>Commission</w:t>
      </w:r>
      <w:r w:rsidR="00004144" w:rsidRPr="008052A5">
        <w:rPr>
          <w:color w:val="000000" w:themeColor="text1"/>
        </w:rPr>
        <w:t xml:space="preserve"> Staff and that approved by the Commission.  Advisory Staff provided an explanation supporting the derivation of the attrition adjustment adopted in the Order.  A representative of ICNU asked whether the updated Power Supply adjustment of $12.3 million had been incorporated into the $8.1 million revenue decrease.  Advisory Staff affirmed that it was included in the calculation.</w:t>
      </w:r>
      <w:r w:rsidR="0080666D">
        <w:rPr>
          <w:rStyle w:val="FootnoteReference"/>
          <w:color w:val="000000" w:themeColor="text1"/>
        </w:rPr>
        <w:footnoteReference w:id="6"/>
      </w:r>
    </w:p>
    <w:p w:rsidR="007D74FC" w:rsidRDefault="007D74FC">
      <w:pPr>
        <w:spacing w:after="200" w:line="276" w:lineRule="auto"/>
        <w:rPr>
          <w:b/>
          <w:color w:val="000000" w:themeColor="text1"/>
          <w:u w:val="single"/>
        </w:rPr>
      </w:pPr>
    </w:p>
    <w:p w:rsidR="003F5F30" w:rsidRPr="00B47ABF" w:rsidRDefault="003F5F30" w:rsidP="003F5F30">
      <w:pPr>
        <w:tabs>
          <w:tab w:val="left" w:pos="720"/>
        </w:tabs>
        <w:spacing w:line="480" w:lineRule="auto"/>
        <w:ind w:left="270"/>
        <w:jc w:val="both"/>
        <w:rPr>
          <w:b/>
          <w:color w:val="000000" w:themeColor="text1"/>
          <w:u w:val="single"/>
        </w:rPr>
      </w:pPr>
      <w:r>
        <w:rPr>
          <w:b/>
          <w:color w:val="000000" w:themeColor="text1"/>
          <w:u w:val="single"/>
        </w:rPr>
        <w:t>B.  Compliance Filing</w:t>
      </w:r>
    </w:p>
    <w:p w:rsidR="003F5F30" w:rsidRPr="000967E5" w:rsidRDefault="000967E5" w:rsidP="000967E5">
      <w:pPr>
        <w:pStyle w:val="ListParagraph"/>
        <w:numPr>
          <w:ilvl w:val="0"/>
          <w:numId w:val="13"/>
        </w:numPr>
        <w:spacing w:line="480" w:lineRule="auto"/>
        <w:jc w:val="both"/>
        <w:rPr>
          <w:color w:val="000000" w:themeColor="text1"/>
        </w:rPr>
      </w:pPr>
      <w:r>
        <w:t xml:space="preserve">       </w:t>
      </w:r>
      <w:r w:rsidR="00A25EE5" w:rsidRPr="000967E5">
        <w:rPr>
          <w:color w:val="000000" w:themeColor="text1"/>
        </w:rPr>
        <w:t xml:space="preserve">Following the clarifications from the order conference, Avista prepared a compliance filing and submitted tariffs to comply with the Commission’s Order.  The filing was submitted </w:t>
      </w:r>
      <w:r w:rsidR="00A25EE5" w:rsidRPr="000967E5">
        <w:rPr>
          <w:color w:val="000000" w:themeColor="text1"/>
        </w:rPr>
        <w:lastRenderedPageBreak/>
        <w:t xml:space="preserve">on January </w:t>
      </w:r>
      <w:r w:rsidR="0065652B">
        <w:rPr>
          <w:color w:val="000000" w:themeColor="text1"/>
        </w:rPr>
        <w:t>7</w:t>
      </w:r>
      <w:r w:rsidR="00A25EE5" w:rsidRPr="000967E5">
        <w:rPr>
          <w:color w:val="000000" w:themeColor="text1"/>
        </w:rPr>
        <w:t xml:space="preserve">, 2016, and new electric and </w:t>
      </w:r>
      <w:r w:rsidR="00CD7A77" w:rsidRPr="000967E5">
        <w:rPr>
          <w:color w:val="000000" w:themeColor="text1"/>
        </w:rPr>
        <w:t>natural gas rates were reviewed,</w:t>
      </w:r>
      <w:r w:rsidR="00A25EE5" w:rsidRPr="000967E5">
        <w:rPr>
          <w:color w:val="000000" w:themeColor="text1"/>
        </w:rPr>
        <w:t xml:space="preserve"> </w:t>
      </w:r>
      <w:r w:rsidR="00CD7A77" w:rsidRPr="000967E5">
        <w:rPr>
          <w:color w:val="000000" w:themeColor="text1"/>
        </w:rPr>
        <w:t>approved and beca</w:t>
      </w:r>
      <w:r w:rsidR="00A25EE5" w:rsidRPr="000967E5">
        <w:rPr>
          <w:color w:val="000000" w:themeColor="text1"/>
        </w:rPr>
        <w:t>me effective January 11, 2016.</w:t>
      </w:r>
    </w:p>
    <w:p w:rsidR="00D91139" w:rsidRDefault="00D91139" w:rsidP="005370D3">
      <w:pPr>
        <w:pStyle w:val="Heading1"/>
        <w:spacing w:line="480" w:lineRule="auto"/>
        <w:jc w:val="center"/>
        <w:rPr>
          <w:u w:val="none"/>
        </w:rPr>
      </w:pPr>
    </w:p>
    <w:p w:rsidR="005370D3" w:rsidRPr="00FB72FF" w:rsidRDefault="00D91139" w:rsidP="005370D3">
      <w:pPr>
        <w:pStyle w:val="Heading1"/>
        <w:spacing w:line="480" w:lineRule="auto"/>
        <w:jc w:val="center"/>
        <w:rPr>
          <w:u w:val="none"/>
        </w:rPr>
      </w:pPr>
      <w:r>
        <w:rPr>
          <w:u w:val="none"/>
        </w:rPr>
        <w:t>III</w:t>
      </w:r>
      <w:r w:rsidR="005370D3" w:rsidRPr="00FB72FF">
        <w:rPr>
          <w:u w:val="none"/>
        </w:rPr>
        <w:t xml:space="preserve">.  </w:t>
      </w:r>
      <w:r w:rsidR="005370D3">
        <w:rPr>
          <w:u w:val="none"/>
        </w:rPr>
        <w:t>AVISTA’S RESPONSE TO THE MOTIONS</w:t>
      </w:r>
    </w:p>
    <w:p w:rsidR="00C848E7" w:rsidRPr="00B47ABF" w:rsidRDefault="00C848E7" w:rsidP="00C848E7">
      <w:pPr>
        <w:tabs>
          <w:tab w:val="left" w:pos="720"/>
        </w:tabs>
        <w:spacing w:line="480" w:lineRule="auto"/>
        <w:ind w:left="270"/>
        <w:jc w:val="both"/>
        <w:rPr>
          <w:b/>
          <w:color w:val="000000" w:themeColor="text1"/>
          <w:u w:val="single"/>
        </w:rPr>
      </w:pPr>
      <w:r>
        <w:rPr>
          <w:b/>
          <w:color w:val="000000" w:themeColor="text1"/>
          <w:u w:val="single"/>
        </w:rPr>
        <w:t>A.  The Electric Revenue Decrease of $8.1 Million</w:t>
      </w:r>
    </w:p>
    <w:p w:rsidR="00C848E7" w:rsidRPr="000967E5" w:rsidRDefault="00C848E7" w:rsidP="00C848E7">
      <w:pPr>
        <w:pStyle w:val="ListParagraph"/>
        <w:numPr>
          <w:ilvl w:val="0"/>
          <w:numId w:val="13"/>
        </w:numPr>
        <w:spacing w:line="480" w:lineRule="auto"/>
        <w:jc w:val="both"/>
        <w:rPr>
          <w:color w:val="000000" w:themeColor="text1"/>
        </w:rPr>
      </w:pPr>
      <w:r>
        <w:t xml:space="preserve">       </w:t>
      </w:r>
      <w:r w:rsidRPr="000967E5">
        <w:rPr>
          <w:color w:val="000000" w:themeColor="text1"/>
        </w:rPr>
        <w:t xml:space="preserve">The Commission-approved electric revenue decrease of $8.1 million is a </w:t>
      </w:r>
      <w:r w:rsidRPr="000967E5">
        <w:rPr>
          <w:color w:val="000000" w:themeColor="text1"/>
          <w:u w:val="single"/>
        </w:rPr>
        <w:t>larger decrease</w:t>
      </w:r>
      <w:r w:rsidRPr="000967E5">
        <w:rPr>
          <w:color w:val="000000" w:themeColor="text1"/>
        </w:rPr>
        <w:t xml:space="preserve"> than the decrease proposed and supported by Avista at the time the record closed in this </w:t>
      </w:r>
      <w:r w:rsidR="00200608">
        <w:rPr>
          <w:color w:val="000000" w:themeColor="text1"/>
        </w:rPr>
        <w:t>docket</w:t>
      </w:r>
      <w:r w:rsidRPr="000967E5">
        <w:rPr>
          <w:color w:val="000000" w:themeColor="text1"/>
        </w:rPr>
        <w:t>.  In its rebuttal filing</w:t>
      </w:r>
      <w:r>
        <w:rPr>
          <w:color w:val="000000" w:themeColor="text1"/>
        </w:rPr>
        <w:t>,</w:t>
      </w:r>
      <w:r w:rsidRPr="000967E5">
        <w:rPr>
          <w:color w:val="000000" w:themeColor="text1"/>
        </w:rPr>
        <w:t xml:space="preserve"> Avista presented an updated electric revenue requirement calculation showing the need for an electric revenue </w:t>
      </w:r>
      <w:r w:rsidRPr="000967E5">
        <w:rPr>
          <w:color w:val="000000" w:themeColor="text1"/>
          <w:u w:val="single"/>
        </w:rPr>
        <w:t>increase</w:t>
      </w:r>
      <w:r w:rsidRPr="000967E5">
        <w:rPr>
          <w:color w:val="000000" w:themeColor="text1"/>
        </w:rPr>
        <w:t xml:space="preserve"> of $3.6 million.</w:t>
      </w:r>
      <w:r>
        <w:rPr>
          <w:rStyle w:val="FootnoteReference"/>
          <w:color w:val="000000" w:themeColor="text1"/>
        </w:rPr>
        <w:footnoteReference w:id="7"/>
      </w:r>
      <w:r w:rsidRPr="000967E5">
        <w:rPr>
          <w:color w:val="000000" w:themeColor="text1"/>
        </w:rPr>
        <w:t xml:space="preserve"> </w:t>
      </w:r>
      <w:r>
        <w:rPr>
          <w:color w:val="000000" w:themeColor="text1"/>
        </w:rPr>
        <w:t xml:space="preserve"> </w:t>
      </w:r>
      <w:r w:rsidRPr="000967E5">
        <w:rPr>
          <w:color w:val="000000" w:themeColor="text1"/>
        </w:rPr>
        <w:t>As explained on page 34 of Mr. Norwood’s rebuttal testimony, this $3.6 revenue requirement was predicated upon Commission approval of deferred accounting treatment related to the 2016 major maintenance for thermal generation:</w:t>
      </w:r>
      <w:r>
        <w:rPr>
          <w:rStyle w:val="FootnoteReference"/>
          <w:color w:val="000000" w:themeColor="text1"/>
        </w:rPr>
        <w:footnoteReference w:id="8"/>
      </w:r>
    </w:p>
    <w:p w:rsidR="00C848E7" w:rsidRDefault="00C848E7" w:rsidP="00C848E7">
      <w:pPr>
        <w:ind w:left="720" w:hanging="4"/>
        <w:jc w:val="both"/>
        <w:rPr>
          <w:color w:val="000000" w:themeColor="text1"/>
        </w:rPr>
      </w:pPr>
      <w:r>
        <w:rPr>
          <w:color w:val="000000" w:themeColor="text1"/>
        </w:rPr>
        <w:t xml:space="preserve">If Avista’s proposal on rebuttal to defer and amortize (normalize) the “hours-based” thermal maintenance is rejected by the Commission, then </w:t>
      </w:r>
      <w:r w:rsidRPr="001B1D0A">
        <w:rPr>
          <w:color w:val="000000" w:themeColor="text1"/>
          <w:u w:val="single"/>
        </w:rPr>
        <w:t>Avista’s electric revenue requirement on rebuttal would increase from $3.6 million to $6.6 million</w:t>
      </w:r>
      <w:r>
        <w:rPr>
          <w:color w:val="000000" w:themeColor="text1"/>
        </w:rPr>
        <w:t xml:space="preserve"> in order to provide recovery for these increased costs in 2016.  (emphasis added)</w:t>
      </w:r>
    </w:p>
    <w:p w:rsidR="00C848E7" w:rsidRDefault="00C848E7" w:rsidP="00C848E7">
      <w:pPr>
        <w:spacing w:line="480" w:lineRule="auto"/>
        <w:ind w:left="270" w:firstLine="450"/>
        <w:jc w:val="both"/>
        <w:rPr>
          <w:color w:val="000000" w:themeColor="text1"/>
        </w:rPr>
      </w:pPr>
    </w:p>
    <w:p w:rsidR="00C848E7" w:rsidRPr="000967E5" w:rsidRDefault="00C848E7" w:rsidP="00C848E7">
      <w:pPr>
        <w:pStyle w:val="ListParagraph"/>
        <w:numPr>
          <w:ilvl w:val="0"/>
          <w:numId w:val="13"/>
        </w:numPr>
        <w:spacing w:line="480" w:lineRule="auto"/>
        <w:jc w:val="both"/>
        <w:rPr>
          <w:color w:val="000000" w:themeColor="text1"/>
        </w:rPr>
      </w:pPr>
      <w:r>
        <w:t xml:space="preserve">       </w:t>
      </w:r>
      <w:r w:rsidRPr="000967E5">
        <w:rPr>
          <w:color w:val="000000" w:themeColor="text1"/>
        </w:rPr>
        <w:t xml:space="preserve">The Commission’s Order 05 did not approve the proposed accounting treatment, and therefore, Avista’s demonstrated need for revenue relief in 2016 </w:t>
      </w:r>
      <w:r>
        <w:rPr>
          <w:color w:val="000000" w:themeColor="text1"/>
        </w:rPr>
        <w:t>became</w:t>
      </w:r>
      <w:r w:rsidRPr="000967E5">
        <w:rPr>
          <w:color w:val="000000" w:themeColor="text1"/>
        </w:rPr>
        <w:t xml:space="preserve"> $6.6 million,</w:t>
      </w:r>
      <w:r>
        <w:rPr>
          <w:rStyle w:val="FootnoteReference"/>
          <w:color w:val="000000" w:themeColor="text1"/>
        </w:rPr>
        <w:footnoteReference w:id="9"/>
      </w:r>
      <w:r w:rsidRPr="000967E5">
        <w:rPr>
          <w:color w:val="000000" w:themeColor="text1"/>
        </w:rPr>
        <w:t xml:space="preserve"> </w:t>
      </w:r>
      <w:r w:rsidRPr="00C31D55">
        <w:rPr>
          <w:color w:val="000000" w:themeColor="text1"/>
          <w:u w:val="single"/>
        </w:rPr>
        <w:t>i.e.</w:t>
      </w:r>
      <w:r w:rsidRPr="000967E5">
        <w:rPr>
          <w:color w:val="000000" w:themeColor="text1"/>
        </w:rPr>
        <w:t xml:space="preserve">, since the $3.0 million was not approved for recovery through deferred accounting, </w:t>
      </w:r>
      <w:r>
        <w:rPr>
          <w:color w:val="000000" w:themeColor="text1"/>
        </w:rPr>
        <w:t xml:space="preserve">the Company </w:t>
      </w:r>
      <w:r w:rsidRPr="000967E5">
        <w:rPr>
          <w:color w:val="000000" w:themeColor="text1"/>
        </w:rPr>
        <w:t>need</w:t>
      </w:r>
      <w:r>
        <w:rPr>
          <w:color w:val="000000" w:themeColor="text1"/>
        </w:rPr>
        <w:t>s</w:t>
      </w:r>
      <w:r w:rsidRPr="000967E5">
        <w:rPr>
          <w:color w:val="000000" w:themeColor="text1"/>
        </w:rPr>
        <w:t xml:space="preserve"> to recover it through base revenues.  </w:t>
      </w:r>
    </w:p>
    <w:p w:rsidR="00C848E7" w:rsidRPr="000967E5" w:rsidRDefault="00C848E7" w:rsidP="00C848E7">
      <w:pPr>
        <w:pStyle w:val="ListParagraph"/>
        <w:numPr>
          <w:ilvl w:val="0"/>
          <w:numId w:val="13"/>
        </w:numPr>
        <w:spacing w:line="480" w:lineRule="auto"/>
        <w:jc w:val="both"/>
        <w:rPr>
          <w:color w:val="000000" w:themeColor="text1"/>
        </w:rPr>
      </w:pPr>
      <w:r>
        <w:t xml:space="preserve">       </w:t>
      </w:r>
      <w:r w:rsidRPr="000967E5">
        <w:rPr>
          <w:color w:val="000000" w:themeColor="text1"/>
        </w:rPr>
        <w:t xml:space="preserve">The Power Supply update filed by the Company on </w:t>
      </w:r>
      <w:r>
        <w:rPr>
          <w:color w:val="000000" w:themeColor="text1"/>
        </w:rPr>
        <w:t xml:space="preserve">October 29, </w:t>
      </w:r>
      <w:r w:rsidRPr="000967E5">
        <w:rPr>
          <w:color w:val="000000" w:themeColor="text1"/>
        </w:rPr>
        <w:t xml:space="preserve">2015, in compliance with the </w:t>
      </w:r>
      <w:r>
        <w:rPr>
          <w:color w:val="000000" w:themeColor="text1"/>
        </w:rPr>
        <w:t>M</w:t>
      </w:r>
      <w:r w:rsidRPr="000967E5">
        <w:rPr>
          <w:color w:val="000000" w:themeColor="text1"/>
        </w:rPr>
        <w:t xml:space="preserve">ultiparty </w:t>
      </w:r>
      <w:r>
        <w:rPr>
          <w:color w:val="000000" w:themeColor="text1"/>
        </w:rPr>
        <w:t>S</w:t>
      </w:r>
      <w:r w:rsidRPr="000967E5">
        <w:rPr>
          <w:color w:val="000000" w:themeColor="text1"/>
        </w:rPr>
        <w:t xml:space="preserve">ettlement </w:t>
      </w:r>
      <w:r>
        <w:rPr>
          <w:color w:val="000000" w:themeColor="text1"/>
        </w:rPr>
        <w:t>S</w:t>
      </w:r>
      <w:r w:rsidRPr="000967E5">
        <w:rPr>
          <w:color w:val="000000" w:themeColor="text1"/>
        </w:rPr>
        <w:t xml:space="preserve">tipulation, produced a reduction to Avista’s overall revenue </w:t>
      </w:r>
      <w:r w:rsidRPr="000967E5">
        <w:rPr>
          <w:color w:val="000000" w:themeColor="text1"/>
        </w:rPr>
        <w:lastRenderedPageBreak/>
        <w:t>requirement of $12.3 million.</w:t>
      </w:r>
      <w:r>
        <w:rPr>
          <w:rStyle w:val="FootnoteReference"/>
          <w:color w:val="000000" w:themeColor="text1"/>
        </w:rPr>
        <w:footnoteReference w:id="10"/>
      </w:r>
      <w:r>
        <w:rPr>
          <w:color w:val="000000" w:themeColor="text1"/>
        </w:rPr>
        <w:t xml:space="preserve"> </w:t>
      </w:r>
      <w:r w:rsidRPr="000967E5">
        <w:rPr>
          <w:color w:val="000000" w:themeColor="text1"/>
        </w:rPr>
        <w:t xml:space="preserve">This update reduced the Company’s proposed revenue requirement from a $6.6 million revenue increase, to a </w:t>
      </w:r>
      <w:r w:rsidRPr="000967E5">
        <w:rPr>
          <w:color w:val="000000" w:themeColor="text1"/>
          <w:u w:val="single"/>
        </w:rPr>
        <w:t>revenue decrease</w:t>
      </w:r>
      <w:r w:rsidRPr="000967E5">
        <w:rPr>
          <w:color w:val="000000" w:themeColor="text1"/>
        </w:rPr>
        <w:t xml:space="preserve"> of $5.7 million ($6.6 million increase, minus $12.3 million = $5.7 million decrease).</w:t>
      </w:r>
    </w:p>
    <w:p w:rsidR="00F27C81" w:rsidRPr="00F27C81" w:rsidRDefault="00C848E7" w:rsidP="000D4E34">
      <w:pPr>
        <w:pStyle w:val="ListParagraph"/>
        <w:numPr>
          <w:ilvl w:val="0"/>
          <w:numId w:val="13"/>
        </w:numPr>
        <w:spacing w:line="480" w:lineRule="auto"/>
        <w:jc w:val="both"/>
      </w:pPr>
      <w:r>
        <w:t xml:space="preserve">       </w:t>
      </w:r>
      <w:r w:rsidRPr="00F27C81">
        <w:rPr>
          <w:color w:val="000000" w:themeColor="text1"/>
        </w:rPr>
        <w:t xml:space="preserve">By comparison, the Commission’s $8.1 million electric revenue decrease in Order 05 was a </w:t>
      </w:r>
      <w:r w:rsidRPr="00F27C81">
        <w:rPr>
          <w:color w:val="000000" w:themeColor="text1"/>
          <w:u w:val="single"/>
        </w:rPr>
        <w:t>greater decrease</w:t>
      </w:r>
      <w:r w:rsidRPr="00F27C81">
        <w:rPr>
          <w:color w:val="000000" w:themeColor="text1"/>
        </w:rPr>
        <w:t xml:space="preserve"> than the $5.7 decrease demonstrated by the Company</w:t>
      </w:r>
      <w:r w:rsidR="007D74FC">
        <w:rPr>
          <w:color w:val="000000" w:themeColor="text1"/>
        </w:rPr>
        <w:t xml:space="preserve"> (which included the Power Supply update)</w:t>
      </w:r>
      <w:r w:rsidRPr="00F27C81">
        <w:rPr>
          <w:color w:val="000000" w:themeColor="text1"/>
        </w:rPr>
        <w:t xml:space="preserve">.  </w:t>
      </w:r>
      <w:r w:rsidR="00F42C83" w:rsidRPr="00F27C81">
        <w:rPr>
          <w:color w:val="000000" w:themeColor="text1"/>
        </w:rPr>
        <w:t>I</w:t>
      </w:r>
      <w:r w:rsidRPr="00F27C81">
        <w:rPr>
          <w:color w:val="000000" w:themeColor="text1"/>
        </w:rPr>
        <w:t xml:space="preserve">n its Order the Commission spent considerable time discussing the importance of the “end result” of the final electric and natural gas revenue adjustments, and the Commission concluded that an $8.1 million electric decrease was a reasonable end result.  </w:t>
      </w:r>
    </w:p>
    <w:p w:rsidR="000D4E34" w:rsidRDefault="000D4E34" w:rsidP="000D4E34">
      <w:pPr>
        <w:pStyle w:val="ListParagraph"/>
        <w:numPr>
          <w:ilvl w:val="0"/>
          <w:numId w:val="13"/>
        </w:numPr>
        <w:spacing w:line="480" w:lineRule="auto"/>
        <w:jc w:val="both"/>
      </w:pPr>
      <w:r>
        <w:t xml:space="preserve">       </w:t>
      </w:r>
      <w:r w:rsidR="00200608">
        <w:t>Table No. 1 below</w:t>
      </w:r>
      <w:r>
        <w:t xml:space="preserve"> shows the electric revenue adjustment proposals of each of the parties at the time the record closed in this docket, both prior to and after the $12.3 million power supply update that was filed by Avista on October 29, 2015.  The revenue </w:t>
      </w:r>
      <w:r w:rsidR="00200608">
        <w:t>decrease of $8.1 million</w:t>
      </w:r>
      <w:r>
        <w:t xml:space="preserve"> ordered by the Commission in Order 05 is also provided for comparison purposes. </w:t>
      </w:r>
    </w:p>
    <w:p w:rsidR="007E7B13" w:rsidRDefault="007E7B13" w:rsidP="007E7B13">
      <w:pPr>
        <w:pStyle w:val="ListParagraph"/>
        <w:ind w:left="240"/>
        <w:jc w:val="both"/>
        <w:rPr>
          <w:b/>
        </w:rPr>
      </w:pPr>
    </w:p>
    <w:p w:rsidR="000D4E34" w:rsidRPr="000D4E34" w:rsidRDefault="00200608" w:rsidP="007E7B13">
      <w:pPr>
        <w:pStyle w:val="ListParagraph"/>
        <w:ind w:left="240"/>
        <w:jc w:val="both"/>
        <w:rPr>
          <w:b/>
        </w:rPr>
      </w:pPr>
      <w:r>
        <w:rPr>
          <w:b/>
        </w:rPr>
        <w:t xml:space="preserve">Table No. 1 - </w:t>
      </w:r>
      <w:r w:rsidR="000D4E34" w:rsidRPr="000D4E34">
        <w:rPr>
          <w:b/>
        </w:rPr>
        <w:t>Proposed Electric Revenue Requirement (Litigation Positions)</w:t>
      </w:r>
    </w:p>
    <w:tbl>
      <w:tblPr>
        <w:tblW w:w="9450" w:type="dxa"/>
        <w:tblInd w:w="288" w:type="dxa"/>
        <w:tblLook w:val="04A0"/>
      </w:tblPr>
      <w:tblGrid>
        <w:gridCol w:w="2396"/>
        <w:gridCol w:w="916"/>
        <w:gridCol w:w="265"/>
        <w:gridCol w:w="1483"/>
        <w:gridCol w:w="231"/>
        <w:gridCol w:w="1483"/>
        <w:gridCol w:w="222"/>
        <w:gridCol w:w="1076"/>
        <w:gridCol w:w="222"/>
        <w:gridCol w:w="18"/>
        <w:gridCol w:w="1221"/>
      </w:tblGrid>
      <w:tr w:rsidR="00200608" w:rsidRPr="00C24DC3" w:rsidTr="00365063">
        <w:trPr>
          <w:trHeight w:val="315"/>
        </w:trPr>
        <w:tc>
          <w:tcPr>
            <w:tcW w:w="2396" w:type="dxa"/>
            <w:tcBorders>
              <w:top w:val="nil"/>
              <w:left w:val="nil"/>
              <w:bottom w:val="nil"/>
              <w:right w:val="nil"/>
            </w:tcBorders>
            <w:shd w:val="clear" w:color="auto" w:fill="auto"/>
            <w:noWrap/>
            <w:vAlign w:val="bottom"/>
            <w:hideMark/>
          </w:tcPr>
          <w:p w:rsidR="000D4E34" w:rsidRPr="00C24DC3" w:rsidRDefault="000D4E34" w:rsidP="00200608">
            <w:pPr>
              <w:rPr>
                <w:rFonts w:eastAsia="Times New Roman"/>
                <w:color w:val="000000"/>
              </w:rPr>
            </w:pPr>
            <w:r w:rsidRPr="00C24DC3">
              <w:rPr>
                <w:rFonts w:eastAsia="Times New Roman"/>
                <w:color w:val="000000"/>
              </w:rPr>
              <w:t>($ in millions)</w:t>
            </w:r>
          </w:p>
        </w:tc>
        <w:tc>
          <w:tcPr>
            <w:tcW w:w="90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265"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231"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22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059"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22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239" w:type="dxa"/>
            <w:gridSpan w:val="2"/>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r>
      <w:tr w:rsidR="00200608" w:rsidRPr="00C24DC3" w:rsidTr="00365063">
        <w:trPr>
          <w:trHeight w:val="315"/>
        </w:trPr>
        <w:tc>
          <w:tcPr>
            <w:tcW w:w="2396" w:type="dxa"/>
            <w:tcBorders>
              <w:top w:val="nil"/>
              <w:left w:val="nil"/>
              <w:bottom w:val="nil"/>
              <w:right w:val="nil"/>
            </w:tcBorders>
            <w:shd w:val="clear" w:color="auto" w:fill="auto"/>
            <w:noWrap/>
            <w:vAlign w:val="bottom"/>
            <w:hideMark/>
          </w:tcPr>
          <w:p w:rsidR="000D4E34" w:rsidRPr="00C24DC3" w:rsidRDefault="000D4E34" w:rsidP="00200608">
            <w:pPr>
              <w:rPr>
                <w:rFonts w:eastAsia="Times New Roman"/>
                <w:color w:val="000000"/>
              </w:rPr>
            </w:pPr>
          </w:p>
        </w:tc>
        <w:tc>
          <w:tcPr>
            <w:tcW w:w="90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r w:rsidRPr="00C24DC3">
              <w:rPr>
                <w:rFonts w:eastAsia="Times New Roman"/>
                <w:b/>
                <w:bCs/>
                <w:color w:val="000000"/>
                <w:u w:val="single"/>
              </w:rPr>
              <w:t>Avista</w:t>
            </w:r>
          </w:p>
        </w:tc>
        <w:tc>
          <w:tcPr>
            <w:tcW w:w="265"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p>
        </w:tc>
        <w:tc>
          <w:tcPr>
            <w:tcW w:w="1457"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r w:rsidRPr="00C24DC3">
              <w:rPr>
                <w:rFonts w:eastAsia="Times New Roman"/>
                <w:b/>
                <w:bCs/>
                <w:color w:val="000000"/>
                <w:u w:val="single"/>
              </w:rPr>
              <w:t>Commission</w:t>
            </w:r>
          </w:p>
        </w:tc>
        <w:tc>
          <w:tcPr>
            <w:tcW w:w="231"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p>
        </w:tc>
        <w:tc>
          <w:tcPr>
            <w:tcW w:w="1457"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r w:rsidRPr="00C24DC3">
              <w:rPr>
                <w:rFonts w:eastAsia="Times New Roman"/>
                <w:b/>
                <w:bCs/>
                <w:color w:val="000000"/>
                <w:u w:val="single"/>
              </w:rPr>
              <w:t>Commission Staff</w:t>
            </w:r>
          </w:p>
        </w:tc>
        <w:tc>
          <w:tcPr>
            <w:tcW w:w="22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p>
        </w:tc>
        <w:tc>
          <w:tcPr>
            <w:tcW w:w="1059"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r w:rsidRPr="00C24DC3">
              <w:rPr>
                <w:rFonts w:eastAsia="Times New Roman"/>
                <w:b/>
                <w:bCs/>
                <w:color w:val="000000"/>
                <w:u w:val="single"/>
              </w:rPr>
              <w:t>ICNU</w:t>
            </w:r>
          </w:p>
        </w:tc>
        <w:tc>
          <w:tcPr>
            <w:tcW w:w="240" w:type="dxa"/>
            <w:gridSpan w:val="2"/>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p>
        </w:tc>
        <w:tc>
          <w:tcPr>
            <w:tcW w:w="1221"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b/>
                <w:bCs/>
                <w:color w:val="000000"/>
                <w:u w:val="single"/>
              </w:rPr>
            </w:pPr>
            <w:r w:rsidRPr="00C24DC3">
              <w:rPr>
                <w:rFonts w:eastAsia="Times New Roman"/>
                <w:b/>
                <w:bCs/>
                <w:color w:val="000000"/>
                <w:u w:val="single"/>
              </w:rPr>
              <w:t>PC</w:t>
            </w:r>
          </w:p>
        </w:tc>
      </w:tr>
      <w:tr w:rsidR="00200608" w:rsidRPr="00C24DC3" w:rsidTr="00365063">
        <w:trPr>
          <w:trHeight w:val="480"/>
        </w:trPr>
        <w:tc>
          <w:tcPr>
            <w:tcW w:w="2396" w:type="dxa"/>
            <w:tcBorders>
              <w:top w:val="nil"/>
              <w:left w:val="nil"/>
              <w:bottom w:val="nil"/>
              <w:right w:val="nil"/>
            </w:tcBorders>
            <w:shd w:val="clear" w:color="auto" w:fill="auto"/>
            <w:noWrap/>
            <w:vAlign w:val="bottom"/>
            <w:hideMark/>
          </w:tcPr>
          <w:p w:rsidR="000D4E34" w:rsidRPr="00C24DC3" w:rsidRDefault="000D4E34" w:rsidP="00200608">
            <w:pPr>
              <w:rPr>
                <w:rFonts w:eastAsia="Times New Roman"/>
                <w:color w:val="000000"/>
              </w:rPr>
            </w:pPr>
            <w:r w:rsidRPr="00C24DC3">
              <w:rPr>
                <w:rFonts w:eastAsia="Times New Roman"/>
                <w:color w:val="000000"/>
              </w:rPr>
              <w:t>Prior to Power Supply Update</w:t>
            </w:r>
          </w:p>
        </w:tc>
        <w:tc>
          <w:tcPr>
            <w:tcW w:w="90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$6.6</w:t>
            </w:r>
            <w:r>
              <w:rPr>
                <w:rStyle w:val="FootnoteReference"/>
                <w:rFonts w:eastAsia="Times New Roman"/>
                <w:color w:val="000000"/>
              </w:rPr>
              <w:footnoteReference w:id="11"/>
            </w:r>
            <w:r w:rsidRPr="00C24DC3">
              <w:rPr>
                <w:rFonts w:eastAsia="Times New Roman"/>
                <w:color w:val="000000"/>
              </w:rPr>
              <w:t xml:space="preserve"> </w:t>
            </w:r>
          </w:p>
        </w:tc>
        <w:tc>
          <w:tcPr>
            <w:tcW w:w="265"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0D4E34" w:rsidRPr="00C24DC3" w:rsidRDefault="000D4E34" w:rsidP="00200608">
            <w:pPr>
              <w:ind w:right="50"/>
              <w:jc w:val="center"/>
              <w:rPr>
                <w:rFonts w:eastAsia="Times New Roman"/>
                <w:color w:val="000000"/>
              </w:rPr>
            </w:pPr>
          </w:p>
        </w:tc>
        <w:tc>
          <w:tcPr>
            <w:tcW w:w="231"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($6.2)</w:t>
            </w:r>
            <w:r w:rsidR="00365063">
              <w:rPr>
                <w:rStyle w:val="FootnoteReference"/>
                <w:rFonts w:eastAsia="Times New Roman"/>
                <w:color w:val="000000"/>
              </w:rPr>
              <w:footnoteReference w:id="12"/>
            </w:r>
          </w:p>
        </w:tc>
        <w:tc>
          <w:tcPr>
            <w:tcW w:w="22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059"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($17.4)</w:t>
            </w:r>
            <w:r w:rsidR="00365063">
              <w:rPr>
                <w:rStyle w:val="FootnoteReference"/>
                <w:rFonts w:eastAsia="Times New Roman"/>
                <w:color w:val="000000"/>
              </w:rPr>
              <w:footnoteReference w:id="13"/>
            </w:r>
          </w:p>
        </w:tc>
        <w:tc>
          <w:tcPr>
            <w:tcW w:w="240" w:type="dxa"/>
            <w:gridSpan w:val="2"/>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221"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($29.7)</w:t>
            </w:r>
            <w:r w:rsidR="00365063">
              <w:rPr>
                <w:rStyle w:val="FootnoteReference"/>
                <w:rFonts w:eastAsia="Times New Roman"/>
                <w:color w:val="000000"/>
              </w:rPr>
              <w:footnoteReference w:id="14"/>
            </w:r>
          </w:p>
        </w:tc>
      </w:tr>
      <w:tr w:rsidR="00200608" w:rsidRPr="00C24DC3" w:rsidTr="00365063">
        <w:trPr>
          <w:trHeight w:val="495"/>
        </w:trPr>
        <w:tc>
          <w:tcPr>
            <w:tcW w:w="2396" w:type="dxa"/>
            <w:tcBorders>
              <w:top w:val="nil"/>
              <w:left w:val="nil"/>
              <w:bottom w:val="nil"/>
              <w:right w:val="nil"/>
            </w:tcBorders>
            <w:shd w:val="clear" w:color="auto" w:fill="auto"/>
            <w:noWrap/>
            <w:vAlign w:val="bottom"/>
            <w:hideMark/>
          </w:tcPr>
          <w:p w:rsidR="000D4E34" w:rsidRPr="00C24DC3" w:rsidRDefault="000D4E34" w:rsidP="00200608">
            <w:pPr>
              <w:rPr>
                <w:rFonts w:eastAsia="Times New Roman"/>
                <w:color w:val="000000"/>
              </w:rPr>
            </w:pPr>
            <w:r w:rsidRPr="00C24DC3">
              <w:rPr>
                <w:rFonts w:eastAsia="Times New Roman"/>
                <w:color w:val="000000"/>
              </w:rPr>
              <w:t>Power Supply Update</w:t>
            </w:r>
          </w:p>
        </w:tc>
        <w:tc>
          <w:tcPr>
            <w:tcW w:w="902" w:type="dxa"/>
            <w:tcBorders>
              <w:top w:val="nil"/>
              <w:left w:val="nil"/>
              <w:bottom w:val="single" w:sz="4" w:space="0" w:color="auto"/>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($12.3)</w:t>
            </w:r>
          </w:p>
        </w:tc>
        <w:tc>
          <w:tcPr>
            <w:tcW w:w="265"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457" w:type="dxa"/>
            <w:tcBorders>
              <w:top w:val="nil"/>
              <w:left w:val="nil"/>
              <w:bottom w:val="single" w:sz="4" w:space="0" w:color="auto"/>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 </w:t>
            </w:r>
          </w:p>
        </w:tc>
        <w:tc>
          <w:tcPr>
            <w:tcW w:w="231"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457" w:type="dxa"/>
            <w:tcBorders>
              <w:top w:val="nil"/>
              <w:left w:val="nil"/>
              <w:bottom w:val="single" w:sz="4" w:space="0" w:color="auto"/>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($12.3)</w:t>
            </w:r>
          </w:p>
        </w:tc>
        <w:tc>
          <w:tcPr>
            <w:tcW w:w="22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059" w:type="dxa"/>
            <w:tcBorders>
              <w:top w:val="nil"/>
              <w:left w:val="nil"/>
              <w:bottom w:val="single" w:sz="4" w:space="0" w:color="auto"/>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($12.3)</w:t>
            </w:r>
          </w:p>
        </w:tc>
        <w:tc>
          <w:tcPr>
            <w:tcW w:w="240" w:type="dxa"/>
            <w:gridSpan w:val="2"/>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221" w:type="dxa"/>
            <w:tcBorders>
              <w:top w:val="nil"/>
              <w:left w:val="nil"/>
              <w:bottom w:val="single" w:sz="4" w:space="0" w:color="auto"/>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($12.3)</w:t>
            </w:r>
          </w:p>
        </w:tc>
      </w:tr>
      <w:tr w:rsidR="00200608" w:rsidRPr="00C24DC3" w:rsidTr="00365063">
        <w:trPr>
          <w:trHeight w:val="620"/>
        </w:trPr>
        <w:tc>
          <w:tcPr>
            <w:tcW w:w="2396" w:type="dxa"/>
            <w:tcBorders>
              <w:top w:val="nil"/>
              <w:left w:val="nil"/>
              <w:bottom w:val="nil"/>
              <w:right w:val="nil"/>
            </w:tcBorders>
            <w:shd w:val="clear" w:color="auto" w:fill="auto"/>
            <w:noWrap/>
            <w:vAlign w:val="bottom"/>
            <w:hideMark/>
          </w:tcPr>
          <w:p w:rsidR="000D4E34" w:rsidRPr="00C24DC3" w:rsidRDefault="000D4E34" w:rsidP="00200608">
            <w:pPr>
              <w:rPr>
                <w:rFonts w:eastAsia="Times New Roman"/>
                <w:color w:val="000000"/>
              </w:rPr>
            </w:pPr>
            <w:r w:rsidRPr="00C24DC3">
              <w:rPr>
                <w:rFonts w:eastAsia="Times New Roman"/>
                <w:color w:val="000000"/>
              </w:rPr>
              <w:t>After Power Supply Update</w:t>
            </w:r>
          </w:p>
        </w:tc>
        <w:tc>
          <w:tcPr>
            <w:tcW w:w="90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($5.7)</w:t>
            </w:r>
          </w:p>
        </w:tc>
        <w:tc>
          <w:tcPr>
            <w:tcW w:w="265"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($8.1)</w:t>
            </w:r>
          </w:p>
        </w:tc>
        <w:tc>
          <w:tcPr>
            <w:tcW w:w="231"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($18.5)</w:t>
            </w:r>
          </w:p>
        </w:tc>
        <w:tc>
          <w:tcPr>
            <w:tcW w:w="222"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059"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($29.7)</w:t>
            </w:r>
          </w:p>
        </w:tc>
        <w:tc>
          <w:tcPr>
            <w:tcW w:w="240" w:type="dxa"/>
            <w:gridSpan w:val="2"/>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p>
        </w:tc>
        <w:tc>
          <w:tcPr>
            <w:tcW w:w="1221" w:type="dxa"/>
            <w:tcBorders>
              <w:top w:val="nil"/>
              <w:left w:val="nil"/>
              <w:bottom w:val="nil"/>
              <w:right w:val="nil"/>
            </w:tcBorders>
            <w:shd w:val="clear" w:color="auto" w:fill="auto"/>
            <w:noWrap/>
            <w:vAlign w:val="bottom"/>
            <w:hideMark/>
          </w:tcPr>
          <w:p w:rsidR="000D4E34" w:rsidRPr="00C24DC3" w:rsidRDefault="000D4E34" w:rsidP="00200608">
            <w:pPr>
              <w:jc w:val="center"/>
              <w:rPr>
                <w:rFonts w:eastAsia="Times New Roman"/>
                <w:color w:val="000000"/>
              </w:rPr>
            </w:pPr>
            <w:r w:rsidRPr="00C24DC3">
              <w:rPr>
                <w:rFonts w:eastAsia="Times New Roman"/>
                <w:color w:val="000000"/>
              </w:rPr>
              <w:t>($42.0)</w:t>
            </w:r>
          </w:p>
        </w:tc>
      </w:tr>
    </w:tbl>
    <w:p w:rsidR="000D4E34" w:rsidRDefault="000D4E34" w:rsidP="00CA01B8">
      <w:pPr>
        <w:spacing w:line="480" w:lineRule="auto"/>
        <w:jc w:val="both"/>
      </w:pPr>
    </w:p>
    <w:p w:rsidR="00C848E7" w:rsidRPr="000967E5" w:rsidRDefault="00C848E7" w:rsidP="00C848E7">
      <w:pPr>
        <w:pStyle w:val="ListParagraph"/>
        <w:numPr>
          <w:ilvl w:val="0"/>
          <w:numId w:val="13"/>
        </w:numPr>
        <w:spacing w:line="480" w:lineRule="auto"/>
        <w:jc w:val="both"/>
        <w:rPr>
          <w:color w:val="000000" w:themeColor="text1"/>
        </w:rPr>
      </w:pPr>
      <w:r>
        <w:t xml:space="preserve">       </w:t>
      </w:r>
      <w:r w:rsidRPr="000967E5">
        <w:rPr>
          <w:color w:val="000000" w:themeColor="text1"/>
        </w:rPr>
        <w:t>Although t</w:t>
      </w:r>
      <w:r>
        <w:rPr>
          <w:color w:val="000000" w:themeColor="text1"/>
        </w:rPr>
        <w:t>here can be</w:t>
      </w:r>
      <w:r w:rsidRPr="000967E5">
        <w:rPr>
          <w:color w:val="000000" w:themeColor="text1"/>
        </w:rPr>
        <w:t xml:space="preserve"> debate regarding the “building blocks” that lead to the end result, the $8.1 million revenue decrease is clearly within the bounds of reasonableness when </w:t>
      </w:r>
      <w:r w:rsidRPr="000967E5">
        <w:rPr>
          <w:color w:val="000000" w:themeColor="text1"/>
        </w:rPr>
        <w:lastRenderedPageBreak/>
        <w:t>compared with the</w:t>
      </w:r>
      <w:r>
        <w:rPr>
          <w:color w:val="000000" w:themeColor="text1"/>
        </w:rPr>
        <w:t xml:space="preserve"> lesser</w:t>
      </w:r>
      <w:r w:rsidRPr="000967E5">
        <w:rPr>
          <w:color w:val="000000" w:themeColor="text1"/>
        </w:rPr>
        <w:t xml:space="preserve"> $5.7 million decrease demonstrated by Avista.  Both of these revenue decrease amounts (the Commission’s $8.1 million and Avista’ proposed $5.7 million) incorporate the 9.5% return on equity (ROE) and the capital structure supported by the parties in the </w:t>
      </w:r>
      <w:r>
        <w:rPr>
          <w:color w:val="000000" w:themeColor="text1"/>
        </w:rPr>
        <w:t>M</w:t>
      </w:r>
      <w:r w:rsidRPr="000967E5">
        <w:rPr>
          <w:color w:val="000000" w:themeColor="text1"/>
        </w:rPr>
        <w:t xml:space="preserve">ultiparty </w:t>
      </w:r>
      <w:r>
        <w:rPr>
          <w:color w:val="000000" w:themeColor="text1"/>
        </w:rPr>
        <w:t>S</w:t>
      </w:r>
      <w:r w:rsidRPr="000967E5">
        <w:rPr>
          <w:color w:val="000000" w:themeColor="text1"/>
        </w:rPr>
        <w:t xml:space="preserve">ettlement </w:t>
      </w:r>
      <w:r>
        <w:rPr>
          <w:color w:val="000000" w:themeColor="text1"/>
        </w:rPr>
        <w:t>Stipulation</w:t>
      </w:r>
      <w:r w:rsidRPr="000967E5">
        <w:rPr>
          <w:color w:val="000000" w:themeColor="text1"/>
        </w:rPr>
        <w:t>.  The larger $8.1 million revenue decrease approved by the Commission makes it incumbent upon Avista to manage its costs in 2016 in order to have the opportunity to actually earn that 9.5% ROE.  From Avista’s perspective, this difference of $8.1 million vs</w:t>
      </w:r>
      <w:r>
        <w:rPr>
          <w:color w:val="000000" w:themeColor="text1"/>
        </w:rPr>
        <w:t>.</w:t>
      </w:r>
      <w:r w:rsidR="00F42C83">
        <w:rPr>
          <w:color w:val="000000" w:themeColor="text1"/>
        </w:rPr>
        <w:t xml:space="preserve"> the</w:t>
      </w:r>
      <w:r w:rsidRPr="000967E5">
        <w:rPr>
          <w:color w:val="000000" w:themeColor="text1"/>
        </w:rPr>
        <w:t xml:space="preserve"> $5.7 million</w:t>
      </w:r>
      <w:r>
        <w:rPr>
          <w:color w:val="000000" w:themeColor="text1"/>
        </w:rPr>
        <w:t xml:space="preserve"> reduction</w:t>
      </w:r>
      <w:r w:rsidRPr="000967E5">
        <w:rPr>
          <w:color w:val="000000" w:themeColor="text1"/>
        </w:rPr>
        <w:t xml:space="preserve"> is with</w:t>
      </w:r>
      <w:r>
        <w:rPr>
          <w:color w:val="000000" w:themeColor="text1"/>
        </w:rPr>
        <w:t>in</w:t>
      </w:r>
      <w:r w:rsidRPr="000967E5">
        <w:rPr>
          <w:color w:val="000000" w:themeColor="text1"/>
        </w:rPr>
        <w:t xml:space="preserve"> the bounds of reasonableness and is a manageable difference for the Company</w:t>
      </w:r>
      <w:r w:rsidR="007D74FC">
        <w:rPr>
          <w:color w:val="000000" w:themeColor="text1"/>
        </w:rPr>
        <w:t>, in its efforts to actually earn its authorized return</w:t>
      </w:r>
      <w:r w:rsidRPr="000967E5">
        <w:rPr>
          <w:color w:val="000000" w:themeColor="text1"/>
        </w:rPr>
        <w:t>.</w:t>
      </w:r>
    </w:p>
    <w:p w:rsidR="00C848E7" w:rsidRPr="00113D70" w:rsidRDefault="00460858" w:rsidP="00C848E7">
      <w:pPr>
        <w:pStyle w:val="ListParagraph"/>
        <w:numPr>
          <w:ilvl w:val="0"/>
          <w:numId w:val="13"/>
        </w:numPr>
        <w:spacing w:line="480" w:lineRule="auto"/>
        <w:jc w:val="both"/>
        <w:rPr>
          <w:color w:val="000000" w:themeColor="text1"/>
        </w:rPr>
      </w:pPr>
      <w:r>
        <w:t xml:space="preserve">       Avista agrees with the Commission’s characterization of ICNU and Public Counsel’s revenue decrease litigation proposals of $29.7 million and $42.0 million, respectively, from the table above, as being </w:t>
      </w:r>
      <w:r w:rsidR="00113D70">
        <w:t>“drastic”</w:t>
      </w:r>
      <w:r w:rsidR="00113D70">
        <w:rPr>
          <w:rStyle w:val="FootnoteReference"/>
        </w:rPr>
        <w:footnoteReference w:id="15"/>
      </w:r>
      <w:r w:rsidR="00113D70">
        <w:t xml:space="preserve"> and </w:t>
      </w:r>
      <w:r>
        <w:t>“even more severe”</w:t>
      </w:r>
      <w:r w:rsidR="00113D70">
        <w:t>.</w:t>
      </w:r>
      <w:r>
        <w:rPr>
          <w:rStyle w:val="FootnoteReference"/>
        </w:rPr>
        <w:footnoteReference w:id="16"/>
      </w:r>
      <w:r>
        <w:t xml:space="preserve"> </w:t>
      </w:r>
      <w:r w:rsidR="00113D70">
        <w:t xml:space="preserve"> </w:t>
      </w:r>
      <w:r>
        <w:t>Staff’s revenue decrease litigation proposal of $18.5 million also would not provide Avista with a reasonable opportunity to earn the authorized return for 2016</w:t>
      </w:r>
      <w:r w:rsidR="007D74FC">
        <w:t>, as demonstrated by the record</w:t>
      </w:r>
      <w:r>
        <w:t xml:space="preserve">.  </w:t>
      </w:r>
    </w:p>
    <w:p w:rsidR="00113D70" w:rsidRPr="00460858" w:rsidRDefault="00113D70" w:rsidP="00113D70">
      <w:pPr>
        <w:pStyle w:val="ListParagraph"/>
        <w:numPr>
          <w:ilvl w:val="0"/>
          <w:numId w:val="13"/>
        </w:numPr>
        <w:spacing w:line="480" w:lineRule="auto"/>
        <w:jc w:val="both"/>
        <w:rPr>
          <w:color w:val="000000" w:themeColor="text1"/>
        </w:rPr>
      </w:pPr>
      <w:r>
        <w:t xml:space="preserve">       </w:t>
      </w:r>
      <w:r>
        <w:rPr>
          <w:color w:val="000000" w:themeColor="text1"/>
        </w:rPr>
        <w:t>Furthermore</w:t>
      </w:r>
      <w:r w:rsidRPr="000967E5">
        <w:rPr>
          <w:color w:val="000000" w:themeColor="text1"/>
        </w:rPr>
        <w:t xml:space="preserve">, if the Commission were to adopt an “end result” of a $19.8 million electric revenue decrease </w:t>
      </w:r>
      <w:r>
        <w:rPr>
          <w:color w:val="000000" w:themeColor="text1"/>
        </w:rPr>
        <w:t>as calculated</w:t>
      </w:r>
      <w:r w:rsidRPr="000967E5">
        <w:rPr>
          <w:color w:val="000000" w:themeColor="text1"/>
        </w:rPr>
        <w:t xml:space="preserve"> by ICNU and Public Counsel</w:t>
      </w:r>
      <w:r>
        <w:rPr>
          <w:color w:val="000000" w:themeColor="text1"/>
        </w:rPr>
        <w:t xml:space="preserve"> in their Motion</w:t>
      </w:r>
      <w:r w:rsidRPr="000967E5">
        <w:rPr>
          <w:color w:val="000000" w:themeColor="text1"/>
        </w:rPr>
        <w:t xml:space="preserve">, or the $27.4 million revenue decrease </w:t>
      </w:r>
      <w:r>
        <w:rPr>
          <w:color w:val="000000" w:themeColor="text1"/>
        </w:rPr>
        <w:t>as calculated by</w:t>
      </w:r>
      <w:r w:rsidRPr="000967E5">
        <w:rPr>
          <w:color w:val="000000" w:themeColor="text1"/>
        </w:rPr>
        <w:t xml:space="preserve"> </w:t>
      </w:r>
      <w:r>
        <w:rPr>
          <w:color w:val="000000" w:themeColor="text1"/>
        </w:rPr>
        <w:t>Commission</w:t>
      </w:r>
      <w:r w:rsidRPr="000967E5">
        <w:rPr>
          <w:color w:val="000000" w:themeColor="text1"/>
        </w:rPr>
        <w:t xml:space="preserve"> Staff</w:t>
      </w:r>
      <w:r>
        <w:rPr>
          <w:color w:val="000000" w:themeColor="text1"/>
        </w:rPr>
        <w:t xml:space="preserve"> in its Motion</w:t>
      </w:r>
      <w:r w:rsidRPr="000967E5">
        <w:rPr>
          <w:color w:val="000000" w:themeColor="text1"/>
        </w:rPr>
        <w:t xml:space="preserve">, the magnitude of these revenue decreases </w:t>
      </w:r>
      <w:r>
        <w:rPr>
          <w:color w:val="000000" w:themeColor="text1"/>
        </w:rPr>
        <w:t>would</w:t>
      </w:r>
      <w:r w:rsidRPr="000967E5">
        <w:rPr>
          <w:color w:val="000000" w:themeColor="text1"/>
        </w:rPr>
        <w:t xml:space="preserve"> not come close to providing a reasonable opportunity for Avista to earn the </w:t>
      </w:r>
      <w:r w:rsidR="007D74FC">
        <w:rPr>
          <w:color w:val="000000" w:themeColor="text1"/>
        </w:rPr>
        <w:t xml:space="preserve">agreed-upon </w:t>
      </w:r>
      <w:r w:rsidRPr="000967E5">
        <w:rPr>
          <w:color w:val="000000" w:themeColor="text1"/>
        </w:rPr>
        <w:t xml:space="preserve">9.5% </w:t>
      </w:r>
      <w:r>
        <w:rPr>
          <w:color w:val="000000" w:themeColor="text1"/>
        </w:rPr>
        <w:t xml:space="preserve">authorized </w:t>
      </w:r>
      <w:r w:rsidRPr="000967E5">
        <w:rPr>
          <w:color w:val="000000" w:themeColor="text1"/>
        </w:rPr>
        <w:t>ROE for 2016.</w:t>
      </w:r>
      <w:r>
        <w:rPr>
          <w:color w:val="000000" w:themeColor="text1"/>
        </w:rPr>
        <w:t xml:space="preserve">  </w:t>
      </w:r>
    </w:p>
    <w:p w:rsidR="00113D70" w:rsidRPr="00CA01B8" w:rsidRDefault="00113D70" w:rsidP="00113D70">
      <w:pPr>
        <w:pStyle w:val="ListParagraph"/>
        <w:numPr>
          <w:ilvl w:val="0"/>
          <w:numId w:val="13"/>
        </w:numPr>
        <w:spacing w:line="480" w:lineRule="auto"/>
        <w:jc w:val="both"/>
      </w:pPr>
      <w:r>
        <w:t xml:space="preserve">       </w:t>
      </w:r>
      <w:r w:rsidRPr="00473D77">
        <w:t>In the</w:t>
      </w:r>
      <w:r>
        <w:t xml:space="preserve"> current case</w:t>
      </w:r>
      <w:r w:rsidRPr="00473D77">
        <w:t xml:space="preserve"> there were settlement discussions among the parties</w:t>
      </w:r>
      <w:r>
        <w:t xml:space="preserve"> on the overall revenue requirement</w:t>
      </w:r>
      <w:r w:rsidRPr="00473D77">
        <w:t xml:space="preserve">, </w:t>
      </w:r>
      <w:r>
        <w:t xml:space="preserve">but </w:t>
      </w:r>
      <w:r w:rsidRPr="00473D77">
        <w:t>a settlement was not reached.</w:t>
      </w:r>
      <w:r>
        <w:t xml:space="preserve">  From the Company’s perspective, this was due in large part to the large difference in the positions of the parties, and Avista’s view </w:t>
      </w:r>
      <w:r>
        <w:lastRenderedPageBreak/>
        <w:t>that the proposals of the parties would not provide a reasonable opportunity for the Company to earn close to the authorized return for 2016.</w:t>
      </w:r>
    </w:p>
    <w:p w:rsidR="00C848E7" w:rsidRDefault="00C848E7" w:rsidP="00E4726E">
      <w:pPr>
        <w:tabs>
          <w:tab w:val="left" w:pos="720"/>
        </w:tabs>
        <w:spacing w:line="480" w:lineRule="auto"/>
        <w:ind w:left="270"/>
        <w:jc w:val="both"/>
        <w:rPr>
          <w:b/>
          <w:color w:val="000000" w:themeColor="text1"/>
          <w:u w:val="single"/>
        </w:rPr>
      </w:pPr>
    </w:p>
    <w:p w:rsidR="00E4726E" w:rsidRPr="00B47ABF" w:rsidRDefault="00C848E7" w:rsidP="00E4726E">
      <w:pPr>
        <w:tabs>
          <w:tab w:val="left" w:pos="720"/>
        </w:tabs>
        <w:spacing w:line="480" w:lineRule="auto"/>
        <w:ind w:left="270"/>
        <w:jc w:val="both"/>
        <w:rPr>
          <w:b/>
          <w:color w:val="000000" w:themeColor="text1"/>
          <w:u w:val="single"/>
        </w:rPr>
      </w:pPr>
      <w:r>
        <w:rPr>
          <w:b/>
          <w:color w:val="000000" w:themeColor="text1"/>
          <w:u w:val="single"/>
        </w:rPr>
        <w:t>B</w:t>
      </w:r>
      <w:r w:rsidR="00E4726E">
        <w:rPr>
          <w:b/>
          <w:color w:val="000000" w:themeColor="text1"/>
          <w:u w:val="single"/>
        </w:rPr>
        <w:t>.  The End Result</w:t>
      </w:r>
    </w:p>
    <w:p w:rsidR="00FC61E9" w:rsidRPr="00D44413" w:rsidRDefault="00D44413" w:rsidP="00D44413">
      <w:pPr>
        <w:pStyle w:val="ListParagraph"/>
        <w:numPr>
          <w:ilvl w:val="0"/>
          <w:numId w:val="13"/>
        </w:numPr>
        <w:spacing w:line="480" w:lineRule="auto"/>
        <w:jc w:val="both"/>
        <w:rPr>
          <w:color w:val="000000" w:themeColor="text1"/>
        </w:rPr>
      </w:pPr>
      <w:r>
        <w:t xml:space="preserve">       </w:t>
      </w:r>
      <w:r w:rsidR="006315E6" w:rsidRPr="00D44413">
        <w:rPr>
          <w:color w:val="000000" w:themeColor="text1"/>
        </w:rPr>
        <w:t xml:space="preserve">As mentioned above, the Commission, appropriately, spent considerable time </w:t>
      </w:r>
      <w:r w:rsidR="00241748" w:rsidRPr="00D44413">
        <w:rPr>
          <w:color w:val="000000" w:themeColor="text1"/>
        </w:rPr>
        <w:t>in its Order</w:t>
      </w:r>
      <w:r w:rsidR="006315E6" w:rsidRPr="00D44413">
        <w:rPr>
          <w:color w:val="000000" w:themeColor="text1"/>
        </w:rPr>
        <w:t xml:space="preserve"> emphasi</w:t>
      </w:r>
      <w:r w:rsidR="00241748" w:rsidRPr="00D44413">
        <w:rPr>
          <w:color w:val="000000" w:themeColor="text1"/>
        </w:rPr>
        <w:t>zing the importance</w:t>
      </w:r>
      <w:r w:rsidR="006315E6" w:rsidRPr="00D44413">
        <w:rPr>
          <w:color w:val="000000" w:themeColor="text1"/>
        </w:rPr>
        <w:t xml:space="preserve"> of the “end result”</w:t>
      </w:r>
      <w:r w:rsidR="00241748" w:rsidRPr="00D44413">
        <w:rPr>
          <w:color w:val="000000" w:themeColor="text1"/>
        </w:rPr>
        <w:t xml:space="preserve"> </w:t>
      </w:r>
      <w:r w:rsidR="004E27FC" w:rsidRPr="00D44413">
        <w:rPr>
          <w:color w:val="000000" w:themeColor="text1"/>
        </w:rPr>
        <w:t xml:space="preserve">of its order. </w:t>
      </w:r>
      <w:r w:rsidR="00241748" w:rsidRPr="00D44413">
        <w:rPr>
          <w:color w:val="000000" w:themeColor="text1"/>
        </w:rPr>
        <w:t xml:space="preserve"> In particular, in paragraph 132, on page 49, of its Order 05 the Commission stated as follows</w:t>
      </w:r>
      <w:r w:rsidR="00DE77EE" w:rsidRPr="00D44413">
        <w:rPr>
          <w:color w:val="000000" w:themeColor="text1"/>
        </w:rPr>
        <w:t xml:space="preserve"> (emphasis added)</w:t>
      </w:r>
      <w:r w:rsidR="00241748" w:rsidRPr="00D44413">
        <w:rPr>
          <w:color w:val="000000" w:themeColor="text1"/>
        </w:rPr>
        <w:t>:</w:t>
      </w:r>
    </w:p>
    <w:p w:rsidR="006E48A3" w:rsidRDefault="006E48A3" w:rsidP="00D44413">
      <w:pPr>
        <w:ind w:left="720"/>
        <w:jc w:val="both"/>
      </w:pPr>
      <w:r w:rsidRPr="009464B2">
        <w:t xml:space="preserve">Were we to reject an attrition adjustment for electric revenue requirement in this case, the result under Staff’s modified historical test year pro forma analysis would be a reduction in electric revenue requirement of </w:t>
      </w:r>
      <w:r>
        <w:t>more than</w:t>
      </w:r>
      <w:r w:rsidRPr="009464B2">
        <w:t xml:space="preserve"> $20 million.</w:t>
      </w:r>
      <w:r w:rsidRPr="009464B2">
        <w:rPr>
          <w:rStyle w:val="FootnoteReference"/>
        </w:rPr>
        <w:t xml:space="preserve"> </w:t>
      </w:r>
      <w:r w:rsidRPr="009464B2">
        <w:rPr>
          <w:rStyle w:val="FootnoteReference"/>
        </w:rPr>
        <w:footnoteReference w:id="17"/>
      </w:r>
      <w:r w:rsidRPr="009464B2">
        <w:t xml:space="preserve"> Public Counsel and </w:t>
      </w:r>
      <w:r>
        <w:t xml:space="preserve">the </w:t>
      </w:r>
      <w:r w:rsidRPr="009464B2">
        <w:t xml:space="preserve">intervenors recommend </w:t>
      </w:r>
      <w:r w:rsidRPr="007D74FC">
        <w:rPr>
          <w:u w:val="single"/>
        </w:rPr>
        <w:t>even more severe reductions</w:t>
      </w:r>
      <w:r w:rsidRPr="009464B2">
        <w:t xml:space="preserve"> based solely on a modified test year analysis with known and measurable pro forma adjustments. We cannot reasonably conclude such </w:t>
      </w:r>
      <w:r>
        <w:t>an end</w:t>
      </w:r>
      <w:r w:rsidRPr="009464B2">
        <w:t xml:space="preserve"> result would be appropriate under the standards in </w:t>
      </w:r>
      <w:r w:rsidRPr="009464B2">
        <w:rPr>
          <w:i/>
        </w:rPr>
        <w:t>Hope</w:t>
      </w:r>
      <w:r w:rsidRPr="009464B2">
        <w:t xml:space="preserve"> and </w:t>
      </w:r>
      <w:r w:rsidRPr="009464B2">
        <w:rPr>
          <w:i/>
        </w:rPr>
        <w:t>Bluefield</w:t>
      </w:r>
      <w:r w:rsidRPr="009464B2">
        <w:t xml:space="preserve">. </w:t>
      </w:r>
      <w:r w:rsidRPr="004E27FC">
        <w:rPr>
          <w:u w:val="single"/>
        </w:rPr>
        <w:t xml:space="preserve">The Commission’s responsibility to set rates that are fair, just, reasonable, and sufficient turns not on the particular rate making methodology it selects, </w:t>
      </w:r>
      <w:r w:rsidRPr="004E27FC">
        <w:rPr>
          <w:i/>
          <w:u w:val="single"/>
        </w:rPr>
        <w:t>i.e.</w:t>
      </w:r>
      <w:r w:rsidRPr="004E27FC">
        <w:rPr>
          <w:u w:val="single"/>
        </w:rPr>
        <w:t>, modified historical test year or attrition, but on its outcome, or “end results.</w:t>
      </w:r>
      <w:r w:rsidRPr="009464B2">
        <w:t>”</w:t>
      </w:r>
      <w:r w:rsidRPr="009464B2">
        <w:rPr>
          <w:vertAlign w:val="superscript"/>
        </w:rPr>
        <w:footnoteReference w:id="18"/>
      </w:r>
      <w:r w:rsidRPr="009464B2">
        <w:t xml:space="preserve"> Indeed, the Supreme Court in </w:t>
      </w:r>
      <w:r w:rsidRPr="009464B2">
        <w:rPr>
          <w:i/>
        </w:rPr>
        <w:t>Hope</w:t>
      </w:r>
      <w:r w:rsidRPr="009464B2">
        <w:t xml:space="preserve"> determined that the Federal Power Commission (FPC) “was not bound to the use of any single formula or combination of formulae in determining rates.”</w:t>
      </w:r>
      <w:r w:rsidRPr="009464B2">
        <w:rPr>
          <w:vertAlign w:val="superscript"/>
        </w:rPr>
        <w:footnoteReference w:id="19"/>
      </w:r>
      <w:r w:rsidRPr="009464B2">
        <w:t xml:space="preserve"> The Court explained that:</w:t>
      </w:r>
    </w:p>
    <w:p w:rsidR="006E48A3" w:rsidRPr="009464B2" w:rsidRDefault="006E48A3" w:rsidP="00D44413">
      <w:pPr>
        <w:ind w:left="-720"/>
      </w:pPr>
    </w:p>
    <w:p w:rsidR="006E48A3" w:rsidRDefault="006E48A3" w:rsidP="00890F10">
      <w:pPr>
        <w:ind w:left="1440" w:right="720"/>
        <w:jc w:val="both"/>
      </w:pPr>
      <w:r w:rsidRPr="004E27FC">
        <w:rPr>
          <w:u w:val="single"/>
        </w:rPr>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[Federal Power] Act is at an end. The fact that the method employed to reach that result may contain infirmities is not then important</w:t>
      </w:r>
      <w:r w:rsidRPr="009464B2">
        <w:t>.</w:t>
      </w:r>
      <w:r w:rsidRPr="009464B2">
        <w:rPr>
          <w:vertAlign w:val="superscript"/>
        </w:rPr>
        <w:footnoteReference w:id="20"/>
      </w:r>
      <w:r w:rsidR="00D91139">
        <w:t xml:space="preserve"> (emphasis added)</w:t>
      </w:r>
    </w:p>
    <w:p w:rsidR="00B02C11" w:rsidRPr="009464B2" w:rsidRDefault="00B02C11" w:rsidP="006E48A3">
      <w:pPr>
        <w:ind w:left="1440" w:right="720"/>
      </w:pPr>
    </w:p>
    <w:p w:rsidR="006E48A3" w:rsidRPr="009464B2" w:rsidRDefault="006E48A3" w:rsidP="006E48A3"/>
    <w:p w:rsidR="00DE77EE" w:rsidRDefault="00D44413" w:rsidP="00D44413">
      <w:pPr>
        <w:pStyle w:val="ListParagraph"/>
        <w:numPr>
          <w:ilvl w:val="0"/>
          <w:numId w:val="13"/>
        </w:numPr>
        <w:spacing w:line="480" w:lineRule="auto"/>
        <w:jc w:val="both"/>
      </w:pPr>
      <w:r>
        <w:t xml:space="preserve">       </w:t>
      </w:r>
      <w:r w:rsidR="004E27FC">
        <w:t>As the Commission pointed out</w:t>
      </w:r>
      <w:r w:rsidR="00584BEB">
        <w:t>, the U.S. Supreme Court</w:t>
      </w:r>
      <w:r w:rsidR="004E27FC">
        <w:t xml:space="preserve"> determined that, “it is the result reached not the method employed which is controlling.</w:t>
      </w:r>
      <w:r w:rsidR="00584BEB">
        <w:t xml:space="preserve">  It is not the theory but the impact of </w:t>
      </w:r>
      <w:r w:rsidR="00584BEB">
        <w:lastRenderedPageBreak/>
        <w:t>the rate order which counts.”</w:t>
      </w:r>
      <w:r w:rsidR="00190154">
        <w:t xml:space="preserve">  </w:t>
      </w:r>
      <w:r w:rsidR="00D91139">
        <w:t>(</w:t>
      </w:r>
      <w:r w:rsidR="00C31D55">
        <w:rPr>
          <w:u w:val="single"/>
        </w:rPr>
        <w:t>S</w:t>
      </w:r>
      <w:r w:rsidR="00D91139" w:rsidRPr="00D91139">
        <w:rPr>
          <w:u w:val="single"/>
        </w:rPr>
        <w:t>upra</w:t>
      </w:r>
      <w:r w:rsidR="00D91139">
        <w:t xml:space="preserve">) </w:t>
      </w:r>
      <w:r w:rsidR="00190154">
        <w:t>The Court even went on to state that, “The fact that the method employed to reach that result may contain infirmities is not then important.”</w:t>
      </w:r>
      <w:r w:rsidR="00890F10">
        <w:t xml:space="preserve">  </w:t>
      </w:r>
      <w:r w:rsidR="00D91139">
        <w:t>(</w:t>
      </w:r>
      <w:r w:rsidR="00C31D55">
        <w:rPr>
          <w:u w:val="single"/>
        </w:rPr>
        <w:t>S</w:t>
      </w:r>
      <w:r w:rsidR="00D91139" w:rsidRPr="00D91139">
        <w:rPr>
          <w:u w:val="single"/>
        </w:rPr>
        <w:t>upra</w:t>
      </w:r>
      <w:r w:rsidR="00D91139">
        <w:t xml:space="preserve">) </w:t>
      </w:r>
      <w:r w:rsidR="00890F10">
        <w:t xml:space="preserve">In the case of Avista, </w:t>
      </w:r>
      <w:r w:rsidR="00890F10" w:rsidRPr="00F03C41">
        <w:t>even if one</w:t>
      </w:r>
      <w:r w:rsidR="00890F10">
        <w:t xml:space="preserve"> were to conclude that there may be </w:t>
      </w:r>
      <w:r w:rsidR="00AE3BD7">
        <w:t>“</w:t>
      </w:r>
      <w:r w:rsidR="00890F10">
        <w:t>infirmities</w:t>
      </w:r>
      <w:r w:rsidR="00AE3BD7">
        <w:t>”</w:t>
      </w:r>
      <w:r w:rsidR="00890F10">
        <w:t xml:space="preserve"> within the method employed, </w:t>
      </w:r>
      <w:r w:rsidR="00890F10" w:rsidRPr="00D44413">
        <w:rPr>
          <w:u w:val="single"/>
        </w:rPr>
        <w:t>it would not, and should not,</w:t>
      </w:r>
      <w:r w:rsidR="00890F10">
        <w:t xml:space="preserve"> lead to a conclusion that the end result is not just and reasonable.  </w:t>
      </w:r>
    </w:p>
    <w:p w:rsidR="002A4599" w:rsidRDefault="00D44413" w:rsidP="007D74FC">
      <w:pPr>
        <w:pStyle w:val="ListParagraph"/>
        <w:numPr>
          <w:ilvl w:val="0"/>
          <w:numId w:val="13"/>
        </w:numPr>
        <w:spacing w:line="480" w:lineRule="auto"/>
        <w:jc w:val="both"/>
      </w:pPr>
      <w:r>
        <w:t xml:space="preserve">       </w:t>
      </w:r>
      <w:r w:rsidR="001A386E">
        <w:t xml:space="preserve">The </w:t>
      </w:r>
      <w:r w:rsidR="000D7AE6">
        <w:t>Commission</w:t>
      </w:r>
      <w:r w:rsidR="00F85919">
        <w:t>, in its Order</w:t>
      </w:r>
      <w:r w:rsidR="00D91139">
        <w:rPr>
          <w:rStyle w:val="FootnoteReference"/>
        </w:rPr>
        <w:footnoteReference w:id="21"/>
      </w:r>
      <w:r w:rsidR="00F85919">
        <w:t xml:space="preserve">, went on to reference the </w:t>
      </w:r>
      <w:r w:rsidR="00F85919" w:rsidRPr="007D74FC">
        <w:rPr>
          <w:i/>
        </w:rPr>
        <w:t>Permian Basin</w:t>
      </w:r>
      <w:r w:rsidR="001A386E">
        <w:t xml:space="preserve"> case and stated, </w:t>
      </w:r>
      <w:r w:rsidR="00AE3BD7">
        <w:t>in part,</w:t>
      </w:r>
      <w:r w:rsidR="007D74FC">
        <w:t xml:space="preserve"> “</w:t>
      </w:r>
      <w:r w:rsidR="006E48A3" w:rsidRPr="009464B2">
        <w:t xml:space="preserve">In the </w:t>
      </w:r>
      <w:r w:rsidR="006E48A3" w:rsidRPr="007D74FC">
        <w:rPr>
          <w:i/>
        </w:rPr>
        <w:t xml:space="preserve">Permian Basin </w:t>
      </w:r>
      <w:r w:rsidR="006E48A3" w:rsidRPr="009464B2">
        <w:t xml:space="preserve">case, another FPC case often cited with </w:t>
      </w:r>
      <w:r w:rsidR="006E48A3" w:rsidRPr="007D74FC">
        <w:rPr>
          <w:i/>
        </w:rPr>
        <w:t xml:space="preserve">Hope, </w:t>
      </w:r>
      <w:r w:rsidR="006E48A3" w:rsidRPr="009464B2">
        <w:t>the United States Supreme Court embraced the end result test</w:t>
      </w:r>
      <w:r w:rsidR="007D74FC">
        <w:t>”</w:t>
      </w:r>
      <w:r w:rsidR="006E48A3" w:rsidRPr="007D74FC">
        <w:rPr>
          <w:i/>
          <w:iCs/>
        </w:rPr>
        <w:t>.</w:t>
      </w:r>
      <w:r w:rsidR="006E48A3" w:rsidRPr="009464B2">
        <w:rPr>
          <w:vertAlign w:val="superscript"/>
        </w:rPr>
        <w:footnoteReference w:id="22"/>
      </w:r>
      <w:r w:rsidR="006E48A3" w:rsidRPr="007D74FC">
        <w:rPr>
          <w:i/>
          <w:iCs/>
        </w:rPr>
        <w:t xml:space="preserve"> </w:t>
      </w:r>
      <w:r w:rsidR="007D74FC" w:rsidRPr="007D74FC">
        <w:rPr>
          <w:iCs/>
        </w:rPr>
        <w:t xml:space="preserve"> </w:t>
      </w:r>
      <w:r w:rsidR="001A386E">
        <w:t xml:space="preserve">The </w:t>
      </w:r>
      <w:r w:rsidR="00D91139">
        <w:t>Commission</w:t>
      </w:r>
      <w:r w:rsidR="001A386E">
        <w:t xml:space="preserve">’s footnote to this statement provides further emphasis on the importance of the “end result” test, as </w:t>
      </w:r>
      <w:r w:rsidR="003913C4">
        <w:t>opposed to limiting its “inquiries” to</w:t>
      </w:r>
      <w:r w:rsidR="001A386E">
        <w:t xml:space="preserve"> the “computation of costs of service.”</w:t>
      </w:r>
      <w:r w:rsidR="00D91139">
        <w:rPr>
          <w:rStyle w:val="FootnoteReference"/>
        </w:rPr>
        <w:footnoteReference w:id="23"/>
      </w:r>
      <w:r w:rsidR="001A386E">
        <w:t xml:space="preserve">  The</w:t>
      </w:r>
      <w:r w:rsidR="00D91139">
        <w:t xml:space="preserve"> referenced</w:t>
      </w:r>
      <w:r w:rsidR="001A386E">
        <w:t xml:space="preserve"> footnote states, in part:</w:t>
      </w:r>
    </w:p>
    <w:p w:rsidR="001A386E" w:rsidRDefault="001A386E" w:rsidP="001A386E">
      <w:pPr>
        <w:ind w:left="720"/>
        <w:jc w:val="both"/>
      </w:pPr>
      <w:r>
        <w:t>The Court stated: “The Commission cannot confine its inquiries either to the computation of costs of service or to conjectures about prospective responses of the capital market; it is instead obliged at each step of the regulatory process to assess the requirements of the broad public interests entrusted to its protection by Congress.</w:t>
      </w:r>
      <w:r w:rsidR="00D91139">
        <w:t>”</w:t>
      </w:r>
      <w:r>
        <w:t xml:space="preserve">  </w:t>
      </w:r>
      <w:r w:rsidR="007D74FC">
        <w:t>(</w:t>
      </w:r>
      <w:r w:rsidR="007D74FC" w:rsidRPr="007D74FC">
        <w:rPr>
          <w:u w:val="single"/>
        </w:rPr>
        <w:t>Ibid</w:t>
      </w:r>
      <w:r w:rsidR="007D74FC">
        <w:t>.)</w:t>
      </w:r>
    </w:p>
    <w:p w:rsidR="001A386E" w:rsidRDefault="001A386E" w:rsidP="001A386E">
      <w:pPr>
        <w:spacing w:after="120" w:line="288" w:lineRule="auto"/>
        <w:ind w:firstLine="720"/>
      </w:pPr>
    </w:p>
    <w:p w:rsidR="001A386E" w:rsidRDefault="00D91139" w:rsidP="00D91139">
      <w:pPr>
        <w:spacing w:line="480" w:lineRule="auto"/>
      </w:pPr>
      <w:r>
        <w:t>Mindful of its responsibilities</w:t>
      </w:r>
      <w:r w:rsidR="003913C4">
        <w:t>, th</w:t>
      </w:r>
      <w:r w:rsidR="007D74FC">
        <w:t>is</w:t>
      </w:r>
      <w:r w:rsidR="003913C4">
        <w:t xml:space="preserve"> </w:t>
      </w:r>
      <w:r>
        <w:t>Commission concluded</w:t>
      </w:r>
      <w:r w:rsidR="001A386E">
        <w:t>:</w:t>
      </w:r>
    </w:p>
    <w:p w:rsidR="006E48A3" w:rsidRPr="009464B2" w:rsidRDefault="006E48A3" w:rsidP="003913C4">
      <w:pPr>
        <w:ind w:left="720"/>
        <w:jc w:val="both"/>
      </w:pPr>
      <w:r w:rsidRPr="009464B2">
        <w:t xml:space="preserve">These are the fundamental principles that have long guided the Commission when it determines rates for a jurisdictional utility such as Avista. </w:t>
      </w:r>
      <w:r w:rsidRPr="003913C4">
        <w:rPr>
          <w:u w:val="single"/>
        </w:rPr>
        <w:t>A drastic rate reduction, such as proposed by parties that urge us to reject an attrition adjustment, would run afoul of these principles</w:t>
      </w:r>
      <w:r w:rsidRPr="007D74FC">
        <w:t>.</w:t>
      </w:r>
      <w:r w:rsidR="007D74FC" w:rsidRPr="007D74FC">
        <w:rPr>
          <w:rStyle w:val="FootnoteReference"/>
        </w:rPr>
        <w:footnoteReference w:id="24"/>
      </w:r>
      <w:r w:rsidR="003913C4" w:rsidRPr="007D74FC">
        <w:t xml:space="preserve">  (emphasis added)</w:t>
      </w:r>
    </w:p>
    <w:p w:rsidR="006315E6" w:rsidRDefault="006315E6" w:rsidP="00016783">
      <w:pPr>
        <w:spacing w:line="480" w:lineRule="auto"/>
        <w:ind w:left="270" w:firstLine="450"/>
        <w:jc w:val="both"/>
        <w:rPr>
          <w:color w:val="000000" w:themeColor="text1"/>
        </w:rPr>
      </w:pPr>
    </w:p>
    <w:p w:rsidR="006315E6" w:rsidRPr="00D44413" w:rsidRDefault="00D44413" w:rsidP="00D44413">
      <w:pPr>
        <w:pStyle w:val="ListParagraph"/>
        <w:numPr>
          <w:ilvl w:val="0"/>
          <w:numId w:val="13"/>
        </w:numPr>
        <w:spacing w:line="480" w:lineRule="auto"/>
        <w:jc w:val="both"/>
        <w:rPr>
          <w:color w:val="000000" w:themeColor="text1"/>
        </w:rPr>
      </w:pPr>
      <w:r>
        <w:lastRenderedPageBreak/>
        <w:t xml:space="preserve">       </w:t>
      </w:r>
      <w:r w:rsidR="006315E6" w:rsidRPr="00D44413">
        <w:rPr>
          <w:color w:val="000000" w:themeColor="text1"/>
        </w:rPr>
        <w:t>The</w:t>
      </w:r>
      <w:r w:rsidR="002423B5" w:rsidRPr="00D44413">
        <w:rPr>
          <w:color w:val="000000" w:themeColor="text1"/>
        </w:rPr>
        <w:t xml:space="preserve"> </w:t>
      </w:r>
      <w:r w:rsidR="006315E6" w:rsidRPr="00D44413">
        <w:rPr>
          <w:color w:val="000000" w:themeColor="text1"/>
        </w:rPr>
        <w:t xml:space="preserve">magnitude of the electric revenue decreases </w:t>
      </w:r>
      <w:r w:rsidR="005A0AE0">
        <w:rPr>
          <w:color w:val="000000" w:themeColor="text1"/>
        </w:rPr>
        <w:t>calculated</w:t>
      </w:r>
      <w:r w:rsidR="004F6400" w:rsidRPr="00D44413">
        <w:rPr>
          <w:color w:val="000000" w:themeColor="text1"/>
        </w:rPr>
        <w:t xml:space="preserve"> by ICNU and </w:t>
      </w:r>
      <w:r w:rsidR="006315E6" w:rsidRPr="00D44413">
        <w:rPr>
          <w:color w:val="000000" w:themeColor="text1"/>
        </w:rPr>
        <w:t xml:space="preserve">Pubic Counsel </w:t>
      </w:r>
      <w:r w:rsidR="004F6400" w:rsidRPr="00D44413">
        <w:rPr>
          <w:color w:val="000000" w:themeColor="text1"/>
        </w:rPr>
        <w:t>($19.8 million)</w:t>
      </w:r>
      <w:r w:rsidR="003E00D7" w:rsidRPr="00D44413">
        <w:rPr>
          <w:color w:val="000000" w:themeColor="text1"/>
        </w:rPr>
        <w:t>,</w:t>
      </w:r>
      <w:r w:rsidR="004F6400" w:rsidRPr="00D44413">
        <w:rPr>
          <w:color w:val="000000" w:themeColor="text1"/>
        </w:rPr>
        <w:t xml:space="preserve"> </w:t>
      </w:r>
      <w:r w:rsidR="006315E6" w:rsidRPr="00D44413">
        <w:rPr>
          <w:color w:val="000000" w:themeColor="text1"/>
        </w:rPr>
        <w:t xml:space="preserve">and </w:t>
      </w:r>
      <w:r w:rsidR="004F6400" w:rsidRPr="00D44413">
        <w:rPr>
          <w:color w:val="000000" w:themeColor="text1"/>
        </w:rPr>
        <w:t xml:space="preserve">the </w:t>
      </w:r>
      <w:r w:rsidR="000D7AE6">
        <w:rPr>
          <w:color w:val="000000" w:themeColor="text1"/>
        </w:rPr>
        <w:t>Commission</w:t>
      </w:r>
      <w:r w:rsidR="006315E6" w:rsidRPr="00D44413">
        <w:rPr>
          <w:color w:val="000000" w:themeColor="text1"/>
        </w:rPr>
        <w:t xml:space="preserve"> Staff </w:t>
      </w:r>
      <w:r w:rsidR="004F6400" w:rsidRPr="00D44413">
        <w:rPr>
          <w:color w:val="000000" w:themeColor="text1"/>
        </w:rPr>
        <w:t xml:space="preserve">($27.4 million) </w:t>
      </w:r>
      <w:r w:rsidR="006315E6" w:rsidRPr="00D44413">
        <w:rPr>
          <w:color w:val="000000" w:themeColor="text1"/>
        </w:rPr>
        <w:t xml:space="preserve">are </w:t>
      </w:r>
      <w:r w:rsidR="00C31D55">
        <w:rPr>
          <w:color w:val="000000" w:themeColor="text1"/>
        </w:rPr>
        <w:t>“</w:t>
      </w:r>
      <w:r w:rsidR="006315E6" w:rsidRPr="00D44413">
        <w:rPr>
          <w:color w:val="000000" w:themeColor="text1"/>
        </w:rPr>
        <w:t>drastic</w:t>
      </w:r>
      <w:r w:rsidR="00C31D55">
        <w:rPr>
          <w:color w:val="000000" w:themeColor="text1"/>
        </w:rPr>
        <w:t>”</w:t>
      </w:r>
      <w:r w:rsidR="006315E6" w:rsidRPr="00D44413">
        <w:rPr>
          <w:color w:val="000000" w:themeColor="text1"/>
        </w:rPr>
        <w:t xml:space="preserve"> </w:t>
      </w:r>
      <w:r w:rsidR="004F6400" w:rsidRPr="00D44413">
        <w:rPr>
          <w:color w:val="000000" w:themeColor="text1"/>
        </w:rPr>
        <w:t>when compared with the $5.7 million decrease supported by Avista, and the $8.1 million decrease approved as a reasonable end result by this Commission.</w:t>
      </w:r>
      <w:r w:rsidR="00F232A0" w:rsidRPr="00D44413">
        <w:rPr>
          <w:color w:val="000000" w:themeColor="text1"/>
        </w:rPr>
        <w:t xml:space="preserve">  If the Commission were to adopt an “end result” of a $19.8 million electric revenue decrease </w:t>
      </w:r>
      <w:r w:rsidR="005A0AE0">
        <w:rPr>
          <w:color w:val="000000" w:themeColor="text1"/>
        </w:rPr>
        <w:t>as calculated</w:t>
      </w:r>
      <w:r w:rsidR="00F232A0" w:rsidRPr="00D44413">
        <w:rPr>
          <w:color w:val="000000" w:themeColor="text1"/>
        </w:rPr>
        <w:t xml:space="preserve"> by ICNU and Public Counsel, or the $27.4 million revenue </w:t>
      </w:r>
      <w:r w:rsidR="005A0AE0">
        <w:rPr>
          <w:color w:val="000000" w:themeColor="text1"/>
        </w:rPr>
        <w:t>calculated by</w:t>
      </w:r>
      <w:r w:rsidR="00F232A0" w:rsidRPr="00D44413">
        <w:rPr>
          <w:color w:val="000000" w:themeColor="text1"/>
        </w:rPr>
        <w:t xml:space="preserve"> </w:t>
      </w:r>
      <w:r w:rsidR="000D7AE6">
        <w:rPr>
          <w:color w:val="000000" w:themeColor="text1"/>
        </w:rPr>
        <w:t>Commission</w:t>
      </w:r>
      <w:r w:rsidR="00F232A0" w:rsidRPr="00D44413">
        <w:rPr>
          <w:color w:val="000000" w:themeColor="text1"/>
        </w:rPr>
        <w:t xml:space="preserve"> Staff, Avista would not have a reasonable opportunity to earn</w:t>
      </w:r>
      <w:r w:rsidR="007D74FC">
        <w:rPr>
          <w:color w:val="000000" w:themeColor="text1"/>
        </w:rPr>
        <w:t xml:space="preserve"> its authorized return for 2016, as shown below.</w:t>
      </w:r>
    </w:p>
    <w:p w:rsidR="00D91139" w:rsidRDefault="00D91139" w:rsidP="003E00D7">
      <w:pPr>
        <w:tabs>
          <w:tab w:val="left" w:pos="720"/>
        </w:tabs>
        <w:spacing w:line="480" w:lineRule="auto"/>
        <w:ind w:left="270"/>
        <w:jc w:val="both"/>
        <w:rPr>
          <w:b/>
          <w:color w:val="000000" w:themeColor="text1"/>
          <w:u w:val="single"/>
        </w:rPr>
      </w:pPr>
    </w:p>
    <w:p w:rsidR="002B705C" w:rsidRPr="00B47ABF" w:rsidRDefault="002B705C" w:rsidP="002B705C">
      <w:pPr>
        <w:tabs>
          <w:tab w:val="left" w:pos="720"/>
        </w:tabs>
        <w:spacing w:line="480" w:lineRule="auto"/>
        <w:ind w:left="270"/>
        <w:jc w:val="both"/>
        <w:rPr>
          <w:b/>
          <w:color w:val="000000" w:themeColor="text1"/>
          <w:u w:val="single"/>
        </w:rPr>
      </w:pPr>
      <w:r>
        <w:rPr>
          <w:b/>
          <w:color w:val="000000" w:themeColor="text1"/>
          <w:u w:val="single"/>
        </w:rPr>
        <w:t xml:space="preserve">C.  </w:t>
      </w:r>
      <w:r w:rsidRPr="008E3FA1">
        <w:rPr>
          <w:b/>
          <w:color w:val="000000" w:themeColor="text1"/>
          <w:u w:val="single"/>
        </w:rPr>
        <w:t xml:space="preserve">Avista’s ROE Opportunity </w:t>
      </w:r>
      <w:r>
        <w:rPr>
          <w:b/>
          <w:color w:val="000000" w:themeColor="text1"/>
          <w:u w:val="single"/>
        </w:rPr>
        <w:t xml:space="preserve">in 2016 </w:t>
      </w:r>
      <w:r w:rsidRPr="008E3FA1">
        <w:rPr>
          <w:b/>
          <w:color w:val="000000" w:themeColor="text1"/>
          <w:u w:val="single"/>
        </w:rPr>
        <w:t>if Amounts in Motions are Adopted</w:t>
      </w:r>
    </w:p>
    <w:p w:rsidR="002B705C" w:rsidRDefault="002070C6" w:rsidP="002070C6">
      <w:pPr>
        <w:pStyle w:val="ListParagraph"/>
        <w:numPr>
          <w:ilvl w:val="0"/>
          <w:numId w:val="13"/>
        </w:numPr>
        <w:tabs>
          <w:tab w:val="num" w:pos="720"/>
        </w:tabs>
        <w:spacing w:line="480" w:lineRule="auto"/>
        <w:jc w:val="both"/>
      </w:pPr>
      <w:r>
        <w:t xml:space="preserve">       </w:t>
      </w:r>
      <w:r w:rsidR="007E7B13">
        <w:t>Table No. 2</w:t>
      </w:r>
      <w:r w:rsidR="002B705C">
        <w:t xml:space="preserve"> below illustrates Avista’s earnings opportunity for 2016 for its electric operations in Washington if the revenue decreases </w:t>
      </w:r>
      <w:r w:rsidR="005A0AE0">
        <w:t>calculated</w:t>
      </w:r>
      <w:r w:rsidR="002B705C">
        <w:t xml:space="preserve"> by ICNU/Public Counsel and the </w:t>
      </w:r>
      <w:r w:rsidR="000D7AE6">
        <w:t>Commission</w:t>
      </w:r>
      <w:r w:rsidR="002B705C">
        <w:t xml:space="preserve"> Staff were to be adopted by the Commission.  The table is </w:t>
      </w:r>
      <w:r w:rsidR="00C50C98">
        <w:t>in the same format as contained within Mr. No</w:t>
      </w:r>
      <w:r w:rsidR="00DB7177">
        <w:t>r</w:t>
      </w:r>
      <w:r w:rsidR="00C50C98">
        <w:t>wood’s Rebuttal Testimony showing the impact on ROE of the parties</w:t>
      </w:r>
      <w:r w:rsidR="00C31D55">
        <w:t>’</w:t>
      </w:r>
      <w:r w:rsidR="00C50C98">
        <w:t xml:space="preserve"> original positions, but updated to reflect the impact of the</w:t>
      </w:r>
      <w:r w:rsidR="00C31D55">
        <w:t>ir</w:t>
      </w:r>
      <w:r w:rsidR="00C50C98">
        <w:t xml:space="preserve"> Motions</w:t>
      </w:r>
      <w:r w:rsidR="00C31D55">
        <w:t xml:space="preserve"> and is</w:t>
      </w:r>
      <w:r w:rsidR="00C50C98">
        <w:t xml:space="preserve">  </w:t>
      </w:r>
      <w:r w:rsidR="002B705C">
        <w:t xml:space="preserve">reproduced from page 31 of Mr. Norwood’s testimony (Exhibit </w:t>
      </w:r>
      <w:r>
        <w:t>KON-1T</w:t>
      </w:r>
      <w:r w:rsidR="002B705C">
        <w:t xml:space="preserve">). </w:t>
      </w:r>
      <w:r w:rsidR="00C50C98">
        <w:rPr>
          <w:rStyle w:val="FootnoteReference"/>
        </w:rPr>
        <w:footnoteReference w:id="25"/>
      </w:r>
      <w:r w:rsidR="00C50C98">
        <w:t xml:space="preserve">  All of the numbers are derived from evidence of record, or simply represent mathematical calculations based on the</w:t>
      </w:r>
      <w:r w:rsidR="007D74FC">
        <w:t>se</w:t>
      </w:r>
      <w:r w:rsidR="00C50C98">
        <w:t xml:space="preserve"> source numbers.</w:t>
      </w:r>
    </w:p>
    <w:p w:rsidR="007E7B13" w:rsidRDefault="007E7B13">
      <w:pPr>
        <w:spacing w:after="200" w:line="276" w:lineRule="auto"/>
      </w:pPr>
      <w:r>
        <w:br w:type="page"/>
      </w:r>
    </w:p>
    <w:p w:rsidR="002B705C" w:rsidRPr="00BC17D6" w:rsidRDefault="002B705C" w:rsidP="002070C6">
      <w:pPr>
        <w:pStyle w:val="BodyText"/>
        <w:tabs>
          <w:tab w:val="left" w:pos="4140"/>
          <w:tab w:val="center" w:pos="4680"/>
          <w:tab w:val="right" w:pos="5220"/>
          <w:tab w:val="left" w:pos="5580"/>
          <w:tab w:val="center" w:pos="6300"/>
          <w:tab w:val="right" w:pos="6930"/>
          <w:tab w:val="left" w:pos="7380"/>
          <w:tab w:val="left" w:pos="7560"/>
          <w:tab w:val="center" w:pos="8190"/>
          <w:tab w:val="right" w:pos="8820"/>
        </w:tabs>
        <w:ind w:right="-54" w:firstLine="270"/>
        <w:jc w:val="both"/>
        <w:rPr>
          <w:b/>
          <w:bCs/>
          <w:u w:val="single"/>
        </w:rPr>
      </w:pPr>
      <w:r w:rsidRPr="00BC17D6">
        <w:rPr>
          <w:b/>
          <w:u w:val="single"/>
        </w:rPr>
        <w:lastRenderedPageBreak/>
        <w:t>Table No.</w:t>
      </w:r>
      <w:r w:rsidR="002070C6">
        <w:rPr>
          <w:b/>
          <w:u w:val="single"/>
        </w:rPr>
        <w:t xml:space="preserve"> </w:t>
      </w:r>
      <w:r w:rsidR="007E7B13">
        <w:rPr>
          <w:b/>
          <w:u w:val="single"/>
        </w:rPr>
        <w:t>2</w:t>
      </w:r>
      <w:r w:rsidRPr="00BC17D6">
        <w:rPr>
          <w:b/>
          <w:u w:val="single"/>
        </w:rPr>
        <w:t xml:space="preserve">     </w:t>
      </w:r>
    </w:p>
    <w:p w:rsidR="002B705C" w:rsidRPr="008C1B92" w:rsidRDefault="002B705C" w:rsidP="002B705C">
      <w:pPr>
        <w:pStyle w:val="BodyText"/>
        <w:tabs>
          <w:tab w:val="left" w:pos="3960"/>
          <w:tab w:val="center" w:pos="4770"/>
          <w:tab w:val="right" w:pos="5580"/>
          <w:tab w:val="left" w:pos="6120"/>
          <w:tab w:val="center" w:pos="7470"/>
          <w:tab w:val="left" w:pos="7560"/>
          <w:tab w:val="center" w:pos="8280"/>
          <w:tab w:val="right" w:pos="9000"/>
        </w:tabs>
        <w:ind w:right="-54"/>
        <w:jc w:val="both"/>
        <w:rPr>
          <w:bCs/>
          <w:u w:val="single"/>
        </w:rPr>
      </w:pPr>
      <w:r w:rsidRPr="008C1B92">
        <w:tab/>
      </w:r>
      <w:r w:rsidRPr="00370F2D">
        <w:tab/>
      </w:r>
      <w:r w:rsidRPr="00370F2D">
        <w:tab/>
      </w:r>
      <w:r w:rsidRPr="00370F2D">
        <w:tab/>
      </w:r>
      <w:r>
        <w:rPr>
          <w:u w:val="single"/>
        </w:rPr>
        <w:tab/>
      </w:r>
      <w:r w:rsidRPr="008C1B92">
        <w:rPr>
          <w:u w:val="single"/>
        </w:rPr>
        <w:t>$Millions</w:t>
      </w:r>
      <w:r w:rsidRPr="008C1B92">
        <w:rPr>
          <w:u w:val="single"/>
        </w:rPr>
        <w:tab/>
      </w:r>
      <w:r w:rsidRPr="008C1B92">
        <w:rPr>
          <w:u w:val="single"/>
        </w:rPr>
        <w:tab/>
      </w:r>
      <w:r w:rsidRPr="00370F2D">
        <w:tab/>
      </w:r>
      <w:r w:rsidRPr="00370F2D">
        <w:tab/>
      </w:r>
    </w:p>
    <w:p w:rsidR="002B705C" w:rsidRPr="008C1B92" w:rsidRDefault="002B705C" w:rsidP="002B705C">
      <w:pPr>
        <w:pStyle w:val="BodyText"/>
        <w:tabs>
          <w:tab w:val="left" w:pos="3960"/>
          <w:tab w:val="center" w:pos="4770"/>
          <w:tab w:val="right" w:pos="5580"/>
          <w:tab w:val="left" w:pos="5940"/>
          <w:tab w:val="center" w:pos="6570"/>
          <w:tab w:val="right" w:pos="7200"/>
          <w:tab w:val="left" w:pos="7560"/>
          <w:tab w:val="center" w:pos="8280"/>
          <w:tab w:val="right" w:pos="9000"/>
        </w:tabs>
        <w:ind w:right="-54"/>
        <w:jc w:val="both"/>
        <w:rPr>
          <w:bCs/>
        </w:rPr>
      </w:pPr>
      <w:r>
        <w:tab/>
      </w:r>
      <w:r>
        <w:tab/>
      </w:r>
      <w:r w:rsidRPr="008C1B92">
        <w:tab/>
      </w:r>
      <w:r w:rsidRPr="008C1B92">
        <w:tab/>
      </w:r>
      <w:r w:rsidRPr="008C1B92">
        <w:tab/>
        <w:t>ICNU</w:t>
      </w:r>
      <w:r>
        <w:t>/PC</w:t>
      </w:r>
      <w:r w:rsidRPr="008C1B92">
        <w:tab/>
      </w:r>
      <w:r w:rsidRPr="008C1B92">
        <w:tab/>
      </w:r>
      <w:r w:rsidRPr="008C1B92">
        <w:tab/>
      </w:r>
      <w:r w:rsidR="000D7AE6">
        <w:t>Commission</w:t>
      </w:r>
      <w:r>
        <w:t xml:space="preserve"> Staff</w:t>
      </w:r>
    </w:p>
    <w:p w:rsidR="002B705C" w:rsidRPr="00270A27" w:rsidRDefault="002B705C" w:rsidP="002B705C">
      <w:pPr>
        <w:pStyle w:val="BodyText"/>
        <w:tabs>
          <w:tab w:val="left" w:pos="3960"/>
          <w:tab w:val="center" w:pos="4770"/>
          <w:tab w:val="right" w:pos="5580"/>
          <w:tab w:val="left" w:pos="5940"/>
          <w:tab w:val="center" w:pos="6570"/>
          <w:tab w:val="right" w:pos="7200"/>
          <w:tab w:val="left" w:pos="7560"/>
          <w:tab w:val="center" w:pos="8280"/>
          <w:tab w:val="right" w:pos="9000"/>
        </w:tabs>
        <w:ind w:right="-58" w:firstLine="720"/>
        <w:jc w:val="both"/>
        <w:rPr>
          <w:bCs/>
        </w:rPr>
      </w:pPr>
      <w:r w:rsidRPr="008C1B92">
        <w:tab/>
      </w:r>
      <w:r w:rsidRPr="00370F2D">
        <w:tab/>
        <w:t xml:space="preserve"> </w:t>
      </w:r>
      <w:r w:rsidRPr="00370F2D">
        <w:tab/>
      </w:r>
      <w:r w:rsidRPr="008C1B92">
        <w:tab/>
      </w:r>
      <w:r w:rsidRPr="008C1B92">
        <w:rPr>
          <w:u w:val="single"/>
        </w:rPr>
        <w:tab/>
        <w:t xml:space="preserve">Electric       </w:t>
      </w:r>
      <w:r w:rsidRPr="008C1B92">
        <w:tab/>
      </w:r>
      <w:r w:rsidRPr="00270A27">
        <w:rPr>
          <w:u w:val="single"/>
        </w:rPr>
        <w:tab/>
      </w:r>
      <w:r>
        <w:rPr>
          <w:u w:val="single"/>
        </w:rPr>
        <w:t>Electric</w:t>
      </w:r>
      <w:r>
        <w:rPr>
          <w:u w:val="single"/>
        </w:rPr>
        <w:tab/>
      </w:r>
    </w:p>
    <w:p w:rsidR="002B705C" w:rsidRPr="00914DED" w:rsidRDefault="006C0103" w:rsidP="002B705C">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58"/>
        <w:jc w:val="both"/>
        <w:rPr>
          <w:b/>
          <w:bCs/>
        </w:rPr>
      </w:pPr>
      <w:r w:rsidRPr="006C0103">
        <w:rPr>
          <w:b/>
        </w:rPr>
        <w:t xml:space="preserve">a. </w:t>
      </w:r>
      <w:r w:rsidR="002B705C">
        <w:t xml:space="preserve">ICNU/PC/ Staff </w:t>
      </w:r>
      <w:r w:rsidR="007E7B13">
        <w:t>Calculated</w:t>
      </w:r>
      <w:r w:rsidR="002B705C">
        <w:t xml:space="preserve"> Revenue Rqmt</w:t>
      </w:r>
      <w:r>
        <w:t xml:space="preserve"> </w:t>
      </w:r>
      <w:r w:rsidRPr="006C0103">
        <w:rPr>
          <w:b/>
          <w:i/>
        </w:rPr>
        <w:t>(1)</w:t>
      </w:r>
      <w:r w:rsidR="002B705C">
        <w:tab/>
      </w:r>
      <w:r w:rsidR="000D7AE6">
        <w:tab/>
      </w:r>
      <w:r w:rsidR="002B705C" w:rsidRPr="00914DED">
        <w:tab/>
      </w:r>
      <w:r w:rsidR="002B705C" w:rsidRPr="00FE330C">
        <w:tab/>
        <w:t>($19.8)</w:t>
      </w:r>
      <w:r w:rsidR="002B705C" w:rsidRPr="00FE330C">
        <w:tab/>
      </w:r>
      <w:r w:rsidR="002B705C" w:rsidRPr="00FE330C">
        <w:tab/>
      </w:r>
      <w:r w:rsidR="002B705C" w:rsidRPr="00FE330C">
        <w:tab/>
        <w:t>($27.4)</w:t>
      </w:r>
      <w:r w:rsidR="002B705C" w:rsidRPr="00FE330C">
        <w:tab/>
      </w:r>
    </w:p>
    <w:p w:rsidR="002B705C" w:rsidRPr="00914DED" w:rsidRDefault="006C0103" w:rsidP="002B705C">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58"/>
        <w:jc w:val="both"/>
        <w:rPr>
          <w:b/>
          <w:bCs/>
        </w:rPr>
      </w:pPr>
      <w:r w:rsidRPr="006C0103">
        <w:rPr>
          <w:b/>
        </w:rPr>
        <w:t>b.</w:t>
      </w:r>
      <w:r>
        <w:t xml:space="preserve"> </w:t>
      </w:r>
      <w:r w:rsidR="002B705C">
        <w:t>Avista Updated Revenue Rqmt</w:t>
      </w:r>
      <w:r>
        <w:t xml:space="preserve"> </w:t>
      </w:r>
      <w:r w:rsidRPr="006C0103">
        <w:rPr>
          <w:b/>
          <w:i/>
        </w:rPr>
        <w:t>(2)</w:t>
      </w:r>
      <w:r w:rsidR="002B705C" w:rsidRPr="00914DED">
        <w:tab/>
      </w:r>
      <w:r w:rsidR="002B705C" w:rsidRPr="00370F2D">
        <w:tab/>
      </w:r>
      <w:r w:rsidR="002B705C" w:rsidRPr="00370F2D">
        <w:tab/>
      </w:r>
      <w:r w:rsidR="002B705C" w:rsidRPr="00914DED">
        <w:t xml:space="preserve">     </w:t>
      </w:r>
      <w:r w:rsidR="002B705C" w:rsidRPr="00914DED">
        <w:tab/>
      </w:r>
      <w:r w:rsidR="002B705C" w:rsidRPr="00FE330C">
        <w:rPr>
          <w:u w:val="single"/>
        </w:rPr>
        <w:tab/>
        <w:t>($5.7)</w:t>
      </w:r>
      <w:r w:rsidR="002B705C" w:rsidRPr="00FE330C">
        <w:rPr>
          <w:u w:val="single"/>
        </w:rPr>
        <w:tab/>
      </w:r>
      <w:r w:rsidR="002B705C" w:rsidRPr="00FE330C">
        <w:tab/>
      </w:r>
      <w:r w:rsidR="002B705C" w:rsidRPr="00FE330C">
        <w:rPr>
          <w:u w:val="single"/>
        </w:rPr>
        <w:tab/>
        <w:t>($5.7)</w:t>
      </w:r>
      <w:r w:rsidR="002B705C" w:rsidRPr="00FE330C">
        <w:rPr>
          <w:u w:val="single"/>
        </w:rPr>
        <w:tab/>
      </w:r>
    </w:p>
    <w:p w:rsidR="002B705C" w:rsidRDefault="006C0103" w:rsidP="002B705C">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58"/>
        <w:jc w:val="both"/>
        <w:rPr>
          <w:b/>
          <w:bCs/>
        </w:rPr>
      </w:pPr>
      <w:r w:rsidRPr="006C0103">
        <w:rPr>
          <w:b/>
        </w:rPr>
        <w:t>c.</w:t>
      </w:r>
      <w:r>
        <w:t xml:space="preserve"> </w:t>
      </w:r>
      <w:r w:rsidR="007E7B13">
        <w:t>Shortfall from ICNU/PC/ Staff Calculations</w:t>
      </w:r>
      <w:r w:rsidRPr="006C0103">
        <w:rPr>
          <w:b/>
          <w:i/>
        </w:rPr>
        <w:t xml:space="preserve"> (3)</w:t>
      </w:r>
      <w:r w:rsidR="002B705C">
        <w:tab/>
      </w:r>
      <w:r w:rsidR="002B705C">
        <w:tab/>
      </w:r>
      <w:r w:rsidR="002B705C">
        <w:tab/>
        <w:t>($14.1)</w:t>
      </w:r>
      <w:r w:rsidR="002B705C">
        <w:tab/>
      </w:r>
      <w:r w:rsidR="002B705C">
        <w:tab/>
      </w:r>
      <w:r w:rsidR="002B705C" w:rsidRPr="00914DED">
        <w:tab/>
      </w:r>
      <w:r w:rsidR="002B705C">
        <w:t>($21.7)</w:t>
      </w:r>
    </w:p>
    <w:p w:rsidR="002B705C" w:rsidRPr="008C1B92" w:rsidRDefault="006C0103" w:rsidP="002B705C">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360"/>
        <w:jc w:val="both"/>
        <w:rPr>
          <w:bCs/>
        </w:rPr>
      </w:pPr>
      <w:r w:rsidRPr="006C0103">
        <w:rPr>
          <w:b/>
        </w:rPr>
        <w:t>d.</w:t>
      </w:r>
      <w:r>
        <w:t xml:space="preserve"> </w:t>
      </w:r>
      <w:r w:rsidR="002B705C" w:rsidRPr="008C1B92">
        <w:t>After-Tax Shortfall</w:t>
      </w:r>
      <w:r>
        <w:rPr>
          <w:rStyle w:val="FootnoteReference"/>
        </w:rPr>
        <w:t xml:space="preserve"> </w:t>
      </w:r>
      <w:r w:rsidRPr="006C0103">
        <w:rPr>
          <w:b/>
          <w:i/>
        </w:rPr>
        <w:t>(4)</w:t>
      </w:r>
      <w:r w:rsidR="002B705C">
        <w:tab/>
      </w:r>
      <w:r w:rsidR="002B705C">
        <w:tab/>
      </w:r>
      <w:r w:rsidR="002B705C">
        <w:tab/>
      </w:r>
      <w:r w:rsidR="002B705C">
        <w:tab/>
      </w:r>
      <w:r w:rsidR="002B705C">
        <w:tab/>
        <w:t>($8.7)</w:t>
      </w:r>
      <w:r w:rsidR="002B705C">
        <w:tab/>
      </w:r>
      <w:r w:rsidR="002B705C">
        <w:tab/>
      </w:r>
      <w:r w:rsidR="002B705C">
        <w:tab/>
        <w:t>($13.5</w:t>
      </w:r>
      <w:r w:rsidR="002B705C" w:rsidRPr="008C1B92">
        <w:t>)</w:t>
      </w:r>
    </w:p>
    <w:p w:rsidR="002B705C" w:rsidRDefault="002B705C" w:rsidP="002B705C">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360"/>
        <w:jc w:val="both"/>
        <w:rPr>
          <w:b/>
          <w:bCs/>
        </w:rPr>
      </w:pPr>
    </w:p>
    <w:p w:rsidR="002B705C" w:rsidRDefault="006C0103" w:rsidP="002B705C">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360"/>
        <w:jc w:val="both"/>
        <w:rPr>
          <w:b/>
          <w:bCs/>
        </w:rPr>
      </w:pPr>
      <w:r w:rsidRPr="006C0103">
        <w:rPr>
          <w:b/>
        </w:rPr>
        <w:t>e.</w:t>
      </w:r>
      <w:r>
        <w:t xml:space="preserve"> </w:t>
      </w:r>
      <w:r w:rsidR="002B705C">
        <w:t>Rate Base</w:t>
      </w:r>
      <w:r>
        <w:t xml:space="preserve"> </w:t>
      </w:r>
      <w:r w:rsidRPr="006C0103">
        <w:rPr>
          <w:b/>
          <w:i/>
        </w:rPr>
        <w:t>(5)</w:t>
      </w:r>
      <w:r w:rsidR="002B705C">
        <w:tab/>
      </w:r>
      <w:r w:rsidR="002B705C">
        <w:tab/>
      </w:r>
      <w:r w:rsidR="002B705C">
        <w:tab/>
      </w:r>
      <w:r w:rsidR="002B705C">
        <w:tab/>
      </w:r>
      <w:r w:rsidR="002B705C">
        <w:tab/>
        <w:t>$1,393.0</w:t>
      </w:r>
      <w:r w:rsidR="002B705C">
        <w:tab/>
      </w:r>
      <w:r w:rsidR="002B705C">
        <w:tab/>
      </w:r>
      <w:r w:rsidR="002B705C">
        <w:tab/>
        <w:t>$1,393.0</w:t>
      </w:r>
    </w:p>
    <w:p w:rsidR="002B705C" w:rsidRPr="008C1B92" w:rsidRDefault="006C0103" w:rsidP="002B705C">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360"/>
        <w:jc w:val="both"/>
        <w:rPr>
          <w:bCs/>
        </w:rPr>
      </w:pPr>
      <w:r w:rsidRPr="006C0103">
        <w:rPr>
          <w:b/>
        </w:rPr>
        <w:t>f.</w:t>
      </w:r>
      <w:r>
        <w:t xml:space="preserve"> </w:t>
      </w:r>
      <w:r w:rsidR="002B705C" w:rsidRPr="008C1B92">
        <w:t>Equity Port</w:t>
      </w:r>
      <w:r w:rsidR="002B705C">
        <w:t>ion of Rate Base (48.5%)</w:t>
      </w:r>
      <w:r>
        <w:t xml:space="preserve"> </w:t>
      </w:r>
      <w:r w:rsidRPr="006C0103">
        <w:rPr>
          <w:b/>
          <w:i/>
        </w:rPr>
        <w:t>(6)</w:t>
      </w:r>
      <w:r w:rsidR="002B705C">
        <w:tab/>
      </w:r>
      <w:r w:rsidR="002B705C">
        <w:tab/>
      </w:r>
      <w:r w:rsidR="002B705C" w:rsidRPr="008C1B92">
        <w:tab/>
      </w:r>
      <w:r w:rsidR="002B705C">
        <w:tab/>
        <w:t>$675.6</w:t>
      </w:r>
      <w:r w:rsidR="002B705C">
        <w:tab/>
      </w:r>
      <w:r w:rsidR="002B705C">
        <w:tab/>
      </w:r>
      <w:r w:rsidR="002B705C">
        <w:tab/>
        <w:t>$675.6</w:t>
      </w:r>
      <w:r w:rsidR="002B705C" w:rsidRPr="008C1B92">
        <w:tab/>
      </w:r>
    </w:p>
    <w:p w:rsidR="002B705C" w:rsidRDefault="002B705C" w:rsidP="002B705C">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360"/>
        <w:jc w:val="both"/>
        <w:rPr>
          <w:b/>
          <w:bCs/>
        </w:rPr>
      </w:pPr>
    </w:p>
    <w:p w:rsidR="002B705C" w:rsidRDefault="006C0103" w:rsidP="002B705C">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360"/>
        <w:jc w:val="both"/>
        <w:rPr>
          <w:b/>
          <w:bCs/>
        </w:rPr>
      </w:pPr>
      <w:r w:rsidRPr="006C0103">
        <w:rPr>
          <w:b/>
        </w:rPr>
        <w:t>g.</w:t>
      </w:r>
      <w:r>
        <w:t xml:space="preserve"> </w:t>
      </w:r>
      <w:r w:rsidR="002B705C">
        <w:t>May 1, 2015 Stipulated ROE</w:t>
      </w:r>
      <w:r>
        <w:t xml:space="preserve"> </w:t>
      </w:r>
      <w:r w:rsidRPr="006C0103">
        <w:rPr>
          <w:b/>
          <w:i/>
        </w:rPr>
        <w:t>(7)</w:t>
      </w:r>
      <w:r w:rsidR="002B705C">
        <w:tab/>
      </w:r>
      <w:r w:rsidR="002B705C">
        <w:tab/>
      </w:r>
      <w:r w:rsidR="002B705C">
        <w:tab/>
      </w:r>
      <w:r w:rsidR="002B705C">
        <w:tab/>
      </w:r>
      <w:r w:rsidR="002B705C">
        <w:tab/>
        <w:t>9.50%</w:t>
      </w:r>
      <w:r w:rsidR="002B705C">
        <w:tab/>
      </w:r>
      <w:r w:rsidR="002B705C">
        <w:tab/>
      </w:r>
      <w:r w:rsidR="002B705C">
        <w:tab/>
        <w:t>9.50%</w:t>
      </w:r>
    </w:p>
    <w:p w:rsidR="002B705C" w:rsidRPr="00A85563" w:rsidRDefault="006C0103" w:rsidP="002B705C">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360"/>
        <w:jc w:val="both"/>
        <w:rPr>
          <w:bCs/>
        </w:rPr>
      </w:pPr>
      <w:r w:rsidRPr="006C0103">
        <w:rPr>
          <w:b/>
        </w:rPr>
        <w:t>h.</w:t>
      </w:r>
      <w:r>
        <w:t xml:space="preserve"> </w:t>
      </w:r>
      <w:r w:rsidR="002B705C" w:rsidRPr="00A85563">
        <w:t>ROE Shortfall</w:t>
      </w:r>
      <w:r>
        <w:t xml:space="preserve"> </w:t>
      </w:r>
      <w:r w:rsidRPr="006C0103">
        <w:rPr>
          <w:b/>
          <w:i/>
        </w:rPr>
        <w:t>(8)</w:t>
      </w:r>
      <w:r w:rsidR="002B705C" w:rsidRPr="00A85563">
        <w:tab/>
      </w:r>
      <w:r w:rsidR="002B705C" w:rsidRPr="00370F2D">
        <w:tab/>
      </w:r>
      <w:r w:rsidR="002B705C" w:rsidRPr="00A85563">
        <w:tab/>
      </w:r>
      <w:r w:rsidR="002B705C">
        <w:tab/>
      </w:r>
      <w:r w:rsidR="002B705C">
        <w:rPr>
          <w:u w:val="single"/>
        </w:rPr>
        <w:tab/>
        <w:t>(1.29</w:t>
      </w:r>
      <w:r w:rsidR="002B705C" w:rsidRPr="00A85563">
        <w:rPr>
          <w:u w:val="single"/>
        </w:rPr>
        <w:t>%)</w:t>
      </w:r>
      <w:r w:rsidR="002B705C" w:rsidRPr="00A85563">
        <w:rPr>
          <w:u w:val="single"/>
        </w:rPr>
        <w:tab/>
      </w:r>
      <w:r w:rsidR="002B705C" w:rsidRPr="00A85563">
        <w:tab/>
      </w:r>
      <w:r w:rsidR="002B705C">
        <w:rPr>
          <w:u w:val="single"/>
        </w:rPr>
        <w:tab/>
        <w:t>(2.00</w:t>
      </w:r>
      <w:r w:rsidR="002B705C" w:rsidRPr="00A85563">
        <w:rPr>
          <w:u w:val="single"/>
        </w:rPr>
        <w:t>%)</w:t>
      </w:r>
      <w:r w:rsidR="002B705C" w:rsidRPr="00A85563">
        <w:rPr>
          <w:u w:val="single"/>
        </w:rPr>
        <w:tab/>
      </w:r>
    </w:p>
    <w:p w:rsidR="002B705C" w:rsidRPr="005B3CA2" w:rsidRDefault="006C0103" w:rsidP="002B705C">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right="360"/>
        <w:jc w:val="both"/>
        <w:rPr>
          <w:bCs/>
        </w:rPr>
      </w:pPr>
      <w:proofErr w:type="spellStart"/>
      <w:r w:rsidRPr="006C0103">
        <w:rPr>
          <w:b/>
        </w:rPr>
        <w:t>i</w:t>
      </w:r>
      <w:proofErr w:type="spellEnd"/>
      <w:r w:rsidRPr="006C0103">
        <w:rPr>
          <w:b/>
        </w:rPr>
        <w:t>.</w:t>
      </w:r>
      <w:r>
        <w:t xml:space="preserve"> </w:t>
      </w:r>
      <w:r w:rsidR="002B705C">
        <w:t>ROE Earnings Opportunity</w:t>
      </w:r>
      <w:r>
        <w:t xml:space="preserve"> </w:t>
      </w:r>
      <w:r w:rsidRPr="006C0103">
        <w:rPr>
          <w:b/>
          <w:i/>
        </w:rPr>
        <w:t>(9)</w:t>
      </w:r>
      <w:r w:rsidR="002B705C">
        <w:tab/>
      </w:r>
      <w:r w:rsidR="002B705C">
        <w:tab/>
      </w:r>
      <w:r w:rsidR="002B705C">
        <w:tab/>
      </w:r>
      <w:r w:rsidR="002B705C">
        <w:tab/>
      </w:r>
      <w:r w:rsidR="002B705C" w:rsidRPr="00DB7177">
        <w:rPr>
          <w:b/>
        </w:rPr>
        <w:tab/>
        <w:t>8.21%</w:t>
      </w:r>
      <w:r w:rsidR="002B705C" w:rsidRPr="00DB7177">
        <w:rPr>
          <w:b/>
        </w:rPr>
        <w:tab/>
      </w:r>
      <w:r w:rsidR="002B705C" w:rsidRPr="00DB7177">
        <w:rPr>
          <w:b/>
        </w:rPr>
        <w:tab/>
      </w:r>
      <w:r w:rsidR="002B705C" w:rsidRPr="00DB7177">
        <w:rPr>
          <w:b/>
        </w:rPr>
        <w:tab/>
        <w:t>7.50%</w:t>
      </w:r>
      <w:r w:rsidR="002B705C" w:rsidRPr="00A85563">
        <w:tab/>
      </w:r>
    </w:p>
    <w:p w:rsidR="006C0103" w:rsidRDefault="006C0103" w:rsidP="006C0103">
      <w:pPr>
        <w:pStyle w:val="ListParagraph"/>
        <w:jc w:val="both"/>
      </w:pPr>
    </w:p>
    <w:p w:rsidR="006C0103" w:rsidRPr="00156787" w:rsidRDefault="006C0103" w:rsidP="006C0103">
      <w:pPr>
        <w:pStyle w:val="ListParagraph"/>
        <w:numPr>
          <w:ilvl w:val="0"/>
          <w:numId w:val="46"/>
        </w:numPr>
        <w:tabs>
          <w:tab w:val="num" w:pos="720"/>
        </w:tabs>
        <w:jc w:val="both"/>
        <w:rPr>
          <w:sz w:val="20"/>
        </w:rPr>
      </w:pPr>
      <w:r w:rsidRPr="00156787">
        <w:rPr>
          <w:sz w:val="20"/>
        </w:rPr>
        <w:t>Source:  ICNU/P</w:t>
      </w:r>
      <w:r w:rsidR="000D7AE6">
        <w:rPr>
          <w:sz w:val="20"/>
        </w:rPr>
        <w:t xml:space="preserve">ublic </w:t>
      </w:r>
      <w:r w:rsidRPr="00156787">
        <w:rPr>
          <w:sz w:val="20"/>
        </w:rPr>
        <w:t>C</w:t>
      </w:r>
      <w:r w:rsidR="000D7AE6">
        <w:rPr>
          <w:sz w:val="20"/>
        </w:rPr>
        <w:t>ounsel</w:t>
      </w:r>
      <w:r w:rsidRPr="00156787">
        <w:rPr>
          <w:sz w:val="20"/>
        </w:rPr>
        <w:t xml:space="preserve"> Joint Motion p. 3, and Staff Motion p. 1.</w:t>
      </w:r>
    </w:p>
    <w:p w:rsidR="006C0103" w:rsidRPr="00156787" w:rsidRDefault="00DB7177" w:rsidP="006C0103">
      <w:pPr>
        <w:pStyle w:val="ListParagraph"/>
        <w:numPr>
          <w:ilvl w:val="0"/>
          <w:numId w:val="46"/>
        </w:numPr>
        <w:tabs>
          <w:tab w:val="num" w:pos="720"/>
        </w:tabs>
        <w:jc w:val="both"/>
        <w:rPr>
          <w:sz w:val="20"/>
        </w:rPr>
      </w:pPr>
      <w:r>
        <w:rPr>
          <w:sz w:val="20"/>
        </w:rPr>
        <w:t xml:space="preserve">Source:  </w:t>
      </w:r>
      <w:r w:rsidR="007D74FC">
        <w:rPr>
          <w:sz w:val="20"/>
        </w:rPr>
        <w:t xml:space="preserve">Explained in </w:t>
      </w:r>
      <w:r>
        <w:rPr>
          <w:sz w:val="20"/>
        </w:rPr>
        <w:t>Paragraph 1</w:t>
      </w:r>
      <w:r w:rsidR="007E7B13">
        <w:rPr>
          <w:sz w:val="20"/>
        </w:rPr>
        <w:t>3</w:t>
      </w:r>
      <w:r w:rsidR="007D74FC">
        <w:rPr>
          <w:sz w:val="20"/>
        </w:rPr>
        <w:t xml:space="preserve"> of this pleading</w:t>
      </w:r>
      <w:r w:rsidR="006C0103" w:rsidRPr="00156787">
        <w:rPr>
          <w:sz w:val="20"/>
        </w:rPr>
        <w:t>.</w:t>
      </w:r>
    </w:p>
    <w:p w:rsidR="006C0103" w:rsidRPr="00156787" w:rsidRDefault="006C0103" w:rsidP="006C0103">
      <w:pPr>
        <w:pStyle w:val="ListParagraph"/>
        <w:numPr>
          <w:ilvl w:val="0"/>
          <w:numId w:val="46"/>
        </w:numPr>
        <w:tabs>
          <w:tab w:val="num" w:pos="720"/>
        </w:tabs>
        <w:jc w:val="both"/>
        <w:rPr>
          <w:sz w:val="20"/>
        </w:rPr>
      </w:pPr>
      <w:r w:rsidRPr="00156787">
        <w:rPr>
          <w:sz w:val="20"/>
        </w:rPr>
        <w:t>Source:  line a – line b</w:t>
      </w:r>
    </w:p>
    <w:p w:rsidR="006C0103" w:rsidRPr="00156787" w:rsidRDefault="006C0103" w:rsidP="006C0103">
      <w:pPr>
        <w:pStyle w:val="ListParagraph"/>
        <w:numPr>
          <w:ilvl w:val="0"/>
          <w:numId w:val="46"/>
        </w:numPr>
        <w:tabs>
          <w:tab w:val="num" w:pos="720"/>
        </w:tabs>
        <w:jc w:val="both"/>
        <w:rPr>
          <w:sz w:val="20"/>
        </w:rPr>
      </w:pPr>
      <w:r w:rsidRPr="00156787">
        <w:rPr>
          <w:sz w:val="20"/>
        </w:rPr>
        <w:t>Source: The Company used a revenue conversion factor of 0.62018 for electric to compute the after-tax shortfall. (See Exhibit No. KON-1T, p. 31, n. 21.)</w:t>
      </w:r>
    </w:p>
    <w:p w:rsidR="006C0103" w:rsidRPr="00156787" w:rsidRDefault="006C0103" w:rsidP="006C0103">
      <w:pPr>
        <w:pStyle w:val="ListParagraph"/>
        <w:numPr>
          <w:ilvl w:val="0"/>
          <w:numId w:val="46"/>
        </w:numPr>
        <w:tabs>
          <w:tab w:val="num" w:pos="720"/>
        </w:tabs>
        <w:jc w:val="both"/>
        <w:rPr>
          <w:sz w:val="20"/>
        </w:rPr>
      </w:pPr>
      <w:r w:rsidRPr="00156787">
        <w:rPr>
          <w:sz w:val="20"/>
        </w:rPr>
        <w:t>Source:  KON-1T, p. 31, l. 10.</w:t>
      </w:r>
    </w:p>
    <w:p w:rsidR="006C0103" w:rsidRPr="00156787" w:rsidRDefault="006C0103" w:rsidP="006C0103">
      <w:pPr>
        <w:pStyle w:val="ListParagraph"/>
        <w:numPr>
          <w:ilvl w:val="0"/>
          <w:numId w:val="46"/>
        </w:numPr>
        <w:tabs>
          <w:tab w:val="num" w:pos="720"/>
        </w:tabs>
        <w:jc w:val="both"/>
        <w:rPr>
          <w:sz w:val="20"/>
        </w:rPr>
      </w:pPr>
      <w:r w:rsidRPr="00156787">
        <w:rPr>
          <w:sz w:val="20"/>
        </w:rPr>
        <w:t>Source:  KON-1T, p. 31, l. 11.</w:t>
      </w:r>
    </w:p>
    <w:p w:rsidR="006C0103" w:rsidRPr="00156787" w:rsidRDefault="006C0103" w:rsidP="006C0103">
      <w:pPr>
        <w:pStyle w:val="ListParagraph"/>
        <w:numPr>
          <w:ilvl w:val="0"/>
          <w:numId w:val="46"/>
        </w:numPr>
        <w:tabs>
          <w:tab w:val="num" w:pos="720"/>
        </w:tabs>
        <w:jc w:val="both"/>
        <w:rPr>
          <w:sz w:val="20"/>
        </w:rPr>
      </w:pPr>
      <w:r w:rsidRPr="00156787">
        <w:rPr>
          <w:sz w:val="20"/>
        </w:rPr>
        <w:t>Source:  KON-1T, p. 31, l. 13.</w:t>
      </w:r>
    </w:p>
    <w:p w:rsidR="006C0103" w:rsidRPr="00156787" w:rsidRDefault="006C0103" w:rsidP="006C0103">
      <w:pPr>
        <w:pStyle w:val="ListParagraph"/>
        <w:numPr>
          <w:ilvl w:val="0"/>
          <w:numId w:val="46"/>
        </w:numPr>
        <w:tabs>
          <w:tab w:val="num" w:pos="720"/>
        </w:tabs>
        <w:jc w:val="both"/>
        <w:rPr>
          <w:sz w:val="20"/>
        </w:rPr>
      </w:pPr>
      <w:r w:rsidRPr="00156787">
        <w:rPr>
          <w:sz w:val="20"/>
        </w:rPr>
        <w:t>Source:  line d ÷ line f</w:t>
      </w:r>
    </w:p>
    <w:p w:rsidR="006C0103" w:rsidRDefault="006C0103" w:rsidP="006C0103">
      <w:pPr>
        <w:pStyle w:val="ListParagraph"/>
        <w:numPr>
          <w:ilvl w:val="0"/>
          <w:numId w:val="46"/>
        </w:numPr>
        <w:tabs>
          <w:tab w:val="num" w:pos="720"/>
        </w:tabs>
        <w:spacing w:line="480" w:lineRule="auto"/>
        <w:jc w:val="both"/>
        <w:rPr>
          <w:sz w:val="20"/>
        </w:rPr>
      </w:pPr>
      <w:r w:rsidRPr="00156787">
        <w:rPr>
          <w:sz w:val="20"/>
        </w:rPr>
        <w:t>Source:  line g – line h</w:t>
      </w:r>
    </w:p>
    <w:p w:rsidR="00353986" w:rsidRPr="00156787" w:rsidRDefault="00353986" w:rsidP="00353986">
      <w:pPr>
        <w:pStyle w:val="ListParagraph"/>
        <w:spacing w:line="480" w:lineRule="auto"/>
        <w:jc w:val="both"/>
        <w:rPr>
          <w:sz w:val="20"/>
        </w:rPr>
      </w:pPr>
    </w:p>
    <w:p w:rsidR="002B705C" w:rsidRDefault="002070C6" w:rsidP="002070C6">
      <w:pPr>
        <w:pStyle w:val="ListParagraph"/>
        <w:numPr>
          <w:ilvl w:val="0"/>
          <w:numId w:val="13"/>
        </w:numPr>
        <w:spacing w:line="480" w:lineRule="auto"/>
        <w:jc w:val="both"/>
      </w:pPr>
      <w:r>
        <w:t xml:space="preserve">       </w:t>
      </w:r>
      <w:r w:rsidR="002B705C">
        <w:t xml:space="preserve">The first line of </w:t>
      </w:r>
      <w:r w:rsidR="007E7B13">
        <w:t>Table No. 2</w:t>
      </w:r>
      <w:r w:rsidR="002B705C">
        <w:t xml:space="preserve"> above reflects the </w:t>
      </w:r>
      <w:r w:rsidR="005A0AE0">
        <w:t>calculated</w:t>
      </w:r>
      <w:r w:rsidR="002B705C">
        <w:t xml:space="preserve"> electric revenue decreases of ICNU/Public Counsel and </w:t>
      </w:r>
      <w:r w:rsidR="000D7AE6">
        <w:t>Commission</w:t>
      </w:r>
      <w:r w:rsidR="002B705C">
        <w:t xml:space="preserve"> Staff of $19.8 million and $27.4 million, respectively.  The second line reflects Avista’s proposed revenue decrease of $5.7 million, as explained earlier.  All other information and calculations in the table are consistent with the original table in Mr. Norwood’s testimony (Exhibit </w:t>
      </w:r>
      <w:r>
        <w:t>KON-1T</w:t>
      </w:r>
      <w:r w:rsidR="002B705C">
        <w:t>).</w:t>
      </w:r>
    </w:p>
    <w:p w:rsidR="00062D04" w:rsidRDefault="002070C6" w:rsidP="002070C6">
      <w:pPr>
        <w:pStyle w:val="ListParagraph"/>
        <w:numPr>
          <w:ilvl w:val="0"/>
          <w:numId w:val="13"/>
        </w:numPr>
        <w:tabs>
          <w:tab w:val="num" w:pos="720"/>
        </w:tabs>
        <w:spacing w:line="480" w:lineRule="auto"/>
        <w:jc w:val="both"/>
      </w:pPr>
      <w:r>
        <w:t xml:space="preserve">       </w:t>
      </w:r>
      <w:r w:rsidR="002B705C">
        <w:t>The table shows that if the Commission were to adopt</w:t>
      </w:r>
      <w:r w:rsidR="00DB7177">
        <w:t xml:space="preserve"> the</w:t>
      </w:r>
      <w:r w:rsidR="002B705C">
        <w:t xml:space="preserve"> ICNU/Public Counsel </w:t>
      </w:r>
      <w:r w:rsidR="005A0AE0">
        <w:t xml:space="preserve">calculated </w:t>
      </w:r>
      <w:r w:rsidR="002B705C">
        <w:t xml:space="preserve">revenue decrease of $19.8 million, it would provide an ROE earnings opportunity for Avista for 2016 of </w:t>
      </w:r>
      <w:r w:rsidR="005A0AE0">
        <w:t xml:space="preserve">only </w:t>
      </w:r>
      <w:r w:rsidR="002B705C" w:rsidRPr="007D74FC">
        <w:rPr>
          <w:u w:val="single"/>
        </w:rPr>
        <w:t>8.21%</w:t>
      </w:r>
      <w:r w:rsidR="002B705C">
        <w:t xml:space="preserve">, as compared with the </w:t>
      </w:r>
      <w:r w:rsidR="002B705C" w:rsidRPr="007D74FC">
        <w:rPr>
          <w:u w:val="single"/>
        </w:rPr>
        <w:t>9.5%</w:t>
      </w:r>
      <w:r w:rsidR="002B705C">
        <w:t xml:space="preserve"> authorized ROE.  For the </w:t>
      </w:r>
      <w:r w:rsidR="000D7AE6">
        <w:t>Commission</w:t>
      </w:r>
      <w:r w:rsidR="002B705C">
        <w:t xml:space="preserve"> Staff</w:t>
      </w:r>
      <w:r w:rsidR="005A0AE0">
        <w:t>’s</w:t>
      </w:r>
      <w:r w:rsidR="002B705C">
        <w:t xml:space="preserve"> </w:t>
      </w:r>
      <w:r w:rsidR="005A0AE0">
        <w:t xml:space="preserve">calculated </w:t>
      </w:r>
      <w:r w:rsidR="002B705C">
        <w:t xml:space="preserve">decrease of $27.4 million, it would </w:t>
      </w:r>
      <w:r w:rsidR="005A0AE0">
        <w:t xml:space="preserve">only </w:t>
      </w:r>
      <w:r w:rsidR="002B705C">
        <w:t xml:space="preserve">provide an ROE </w:t>
      </w:r>
      <w:r w:rsidR="002B705C">
        <w:lastRenderedPageBreak/>
        <w:t xml:space="preserve">earnings opportunity for Avista of </w:t>
      </w:r>
      <w:r w:rsidR="002B705C" w:rsidRPr="007D74FC">
        <w:rPr>
          <w:u w:val="single"/>
        </w:rPr>
        <w:t>7.50%</w:t>
      </w:r>
      <w:r w:rsidR="002B705C">
        <w:t xml:space="preserve">.  Neither of these outcomes would provide </w:t>
      </w:r>
      <w:r w:rsidR="00DB7177">
        <w:t xml:space="preserve">a reasonable end result and would not </w:t>
      </w:r>
      <w:r w:rsidR="00512739">
        <w:t>provide the Company with a reasonable opportunity to e</w:t>
      </w:r>
      <w:r w:rsidR="00DB7177">
        <w:t>arn the agreed-upon ROE of 9.5% in 2016.</w:t>
      </w:r>
    </w:p>
    <w:p w:rsidR="000D7AE6" w:rsidRPr="00B47ABF" w:rsidRDefault="000D7AE6" w:rsidP="000D7AE6">
      <w:pPr>
        <w:tabs>
          <w:tab w:val="left" w:pos="720"/>
        </w:tabs>
        <w:spacing w:line="480" w:lineRule="auto"/>
        <w:ind w:left="270"/>
        <w:jc w:val="both"/>
        <w:rPr>
          <w:b/>
          <w:color w:val="000000" w:themeColor="text1"/>
          <w:u w:val="single"/>
        </w:rPr>
      </w:pPr>
      <w:r>
        <w:rPr>
          <w:b/>
          <w:color w:val="000000" w:themeColor="text1"/>
          <w:u w:val="single"/>
        </w:rPr>
        <w:t xml:space="preserve">D.  </w:t>
      </w:r>
      <w:r w:rsidR="007D74FC">
        <w:rPr>
          <w:b/>
          <w:color w:val="000000" w:themeColor="text1"/>
          <w:u w:val="single"/>
        </w:rPr>
        <w:t xml:space="preserve">Results in </w:t>
      </w:r>
      <w:r>
        <w:rPr>
          <w:b/>
          <w:color w:val="000000" w:themeColor="text1"/>
          <w:u w:val="single"/>
        </w:rPr>
        <w:t xml:space="preserve">2013 and 2014 </w:t>
      </w:r>
      <w:r w:rsidR="007D74FC">
        <w:rPr>
          <w:b/>
          <w:color w:val="000000" w:themeColor="text1"/>
          <w:u w:val="single"/>
        </w:rPr>
        <w:t>Underscore the Importance of a Sufficient Attrition Adjustment in Producing a Reasonable End Result</w:t>
      </w:r>
    </w:p>
    <w:p w:rsidR="000D7AE6" w:rsidRDefault="000D7AE6" w:rsidP="000D7AE6">
      <w:pPr>
        <w:pStyle w:val="BodyText"/>
        <w:numPr>
          <w:ilvl w:val="0"/>
          <w:numId w:val="13"/>
        </w:numPr>
        <w:tabs>
          <w:tab w:val="left" w:pos="720"/>
        </w:tabs>
        <w:spacing w:line="480" w:lineRule="auto"/>
        <w:ind w:right="-54"/>
        <w:jc w:val="both"/>
      </w:pPr>
      <w:r>
        <w:t xml:space="preserve">       The importance of recognizing attrition was acknowledged by the Commission in Dockets UE-120436 and UG-120437.</w:t>
      </w:r>
      <w:r w:rsidR="00365063">
        <w:rPr>
          <w:rStyle w:val="FootnoteReference"/>
        </w:rPr>
        <w:footnoteReference w:id="26"/>
      </w:r>
      <w:r>
        <w:t xml:space="preserve"> </w:t>
      </w:r>
      <w:r w:rsidRPr="007D74FC">
        <w:rPr>
          <w:u w:val="single"/>
        </w:rPr>
        <w:t>Avista entered into, and supported, that settlement</w:t>
      </w:r>
      <w:r w:rsidR="007D74FC">
        <w:rPr>
          <w:u w:val="single"/>
        </w:rPr>
        <w:t xml:space="preserve"> in those dockets</w:t>
      </w:r>
      <w:r w:rsidRPr="007D74FC">
        <w:rPr>
          <w:u w:val="single"/>
        </w:rPr>
        <w:t xml:space="preserve"> because the end result was expected to provide an earned return close to the Commission-authorized return</w:t>
      </w:r>
      <w:r>
        <w:t xml:space="preserve"> for the two-year rate period.  </w:t>
      </w:r>
      <w:r w:rsidRPr="00540362">
        <w:t>The earned ROEs for Avista for 2013 and 2014 of 9.5% and 9.9%</w:t>
      </w:r>
      <w:r>
        <w:t>,</w:t>
      </w:r>
      <w:r>
        <w:rPr>
          <w:rStyle w:val="FootnoteReference"/>
        </w:rPr>
        <w:footnoteReference w:id="27"/>
      </w:r>
      <w:r w:rsidRPr="00F87FE6">
        <w:t xml:space="preserve"> </w:t>
      </w:r>
      <w:r w:rsidRPr="00540362">
        <w:t xml:space="preserve">respectively, </w:t>
      </w:r>
      <w:r>
        <w:t xml:space="preserve">for Avista’s combined electric and natural gas operations in Washington, </w:t>
      </w:r>
      <w:r w:rsidRPr="00540362">
        <w:t xml:space="preserve">are an after-the-fact confirmation that the </w:t>
      </w:r>
      <w:r w:rsidR="005A0AE0">
        <w:t xml:space="preserve">earlier </w:t>
      </w:r>
      <w:r w:rsidRPr="00540362">
        <w:t>revenue increases granted based on recognition of attrition provided earned returns very close to the</w:t>
      </w:r>
      <w:r>
        <w:t xml:space="preserve"> then-</w:t>
      </w:r>
      <w:r w:rsidRPr="00540362">
        <w:t>authorized ROE of 9.8%.</w:t>
      </w:r>
      <w:r w:rsidR="00B12F23">
        <w:rPr>
          <w:rStyle w:val="FootnoteReference"/>
        </w:rPr>
        <w:footnoteReference w:id="28"/>
      </w:r>
    </w:p>
    <w:p w:rsidR="000D7AE6" w:rsidRDefault="000D7AE6" w:rsidP="000D7AE6">
      <w:pPr>
        <w:pStyle w:val="ListParagraph"/>
        <w:numPr>
          <w:ilvl w:val="0"/>
          <w:numId w:val="13"/>
        </w:numPr>
        <w:spacing w:line="480" w:lineRule="auto"/>
        <w:jc w:val="both"/>
      </w:pPr>
      <w:r>
        <w:t xml:space="preserve">       </w:t>
      </w:r>
      <w:r w:rsidRPr="00B12F23">
        <w:rPr>
          <w:color w:val="000000" w:themeColor="text1"/>
        </w:rPr>
        <w:t xml:space="preserve">The point </w:t>
      </w:r>
      <w:r w:rsidR="00222658" w:rsidRPr="00B12F23">
        <w:rPr>
          <w:color w:val="000000" w:themeColor="text1"/>
        </w:rPr>
        <w:t>is</w:t>
      </w:r>
      <w:r w:rsidR="00B12F23">
        <w:rPr>
          <w:color w:val="000000" w:themeColor="text1"/>
        </w:rPr>
        <w:t xml:space="preserve"> this: </w:t>
      </w:r>
      <w:r w:rsidRPr="00B12F23">
        <w:rPr>
          <w:color w:val="000000" w:themeColor="text1"/>
        </w:rPr>
        <w:t xml:space="preserve">Avista agreed to and supported the settlement agreement that led to the new retail rates for 2013 and 2014, because there was an expectation that the end-result would </w:t>
      </w:r>
      <w:r w:rsidRPr="00B12F23">
        <w:rPr>
          <w:u w:val="single"/>
        </w:rPr>
        <w:t>provide an earned return close to the Commission-authorized return – and it did</w:t>
      </w:r>
      <w:r w:rsidRPr="00473D77">
        <w:t xml:space="preserve">.  </w:t>
      </w:r>
      <w:r w:rsidR="005B59D7">
        <w:t xml:space="preserve">As indicated </w:t>
      </w:r>
      <w:r w:rsidR="005B59D7">
        <w:lastRenderedPageBreak/>
        <w:t xml:space="preserve">earlier, the </w:t>
      </w:r>
      <w:r w:rsidRPr="00473D77">
        <w:t>settlement discussions among the parties</w:t>
      </w:r>
      <w:r>
        <w:t xml:space="preserve"> on the overall revenue requirement</w:t>
      </w:r>
      <w:r w:rsidR="00B12F23">
        <w:t xml:space="preserve"> in the current case, however,</w:t>
      </w:r>
      <w:r w:rsidR="005B59D7">
        <w:t xml:space="preserve"> did not yield a settlement agreement</w:t>
      </w:r>
      <w:r w:rsidRPr="00473D77">
        <w:t>.</w:t>
      </w:r>
      <w:r>
        <w:t xml:space="preserve">  </w:t>
      </w:r>
      <w:r w:rsidR="005B59D7">
        <w:t>We believe</w:t>
      </w:r>
      <w:r>
        <w:t xml:space="preserve"> this was due in large part to the large difference in the positions of the parties, and </w:t>
      </w:r>
      <w:r w:rsidR="005B59D7">
        <w:t>Avista’s view that</w:t>
      </w:r>
      <w:r>
        <w:t xml:space="preserve"> the proposals of the parties would not provide a reasonable opportunity for the Company to earn close to the authorized return for 2016.  </w:t>
      </w:r>
    </w:p>
    <w:p w:rsidR="000D7AE6" w:rsidRDefault="00B12F23" w:rsidP="00B12F23">
      <w:pPr>
        <w:pStyle w:val="ListParagraph"/>
        <w:numPr>
          <w:ilvl w:val="0"/>
          <w:numId w:val="13"/>
        </w:numPr>
        <w:spacing w:line="480" w:lineRule="auto"/>
        <w:jc w:val="both"/>
      </w:pPr>
      <w:r>
        <w:t xml:space="preserve">       Nevertheless, in this case, t</w:t>
      </w:r>
      <w:r w:rsidR="000D7AE6">
        <w:t>he Commission’s $8.1 million revenue decrease in Order 05, however it was derived, provides an “end result” that is reasonable and will provide Avista a reasonable opportunity to earn the authorized return in 2016.</w:t>
      </w:r>
    </w:p>
    <w:p w:rsidR="00FE6451" w:rsidRDefault="00FE6451" w:rsidP="008A0967">
      <w:pPr>
        <w:ind w:left="720" w:hanging="720"/>
        <w:jc w:val="both"/>
      </w:pPr>
    </w:p>
    <w:p w:rsidR="00006885" w:rsidRPr="009D359B" w:rsidRDefault="00512739" w:rsidP="00006885">
      <w:pPr>
        <w:pStyle w:val="Heading1"/>
        <w:tabs>
          <w:tab w:val="left" w:pos="1260"/>
        </w:tabs>
        <w:spacing w:line="480" w:lineRule="auto"/>
        <w:ind w:left="360"/>
        <w:jc w:val="center"/>
        <w:rPr>
          <w:u w:val="none"/>
        </w:rPr>
      </w:pPr>
      <w:r>
        <w:rPr>
          <w:u w:val="none"/>
        </w:rPr>
        <w:t>I</w:t>
      </w:r>
      <w:r w:rsidR="001D2866">
        <w:rPr>
          <w:u w:val="none"/>
        </w:rPr>
        <w:t>V</w:t>
      </w:r>
      <w:r w:rsidR="00CA4326">
        <w:rPr>
          <w:u w:val="none"/>
        </w:rPr>
        <w:t>.  CONCLUSION</w:t>
      </w:r>
    </w:p>
    <w:p w:rsidR="00CA4326" w:rsidRDefault="000735C6" w:rsidP="00CA4326">
      <w:pPr>
        <w:pStyle w:val="Header"/>
        <w:numPr>
          <w:ilvl w:val="0"/>
          <w:numId w:val="13"/>
        </w:numPr>
        <w:tabs>
          <w:tab w:val="clear" w:pos="240"/>
          <w:tab w:val="left" w:pos="720"/>
        </w:tabs>
        <w:autoSpaceDE w:val="0"/>
        <w:autoSpaceDN w:val="0"/>
        <w:adjustRightInd w:val="0"/>
        <w:spacing w:line="480" w:lineRule="auto"/>
        <w:jc w:val="both"/>
      </w:pPr>
      <w:r>
        <w:t xml:space="preserve">     </w:t>
      </w:r>
      <w:r w:rsidR="00CA4326">
        <w:tab/>
      </w:r>
      <w:r w:rsidR="00512739">
        <w:t>Avista believes that Order 05 produces an “end-result” that is wit</w:t>
      </w:r>
      <w:r w:rsidR="00DB7177">
        <w:t xml:space="preserve">hin the range of reasonableness, </w:t>
      </w:r>
      <w:r w:rsidR="00512739">
        <w:t>albeit providing somewhat less electric rate relie</w:t>
      </w:r>
      <w:r w:rsidR="00DB7177">
        <w:t xml:space="preserve">f than </w:t>
      </w:r>
      <w:r w:rsidR="00FE330C">
        <w:t>demonstrated</w:t>
      </w:r>
      <w:r w:rsidR="00DB7177">
        <w:t xml:space="preserve"> by the Company</w:t>
      </w:r>
      <w:r w:rsidR="00512739">
        <w:t xml:space="preserve">.  </w:t>
      </w:r>
      <w:r w:rsidR="00512739">
        <w:tab/>
        <w:t xml:space="preserve">Should the Commission </w:t>
      </w:r>
      <w:r w:rsidR="00DB7177">
        <w:t>determine</w:t>
      </w:r>
      <w:r w:rsidR="00512739">
        <w:t xml:space="preserve"> that the approved electric revenue requirement decrease of $8.1 million </w:t>
      </w:r>
      <w:r w:rsidR="00C31D55">
        <w:t xml:space="preserve">should </w:t>
      </w:r>
      <w:r w:rsidR="00512739">
        <w:t xml:space="preserve">be further reduced, the Company </w:t>
      </w:r>
      <w:r w:rsidR="00C31D55">
        <w:t>requests</w:t>
      </w:r>
      <w:r w:rsidR="00512739">
        <w:t xml:space="preserve"> the </w:t>
      </w:r>
      <w:r w:rsidR="00B12F23">
        <w:t>additional</w:t>
      </w:r>
      <w:r w:rsidR="00512739">
        <w:t xml:space="preserve"> opportunity to be heard and/or </w:t>
      </w:r>
      <w:r w:rsidR="00DB7177">
        <w:t xml:space="preserve">a </w:t>
      </w:r>
      <w:r w:rsidR="00512739">
        <w:t>reopening of the record</w:t>
      </w:r>
      <w:r w:rsidR="00C31D55">
        <w:t xml:space="preserve"> if necessary</w:t>
      </w:r>
      <w:r w:rsidR="00512739">
        <w:t>.</w:t>
      </w:r>
    </w:p>
    <w:p w:rsidR="003D2170" w:rsidRDefault="00CA4326" w:rsidP="00CA4326">
      <w:pPr>
        <w:tabs>
          <w:tab w:val="left" w:pos="4320"/>
        </w:tabs>
        <w:spacing w:line="480" w:lineRule="auto"/>
        <w:ind w:left="720" w:hanging="540"/>
        <w:jc w:val="both"/>
      </w:pPr>
      <w:r>
        <w:tab/>
        <w:t>RESPECTFULLY SUBMITTED</w:t>
      </w:r>
      <w:r w:rsidR="003D2170">
        <w:t xml:space="preserve"> this </w:t>
      </w:r>
      <w:r w:rsidR="00492331">
        <w:t>_______</w:t>
      </w:r>
      <w:r w:rsidR="00EE4384">
        <w:rPr>
          <w:vertAlign w:val="superscript"/>
        </w:rPr>
        <w:t xml:space="preserve"> </w:t>
      </w:r>
      <w:r w:rsidR="003D2170">
        <w:t xml:space="preserve">day of </w:t>
      </w:r>
      <w:r w:rsidR="001D2866">
        <w:t>January 2016</w:t>
      </w:r>
    </w:p>
    <w:p w:rsidR="003D2170" w:rsidRDefault="003D2170">
      <w:pPr>
        <w:tabs>
          <w:tab w:val="left" w:pos="4320"/>
        </w:tabs>
        <w:ind w:left="540" w:hanging="540"/>
        <w:jc w:val="both"/>
      </w:pPr>
    </w:p>
    <w:p w:rsidR="00522D49" w:rsidRDefault="00CA4326">
      <w:pPr>
        <w:tabs>
          <w:tab w:val="left" w:pos="4320"/>
        </w:tabs>
        <w:ind w:left="540" w:hanging="540"/>
        <w:jc w:val="both"/>
      </w:pPr>
      <w:r>
        <w:tab/>
      </w:r>
      <w:r>
        <w:tab/>
        <w:t>AVISTA CORPORATION</w:t>
      </w:r>
    </w:p>
    <w:p w:rsidR="00CA4326" w:rsidRDefault="00CA4326">
      <w:pPr>
        <w:tabs>
          <w:tab w:val="left" w:pos="4320"/>
        </w:tabs>
        <w:ind w:left="540" w:hanging="540"/>
        <w:jc w:val="both"/>
      </w:pPr>
    </w:p>
    <w:p w:rsidR="00CA4326" w:rsidRDefault="00CA4326">
      <w:pPr>
        <w:tabs>
          <w:tab w:val="left" w:pos="4320"/>
        </w:tabs>
        <w:ind w:left="540" w:hanging="540"/>
        <w:jc w:val="both"/>
      </w:pPr>
    </w:p>
    <w:p w:rsidR="00CA4326" w:rsidRDefault="00CA4326">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CA4326">
        <w:tab/>
        <w:t>David J. Meyer</w:t>
      </w:r>
    </w:p>
    <w:p w:rsidR="008A03B3" w:rsidRDefault="003D2170" w:rsidP="009F7689">
      <w:pPr>
        <w:tabs>
          <w:tab w:val="left" w:pos="3960"/>
          <w:tab w:val="left" w:pos="4320"/>
          <w:tab w:val="left" w:pos="4680"/>
        </w:tabs>
        <w:ind w:left="540" w:hanging="540"/>
        <w:jc w:val="both"/>
      </w:pPr>
      <w:r>
        <w:tab/>
      </w:r>
      <w:r>
        <w:tab/>
      </w:r>
      <w:r>
        <w:tab/>
      </w:r>
      <w:r w:rsidR="00CA4326">
        <w:tab/>
        <w:t xml:space="preserve">VP, Chief Counsel for Regulatory and </w:t>
      </w:r>
    </w:p>
    <w:p w:rsidR="003D2170" w:rsidRDefault="00CA4326" w:rsidP="00222658">
      <w:pPr>
        <w:tabs>
          <w:tab w:val="left" w:pos="3960"/>
          <w:tab w:val="left" w:pos="4320"/>
          <w:tab w:val="left" w:pos="4680"/>
        </w:tabs>
        <w:ind w:left="540" w:hanging="540"/>
        <w:jc w:val="both"/>
      </w:pPr>
      <w:r>
        <w:tab/>
      </w:r>
      <w:r>
        <w:tab/>
      </w:r>
      <w:r>
        <w:tab/>
      </w:r>
      <w:r>
        <w:tab/>
        <w:t>Governmental Affairs</w:t>
      </w:r>
    </w:p>
    <w:sectPr w:rsidR="003D2170" w:rsidSect="007D74FC">
      <w:footerReference w:type="default" r:id="rId11"/>
      <w:type w:val="continuous"/>
      <w:pgSz w:w="12240" w:h="15840" w:code="1"/>
      <w:pgMar w:top="1170" w:right="1440" w:bottom="1350" w:left="1440" w:header="720" w:footer="447"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790C7" w15:done="0"/>
  <w15:commentEx w15:paraId="5E6A14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063" w:rsidRDefault="00365063" w:rsidP="003D2170">
      <w:r>
        <w:separator/>
      </w:r>
    </w:p>
  </w:endnote>
  <w:endnote w:type="continuationSeparator" w:id="0">
    <w:p w:rsidR="00365063" w:rsidRDefault="00365063" w:rsidP="003D2170">
      <w:r>
        <w:continuationSeparator/>
      </w:r>
    </w:p>
  </w:endnote>
  <w:endnote w:type="continuationNotice" w:id="1">
    <w:p w:rsidR="00365063" w:rsidRDefault="003650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63" w:rsidRDefault="00365063" w:rsidP="00744694">
    <w:pPr>
      <w:ind w:right="-90"/>
      <w:jc w:val="both"/>
    </w:pPr>
    <w:r w:rsidRPr="00744694">
      <w:t xml:space="preserve">AVISTA’S MOTION/PETITION FOR WAIVER AND RESPONSE TO ICNU </w:t>
    </w:r>
  </w:p>
  <w:p w:rsidR="00365063" w:rsidRDefault="00365063" w:rsidP="00744694">
    <w:pPr>
      <w:ind w:right="-90"/>
      <w:jc w:val="both"/>
    </w:pPr>
    <w:r w:rsidRPr="00744694">
      <w:t xml:space="preserve">AND PUBLIC COUNSEL’S MOTION FOR CLARIFICATION, AND STAFF’S </w:t>
    </w:r>
  </w:p>
  <w:p w:rsidR="00365063" w:rsidRPr="00744694" w:rsidRDefault="00365063" w:rsidP="00E3449D">
    <w:pPr>
      <w:ind w:right="-360"/>
      <w:jc w:val="both"/>
    </w:pPr>
    <w:r w:rsidRPr="00744694">
      <w:t>MOTION TO RECONSIDER</w:t>
    </w:r>
    <w:r w:rsidRPr="00744694">
      <w:tab/>
    </w:r>
    <w:r w:rsidRPr="00744694">
      <w:tab/>
    </w:r>
    <w:r w:rsidRPr="00744694">
      <w:tab/>
    </w:r>
    <w:r w:rsidRPr="00744694">
      <w:tab/>
    </w:r>
    <w:r w:rsidRPr="00744694">
      <w:tab/>
    </w:r>
    <w:r w:rsidRPr="00744694">
      <w:tab/>
    </w:r>
    <w:r w:rsidRPr="00744694">
      <w:tab/>
    </w:r>
    <w:r w:rsidRPr="00744694">
      <w:tab/>
      <w:t xml:space="preserve">PAGE </w:t>
    </w:r>
    <w:fldSimple w:instr=" PAGE   \* MERGEFORMAT ">
      <w:r w:rsidR="00236D60">
        <w:rPr>
          <w:noProof/>
        </w:rPr>
        <w:t>6</w:t>
      </w:r>
    </w:fldSimple>
  </w:p>
  <w:p w:rsidR="00365063" w:rsidRPr="001F638D" w:rsidRDefault="00365063" w:rsidP="001F638D">
    <w:pPr>
      <w:ind w:right="-270"/>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65063" w:rsidRPr="00E27AD3" w:rsidRDefault="00365063">
    <w:pPr>
      <w:pStyle w:val="Footer"/>
      <w:jc w:val="right"/>
      <w:rPr>
        <w:cap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063" w:rsidRDefault="00365063" w:rsidP="003D2170">
      <w:r>
        <w:separator/>
      </w:r>
    </w:p>
  </w:footnote>
  <w:footnote w:type="continuationSeparator" w:id="0">
    <w:p w:rsidR="00365063" w:rsidRDefault="00365063" w:rsidP="003D2170">
      <w:r>
        <w:continuationSeparator/>
      </w:r>
    </w:p>
  </w:footnote>
  <w:footnote w:type="continuationNotice" w:id="1">
    <w:p w:rsidR="00365063" w:rsidRDefault="00365063"/>
  </w:footnote>
  <w:footnote w:id="2">
    <w:p w:rsidR="00365063" w:rsidRDefault="00365063" w:rsidP="00804292">
      <w:pPr>
        <w:pStyle w:val="FootnoteText"/>
        <w:jc w:val="both"/>
      </w:pPr>
      <w:r>
        <w:rPr>
          <w:rStyle w:val="FootnoteReference"/>
        </w:rPr>
        <w:footnoteRef/>
      </w:r>
      <w:r>
        <w:t xml:space="preserve"> WAC 480-07-110(1) provides that the “Commission may modify the application of procedural rules in this chapter during a particular adjudication consistent with other adjudicative decisions, without following the process identified in Subsection (2) of this section.”  Subsection 2 otherwise provides for the filing of a written petition identifying the rule for which an exemption is sought, and providing a full explanation of the reason for requesting the exemption.  Because this request is made in the context of an ongoing adjudicative proceeding (Docket Nos. UE-150204 and UG-150205), the additional procedure set forth in subsection 2 need not apply; nevertheless, Avista has styled this pleading as a Motion/Petition to avoid any dispute as to the procedural posture of its request.</w:t>
      </w:r>
    </w:p>
  </w:footnote>
  <w:footnote w:id="3">
    <w:p w:rsidR="00365063" w:rsidRDefault="00365063" w:rsidP="00804292">
      <w:pPr>
        <w:pStyle w:val="FootnoteText"/>
        <w:jc w:val="both"/>
      </w:pPr>
      <w:r>
        <w:rPr>
          <w:rStyle w:val="FootnoteReference"/>
        </w:rPr>
        <w:footnoteRef/>
      </w:r>
      <w:r>
        <w:t xml:space="preserve"> Staff’s Motion to Reconsider, filed on January 19, 2016, provides calculations suggesting that the Commission should revise Avista’s electric revenue requirement to reflect a decrease of $27.4 million (instead of the decrease of $8.1 million ordered by the Commission in its Order 05 in this docket).  In its January 26, 2016 response to Bench Request No. 19, Staff clarified that, “The Commission now has the opportunity and authority to revisit its analysis, and at its discretion, confirm, explain, or alter its decision as it believes necessary.”  The Joint Motion for Clarification of ICNU/Public Counsel, also filed on January 19, 2016, while it does “not seek to change the outcome of any issues resolved in Order 05,” it otherwise seeks clarification of an “attrition adjustment calculation in Order 05.” (See paragraph 2 of Joint Motion)</w:t>
      </w:r>
    </w:p>
  </w:footnote>
  <w:footnote w:id="4">
    <w:p w:rsidR="00365063" w:rsidRDefault="00365063" w:rsidP="00804292">
      <w:pPr>
        <w:pStyle w:val="FootnoteText"/>
        <w:jc w:val="both"/>
      </w:pPr>
      <w:r>
        <w:rPr>
          <w:rStyle w:val="FootnoteReference"/>
        </w:rPr>
        <w:footnoteRef/>
      </w:r>
      <w:r>
        <w:t xml:space="preserve"> To do so would have required the filing of a Petition for Reconsideration. (See WAC 480-07-835 and WAC 480-07-850).</w:t>
      </w:r>
    </w:p>
  </w:footnote>
  <w:footnote w:id="5">
    <w:p w:rsidR="00365063" w:rsidRDefault="00365063" w:rsidP="00804292">
      <w:pPr>
        <w:pStyle w:val="FootnoteText"/>
        <w:jc w:val="both"/>
      </w:pPr>
      <w:r>
        <w:rPr>
          <w:rStyle w:val="FootnoteReference"/>
        </w:rPr>
        <w:footnoteRef/>
      </w:r>
      <w:r>
        <w:t xml:space="preserve"> The Advisory Staff operate independently of the Commission Staff, and do not discuss the merits of this proceeding with the Commission Staff, or any other party, without giving notice and opportunity for all parties to participate.</w:t>
      </w:r>
    </w:p>
  </w:footnote>
  <w:footnote w:id="6">
    <w:p w:rsidR="00365063" w:rsidRDefault="00365063" w:rsidP="00804292">
      <w:pPr>
        <w:pStyle w:val="FootnoteText"/>
        <w:jc w:val="both"/>
      </w:pPr>
      <w:r>
        <w:rPr>
          <w:rStyle w:val="FootnoteReference"/>
        </w:rPr>
        <w:footnoteRef/>
      </w:r>
      <w:r>
        <w:t xml:space="preserve"> Among the purposes of an order conference under WAC 480-07-840, is to “propose technical changes that may be required to correct the application of principle to data” or “correct patent error.”</w:t>
      </w:r>
    </w:p>
  </w:footnote>
  <w:footnote w:id="7">
    <w:p w:rsidR="00365063" w:rsidRDefault="00365063" w:rsidP="00C848E7">
      <w:pPr>
        <w:pStyle w:val="FootnoteText"/>
        <w:jc w:val="both"/>
      </w:pPr>
      <w:r>
        <w:rPr>
          <w:rStyle w:val="FootnoteReference"/>
        </w:rPr>
        <w:footnoteRef/>
      </w:r>
      <w:r>
        <w:t xml:space="preserve"> Exhibit No. KON-1T, p. 34.</w:t>
      </w:r>
    </w:p>
  </w:footnote>
  <w:footnote w:id="8">
    <w:p w:rsidR="00365063" w:rsidRDefault="00365063" w:rsidP="00C848E7">
      <w:pPr>
        <w:pStyle w:val="FootnoteText"/>
        <w:jc w:val="both"/>
      </w:pPr>
      <w:r>
        <w:rPr>
          <w:rStyle w:val="FootnoteReference"/>
        </w:rPr>
        <w:footnoteRef/>
      </w:r>
      <w:r>
        <w:t xml:space="preserve"> Exhibit No. KON-1T, p. 34, n. 24.</w:t>
      </w:r>
    </w:p>
  </w:footnote>
  <w:footnote w:id="9">
    <w:p w:rsidR="00365063" w:rsidRDefault="00365063" w:rsidP="00C848E7">
      <w:pPr>
        <w:pStyle w:val="FootnoteText"/>
        <w:jc w:val="both"/>
      </w:pPr>
      <w:r>
        <w:rPr>
          <w:rStyle w:val="FootnoteReference"/>
        </w:rPr>
        <w:footnoteRef/>
      </w:r>
      <w:r>
        <w:t xml:space="preserve"> </w:t>
      </w:r>
      <w:r w:rsidRPr="0065652B">
        <w:rPr>
          <w:u w:val="single"/>
        </w:rPr>
        <w:t>See</w:t>
      </w:r>
      <w:r>
        <w:t xml:space="preserve"> Order 05, </w:t>
      </w:r>
      <w:r w:rsidRPr="0065652B">
        <w:t>¶</w:t>
      </w:r>
      <w:r>
        <w:t xml:space="preserve"> 53.  The effect of the Commission’s Order 05 </w:t>
      </w:r>
      <w:r>
        <w:rPr>
          <w:color w:val="000000" w:themeColor="text1"/>
        </w:rPr>
        <w:t>is to normalize the cost for customers, but not the Company.</w:t>
      </w:r>
    </w:p>
  </w:footnote>
  <w:footnote w:id="10">
    <w:p w:rsidR="00365063" w:rsidRDefault="00365063" w:rsidP="00C848E7">
      <w:pPr>
        <w:pStyle w:val="FootnoteText"/>
        <w:jc w:val="both"/>
      </w:pPr>
      <w:r>
        <w:rPr>
          <w:rStyle w:val="FootnoteReference"/>
        </w:rPr>
        <w:footnoteRef/>
      </w:r>
      <w:r>
        <w:t xml:space="preserve"> Order 05, </w:t>
      </w:r>
      <w:r w:rsidRPr="0065652B">
        <w:t>¶</w:t>
      </w:r>
      <w:r>
        <w:t xml:space="preserve"> 12.</w:t>
      </w:r>
    </w:p>
  </w:footnote>
  <w:footnote w:id="11">
    <w:p w:rsidR="00365063" w:rsidRDefault="00365063" w:rsidP="000D4E34">
      <w:pPr>
        <w:pStyle w:val="FootnoteText"/>
        <w:jc w:val="both"/>
      </w:pPr>
      <w:r>
        <w:rPr>
          <w:rStyle w:val="FootnoteReference"/>
        </w:rPr>
        <w:footnoteRef/>
      </w:r>
      <w:r>
        <w:t xml:space="preserve"> See ¶11 – 13 in this pleading.</w:t>
      </w:r>
    </w:p>
  </w:footnote>
  <w:footnote w:id="12">
    <w:p w:rsidR="00365063" w:rsidRDefault="00365063">
      <w:pPr>
        <w:pStyle w:val="FootnoteText"/>
      </w:pPr>
      <w:r>
        <w:rPr>
          <w:rStyle w:val="FootnoteReference"/>
        </w:rPr>
        <w:footnoteRef/>
      </w:r>
      <w:r>
        <w:t xml:space="preserve"> </w:t>
      </w:r>
      <w:r w:rsidR="00236D60">
        <w:t xml:space="preserve">Exhibit No. </w:t>
      </w:r>
      <w:r>
        <w:t xml:space="preserve">KON-1T, p. 18, </w:t>
      </w:r>
      <w:proofErr w:type="spellStart"/>
      <w:r>
        <w:t>ln</w:t>
      </w:r>
      <w:proofErr w:type="spellEnd"/>
      <w:r>
        <w:t xml:space="preserve"> 24.</w:t>
      </w:r>
    </w:p>
  </w:footnote>
  <w:footnote w:id="13">
    <w:p w:rsidR="00365063" w:rsidRDefault="00365063">
      <w:pPr>
        <w:pStyle w:val="FootnoteText"/>
      </w:pPr>
      <w:r>
        <w:rPr>
          <w:rStyle w:val="FootnoteReference"/>
        </w:rPr>
        <w:footnoteRef/>
      </w:r>
      <w:r>
        <w:t xml:space="preserve"> </w:t>
      </w:r>
      <w:r w:rsidR="00236D60">
        <w:t xml:space="preserve">Exhibit No. </w:t>
      </w:r>
      <w:r>
        <w:t xml:space="preserve">KON-1T, p. 31, </w:t>
      </w:r>
      <w:proofErr w:type="spellStart"/>
      <w:r>
        <w:t>ln</w:t>
      </w:r>
      <w:proofErr w:type="spellEnd"/>
      <w:r>
        <w:t xml:space="preserve"> 5.</w:t>
      </w:r>
    </w:p>
  </w:footnote>
  <w:footnote w:id="14">
    <w:p w:rsidR="00365063" w:rsidRDefault="00365063">
      <w:pPr>
        <w:pStyle w:val="FootnoteText"/>
      </w:pPr>
      <w:r>
        <w:rPr>
          <w:rStyle w:val="FootnoteReference"/>
        </w:rPr>
        <w:footnoteRef/>
      </w:r>
      <w:r>
        <w:t xml:space="preserve"> Ibid.</w:t>
      </w:r>
    </w:p>
  </w:footnote>
  <w:footnote w:id="15">
    <w:p w:rsidR="00365063" w:rsidRDefault="00365063" w:rsidP="00113D70">
      <w:pPr>
        <w:pStyle w:val="FootnoteText"/>
        <w:jc w:val="both"/>
      </w:pPr>
      <w:r>
        <w:rPr>
          <w:rStyle w:val="FootnoteReference"/>
        </w:rPr>
        <w:footnoteRef/>
      </w:r>
      <w:r>
        <w:t xml:space="preserve"> Order 05, ¶ 134.</w:t>
      </w:r>
    </w:p>
  </w:footnote>
  <w:footnote w:id="16">
    <w:p w:rsidR="00365063" w:rsidRDefault="00365063" w:rsidP="00460858">
      <w:pPr>
        <w:pStyle w:val="FootnoteText"/>
        <w:jc w:val="both"/>
      </w:pPr>
      <w:r>
        <w:rPr>
          <w:rStyle w:val="FootnoteReference"/>
        </w:rPr>
        <w:footnoteRef/>
      </w:r>
      <w:r>
        <w:t xml:space="preserve"> Order 05, ¶ 132.</w:t>
      </w:r>
    </w:p>
  </w:footnote>
  <w:footnote w:id="17">
    <w:p w:rsidR="00365063" w:rsidRDefault="00365063" w:rsidP="00804292">
      <w:pPr>
        <w:pStyle w:val="FootnoteText"/>
        <w:jc w:val="both"/>
      </w:pPr>
      <w:r>
        <w:rPr>
          <w:rStyle w:val="FootnoteReference"/>
        </w:rPr>
        <w:footnoteRef/>
      </w:r>
      <w:r>
        <w:t xml:space="preserve"> Exhibit No. </w:t>
      </w:r>
      <w:r>
        <w:rPr>
          <w:szCs w:val="22"/>
        </w:rPr>
        <w:t xml:space="preserve">CSH-2 at </w:t>
      </w:r>
      <w:r w:rsidRPr="003868A4">
        <w:rPr>
          <w:szCs w:val="22"/>
        </w:rPr>
        <w:t xml:space="preserve">1 </w:t>
      </w:r>
      <w:r>
        <w:rPr>
          <w:szCs w:val="22"/>
        </w:rPr>
        <w:t>(</w:t>
      </w:r>
      <w:r>
        <w:t>Revised Oct. 13, 2015).</w:t>
      </w:r>
    </w:p>
  </w:footnote>
  <w:footnote w:id="18">
    <w:p w:rsidR="00365063" w:rsidRPr="00544A34" w:rsidRDefault="00365063" w:rsidP="00804292">
      <w:pPr>
        <w:pStyle w:val="FootnoteText"/>
        <w:jc w:val="both"/>
      </w:pPr>
      <w:r w:rsidRPr="00544A34">
        <w:rPr>
          <w:rStyle w:val="FootnoteReference"/>
        </w:rPr>
        <w:footnoteRef/>
      </w:r>
      <w:r w:rsidRPr="00544A34">
        <w:t xml:space="preserve"> </w:t>
      </w:r>
      <w:r w:rsidRPr="00544A34">
        <w:rPr>
          <w:i/>
        </w:rPr>
        <w:t>See</w:t>
      </w:r>
      <w:r w:rsidRPr="00544A34">
        <w:t xml:space="preserve"> </w:t>
      </w:r>
      <w:r w:rsidRPr="00544A34">
        <w:rPr>
          <w:i/>
        </w:rPr>
        <w:t xml:space="preserve">Fed.  Power </w:t>
      </w:r>
      <w:proofErr w:type="spellStart"/>
      <w:r w:rsidRPr="00544A34">
        <w:rPr>
          <w:i/>
        </w:rPr>
        <w:t>Comm</w:t>
      </w:r>
      <w:proofErr w:type="spellEnd"/>
      <w:r w:rsidRPr="00544A34">
        <w:rPr>
          <w:i/>
        </w:rPr>
        <w:t xml:space="preserve"> 'n v. Hope Natural Gas Co., </w:t>
      </w:r>
      <w:r w:rsidRPr="00544A34">
        <w:t>320 U.S. 591, 603, 64 S. Ct. 281, 88 L. Ed. 333 (1944) (</w:t>
      </w:r>
      <w:r w:rsidRPr="00544A34">
        <w:rPr>
          <w:i/>
        </w:rPr>
        <w:t>Hope</w:t>
      </w:r>
      <w:r w:rsidRPr="00544A34">
        <w:t xml:space="preserve">) (the methods by which government regulators determine a utility's  rate are inconsequential so long as the </w:t>
      </w:r>
      <w:r w:rsidRPr="00544A34">
        <w:rPr>
          <w:i/>
        </w:rPr>
        <w:t xml:space="preserve">end result </w:t>
      </w:r>
      <w:r w:rsidRPr="00544A34">
        <w:t>is fair).</w:t>
      </w:r>
    </w:p>
  </w:footnote>
  <w:footnote w:id="19">
    <w:p w:rsidR="00365063" w:rsidRPr="00544A34" w:rsidRDefault="00365063" w:rsidP="00804292">
      <w:pPr>
        <w:pStyle w:val="FootnoteText"/>
        <w:jc w:val="both"/>
      </w:pPr>
      <w:r w:rsidRPr="00544A34">
        <w:rPr>
          <w:rStyle w:val="FootnoteReference"/>
        </w:rPr>
        <w:footnoteRef/>
      </w:r>
      <w:r w:rsidRPr="00544A34">
        <w:t xml:space="preserve"> </w:t>
      </w:r>
      <w:r w:rsidRPr="00544A34">
        <w:rPr>
          <w:i/>
        </w:rPr>
        <w:t xml:space="preserve">Id. </w:t>
      </w:r>
      <w:r w:rsidRPr="00544A34">
        <w:t>at 602.</w:t>
      </w:r>
    </w:p>
  </w:footnote>
  <w:footnote w:id="20">
    <w:p w:rsidR="00365063" w:rsidRPr="00544A34" w:rsidRDefault="00365063" w:rsidP="00804292">
      <w:pPr>
        <w:pStyle w:val="FootnoteText"/>
        <w:jc w:val="both"/>
      </w:pPr>
      <w:r w:rsidRPr="00544A34">
        <w:rPr>
          <w:rStyle w:val="FootnoteReference"/>
        </w:rPr>
        <w:footnoteRef/>
      </w:r>
      <w:r w:rsidRPr="00544A34">
        <w:t xml:space="preserve"> </w:t>
      </w:r>
      <w:r w:rsidRPr="00544A34">
        <w:rPr>
          <w:i/>
        </w:rPr>
        <w:t>Id.</w:t>
      </w:r>
      <w:r w:rsidRPr="00544A34">
        <w:t xml:space="preserve"> This language became known as the "end result" test.</w:t>
      </w:r>
    </w:p>
  </w:footnote>
  <w:footnote w:id="21">
    <w:p w:rsidR="00365063" w:rsidRDefault="00365063" w:rsidP="00804292">
      <w:pPr>
        <w:pStyle w:val="FootnoteText"/>
        <w:jc w:val="both"/>
      </w:pPr>
      <w:r>
        <w:rPr>
          <w:rStyle w:val="FootnoteReference"/>
        </w:rPr>
        <w:footnoteRef/>
      </w:r>
      <w:r>
        <w:t xml:space="preserve"> Order 05, ¶133.</w:t>
      </w:r>
    </w:p>
  </w:footnote>
  <w:footnote w:id="22">
    <w:p w:rsidR="00365063" w:rsidRPr="00544A34" w:rsidRDefault="00365063" w:rsidP="00804292">
      <w:pPr>
        <w:pStyle w:val="FootnoteText"/>
        <w:spacing w:after="120"/>
        <w:jc w:val="both"/>
      </w:pPr>
      <w:r w:rsidRPr="00544A34">
        <w:rPr>
          <w:rStyle w:val="FootnoteReference"/>
        </w:rPr>
        <w:footnoteRef/>
      </w:r>
      <w:r w:rsidRPr="00544A34">
        <w:t xml:space="preserve"> </w:t>
      </w:r>
      <w:r>
        <w:t xml:space="preserve">See Order 05, </w:t>
      </w:r>
      <w:r w:rsidRPr="00D91139">
        <w:rPr>
          <w:u w:val="single"/>
        </w:rPr>
        <w:t>supra</w:t>
      </w:r>
      <w:r>
        <w:t xml:space="preserve">, at ¶133, n. 196 - </w:t>
      </w:r>
      <w:r w:rsidRPr="00D05CA9">
        <w:rPr>
          <w:i/>
        </w:rPr>
        <w:t xml:space="preserve">In re Permian Basin Area Rate Cases, </w:t>
      </w:r>
      <w:r w:rsidRPr="00D05CA9">
        <w:t>390 U.S. 747, 791–92, 88 S. Ct. 1344, 1372–73, 20 L. Ed. 2d 312 (1968) (</w:t>
      </w:r>
      <w:r w:rsidRPr="00D05CA9">
        <w:rPr>
          <w:i/>
        </w:rPr>
        <w:t>Permian Basin</w:t>
      </w:r>
      <w:r w:rsidRPr="00D05CA9">
        <w:t>)</w:t>
      </w:r>
      <w:r w:rsidRPr="00544A34">
        <w:t xml:space="preserve">. </w:t>
      </w:r>
      <w:r>
        <w:t xml:space="preserve">The Court stated: “The Commission cannot confine its inquiries either to the computation of costs of service or to conjectures about prospective responses of the capital market; it is instead obliged at each step of the regulatory process to assess the requirements of the broad public interests entrusted to its protection by Congress.  Accordingly, the ‘end result’ of the Commission’s order must be measured as much by the success with which they protect those interests as by the effectiveness with which they ‘maintain credit … and … attract capital’.” 390 U.S. at 791. </w:t>
      </w:r>
      <w:r w:rsidRPr="00544A34">
        <w:t xml:space="preserve">See also, </w:t>
      </w:r>
      <w:r w:rsidRPr="00DF45DE">
        <w:rPr>
          <w:i/>
        </w:rPr>
        <w:t xml:space="preserve">People’s Organization for Washington Energy Resources v. Washington Utilities &amp; Transportation </w:t>
      </w:r>
      <w:proofErr w:type="spellStart"/>
      <w:r w:rsidRPr="00DF45DE">
        <w:rPr>
          <w:i/>
        </w:rPr>
        <w:t>Comm’n</w:t>
      </w:r>
      <w:proofErr w:type="spellEnd"/>
      <w:r w:rsidRPr="00DF45DE">
        <w:t xml:space="preserve">, 104 </w:t>
      </w:r>
      <w:proofErr w:type="spellStart"/>
      <w:r w:rsidRPr="00DF45DE">
        <w:t>Wn.2d</w:t>
      </w:r>
      <w:proofErr w:type="spellEnd"/>
      <w:r w:rsidRPr="00DF45DE">
        <w:t xml:space="preserve"> 798, </w:t>
      </w:r>
      <w:r w:rsidRPr="00544A34">
        <w:t>811-12</w:t>
      </w:r>
      <w:r w:rsidRPr="00DF45DE">
        <w:t xml:space="preserve">, 711 P.2d 319 (1985) </w:t>
      </w:r>
      <w:r>
        <w:t>(</w:t>
      </w:r>
      <w:r w:rsidRPr="00544A34">
        <w:rPr>
          <w:i/>
        </w:rPr>
        <w:t>POWER</w:t>
      </w:r>
      <w:r>
        <w:t xml:space="preserve">) </w:t>
      </w:r>
      <w:r w:rsidRPr="00544A34">
        <w:t xml:space="preserve">(quoting </w:t>
      </w:r>
      <w:r w:rsidRPr="00544A34">
        <w:rPr>
          <w:i/>
        </w:rPr>
        <w:t>Permian Basin</w:t>
      </w:r>
      <w:r w:rsidRPr="00544A34">
        <w:t>).</w:t>
      </w:r>
    </w:p>
  </w:footnote>
  <w:footnote w:id="23">
    <w:p w:rsidR="00365063" w:rsidRDefault="00365063" w:rsidP="00804292">
      <w:pPr>
        <w:pStyle w:val="FootnoteText"/>
        <w:jc w:val="both"/>
      </w:pPr>
      <w:r>
        <w:rPr>
          <w:rStyle w:val="FootnoteReference"/>
        </w:rPr>
        <w:footnoteRef/>
      </w:r>
      <w:r>
        <w:t xml:space="preserve"> Order 05, n. 196.</w:t>
      </w:r>
    </w:p>
  </w:footnote>
  <w:footnote w:id="24">
    <w:p w:rsidR="00365063" w:rsidRDefault="00365063" w:rsidP="007D74FC">
      <w:pPr>
        <w:pStyle w:val="FootnoteText"/>
        <w:jc w:val="both"/>
      </w:pPr>
      <w:r>
        <w:rPr>
          <w:rStyle w:val="FootnoteReference"/>
        </w:rPr>
        <w:footnoteRef/>
      </w:r>
      <w:r>
        <w:t xml:space="preserve"> Order 05, ¶134.</w:t>
      </w:r>
    </w:p>
  </w:footnote>
  <w:footnote w:id="25">
    <w:p w:rsidR="00365063" w:rsidRDefault="00365063" w:rsidP="00804292">
      <w:pPr>
        <w:pStyle w:val="FootnoteText"/>
        <w:jc w:val="both"/>
      </w:pPr>
      <w:r>
        <w:rPr>
          <w:rStyle w:val="FootnoteReference"/>
        </w:rPr>
        <w:footnoteRef/>
      </w:r>
      <w:r>
        <w:t xml:space="preserve"> See Exhibit No. KON-1T, p. 31.</w:t>
      </w:r>
    </w:p>
  </w:footnote>
  <w:footnote w:id="26">
    <w:p w:rsidR="00365063" w:rsidRDefault="00365063">
      <w:pPr>
        <w:pStyle w:val="FootnoteText"/>
      </w:pPr>
      <w:r>
        <w:rPr>
          <w:rStyle w:val="FootnoteReference"/>
        </w:rPr>
        <w:footnoteRef/>
      </w:r>
      <w:r>
        <w:t>Docket Nos. UE-120436 and UG-120437, Order 14, ¶70 (December 26, 2012).</w:t>
      </w:r>
    </w:p>
  </w:footnote>
  <w:footnote w:id="27">
    <w:p w:rsidR="00365063" w:rsidRDefault="00365063" w:rsidP="00804292">
      <w:pPr>
        <w:pStyle w:val="FootnoteText"/>
        <w:jc w:val="both"/>
      </w:pPr>
      <w:r>
        <w:rPr>
          <w:rStyle w:val="FootnoteReference"/>
        </w:rPr>
        <w:footnoteRef/>
      </w:r>
      <w:r>
        <w:t xml:space="preserve"> Exhibit No. KON-1T, p. 13.</w:t>
      </w:r>
    </w:p>
  </w:footnote>
  <w:footnote w:id="28">
    <w:p w:rsidR="00365063" w:rsidRDefault="00365063" w:rsidP="00B12F23">
      <w:pPr>
        <w:pStyle w:val="FootnoteText"/>
        <w:jc w:val="both"/>
      </w:pPr>
      <w:r>
        <w:rPr>
          <w:rStyle w:val="FootnoteReference"/>
        </w:rPr>
        <w:footnoteRef/>
      </w:r>
      <w:r>
        <w:t xml:space="preserve"> </w:t>
      </w:r>
      <w:r w:rsidRPr="00B12F23">
        <w:t xml:space="preserve">Even if one were to look solely at the Washington electric after-the-fact earnings results, the differences between the normalized earned returns for 2013 and 2014 and the authorized return were within a reasonable range.  The electric earned return in 2013 was 9.9% </w:t>
      </w:r>
      <w:proofErr w:type="spellStart"/>
      <w:r w:rsidRPr="00B12F23">
        <w:t>vs</w:t>
      </w:r>
      <w:proofErr w:type="spellEnd"/>
      <w:r w:rsidRPr="00B12F23">
        <w:t xml:space="preserve"> the authorized return of 9.8%.  For 2014, as Avista explained in this docket, the pension and post-retirement medical expense took an unexpected drop in 2014, but then went back up in 2015 to a level similar to 2013.  Cross Exhibit No. 9, Attachment A shows expense for 2013, 2014, and 2015 of $18.7 million, $14.1 million, and $18.7 million, respectively.  The decrease in 2014 was related to favorable returns on the fund balances in 2014 (</w:t>
      </w:r>
      <w:proofErr w:type="spellStart"/>
      <w:r w:rsidRPr="00B12F23">
        <w:t>TR</w:t>
      </w:r>
      <w:proofErr w:type="spellEnd"/>
      <w:r w:rsidRPr="00B12F23">
        <w:t xml:space="preserve"> 197:22 – 198:3), and changes in interest rates and discount rates (</w:t>
      </w:r>
      <w:proofErr w:type="spellStart"/>
      <w:r w:rsidRPr="00B12F23">
        <w:t>TR</w:t>
      </w:r>
      <w:proofErr w:type="spellEnd"/>
      <w:r w:rsidRPr="00B12F23">
        <w:t xml:space="preserve"> 203:25 – 204:4).  Removing this one-year aberration in expense for 2014, which was beyond the control of the Company, reduces the normalized ROE for Washington electric operations from 10.6% to 10.2%.  The $4.6 million drop from 2013 to 2014 is equal to 42 basis points on ROE</w:t>
      </w:r>
      <w:r>
        <w:t>. F</w:t>
      </w:r>
      <w:r w:rsidRPr="00B12F23">
        <w:t>or Avista’s electric operations, 10 basis points on ROE is equal to $1.1 million in revenue requirement (0.1% x $675.6 million from Table 2, line f. ÷ 0.62018 from Table 2, line d., Note 4.) $4.6 million ÷ $1.1 million = 42 basis points or 0.42% ROE.  This 10.2% ROE is reasonably close to the 9.8% authorized level.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8B2"/>
    <w:multiLevelType w:val="hybridMultilevel"/>
    <w:tmpl w:val="24B230DC"/>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1E673C"/>
    <w:multiLevelType w:val="hybridMultilevel"/>
    <w:tmpl w:val="5226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C06BB"/>
    <w:multiLevelType w:val="hybridMultilevel"/>
    <w:tmpl w:val="B734EA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14D271E3"/>
    <w:multiLevelType w:val="hybridMultilevel"/>
    <w:tmpl w:val="E5B4ED3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nsid w:val="1A851D96"/>
    <w:multiLevelType w:val="hybridMultilevel"/>
    <w:tmpl w:val="9A842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1E64204C"/>
    <w:multiLevelType w:val="hybridMultilevel"/>
    <w:tmpl w:val="DFC4F3AE"/>
    <w:lvl w:ilvl="0" w:tplc="A81CD388">
      <w:start w:val="1"/>
      <w:numFmt w:val="decimal"/>
      <w:pStyle w:val="FindingsConclusions"/>
      <w:lvlText w:val="%1"/>
      <w:lvlJc w:val="left"/>
      <w:pPr>
        <w:tabs>
          <w:tab w:val="num" w:pos="1080"/>
        </w:tabs>
        <w:ind w:left="1080" w:hanging="1080"/>
      </w:pPr>
      <w:rPr>
        <w:rFonts w:hint="default"/>
        <w:b w:val="0"/>
        <w:i/>
        <w:sz w:val="20"/>
      </w:rPr>
    </w:lvl>
    <w:lvl w:ilvl="1" w:tplc="5B08A2AA">
      <w:start w:val="1"/>
      <w:numFmt w:val="decimal"/>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1B4A31"/>
    <w:multiLevelType w:val="hybridMultilevel"/>
    <w:tmpl w:val="E64A5C1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250C9D"/>
    <w:multiLevelType w:val="hybridMultilevel"/>
    <w:tmpl w:val="1248AB8C"/>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8118D7"/>
    <w:multiLevelType w:val="hybridMultilevel"/>
    <w:tmpl w:val="61FA2D56"/>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507388D"/>
    <w:multiLevelType w:val="hybridMultilevel"/>
    <w:tmpl w:val="75EEB832"/>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69D7FDC"/>
    <w:multiLevelType w:val="hybridMultilevel"/>
    <w:tmpl w:val="FBB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79D722F"/>
    <w:multiLevelType w:val="hybridMultilevel"/>
    <w:tmpl w:val="9F10971C"/>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7E819C3"/>
    <w:multiLevelType w:val="hybridMultilevel"/>
    <w:tmpl w:val="1D603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2F575074"/>
    <w:multiLevelType w:val="hybridMultilevel"/>
    <w:tmpl w:val="5E426D8A"/>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AE5319"/>
    <w:multiLevelType w:val="hybridMultilevel"/>
    <w:tmpl w:val="3C92F57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7">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8">
    <w:nsid w:val="40B40D11"/>
    <w:multiLevelType w:val="hybridMultilevel"/>
    <w:tmpl w:val="03DEAA2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1">
    <w:nsid w:val="4F0D67E4"/>
    <w:multiLevelType w:val="hybridMultilevel"/>
    <w:tmpl w:val="EAAA0B4E"/>
    <w:lvl w:ilvl="0" w:tplc="CFA0BFA6">
      <w:start w:val="1"/>
      <w:numFmt w:val="decimal"/>
      <w:lvlText w:val="%1"/>
      <w:lvlJc w:val="left"/>
      <w:pPr>
        <w:tabs>
          <w:tab w:val="num" w:pos="966"/>
        </w:tabs>
        <w:ind w:left="966" w:hanging="816"/>
      </w:pPr>
      <w:rPr>
        <w:rFonts w:cs="Times New Roman" w:hint="default"/>
        <w:b w:val="0"/>
        <w:bCs w:val="0"/>
        <w:i/>
        <w:iCs/>
        <w:color w:val="auto"/>
        <w:sz w:val="18"/>
        <w:szCs w:val="18"/>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nsid w:val="52DC79BD"/>
    <w:multiLevelType w:val="hybridMultilevel"/>
    <w:tmpl w:val="FDD6B3E4"/>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3">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34">
    <w:nsid w:val="59C067DA"/>
    <w:multiLevelType w:val="hybridMultilevel"/>
    <w:tmpl w:val="D5406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867C13"/>
    <w:multiLevelType w:val="hybridMultilevel"/>
    <w:tmpl w:val="90B86B64"/>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D165FCB"/>
    <w:multiLevelType w:val="hybridMultilevel"/>
    <w:tmpl w:val="4E683C96"/>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E3F70BF"/>
    <w:multiLevelType w:val="hybridMultilevel"/>
    <w:tmpl w:val="10EA56C4"/>
    <w:lvl w:ilvl="0" w:tplc="D8D03DB6">
      <w:start w:val="16"/>
      <w:numFmt w:val="bullet"/>
      <w:lvlText w:val="•"/>
      <w:lvlJc w:val="left"/>
      <w:pPr>
        <w:ind w:left="560" w:hanging="360"/>
      </w:pPr>
      <w:rPr>
        <w:rFonts w:ascii="Times New Roman" w:eastAsiaTheme="minorHAnsi" w:hAnsi="Times New Roman" w:cs="Times New Roman" w:hint="default"/>
        <w:color w:val="000000"/>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8">
    <w:nsid w:val="657D4861"/>
    <w:multiLevelType w:val="hybridMultilevel"/>
    <w:tmpl w:val="C62AF112"/>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BD8007D"/>
    <w:multiLevelType w:val="hybridMultilevel"/>
    <w:tmpl w:val="CB46C2C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5">
    <w:nsid w:val="7D0B5EE2"/>
    <w:multiLevelType w:val="hybridMultilevel"/>
    <w:tmpl w:val="BD305920"/>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DE4ED7"/>
    <w:multiLevelType w:val="hybridMultilevel"/>
    <w:tmpl w:val="A68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3"/>
  </w:num>
  <w:num w:numId="4">
    <w:abstractNumId w:val="43"/>
  </w:num>
  <w:num w:numId="5">
    <w:abstractNumId w:val="22"/>
  </w:num>
  <w:num w:numId="6">
    <w:abstractNumId w:val="27"/>
  </w:num>
  <w:num w:numId="7">
    <w:abstractNumId w:val="26"/>
  </w:num>
  <w:num w:numId="8">
    <w:abstractNumId w:val="6"/>
  </w:num>
  <w:num w:numId="9">
    <w:abstractNumId w:val="2"/>
  </w:num>
  <w:num w:numId="10">
    <w:abstractNumId w:val="40"/>
  </w:num>
  <w:num w:numId="11">
    <w:abstractNumId w:val="44"/>
  </w:num>
  <w:num w:numId="12">
    <w:abstractNumId w:val="21"/>
  </w:num>
  <w:num w:numId="13">
    <w:abstractNumId w:val="32"/>
  </w:num>
  <w:num w:numId="14">
    <w:abstractNumId w:val="39"/>
  </w:num>
  <w:num w:numId="15">
    <w:abstractNumId w:val="5"/>
  </w:num>
  <w:num w:numId="16">
    <w:abstractNumId w:val="8"/>
  </w:num>
  <w:num w:numId="17">
    <w:abstractNumId w:val="30"/>
  </w:num>
  <w:num w:numId="18">
    <w:abstractNumId w:val="29"/>
  </w:num>
  <w:num w:numId="19">
    <w:abstractNumId w:val="24"/>
  </w:num>
  <w:num w:numId="20">
    <w:abstractNumId w:val="1"/>
  </w:num>
  <w:num w:numId="21">
    <w:abstractNumId w:val="42"/>
  </w:num>
  <w:num w:numId="22">
    <w:abstractNumId w:val="7"/>
  </w:num>
  <w:num w:numId="23">
    <w:abstractNumId w:val="25"/>
  </w:num>
  <w:num w:numId="24">
    <w:abstractNumId w:val="11"/>
  </w:num>
  <w:num w:numId="25">
    <w:abstractNumId w:val="14"/>
  </w:num>
  <w:num w:numId="26">
    <w:abstractNumId w:val="9"/>
  </w:num>
  <w:num w:numId="27">
    <w:abstractNumId w:val="4"/>
  </w:num>
  <w:num w:numId="28">
    <w:abstractNumId w:val="34"/>
  </w:num>
  <w:num w:numId="29">
    <w:abstractNumId w:val="20"/>
  </w:num>
  <w:num w:numId="30">
    <w:abstractNumId w:val="37"/>
  </w:num>
  <w:num w:numId="31">
    <w:abstractNumId w:val="18"/>
  </w:num>
  <w:num w:numId="32">
    <w:abstractNumId w:val="46"/>
  </w:num>
  <w:num w:numId="33">
    <w:abstractNumId w:val="28"/>
  </w:num>
  <w:num w:numId="34">
    <w:abstractNumId w:val="23"/>
  </w:num>
  <w:num w:numId="35">
    <w:abstractNumId w:val="16"/>
  </w:num>
  <w:num w:numId="36">
    <w:abstractNumId w:val="15"/>
  </w:num>
  <w:num w:numId="37">
    <w:abstractNumId w:val="17"/>
  </w:num>
  <w:num w:numId="38">
    <w:abstractNumId w:val="38"/>
  </w:num>
  <w:num w:numId="39">
    <w:abstractNumId w:val="13"/>
  </w:num>
  <w:num w:numId="40">
    <w:abstractNumId w:val="45"/>
  </w:num>
  <w:num w:numId="41">
    <w:abstractNumId w:val="35"/>
  </w:num>
  <w:num w:numId="42">
    <w:abstractNumId w:val="0"/>
  </w:num>
  <w:num w:numId="43">
    <w:abstractNumId w:val="41"/>
  </w:num>
  <w:num w:numId="44">
    <w:abstractNumId w:val="36"/>
  </w:num>
  <w:num w:numId="45">
    <w:abstractNumId w:val="19"/>
  </w:num>
  <w:num w:numId="46">
    <w:abstractNumId w:val="3"/>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56321"/>
  </w:hdrShapeDefaults>
  <w:footnotePr>
    <w:footnote w:id="-1"/>
    <w:footnote w:id="0"/>
    <w:footnote w:id="1"/>
  </w:footnotePr>
  <w:endnotePr>
    <w:endnote w:id="-1"/>
    <w:endnote w:id="0"/>
    <w:endnote w:id="1"/>
  </w:endnotePr>
  <w:compat>
    <w:useFELayout/>
  </w:compat>
  <w:rsids>
    <w:rsidRoot w:val="003D453C"/>
    <w:rsid w:val="0000121D"/>
    <w:rsid w:val="00004144"/>
    <w:rsid w:val="00006885"/>
    <w:rsid w:val="00006A6C"/>
    <w:rsid w:val="00010AFC"/>
    <w:rsid w:val="00011864"/>
    <w:rsid w:val="00013E10"/>
    <w:rsid w:val="000149D1"/>
    <w:rsid w:val="00014A45"/>
    <w:rsid w:val="00015699"/>
    <w:rsid w:val="00016783"/>
    <w:rsid w:val="00016F0D"/>
    <w:rsid w:val="000204B9"/>
    <w:rsid w:val="00020511"/>
    <w:rsid w:val="00023C78"/>
    <w:rsid w:val="000259FF"/>
    <w:rsid w:val="00025A1B"/>
    <w:rsid w:val="000261D1"/>
    <w:rsid w:val="000267D0"/>
    <w:rsid w:val="00032BE9"/>
    <w:rsid w:val="000348E2"/>
    <w:rsid w:val="00036440"/>
    <w:rsid w:val="00036DC6"/>
    <w:rsid w:val="000429F5"/>
    <w:rsid w:val="000451B3"/>
    <w:rsid w:val="00047CBD"/>
    <w:rsid w:val="00051163"/>
    <w:rsid w:val="0005157E"/>
    <w:rsid w:val="000521BC"/>
    <w:rsid w:val="0005685D"/>
    <w:rsid w:val="00062D04"/>
    <w:rsid w:val="0006676D"/>
    <w:rsid w:val="00070DDE"/>
    <w:rsid w:val="0007292C"/>
    <w:rsid w:val="000735C6"/>
    <w:rsid w:val="00076C7E"/>
    <w:rsid w:val="00077C34"/>
    <w:rsid w:val="000801EE"/>
    <w:rsid w:val="0008186D"/>
    <w:rsid w:val="00082C5D"/>
    <w:rsid w:val="0008395E"/>
    <w:rsid w:val="0008544C"/>
    <w:rsid w:val="000856DB"/>
    <w:rsid w:val="00087466"/>
    <w:rsid w:val="000912E9"/>
    <w:rsid w:val="00092E15"/>
    <w:rsid w:val="00093905"/>
    <w:rsid w:val="00094C1E"/>
    <w:rsid w:val="0009542A"/>
    <w:rsid w:val="000967E5"/>
    <w:rsid w:val="000969D7"/>
    <w:rsid w:val="00097E8E"/>
    <w:rsid w:val="000A17E4"/>
    <w:rsid w:val="000A195C"/>
    <w:rsid w:val="000B13CF"/>
    <w:rsid w:val="000B3027"/>
    <w:rsid w:val="000B40F0"/>
    <w:rsid w:val="000B51D3"/>
    <w:rsid w:val="000B53B7"/>
    <w:rsid w:val="000B599B"/>
    <w:rsid w:val="000C32A3"/>
    <w:rsid w:val="000C55B4"/>
    <w:rsid w:val="000C5782"/>
    <w:rsid w:val="000C5C45"/>
    <w:rsid w:val="000D044A"/>
    <w:rsid w:val="000D16EB"/>
    <w:rsid w:val="000D4E34"/>
    <w:rsid w:val="000D629E"/>
    <w:rsid w:val="000D767D"/>
    <w:rsid w:val="000D7AE6"/>
    <w:rsid w:val="000E1E3A"/>
    <w:rsid w:val="000E33A5"/>
    <w:rsid w:val="000E49C9"/>
    <w:rsid w:val="000E4D17"/>
    <w:rsid w:val="000E587F"/>
    <w:rsid w:val="000F04D6"/>
    <w:rsid w:val="000F058D"/>
    <w:rsid w:val="000F3A90"/>
    <w:rsid w:val="000F3B62"/>
    <w:rsid w:val="000F41F5"/>
    <w:rsid w:val="000F4729"/>
    <w:rsid w:val="000F4CA6"/>
    <w:rsid w:val="000F54DA"/>
    <w:rsid w:val="000F7A62"/>
    <w:rsid w:val="00102BCD"/>
    <w:rsid w:val="001031C4"/>
    <w:rsid w:val="0010697C"/>
    <w:rsid w:val="001111D5"/>
    <w:rsid w:val="0011264D"/>
    <w:rsid w:val="00113D70"/>
    <w:rsid w:val="00115282"/>
    <w:rsid w:val="00116BD3"/>
    <w:rsid w:val="00120D59"/>
    <w:rsid w:val="00121717"/>
    <w:rsid w:val="001224AC"/>
    <w:rsid w:val="001234F8"/>
    <w:rsid w:val="00123B79"/>
    <w:rsid w:val="00124B1D"/>
    <w:rsid w:val="00126FF3"/>
    <w:rsid w:val="00127032"/>
    <w:rsid w:val="00130B93"/>
    <w:rsid w:val="00130FAE"/>
    <w:rsid w:val="001330AC"/>
    <w:rsid w:val="00133140"/>
    <w:rsid w:val="00134122"/>
    <w:rsid w:val="0014599A"/>
    <w:rsid w:val="00146685"/>
    <w:rsid w:val="00146BE0"/>
    <w:rsid w:val="00151CBE"/>
    <w:rsid w:val="00153F5E"/>
    <w:rsid w:val="001550DE"/>
    <w:rsid w:val="001554AC"/>
    <w:rsid w:val="00155C79"/>
    <w:rsid w:val="00156787"/>
    <w:rsid w:val="00157366"/>
    <w:rsid w:val="001614DA"/>
    <w:rsid w:val="0016683F"/>
    <w:rsid w:val="00166E91"/>
    <w:rsid w:val="00172B47"/>
    <w:rsid w:val="00172EC8"/>
    <w:rsid w:val="00174E60"/>
    <w:rsid w:val="00177C05"/>
    <w:rsid w:val="00190154"/>
    <w:rsid w:val="001909C2"/>
    <w:rsid w:val="00195D6E"/>
    <w:rsid w:val="00196FB0"/>
    <w:rsid w:val="00197C74"/>
    <w:rsid w:val="001A00C2"/>
    <w:rsid w:val="001A0A82"/>
    <w:rsid w:val="001A0C96"/>
    <w:rsid w:val="001A309F"/>
    <w:rsid w:val="001A386E"/>
    <w:rsid w:val="001A3CAC"/>
    <w:rsid w:val="001A3EA4"/>
    <w:rsid w:val="001A6CC8"/>
    <w:rsid w:val="001B0AA8"/>
    <w:rsid w:val="001B1D0A"/>
    <w:rsid w:val="001B407E"/>
    <w:rsid w:val="001C3B8B"/>
    <w:rsid w:val="001C5D0E"/>
    <w:rsid w:val="001C6551"/>
    <w:rsid w:val="001C7DB0"/>
    <w:rsid w:val="001C7EE0"/>
    <w:rsid w:val="001D1AF0"/>
    <w:rsid w:val="001D25B3"/>
    <w:rsid w:val="001D2866"/>
    <w:rsid w:val="001D57A8"/>
    <w:rsid w:val="001D6056"/>
    <w:rsid w:val="001D6CB2"/>
    <w:rsid w:val="001E0AE5"/>
    <w:rsid w:val="001E34C4"/>
    <w:rsid w:val="001E44A5"/>
    <w:rsid w:val="001F5646"/>
    <w:rsid w:val="001F5BE6"/>
    <w:rsid w:val="001F5D1C"/>
    <w:rsid w:val="001F6013"/>
    <w:rsid w:val="001F638D"/>
    <w:rsid w:val="00200608"/>
    <w:rsid w:val="0020310D"/>
    <w:rsid w:val="00203CE1"/>
    <w:rsid w:val="00206D1E"/>
    <w:rsid w:val="002070C6"/>
    <w:rsid w:val="002073D8"/>
    <w:rsid w:val="00211E24"/>
    <w:rsid w:val="00214167"/>
    <w:rsid w:val="0021495B"/>
    <w:rsid w:val="002158F0"/>
    <w:rsid w:val="002203FC"/>
    <w:rsid w:val="00222658"/>
    <w:rsid w:val="00224F42"/>
    <w:rsid w:val="00227511"/>
    <w:rsid w:val="002327B7"/>
    <w:rsid w:val="00232D89"/>
    <w:rsid w:val="00233AFF"/>
    <w:rsid w:val="00233BFF"/>
    <w:rsid w:val="0023515D"/>
    <w:rsid w:val="00236B2C"/>
    <w:rsid w:val="00236D60"/>
    <w:rsid w:val="00237239"/>
    <w:rsid w:val="002374FC"/>
    <w:rsid w:val="00237778"/>
    <w:rsid w:val="00241748"/>
    <w:rsid w:val="002423B5"/>
    <w:rsid w:val="0024590C"/>
    <w:rsid w:val="0025032A"/>
    <w:rsid w:val="002509C7"/>
    <w:rsid w:val="00250F13"/>
    <w:rsid w:val="0025116E"/>
    <w:rsid w:val="002517C3"/>
    <w:rsid w:val="00252DF4"/>
    <w:rsid w:val="00257217"/>
    <w:rsid w:val="002576A4"/>
    <w:rsid w:val="002607F9"/>
    <w:rsid w:val="00262355"/>
    <w:rsid w:val="00264407"/>
    <w:rsid w:val="0026583A"/>
    <w:rsid w:val="00265F27"/>
    <w:rsid w:val="00280232"/>
    <w:rsid w:val="00281B3C"/>
    <w:rsid w:val="00282CF0"/>
    <w:rsid w:val="00282D24"/>
    <w:rsid w:val="00283244"/>
    <w:rsid w:val="00285221"/>
    <w:rsid w:val="00287853"/>
    <w:rsid w:val="002917A1"/>
    <w:rsid w:val="002969A4"/>
    <w:rsid w:val="00297ADC"/>
    <w:rsid w:val="002A0A07"/>
    <w:rsid w:val="002A2ECE"/>
    <w:rsid w:val="002A39F3"/>
    <w:rsid w:val="002A4599"/>
    <w:rsid w:val="002A6860"/>
    <w:rsid w:val="002B1696"/>
    <w:rsid w:val="002B1B97"/>
    <w:rsid w:val="002B60BD"/>
    <w:rsid w:val="002B705C"/>
    <w:rsid w:val="002C10E4"/>
    <w:rsid w:val="002C1474"/>
    <w:rsid w:val="002C2EDA"/>
    <w:rsid w:val="002C693C"/>
    <w:rsid w:val="002D2174"/>
    <w:rsid w:val="002D326F"/>
    <w:rsid w:val="002D4EFA"/>
    <w:rsid w:val="002E2930"/>
    <w:rsid w:val="002E3393"/>
    <w:rsid w:val="002E564D"/>
    <w:rsid w:val="002E57DE"/>
    <w:rsid w:val="002E6800"/>
    <w:rsid w:val="002E772C"/>
    <w:rsid w:val="002F0031"/>
    <w:rsid w:val="002F0DE7"/>
    <w:rsid w:val="002F3AC6"/>
    <w:rsid w:val="002F3B14"/>
    <w:rsid w:val="002F4DF6"/>
    <w:rsid w:val="002F7805"/>
    <w:rsid w:val="003008D3"/>
    <w:rsid w:val="003013A2"/>
    <w:rsid w:val="003016BB"/>
    <w:rsid w:val="00302331"/>
    <w:rsid w:val="0031454E"/>
    <w:rsid w:val="003231FA"/>
    <w:rsid w:val="0032335A"/>
    <w:rsid w:val="00324C18"/>
    <w:rsid w:val="00341B33"/>
    <w:rsid w:val="0034483A"/>
    <w:rsid w:val="00344DF2"/>
    <w:rsid w:val="003453C3"/>
    <w:rsid w:val="00347FF1"/>
    <w:rsid w:val="00350684"/>
    <w:rsid w:val="00352033"/>
    <w:rsid w:val="00352830"/>
    <w:rsid w:val="00353986"/>
    <w:rsid w:val="00354915"/>
    <w:rsid w:val="00355281"/>
    <w:rsid w:val="003554A9"/>
    <w:rsid w:val="00355B46"/>
    <w:rsid w:val="00355C39"/>
    <w:rsid w:val="003566E8"/>
    <w:rsid w:val="00360698"/>
    <w:rsid w:val="003628D3"/>
    <w:rsid w:val="00363784"/>
    <w:rsid w:val="00365063"/>
    <w:rsid w:val="00366A71"/>
    <w:rsid w:val="00366ECD"/>
    <w:rsid w:val="003672F4"/>
    <w:rsid w:val="00370326"/>
    <w:rsid w:val="00370F0B"/>
    <w:rsid w:val="00371B3D"/>
    <w:rsid w:val="00374836"/>
    <w:rsid w:val="00375FCB"/>
    <w:rsid w:val="00376454"/>
    <w:rsid w:val="003823C2"/>
    <w:rsid w:val="00382488"/>
    <w:rsid w:val="00385C54"/>
    <w:rsid w:val="0038636C"/>
    <w:rsid w:val="003902E6"/>
    <w:rsid w:val="003913C4"/>
    <w:rsid w:val="003922C3"/>
    <w:rsid w:val="00392781"/>
    <w:rsid w:val="00394794"/>
    <w:rsid w:val="003A014E"/>
    <w:rsid w:val="003A2A0F"/>
    <w:rsid w:val="003A2BE1"/>
    <w:rsid w:val="003A7081"/>
    <w:rsid w:val="003A71F9"/>
    <w:rsid w:val="003A74FB"/>
    <w:rsid w:val="003A797F"/>
    <w:rsid w:val="003B09A0"/>
    <w:rsid w:val="003B33B3"/>
    <w:rsid w:val="003B38BD"/>
    <w:rsid w:val="003B3EF9"/>
    <w:rsid w:val="003B62AB"/>
    <w:rsid w:val="003C17C1"/>
    <w:rsid w:val="003C367B"/>
    <w:rsid w:val="003C77C5"/>
    <w:rsid w:val="003D003E"/>
    <w:rsid w:val="003D1F52"/>
    <w:rsid w:val="003D2170"/>
    <w:rsid w:val="003D26E8"/>
    <w:rsid w:val="003D33D3"/>
    <w:rsid w:val="003D3A71"/>
    <w:rsid w:val="003D453C"/>
    <w:rsid w:val="003D4BD1"/>
    <w:rsid w:val="003D4D4A"/>
    <w:rsid w:val="003D622B"/>
    <w:rsid w:val="003D632B"/>
    <w:rsid w:val="003D7CD4"/>
    <w:rsid w:val="003E00D7"/>
    <w:rsid w:val="003E09B6"/>
    <w:rsid w:val="003E09D6"/>
    <w:rsid w:val="003E0A8C"/>
    <w:rsid w:val="003E0C2C"/>
    <w:rsid w:val="003E1E74"/>
    <w:rsid w:val="003E1FBA"/>
    <w:rsid w:val="003E4715"/>
    <w:rsid w:val="003E4CF1"/>
    <w:rsid w:val="003E7A8A"/>
    <w:rsid w:val="003F0AEA"/>
    <w:rsid w:val="003F0E35"/>
    <w:rsid w:val="003F50AC"/>
    <w:rsid w:val="003F579E"/>
    <w:rsid w:val="003F5F30"/>
    <w:rsid w:val="003F6800"/>
    <w:rsid w:val="003F79B6"/>
    <w:rsid w:val="00407049"/>
    <w:rsid w:val="00407EBA"/>
    <w:rsid w:val="0041023B"/>
    <w:rsid w:val="00412F8B"/>
    <w:rsid w:val="0041462B"/>
    <w:rsid w:val="0041476F"/>
    <w:rsid w:val="004225E1"/>
    <w:rsid w:val="0042479C"/>
    <w:rsid w:val="004248EE"/>
    <w:rsid w:val="00427DDF"/>
    <w:rsid w:val="0043001A"/>
    <w:rsid w:val="004300B2"/>
    <w:rsid w:val="004304B6"/>
    <w:rsid w:val="00430754"/>
    <w:rsid w:val="004317A3"/>
    <w:rsid w:val="00431A26"/>
    <w:rsid w:val="00432116"/>
    <w:rsid w:val="00432585"/>
    <w:rsid w:val="00432D53"/>
    <w:rsid w:val="00434F2E"/>
    <w:rsid w:val="0043505B"/>
    <w:rsid w:val="00436664"/>
    <w:rsid w:val="004373EF"/>
    <w:rsid w:val="0044103D"/>
    <w:rsid w:val="00447F76"/>
    <w:rsid w:val="00450E9D"/>
    <w:rsid w:val="004511D2"/>
    <w:rsid w:val="00453C50"/>
    <w:rsid w:val="0045447F"/>
    <w:rsid w:val="00455552"/>
    <w:rsid w:val="004558AA"/>
    <w:rsid w:val="004563CF"/>
    <w:rsid w:val="00456484"/>
    <w:rsid w:val="00460858"/>
    <w:rsid w:val="00467192"/>
    <w:rsid w:val="00467215"/>
    <w:rsid w:val="00467CC5"/>
    <w:rsid w:val="0047000B"/>
    <w:rsid w:val="00472002"/>
    <w:rsid w:val="0047360F"/>
    <w:rsid w:val="00477307"/>
    <w:rsid w:val="00480006"/>
    <w:rsid w:val="00481F84"/>
    <w:rsid w:val="004837FC"/>
    <w:rsid w:val="004850A5"/>
    <w:rsid w:val="00492331"/>
    <w:rsid w:val="00492B86"/>
    <w:rsid w:val="00492C35"/>
    <w:rsid w:val="004961D8"/>
    <w:rsid w:val="0049735F"/>
    <w:rsid w:val="004A00C8"/>
    <w:rsid w:val="004A1C3A"/>
    <w:rsid w:val="004A35C0"/>
    <w:rsid w:val="004A405F"/>
    <w:rsid w:val="004A4C6B"/>
    <w:rsid w:val="004B0596"/>
    <w:rsid w:val="004B14A8"/>
    <w:rsid w:val="004B14D3"/>
    <w:rsid w:val="004B5975"/>
    <w:rsid w:val="004C0E70"/>
    <w:rsid w:val="004C4BFC"/>
    <w:rsid w:val="004D1F58"/>
    <w:rsid w:val="004D2A83"/>
    <w:rsid w:val="004D47A6"/>
    <w:rsid w:val="004D6B97"/>
    <w:rsid w:val="004D773D"/>
    <w:rsid w:val="004D7F09"/>
    <w:rsid w:val="004E27FC"/>
    <w:rsid w:val="004E2C7E"/>
    <w:rsid w:val="004E58CF"/>
    <w:rsid w:val="004F005B"/>
    <w:rsid w:val="004F0587"/>
    <w:rsid w:val="004F3D48"/>
    <w:rsid w:val="004F6400"/>
    <w:rsid w:val="004F6FCB"/>
    <w:rsid w:val="0050193C"/>
    <w:rsid w:val="005023F6"/>
    <w:rsid w:val="005057FB"/>
    <w:rsid w:val="00505BF1"/>
    <w:rsid w:val="00511622"/>
    <w:rsid w:val="00511B6A"/>
    <w:rsid w:val="00512739"/>
    <w:rsid w:val="00516326"/>
    <w:rsid w:val="0052118D"/>
    <w:rsid w:val="00522D49"/>
    <w:rsid w:val="00525A73"/>
    <w:rsid w:val="00525B11"/>
    <w:rsid w:val="00525D0D"/>
    <w:rsid w:val="0052684A"/>
    <w:rsid w:val="005327B2"/>
    <w:rsid w:val="005367AA"/>
    <w:rsid w:val="005370D3"/>
    <w:rsid w:val="00540362"/>
    <w:rsid w:val="00545CB0"/>
    <w:rsid w:val="00545D79"/>
    <w:rsid w:val="00546DC5"/>
    <w:rsid w:val="00553EDB"/>
    <w:rsid w:val="0055565B"/>
    <w:rsid w:val="0055717E"/>
    <w:rsid w:val="00557AED"/>
    <w:rsid w:val="005608DD"/>
    <w:rsid w:val="005615C2"/>
    <w:rsid w:val="00566937"/>
    <w:rsid w:val="005713DD"/>
    <w:rsid w:val="00571991"/>
    <w:rsid w:val="0057264C"/>
    <w:rsid w:val="005727A1"/>
    <w:rsid w:val="00572CCF"/>
    <w:rsid w:val="005739ED"/>
    <w:rsid w:val="00574569"/>
    <w:rsid w:val="00574CBC"/>
    <w:rsid w:val="00575257"/>
    <w:rsid w:val="00575DAD"/>
    <w:rsid w:val="00576C07"/>
    <w:rsid w:val="00580D82"/>
    <w:rsid w:val="005814C5"/>
    <w:rsid w:val="005837CF"/>
    <w:rsid w:val="00584BEB"/>
    <w:rsid w:val="00587AF3"/>
    <w:rsid w:val="005941F8"/>
    <w:rsid w:val="005A01F8"/>
    <w:rsid w:val="005A08E9"/>
    <w:rsid w:val="005A0AE0"/>
    <w:rsid w:val="005A0F85"/>
    <w:rsid w:val="005A1D95"/>
    <w:rsid w:val="005A1E2E"/>
    <w:rsid w:val="005A3125"/>
    <w:rsid w:val="005A3CE6"/>
    <w:rsid w:val="005A63BE"/>
    <w:rsid w:val="005A6A70"/>
    <w:rsid w:val="005B0926"/>
    <w:rsid w:val="005B51D4"/>
    <w:rsid w:val="005B58EE"/>
    <w:rsid w:val="005B59D7"/>
    <w:rsid w:val="005B730A"/>
    <w:rsid w:val="005C00DA"/>
    <w:rsid w:val="005C26CE"/>
    <w:rsid w:val="005C2D27"/>
    <w:rsid w:val="005C3D15"/>
    <w:rsid w:val="005C5A65"/>
    <w:rsid w:val="005C7F1A"/>
    <w:rsid w:val="005D57F7"/>
    <w:rsid w:val="005D5DCE"/>
    <w:rsid w:val="005D62F0"/>
    <w:rsid w:val="005D7888"/>
    <w:rsid w:val="005D7A4C"/>
    <w:rsid w:val="005D7EE3"/>
    <w:rsid w:val="005E2002"/>
    <w:rsid w:val="005E2833"/>
    <w:rsid w:val="005E436A"/>
    <w:rsid w:val="005E4F5C"/>
    <w:rsid w:val="005E5E10"/>
    <w:rsid w:val="005E7BA8"/>
    <w:rsid w:val="005F625E"/>
    <w:rsid w:val="00600F54"/>
    <w:rsid w:val="006011CB"/>
    <w:rsid w:val="00601670"/>
    <w:rsid w:val="006032B2"/>
    <w:rsid w:val="006057E8"/>
    <w:rsid w:val="006062B5"/>
    <w:rsid w:val="006072AD"/>
    <w:rsid w:val="006102E2"/>
    <w:rsid w:val="00611060"/>
    <w:rsid w:val="00612264"/>
    <w:rsid w:val="00612BED"/>
    <w:rsid w:val="00614315"/>
    <w:rsid w:val="00615F49"/>
    <w:rsid w:val="006204F2"/>
    <w:rsid w:val="00625E9C"/>
    <w:rsid w:val="00626E62"/>
    <w:rsid w:val="006315E6"/>
    <w:rsid w:val="0063208B"/>
    <w:rsid w:val="00634375"/>
    <w:rsid w:val="0063561C"/>
    <w:rsid w:val="00636395"/>
    <w:rsid w:val="00637774"/>
    <w:rsid w:val="006407FA"/>
    <w:rsid w:val="0064433F"/>
    <w:rsid w:val="00645257"/>
    <w:rsid w:val="00646B0C"/>
    <w:rsid w:val="00650494"/>
    <w:rsid w:val="006521EC"/>
    <w:rsid w:val="00655BDC"/>
    <w:rsid w:val="0065652B"/>
    <w:rsid w:val="006647AC"/>
    <w:rsid w:val="006658C8"/>
    <w:rsid w:val="006675C0"/>
    <w:rsid w:val="0067022C"/>
    <w:rsid w:val="006804B5"/>
    <w:rsid w:val="00681662"/>
    <w:rsid w:val="00682E30"/>
    <w:rsid w:val="00683825"/>
    <w:rsid w:val="006870D1"/>
    <w:rsid w:val="00687B02"/>
    <w:rsid w:val="00696A78"/>
    <w:rsid w:val="00696C06"/>
    <w:rsid w:val="006A145A"/>
    <w:rsid w:val="006A3349"/>
    <w:rsid w:val="006A337C"/>
    <w:rsid w:val="006A3C70"/>
    <w:rsid w:val="006B0AA6"/>
    <w:rsid w:val="006B5D30"/>
    <w:rsid w:val="006B69F1"/>
    <w:rsid w:val="006C0103"/>
    <w:rsid w:val="006C01B6"/>
    <w:rsid w:val="006C0688"/>
    <w:rsid w:val="006C08D5"/>
    <w:rsid w:val="006C278C"/>
    <w:rsid w:val="006D25E5"/>
    <w:rsid w:val="006D67AF"/>
    <w:rsid w:val="006D7B63"/>
    <w:rsid w:val="006E48A3"/>
    <w:rsid w:val="006E4F67"/>
    <w:rsid w:val="006E60CB"/>
    <w:rsid w:val="006E626A"/>
    <w:rsid w:val="006E776B"/>
    <w:rsid w:val="006F2CF9"/>
    <w:rsid w:val="006F2F10"/>
    <w:rsid w:val="006F31DD"/>
    <w:rsid w:val="006F3DC7"/>
    <w:rsid w:val="006F4D26"/>
    <w:rsid w:val="006F5B49"/>
    <w:rsid w:val="007000DA"/>
    <w:rsid w:val="00702EA4"/>
    <w:rsid w:val="00703C4E"/>
    <w:rsid w:val="0070641D"/>
    <w:rsid w:val="0070712A"/>
    <w:rsid w:val="0071071B"/>
    <w:rsid w:val="0071257D"/>
    <w:rsid w:val="00712CBC"/>
    <w:rsid w:val="0071482E"/>
    <w:rsid w:val="00721984"/>
    <w:rsid w:val="0072632C"/>
    <w:rsid w:val="00726E4A"/>
    <w:rsid w:val="00726F4F"/>
    <w:rsid w:val="00727895"/>
    <w:rsid w:val="007317EA"/>
    <w:rsid w:val="00733B9C"/>
    <w:rsid w:val="00734E06"/>
    <w:rsid w:val="00740588"/>
    <w:rsid w:val="00741F6C"/>
    <w:rsid w:val="00742523"/>
    <w:rsid w:val="00742D31"/>
    <w:rsid w:val="00742E1C"/>
    <w:rsid w:val="00744154"/>
    <w:rsid w:val="00744694"/>
    <w:rsid w:val="00744740"/>
    <w:rsid w:val="007467FB"/>
    <w:rsid w:val="00746E2A"/>
    <w:rsid w:val="00750DE8"/>
    <w:rsid w:val="00752FC8"/>
    <w:rsid w:val="007541A7"/>
    <w:rsid w:val="007546BC"/>
    <w:rsid w:val="00754A5B"/>
    <w:rsid w:val="00754EEF"/>
    <w:rsid w:val="0075772E"/>
    <w:rsid w:val="007626C8"/>
    <w:rsid w:val="00765EA1"/>
    <w:rsid w:val="00770604"/>
    <w:rsid w:val="00771DFD"/>
    <w:rsid w:val="00773A98"/>
    <w:rsid w:val="007755CA"/>
    <w:rsid w:val="007770F6"/>
    <w:rsid w:val="00783AC0"/>
    <w:rsid w:val="00784219"/>
    <w:rsid w:val="00786DAC"/>
    <w:rsid w:val="007878ED"/>
    <w:rsid w:val="00790C75"/>
    <w:rsid w:val="0079196D"/>
    <w:rsid w:val="00794CE1"/>
    <w:rsid w:val="00796721"/>
    <w:rsid w:val="007A2EB6"/>
    <w:rsid w:val="007A5001"/>
    <w:rsid w:val="007A71AE"/>
    <w:rsid w:val="007B36CA"/>
    <w:rsid w:val="007B4C61"/>
    <w:rsid w:val="007B4CE2"/>
    <w:rsid w:val="007B7DBB"/>
    <w:rsid w:val="007C39EF"/>
    <w:rsid w:val="007C614D"/>
    <w:rsid w:val="007C7DA8"/>
    <w:rsid w:val="007D113D"/>
    <w:rsid w:val="007D1469"/>
    <w:rsid w:val="007D2C3C"/>
    <w:rsid w:val="007D603A"/>
    <w:rsid w:val="007D6228"/>
    <w:rsid w:val="007D710B"/>
    <w:rsid w:val="007D74FC"/>
    <w:rsid w:val="007E4CCA"/>
    <w:rsid w:val="007E4D17"/>
    <w:rsid w:val="007E574A"/>
    <w:rsid w:val="007E6DE4"/>
    <w:rsid w:val="007E7B13"/>
    <w:rsid w:val="007E7CA1"/>
    <w:rsid w:val="007E7FA9"/>
    <w:rsid w:val="007F0605"/>
    <w:rsid w:val="007F3ADC"/>
    <w:rsid w:val="007F4488"/>
    <w:rsid w:val="007F5BDA"/>
    <w:rsid w:val="007F70C5"/>
    <w:rsid w:val="00800131"/>
    <w:rsid w:val="0080045C"/>
    <w:rsid w:val="00803300"/>
    <w:rsid w:val="008033A2"/>
    <w:rsid w:val="00804292"/>
    <w:rsid w:val="00804BA3"/>
    <w:rsid w:val="008052A5"/>
    <w:rsid w:val="00805FFD"/>
    <w:rsid w:val="0080666D"/>
    <w:rsid w:val="00807217"/>
    <w:rsid w:val="0080794F"/>
    <w:rsid w:val="00811271"/>
    <w:rsid w:val="00812E1E"/>
    <w:rsid w:val="008140E4"/>
    <w:rsid w:val="00816090"/>
    <w:rsid w:val="00816E9D"/>
    <w:rsid w:val="00817E30"/>
    <w:rsid w:val="00821551"/>
    <w:rsid w:val="00822502"/>
    <w:rsid w:val="00826D3E"/>
    <w:rsid w:val="00832E0D"/>
    <w:rsid w:val="00836F0F"/>
    <w:rsid w:val="00837986"/>
    <w:rsid w:val="00841A57"/>
    <w:rsid w:val="00841F89"/>
    <w:rsid w:val="008441EB"/>
    <w:rsid w:val="0084758C"/>
    <w:rsid w:val="00850841"/>
    <w:rsid w:val="00855238"/>
    <w:rsid w:val="00855F54"/>
    <w:rsid w:val="00856AD8"/>
    <w:rsid w:val="0086300D"/>
    <w:rsid w:val="00863AF0"/>
    <w:rsid w:val="0086479D"/>
    <w:rsid w:val="00865BB1"/>
    <w:rsid w:val="0087046F"/>
    <w:rsid w:val="008706EA"/>
    <w:rsid w:val="008723C9"/>
    <w:rsid w:val="00874563"/>
    <w:rsid w:val="00877072"/>
    <w:rsid w:val="008805F3"/>
    <w:rsid w:val="008807C3"/>
    <w:rsid w:val="00881AC1"/>
    <w:rsid w:val="00882500"/>
    <w:rsid w:val="008827FD"/>
    <w:rsid w:val="00882DC6"/>
    <w:rsid w:val="008842BC"/>
    <w:rsid w:val="00886330"/>
    <w:rsid w:val="0088713F"/>
    <w:rsid w:val="00890F05"/>
    <w:rsid w:val="00890F10"/>
    <w:rsid w:val="008928E2"/>
    <w:rsid w:val="008959D2"/>
    <w:rsid w:val="008A03B3"/>
    <w:rsid w:val="008A0967"/>
    <w:rsid w:val="008A3680"/>
    <w:rsid w:val="008B3895"/>
    <w:rsid w:val="008B39FA"/>
    <w:rsid w:val="008B422A"/>
    <w:rsid w:val="008B5562"/>
    <w:rsid w:val="008B667D"/>
    <w:rsid w:val="008B6EC7"/>
    <w:rsid w:val="008C4D3B"/>
    <w:rsid w:val="008D1305"/>
    <w:rsid w:val="008D4E21"/>
    <w:rsid w:val="008D56BE"/>
    <w:rsid w:val="008D696D"/>
    <w:rsid w:val="008E3FA1"/>
    <w:rsid w:val="008E788F"/>
    <w:rsid w:val="008E7DBE"/>
    <w:rsid w:val="008F4A8B"/>
    <w:rsid w:val="008F5021"/>
    <w:rsid w:val="008F5287"/>
    <w:rsid w:val="008F5B00"/>
    <w:rsid w:val="008F7D3F"/>
    <w:rsid w:val="008F7DBE"/>
    <w:rsid w:val="009041CC"/>
    <w:rsid w:val="00905B74"/>
    <w:rsid w:val="00907F99"/>
    <w:rsid w:val="009118E4"/>
    <w:rsid w:val="00912B53"/>
    <w:rsid w:val="00914189"/>
    <w:rsid w:val="00914290"/>
    <w:rsid w:val="00914335"/>
    <w:rsid w:val="00914F13"/>
    <w:rsid w:val="00917558"/>
    <w:rsid w:val="009177D6"/>
    <w:rsid w:val="00921223"/>
    <w:rsid w:val="00921762"/>
    <w:rsid w:val="009233BC"/>
    <w:rsid w:val="00923F82"/>
    <w:rsid w:val="009244B4"/>
    <w:rsid w:val="0092467B"/>
    <w:rsid w:val="00925B2F"/>
    <w:rsid w:val="009308B7"/>
    <w:rsid w:val="009324A6"/>
    <w:rsid w:val="00933776"/>
    <w:rsid w:val="009373AE"/>
    <w:rsid w:val="00940A43"/>
    <w:rsid w:val="00940FF8"/>
    <w:rsid w:val="009432E1"/>
    <w:rsid w:val="00943F15"/>
    <w:rsid w:val="0094644B"/>
    <w:rsid w:val="00946514"/>
    <w:rsid w:val="00952A18"/>
    <w:rsid w:val="00953A07"/>
    <w:rsid w:val="00960DE3"/>
    <w:rsid w:val="00966ABC"/>
    <w:rsid w:val="009676E2"/>
    <w:rsid w:val="009723FE"/>
    <w:rsid w:val="0097320D"/>
    <w:rsid w:val="009747BD"/>
    <w:rsid w:val="00976E8F"/>
    <w:rsid w:val="009811EB"/>
    <w:rsid w:val="00981388"/>
    <w:rsid w:val="0098152B"/>
    <w:rsid w:val="009820D5"/>
    <w:rsid w:val="009839AD"/>
    <w:rsid w:val="0098478C"/>
    <w:rsid w:val="00984C21"/>
    <w:rsid w:val="0098630A"/>
    <w:rsid w:val="00994B45"/>
    <w:rsid w:val="009950B0"/>
    <w:rsid w:val="00997DF8"/>
    <w:rsid w:val="009A2717"/>
    <w:rsid w:val="009A3495"/>
    <w:rsid w:val="009A515C"/>
    <w:rsid w:val="009A6A34"/>
    <w:rsid w:val="009B0EE6"/>
    <w:rsid w:val="009B75CD"/>
    <w:rsid w:val="009C1B5C"/>
    <w:rsid w:val="009C6017"/>
    <w:rsid w:val="009C6BE0"/>
    <w:rsid w:val="009D1690"/>
    <w:rsid w:val="009D33EA"/>
    <w:rsid w:val="009D359B"/>
    <w:rsid w:val="009D4E33"/>
    <w:rsid w:val="009E10D3"/>
    <w:rsid w:val="009E1C05"/>
    <w:rsid w:val="009E21B4"/>
    <w:rsid w:val="009E3A6F"/>
    <w:rsid w:val="009E5E61"/>
    <w:rsid w:val="009E7FF4"/>
    <w:rsid w:val="009F2DF8"/>
    <w:rsid w:val="009F2E9C"/>
    <w:rsid w:val="009F3E76"/>
    <w:rsid w:val="009F7689"/>
    <w:rsid w:val="009F7FD7"/>
    <w:rsid w:val="00A00C6D"/>
    <w:rsid w:val="00A02A76"/>
    <w:rsid w:val="00A07FCB"/>
    <w:rsid w:val="00A108D9"/>
    <w:rsid w:val="00A10E5A"/>
    <w:rsid w:val="00A12385"/>
    <w:rsid w:val="00A215ED"/>
    <w:rsid w:val="00A21ADA"/>
    <w:rsid w:val="00A21C17"/>
    <w:rsid w:val="00A24F6C"/>
    <w:rsid w:val="00A25EE5"/>
    <w:rsid w:val="00A26CD4"/>
    <w:rsid w:val="00A26D49"/>
    <w:rsid w:val="00A304C6"/>
    <w:rsid w:val="00A3323D"/>
    <w:rsid w:val="00A33721"/>
    <w:rsid w:val="00A343B6"/>
    <w:rsid w:val="00A34C91"/>
    <w:rsid w:val="00A356E9"/>
    <w:rsid w:val="00A3607E"/>
    <w:rsid w:val="00A41A50"/>
    <w:rsid w:val="00A440EA"/>
    <w:rsid w:val="00A4511A"/>
    <w:rsid w:val="00A4563B"/>
    <w:rsid w:val="00A46F07"/>
    <w:rsid w:val="00A50FE7"/>
    <w:rsid w:val="00A51EDD"/>
    <w:rsid w:val="00A537A7"/>
    <w:rsid w:val="00A53AF6"/>
    <w:rsid w:val="00A609DB"/>
    <w:rsid w:val="00A61B12"/>
    <w:rsid w:val="00A621F1"/>
    <w:rsid w:val="00A64731"/>
    <w:rsid w:val="00A6537D"/>
    <w:rsid w:val="00A669CC"/>
    <w:rsid w:val="00A72120"/>
    <w:rsid w:val="00A81DD0"/>
    <w:rsid w:val="00A83E30"/>
    <w:rsid w:val="00A86614"/>
    <w:rsid w:val="00A86F4B"/>
    <w:rsid w:val="00A87961"/>
    <w:rsid w:val="00A90F81"/>
    <w:rsid w:val="00A9115F"/>
    <w:rsid w:val="00A914F5"/>
    <w:rsid w:val="00A91BDD"/>
    <w:rsid w:val="00A9303D"/>
    <w:rsid w:val="00A949F8"/>
    <w:rsid w:val="00A94AD3"/>
    <w:rsid w:val="00A97739"/>
    <w:rsid w:val="00AA12F2"/>
    <w:rsid w:val="00AA16C7"/>
    <w:rsid w:val="00AA732F"/>
    <w:rsid w:val="00AB0554"/>
    <w:rsid w:val="00AB0DBC"/>
    <w:rsid w:val="00AB2C86"/>
    <w:rsid w:val="00AB2FAD"/>
    <w:rsid w:val="00AB5FB8"/>
    <w:rsid w:val="00AB7748"/>
    <w:rsid w:val="00AB776E"/>
    <w:rsid w:val="00AC09FC"/>
    <w:rsid w:val="00AC18DD"/>
    <w:rsid w:val="00AC31BD"/>
    <w:rsid w:val="00AC3239"/>
    <w:rsid w:val="00AC37D0"/>
    <w:rsid w:val="00AC38D8"/>
    <w:rsid w:val="00AC4978"/>
    <w:rsid w:val="00AC6595"/>
    <w:rsid w:val="00AC66DD"/>
    <w:rsid w:val="00AC6977"/>
    <w:rsid w:val="00AD20A7"/>
    <w:rsid w:val="00AD351E"/>
    <w:rsid w:val="00AD4491"/>
    <w:rsid w:val="00AD6B0D"/>
    <w:rsid w:val="00AD7B29"/>
    <w:rsid w:val="00AE3BD7"/>
    <w:rsid w:val="00AE6D92"/>
    <w:rsid w:val="00AF15C7"/>
    <w:rsid w:val="00AF63BD"/>
    <w:rsid w:val="00AF64F2"/>
    <w:rsid w:val="00AF65B9"/>
    <w:rsid w:val="00AF75D6"/>
    <w:rsid w:val="00B02C11"/>
    <w:rsid w:val="00B05147"/>
    <w:rsid w:val="00B05E43"/>
    <w:rsid w:val="00B076BB"/>
    <w:rsid w:val="00B12F23"/>
    <w:rsid w:val="00B15870"/>
    <w:rsid w:val="00B209F5"/>
    <w:rsid w:val="00B221EF"/>
    <w:rsid w:val="00B24258"/>
    <w:rsid w:val="00B26698"/>
    <w:rsid w:val="00B27911"/>
    <w:rsid w:val="00B32142"/>
    <w:rsid w:val="00B3730C"/>
    <w:rsid w:val="00B424AF"/>
    <w:rsid w:val="00B42CD3"/>
    <w:rsid w:val="00B44087"/>
    <w:rsid w:val="00B45681"/>
    <w:rsid w:val="00B475EA"/>
    <w:rsid w:val="00B4798B"/>
    <w:rsid w:val="00B47ABF"/>
    <w:rsid w:val="00B51F8A"/>
    <w:rsid w:val="00B53DC7"/>
    <w:rsid w:val="00B54043"/>
    <w:rsid w:val="00B63548"/>
    <w:rsid w:val="00B63695"/>
    <w:rsid w:val="00B64591"/>
    <w:rsid w:val="00B6776D"/>
    <w:rsid w:val="00B67BD7"/>
    <w:rsid w:val="00B70F7A"/>
    <w:rsid w:val="00B71158"/>
    <w:rsid w:val="00B7148E"/>
    <w:rsid w:val="00B808DA"/>
    <w:rsid w:val="00B82DD5"/>
    <w:rsid w:val="00B837B7"/>
    <w:rsid w:val="00B84055"/>
    <w:rsid w:val="00B857FE"/>
    <w:rsid w:val="00B86A03"/>
    <w:rsid w:val="00B93E3B"/>
    <w:rsid w:val="00BA0A50"/>
    <w:rsid w:val="00BA1D9B"/>
    <w:rsid w:val="00BA20BB"/>
    <w:rsid w:val="00BA507F"/>
    <w:rsid w:val="00BA6A72"/>
    <w:rsid w:val="00BB178A"/>
    <w:rsid w:val="00BB5C1B"/>
    <w:rsid w:val="00BB6D04"/>
    <w:rsid w:val="00BC31BD"/>
    <w:rsid w:val="00BC3276"/>
    <w:rsid w:val="00BC35BA"/>
    <w:rsid w:val="00BD13B0"/>
    <w:rsid w:val="00BD150B"/>
    <w:rsid w:val="00BD2566"/>
    <w:rsid w:val="00BD3D62"/>
    <w:rsid w:val="00BD4EEF"/>
    <w:rsid w:val="00BF08E1"/>
    <w:rsid w:val="00BF0A30"/>
    <w:rsid w:val="00BF0E97"/>
    <w:rsid w:val="00BF1D83"/>
    <w:rsid w:val="00C03FDB"/>
    <w:rsid w:val="00C069B0"/>
    <w:rsid w:val="00C1099D"/>
    <w:rsid w:val="00C123F4"/>
    <w:rsid w:val="00C13F8E"/>
    <w:rsid w:val="00C21905"/>
    <w:rsid w:val="00C31D55"/>
    <w:rsid w:val="00C322A9"/>
    <w:rsid w:val="00C35F78"/>
    <w:rsid w:val="00C377EC"/>
    <w:rsid w:val="00C44A25"/>
    <w:rsid w:val="00C45B3E"/>
    <w:rsid w:val="00C461E0"/>
    <w:rsid w:val="00C50C98"/>
    <w:rsid w:val="00C5464A"/>
    <w:rsid w:val="00C57131"/>
    <w:rsid w:val="00C57BEE"/>
    <w:rsid w:val="00C6172D"/>
    <w:rsid w:val="00C61C3C"/>
    <w:rsid w:val="00C65263"/>
    <w:rsid w:val="00C6547E"/>
    <w:rsid w:val="00C66532"/>
    <w:rsid w:val="00C67D6C"/>
    <w:rsid w:val="00C74DA7"/>
    <w:rsid w:val="00C768AE"/>
    <w:rsid w:val="00C76EB8"/>
    <w:rsid w:val="00C7791A"/>
    <w:rsid w:val="00C81F4C"/>
    <w:rsid w:val="00C82257"/>
    <w:rsid w:val="00C82AAD"/>
    <w:rsid w:val="00C83225"/>
    <w:rsid w:val="00C841D4"/>
    <w:rsid w:val="00C848E7"/>
    <w:rsid w:val="00C85AFA"/>
    <w:rsid w:val="00C85D02"/>
    <w:rsid w:val="00C9127B"/>
    <w:rsid w:val="00C9544A"/>
    <w:rsid w:val="00CA01B8"/>
    <w:rsid w:val="00CA0DF2"/>
    <w:rsid w:val="00CA2CDC"/>
    <w:rsid w:val="00CA2CFB"/>
    <w:rsid w:val="00CA3349"/>
    <w:rsid w:val="00CA4326"/>
    <w:rsid w:val="00CA46D3"/>
    <w:rsid w:val="00CA5B52"/>
    <w:rsid w:val="00CA5E68"/>
    <w:rsid w:val="00CA6EEE"/>
    <w:rsid w:val="00CB47E2"/>
    <w:rsid w:val="00CB7FC0"/>
    <w:rsid w:val="00CC0CBA"/>
    <w:rsid w:val="00CC0DB0"/>
    <w:rsid w:val="00CC24DA"/>
    <w:rsid w:val="00CC3E46"/>
    <w:rsid w:val="00CC4B1D"/>
    <w:rsid w:val="00CD0A48"/>
    <w:rsid w:val="00CD346E"/>
    <w:rsid w:val="00CD5083"/>
    <w:rsid w:val="00CD5BCA"/>
    <w:rsid w:val="00CD7A77"/>
    <w:rsid w:val="00CE05FD"/>
    <w:rsid w:val="00CE1CE2"/>
    <w:rsid w:val="00CE2A01"/>
    <w:rsid w:val="00CE4DB5"/>
    <w:rsid w:val="00CE4F6E"/>
    <w:rsid w:val="00CE5956"/>
    <w:rsid w:val="00CE6484"/>
    <w:rsid w:val="00CE6763"/>
    <w:rsid w:val="00CF1AC6"/>
    <w:rsid w:val="00CF1C94"/>
    <w:rsid w:val="00CF2201"/>
    <w:rsid w:val="00CF48EC"/>
    <w:rsid w:val="00CF4A9A"/>
    <w:rsid w:val="00CF7D5D"/>
    <w:rsid w:val="00D00F1B"/>
    <w:rsid w:val="00D076B4"/>
    <w:rsid w:val="00D10206"/>
    <w:rsid w:val="00D176D3"/>
    <w:rsid w:val="00D21085"/>
    <w:rsid w:val="00D21DC3"/>
    <w:rsid w:val="00D22FC4"/>
    <w:rsid w:val="00D24B4D"/>
    <w:rsid w:val="00D25A37"/>
    <w:rsid w:val="00D310A1"/>
    <w:rsid w:val="00D31533"/>
    <w:rsid w:val="00D32137"/>
    <w:rsid w:val="00D3270E"/>
    <w:rsid w:val="00D337EA"/>
    <w:rsid w:val="00D3615C"/>
    <w:rsid w:val="00D425C2"/>
    <w:rsid w:val="00D44413"/>
    <w:rsid w:val="00D54B77"/>
    <w:rsid w:val="00D55A78"/>
    <w:rsid w:val="00D62982"/>
    <w:rsid w:val="00D63764"/>
    <w:rsid w:val="00D64EA0"/>
    <w:rsid w:val="00D66FB2"/>
    <w:rsid w:val="00D67321"/>
    <w:rsid w:val="00D713D1"/>
    <w:rsid w:val="00D73539"/>
    <w:rsid w:val="00D769D7"/>
    <w:rsid w:val="00D776C8"/>
    <w:rsid w:val="00D81081"/>
    <w:rsid w:val="00D81C58"/>
    <w:rsid w:val="00D901DD"/>
    <w:rsid w:val="00D91139"/>
    <w:rsid w:val="00D93266"/>
    <w:rsid w:val="00D9452E"/>
    <w:rsid w:val="00D948E2"/>
    <w:rsid w:val="00D979F4"/>
    <w:rsid w:val="00DA0036"/>
    <w:rsid w:val="00DA0E6C"/>
    <w:rsid w:val="00DA12B3"/>
    <w:rsid w:val="00DA1690"/>
    <w:rsid w:val="00DA5DA9"/>
    <w:rsid w:val="00DA6D27"/>
    <w:rsid w:val="00DB1A40"/>
    <w:rsid w:val="00DB415A"/>
    <w:rsid w:val="00DB4BB9"/>
    <w:rsid w:val="00DB5651"/>
    <w:rsid w:val="00DB7177"/>
    <w:rsid w:val="00DC05D2"/>
    <w:rsid w:val="00DC1976"/>
    <w:rsid w:val="00DC5F39"/>
    <w:rsid w:val="00DC620F"/>
    <w:rsid w:val="00DC75B5"/>
    <w:rsid w:val="00DD0334"/>
    <w:rsid w:val="00DD217C"/>
    <w:rsid w:val="00DD5757"/>
    <w:rsid w:val="00DD5E5B"/>
    <w:rsid w:val="00DD6BAD"/>
    <w:rsid w:val="00DE032E"/>
    <w:rsid w:val="00DE14E7"/>
    <w:rsid w:val="00DE3B8F"/>
    <w:rsid w:val="00DE3E50"/>
    <w:rsid w:val="00DE77EE"/>
    <w:rsid w:val="00DF0341"/>
    <w:rsid w:val="00DF0D3B"/>
    <w:rsid w:val="00DF0F75"/>
    <w:rsid w:val="00DF4BE6"/>
    <w:rsid w:val="00DF74C1"/>
    <w:rsid w:val="00DF74F5"/>
    <w:rsid w:val="00DF7720"/>
    <w:rsid w:val="00E0507F"/>
    <w:rsid w:val="00E06EDE"/>
    <w:rsid w:val="00E112B5"/>
    <w:rsid w:val="00E14C66"/>
    <w:rsid w:val="00E151B1"/>
    <w:rsid w:val="00E16ABE"/>
    <w:rsid w:val="00E20C43"/>
    <w:rsid w:val="00E22152"/>
    <w:rsid w:val="00E24238"/>
    <w:rsid w:val="00E24BBB"/>
    <w:rsid w:val="00E24F04"/>
    <w:rsid w:val="00E26206"/>
    <w:rsid w:val="00E27AD3"/>
    <w:rsid w:val="00E31878"/>
    <w:rsid w:val="00E31897"/>
    <w:rsid w:val="00E3449D"/>
    <w:rsid w:val="00E34F46"/>
    <w:rsid w:val="00E35742"/>
    <w:rsid w:val="00E36590"/>
    <w:rsid w:val="00E37FC1"/>
    <w:rsid w:val="00E409F9"/>
    <w:rsid w:val="00E41E1E"/>
    <w:rsid w:val="00E42961"/>
    <w:rsid w:val="00E42AAC"/>
    <w:rsid w:val="00E43916"/>
    <w:rsid w:val="00E46FAD"/>
    <w:rsid w:val="00E4726E"/>
    <w:rsid w:val="00E504F0"/>
    <w:rsid w:val="00E52EB9"/>
    <w:rsid w:val="00E53BDA"/>
    <w:rsid w:val="00E57213"/>
    <w:rsid w:val="00E5752B"/>
    <w:rsid w:val="00E60710"/>
    <w:rsid w:val="00E61FEE"/>
    <w:rsid w:val="00E62D89"/>
    <w:rsid w:val="00E6312B"/>
    <w:rsid w:val="00E636BC"/>
    <w:rsid w:val="00E7177C"/>
    <w:rsid w:val="00E71C99"/>
    <w:rsid w:val="00E72773"/>
    <w:rsid w:val="00E73490"/>
    <w:rsid w:val="00E815B9"/>
    <w:rsid w:val="00E84C8B"/>
    <w:rsid w:val="00E86598"/>
    <w:rsid w:val="00E87B4F"/>
    <w:rsid w:val="00E91386"/>
    <w:rsid w:val="00E92270"/>
    <w:rsid w:val="00E93550"/>
    <w:rsid w:val="00E937B3"/>
    <w:rsid w:val="00E94499"/>
    <w:rsid w:val="00E95928"/>
    <w:rsid w:val="00EA02C3"/>
    <w:rsid w:val="00EA2FF6"/>
    <w:rsid w:val="00EA52E4"/>
    <w:rsid w:val="00EA79AD"/>
    <w:rsid w:val="00EB2BF5"/>
    <w:rsid w:val="00EB3D40"/>
    <w:rsid w:val="00EB6301"/>
    <w:rsid w:val="00EC5127"/>
    <w:rsid w:val="00EC7E6E"/>
    <w:rsid w:val="00ED03BC"/>
    <w:rsid w:val="00ED051E"/>
    <w:rsid w:val="00ED3976"/>
    <w:rsid w:val="00ED473C"/>
    <w:rsid w:val="00ED7340"/>
    <w:rsid w:val="00EE02B9"/>
    <w:rsid w:val="00EE0385"/>
    <w:rsid w:val="00EE1E9F"/>
    <w:rsid w:val="00EE238E"/>
    <w:rsid w:val="00EE3459"/>
    <w:rsid w:val="00EE3508"/>
    <w:rsid w:val="00EE4384"/>
    <w:rsid w:val="00EE43E4"/>
    <w:rsid w:val="00EE46A4"/>
    <w:rsid w:val="00EE61D4"/>
    <w:rsid w:val="00EE68B0"/>
    <w:rsid w:val="00EE775D"/>
    <w:rsid w:val="00EE7A93"/>
    <w:rsid w:val="00EF39C4"/>
    <w:rsid w:val="00EF516F"/>
    <w:rsid w:val="00EF6DF2"/>
    <w:rsid w:val="00EF7098"/>
    <w:rsid w:val="00EF76FA"/>
    <w:rsid w:val="00F0166F"/>
    <w:rsid w:val="00F03C41"/>
    <w:rsid w:val="00F051B3"/>
    <w:rsid w:val="00F129D6"/>
    <w:rsid w:val="00F14656"/>
    <w:rsid w:val="00F147C1"/>
    <w:rsid w:val="00F161D5"/>
    <w:rsid w:val="00F21DE9"/>
    <w:rsid w:val="00F232A0"/>
    <w:rsid w:val="00F248C2"/>
    <w:rsid w:val="00F256FF"/>
    <w:rsid w:val="00F258E9"/>
    <w:rsid w:val="00F26B0C"/>
    <w:rsid w:val="00F26F45"/>
    <w:rsid w:val="00F27843"/>
    <w:rsid w:val="00F27C81"/>
    <w:rsid w:val="00F3059F"/>
    <w:rsid w:val="00F326C1"/>
    <w:rsid w:val="00F346B2"/>
    <w:rsid w:val="00F35020"/>
    <w:rsid w:val="00F35FBA"/>
    <w:rsid w:val="00F40211"/>
    <w:rsid w:val="00F411A6"/>
    <w:rsid w:val="00F41E92"/>
    <w:rsid w:val="00F42C83"/>
    <w:rsid w:val="00F42CE0"/>
    <w:rsid w:val="00F45999"/>
    <w:rsid w:val="00F45CA7"/>
    <w:rsid w:val="00F5024D"/>
    <w:rsid w:val="00F5458D"/>
    <w:rsid w:val="00F54D89"/>
    <w:rsid w:val="00F6359F"/>
    <w:rsid w:val="00F63776"/>
    <w:rsid w:val="00F637FD"/>
    <w:rsid w:val="00F6496F"/>
    <w:rsid w:val="00F64BA5"/>
    <w:rsid w:val="00F65DC1"/>
    <w:rsid w:val="00F67004"/>
    <w:rsid w:val="00F70787"/>
    <w:rsid w:val="00F7450E"/>
    <w:rsid w:val="00F7596F"/>
    <w:rsid w:val="00F770B4"/>
    <w:rsid w:val="00F77B6A"/>
    <w:rsid w:val="00F80982"/>
    <w:rsid w:val="00F85676"/>
    <w:rsid w:val="00F85919"/>
    <w:rsid w:val="00F8598E"/>
    <w:rsid w:val="00F863BC"/>
    <w:rsid w:val="00F87931"/>
    <w:rsid w:val="00F90244"/>
    <w:rsid w:val="00F9204B"/>
    <w:rsid w:val="00F92831"/>
    <w:rsid w:val="00F93B0C"/>
    <w:rsid w:val="00F93FFD"/>
    <w:rsid w:val="00F95530"/>
    <w:rsid w:val="00F955C2"/>
    <w:rsid w:val="00F95DBB"/>
    <w:rsid w:val="00FA1AA8"/>
    <w:rsid w:val="00FA22E2"/>
    <w:rsid w:val="00FA2F78"/>
    <w:rsid w:val="00FA6DA6"/>
    <w:rsid w:val="00FB050C"/>
    <w:rsid w:val="00FB08E1"/>
    <w:rsid w:val="00FB0D86"/>
    <w:rsid w:val="00FB1CDE"/>
    <w:rsid w:val="00FB2F16"/>
    <w:rsid w:val="00FB664B"/>
    <w:rsid w:val="00FB72FF"/>
    <w:rsid w:val="00FC017C"/>
    <w:rsid w:val="00FC2809"/>
    <w:rsid w:val="00FC28A8"/>
    <w:rsid w:val="00FC2D1D"/>
    <w:rsid w:val="00FC555A"/>
    <w:rsid w:val="00FC61E9"/>
    <w:rsid w:val="00FD1DFA"/>
    <w:rsid w:val="00FD3D4F"/>
    <w:rsid w:val="00FD486C"/>
    <w:rsid w:val="00FD6B81"/>
    <w:rsid w:val="00FE2D3F"/>
    <w:rsid w:val="00FE330C"/>
    <w:rsid w:val="00FE52F3"/>
    <w:rsid w:val="00FE5832"/>
    <w:rsid w:val="00FE6451"/>
    <w:rsid w:val="00FE7176"/>
    <w:rsid w:val="00FF1AF4"/>
    <w:rsid w:val="00FF39A7"/>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qFormat="1"/>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n,f,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Appel note de bas de p,Style 124,Style 3,FR,Style 6,callout"/>
    <w:basedOn w:val="DefaultParagraphFont"/>
    <w:uiPriority w:val="99"/>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customStyle="1" w:styleId="st">
    <w:name w:val="st"/>
    <w:basedOn w:val="DefaultParagraphFont"/>
    <w:rsid w:val="00CF1AC6"/>
  </w:style>
  <w:style w:type="paragraph" w:styleId="BodyTextIndent">
    <w:name w:val="Body Text Indent"/>
    <w:basedOn w:val="Normal"/>
    <w:link w:val="BodyTextIndentChar"/>
    <w:uiPriority w:val="99"/>
    <w:semiHidden/>
    <w:unhideWhenUsed/>
    <w:rsid w:val="00206D1E"/>
    <w:pPr>
      <w:spacing w:after="120"/>
      <w:ind w:left="360"/>
    </w:pPr>
  </w:style>
  <w:style w:type="character" w:customStyle="1" w:styleId="BodyTextIndentChar">
    <w:name w:val="Body Text Indent Char"/>
    <w:basedOn w:val="DefaultParagraphFont"/>
    <w:link w:val="BodyTextIndent"/>
    <w:uiPriority w:val="99"/>
    <w:semiHidden/>
    <w:rsid w:val="00206D1E"/>
    <w:rPr>
      <w:rFonts w:ascii="Times New Roman" w:hAnsi="Times New Roman"/>
      <w:sz w:val="24"/>
      <w:szCs w:val="24"/>
    </w:rPr>
  </w:style>
  <w:style w:type="paragraph" w:customStyle="1" w:styleId="Default">
    <w:name w:val="Default"/>
    <w:link w:val="DefaultChar"/>
    <w:rsid w:val="00D25A37"/>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DefaultChar">
    <w:name w:val="Default Char"/>
    <w:basedOn w:val="DefaultParagraphFont"/>
    <w:link w:val="Default"/>
    <w:locked/>
    <w:rsid w:val="00D25A37"/>
    <w:rPr>
      <w:rFonts w:ascii="Century Gothic" w:eastAsia="Times New Roman" w:hAnsi="Century Gothic" w:cs="Century Gothic"/>
      <w:color w:val="000000"/>
      <w:sz w:val="24"/>
      <w:szCs w:val="24"/>
    </w:rPr>
  </w:style>
  <w:style w:type="paragraph" w:customStyle="1" w:styleId="Pa7">
    <w:name w:val="Pa7"/>
    <w:basedOn w:val="Default"/>
    <w:next w:val="Default"/>
    <w:uiPriority w:val="99"/>
    <w:rsid w:val="00D25A37"/>
    <w:pPr>
      <w:widowControl/>
      <w:spacing w:line="241" w:lineRule="atLeast"/>
    </w:pPr>
    <w:rPr>
      <w:rFonts w:ascii="Futura Book" w:eastAsiaTheme="minorHAnsi" w:hAnsi="Futura Book" w:cstheme="minorBidi"/>
      <w:color w:val="auto"/>
    </w:rPr>
  </w:style>
  <w:style w:type="character" w:customStyle="1" w:styleId="A6">
    <w:name w:val="A6"/>
    <w:uiPriority w:val="99"/>
    <w:rsid w:val="00D25A37"/>
    <w:rPr>
      <w:rFonts w:cs="Futura Book"/>
      <w:color w:val="000000"/>
      <w:sz w:val="16"/>
      <w:szCs w:val="16"/>
    </w:rPr>
  </w:style>
  <w:style w:type="paragraph" w:customStyle="1" w:styleId="Pa8">
    <w:name w:val="Pa8"/>
    <w:basedOn w:val="Default"/>
    <w:next w:val="Default"/>
    <w:uiPriority w:val="99"/>
    <w:rsid w:val="00D25A37"/>
    <w:pPr>
      <w:widowControl/>
      <w:spacing w:line="241" w:lineRule="atLeast"/>
    </w:pPr>
    <w:rPr>
      <w:rFonts w:ascii="Futura Book" w:eastAsiaTheme="minorHAnsi" w:hAnsi="Futura Book" w:cstheme="minorBidi"/>
      <w:color w:val="auto"/>
    </w:rPr>
  </w:style>
  <w:style w:type="paragraph" w:customStyle="1" w:styleId="FindingsConclusions">
    <w:name w:val="Findings &amp; Conclusions"/>
    <w:basedOn w:val="Normal"/>
    <w:rsid w:val="006E48A3"/>
    <w:pPr>
      <w:numPr>
        <w:numId w:val="39"/>
      </w:numPr>
    </w:pPr>
    <w:rPr>
      <w:rFonts w:eastAsia="Times New Roman"/>
    </w:rPr>
  </w:style>
</w:styles>
</file>

<file path=word/webSettings.xml><?xml version="1.0" encoding="utf-8"?>
<w:webSettings xmlns:r="http://schemas.openxmlformats.org/officeDocument/2006/relationships" xmlns:w="http://schemas.openxmlformats.org/wordprocessingml/2006/main">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929511776">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david.meyer@avistacorp.com" TargetMode="External"/><Relationship Id="rId19" Type="http://schemas.openxmlformats.org/officeDocument/2006/relationships/customXml" Target="../customXml/item7.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5192D6-2D2C-4362-8F89-B0D87EDDEA79}"/>
</file>

<file path=customXml/itemProps2.xml><?xml version="1.0" encoding="utf-8"?>
<ds:datastoreItem xmlns:ds="http://schemas.openxmlformats.org/officeDocument/2006/customXml" ds:itemID="{25F4CF65-8196-4D57-9B16-E639B0219869}"/>
</file>

<file path=customXml/itemProps3.xml><?xml version="1.0" encoding="utf-8"?>
<ds:datastoreItem xmlns:ds="http://schemas.openxmlformats.org/officeDocument/2006/customXml" ds:itemID="{C287AF70-A68F-4C6E-8AF1-ADF27DE04B89}"/>
</file>

<file path=customXml/itemProps4.xml><?xml version="1.0" encoding="utf-8"?>
<ds:datastoreItem xmlns:ds="http://schemas.openxmlformats.org/officeDocument/2006/customXml" ds:itemID="{61DE2F1D-C019-4D8C-AD7C-954205183B69}"/>
</file>

<file path=customXml/itemProps5.xml><?xml version="1.0" encoding="utf-8"?>
<ds:datastoreItem xmlns:ds="http://schemas.openxmlformats.org/officeDocument/2006/customXml" ds:itemID="{A11A332E-CACB-4642-9269-0E05B0DBB0BA}"/>
</file>

<file path=customXml/itemProps6.xml><?xml version="1.0" encoding="utf-8"?>
<ds:datastoreItem xmlns:ds="http://schemas.openxmlformats.org/officeDocument/2006/customXml" ds:itemID="{8198EB1B-6FE9-4E77-BB05-274CF7272336}"/>
</file>

<file path=customXml/itemProps7.xml><?xml version="1.0" encoding="utf-8"?>
<ds:datastoreItem xmlns:ds="http://schemas.openxmlformats.org/officeDocument/2006/customXml" ds:itemID="{C4A7A75A-D6A2-4884-95F6-3441EBB26407}"/>
</file>

<file path=docProps/app.xml><?xml version="1.0" encoding="utf-8"?>
<Properties xmlns="http://schemas.openxmlformats.org/officeDocument/2006/extended-properties" xmlns:vt="http://schemas.openxmlformats.org/officeDocument/2006/docPropsVTypes">
  <Template>Normal.dotm</Template>
  <TotalTime>0</TotalTime>
  <Pages>13</Pages>
  <Words>3137</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2016-01-27T03:04:00Z</dcterms:created>
  <dcterms:modified xsi:type="dcterms:W3CDTF">2016-01-28T00:57:00Z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