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people.xml" ContentType="application/vnd.openxmlformats-officedocument.wordprocessingml.peop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220" w:rsidRPr="00117C53" w:rsidRDefault="006649E2">
      <w:pPr>
        <w:pStyle w:val="Question"/>
        <w:jc w:val="center"/>
      </w:pPr>
      <w:r w:rsidRPr="00117C53">
        <w:t>TABLE OF CONTENTS</w:t>
      </w:r>
    </w:p>
    <w:sdt>
      <w:sdtPr>
        <w:id w:val="1051886626"/>
        <w:docPartObj>
          <w:docPartGallery w:val="Table of Contents"/>
          <w:docPartUnique/>
        </w:docPartObj>
      </w:sdtPr>
      <w:sdtEndPr>
        <w:rPr>
          <w:b/>
          <w:bCs/>
          <w:noProof/>
        </w:rPr>
      </w:sdtEndPr>
      <w:sdtContent>
        <w:p w:rsidR="00B66BB8" w:rsidRPr="00117C53" w:rsidRDefault="006649E2" w:rsidP="00B66BB8">
          <w:pPr>
            <w:pStyle w:val="TOC1"/>
            <w:tabs>
              <w:tab w:val="right" w:leader="dot" w:pos="8990"/>
            </w:tabs>
            <w:spacing w:after="0" w:line="360" w:lineRule="auto"/>
            <w:rPr>
              <w:rFonts w:eastAsiaTheme="minorEastAsia"/>
              <w:noProof/>
              <w:sz w:val="22"/>
              <w:szCs w:val="22"/>
            </w:rPr>
          </w:pPr>
          <w:r w:rsidRPr="00117C53">
            <w:fldChar w:fldCharType="begin"/>
          </w:r>
          <w:r w:rsidRPr="00117C53">
            <w:instrText xml:space="preserve"> TOC \o "1-3" \h \z \u </w:instrText>
          </w:r>
          <w:r w:rsidRPr="00117C53">
            <w:fldChar w:fldCharType="separate"/>
          </w:r>
          <w:hyperlink w:anchor="_Toc450906252" w:history="1">
            <w:r w:rsidR="00B66BB8" w:rsidRPr="00117C53">
              <w:rPr>
                <w:rStyle w:val="Hyperlink"/>
                <w:noProof/>
              </w:rPr>
              <w:t>QUALIFICATIONS</w:t>
            </w:r>
            <w:r w:rsidR="00B66BB8" w:rsidRPr="00117C53">
              <w:rPr>
                <w:noProof/>
                <w:webHidden/>
              </w:rPr>
              <w:tab/>
            </w:r>
            <w:r w:rsidR="00B66BB8" w:rsidRPr="00117C53">
              <w:rPr>
                <w:noProof/>
                <w:webHidden/>
              </w:rPr>
              <w:fldChar w:fldCharType="begin"/>
            </w:r>
            <w:r w:rsidR="00B66BB8" w:rsidRPr="00117C53">
              <w:rPr>
                <w:noProof/>
                <w:webHidden/>
              </w:rPr>
              <w:instrText xml:space="preserve"> PAGEREF _Toc450906252 \h </w:instrText>
            </w:r>
            <w:r w:rsidR="00B66BB8" w:rsidRPr="00117C53">
              <w:rPr>
                <w:noProof/>
                <w:webHidden/>
              </w:rPr>
            </w:r>
            <w:r w:rsidR="00B66BB8" w:rsidRPr="00117C53">
              <w:rPr>
                <w:noProof/>
                <w:webHidden/>
              </w:rPr>
              <w:fldChar w:fldCharType="separate"/>
            </w:r>
            <w:r w:rsidR="00B66BB8" w:rsidRPr="00117C53">
              <w:rPr>
                <w:noProof/>
                <w:webHidden/>
              </w:rPr>
              <w:t>1</w:t>
            </w:r>
            <w:r w:rsidR="00B66BB8" w:rsidRPr="00117C53">
              <w:rPr>
                <w:noProof/>
                <w:webHidden/>
              </w:rPr>
              <w:fldChar w:fldCharType="end"/>
            </w:r>
          </w:hyperlink>
        </w:p>
        <w:p w:rsidR="00B66BB8" w:rsidRPr="00117C53" w:rsidRDefault="005D562A" w:rsidP="00B66BB8">
          <w:pPr>
            <w:pStyle w:val="TOC1"/>
            <w:tabs>
              <w:tab w:val="right" w:leader="dot" w:pos="8990"/>
            </w:tabs>
            <w:spacing w:after="0" w:line="360" w:lineRule="auto"/>
            <w:rPr>
              <w:rFonts w:eastAsiaTheme="minorEastAsia"/>
              <w:noProof/>
              <w:sz w:val="22"/>
              <w:szCs w:val="22"/>
            </w:rPr>
          </w:pPr>
          <w:hyperlink w:anchor="_Toc450906253" w:history="1">
            <w:r w:rsidR="00B66BB8" w:rsidRPr="00117C53">
              <w:rPr>
                <w:rStyle w:val="Hyperlink"/>
                <w:noProof/>
              </w:rPr>
              <w:t>PURPOSE AND SUMMARY OF TESTIMONY</w:t>
            </w:r>
            <w:r w:rsidR="00B66BB8" w:rsidRPr="00117C53">
              <w:rPr>
                <w:noProof/>
                <w:webHidden/>
              </w:rPr>
              <w:tab/>
            </w:r>
            <w:r w:rsidR="00B66BB8" w:rsidRPr="00117C53">
              <w:rPr>
                <w:noProof/>
                <w:webHidden/>
              </w:rPr>
              <w:fldChar w:fldCharType="begin"/>
            </w:r>
            <w:r w:rsidR="00B66BB8" w:rsidRPr="00117C53">
              <w:rPr>
                <w:noProof/>
                <w:webHidden/>
              </w:rPr>
              <w:instrText xml:space="preserve"> PAGEREF _Toc450906253 \h </w:instrText>
            </w:r>
            <w:r w:rsidR="00B66BB8" w:rsidRPr="00117C53">
              <w:rPr>
                <w:noProof/>
                <w:webHidden/>
              </w:rPr>
            </w:r>
            <w:r w:rsidR="00B66BB8" w:rsidRPr="00117C53">
              <w:rPr>
                <w:noProof/>
                <w:webHidden/>
              </w:rPr>
              <w:fldChar w:fldCharType="separate"/>
            </w:r>
            <w:r w:rsidR="00B66BB8" w:rsidRPr="00117C53">
              <w:rPr>
                <w:noProof/>
                <w:webHidden/>
              </w:rPr>
              <w:t>2</w:t>
            </w:r>
            <w:r w:rsidR="00B66BB8" w:rsidRPr="00117C53">
              <w:rPr>
                <w:noProof/>
                <w:webHidden/>
              </w:rPr>
              <w:fldChar w:fldCharType="end"/>
            </w:r>
          </w:hyperlink>
        </w:p>
        <w:p w:rsidR="00B66BB8" w:rsidRPr="00117C53" w:rsidRDefault="005D562A" w:rsidP="00B66BB8">
          <w:pPr>
            <w:pStyle w:val="TOC1"/>
            <w:tabs>
              <w:tab w:val="right" w:leader="dot" w:pos="8990"/>
            </w:tabs>
            <w:spacing w:after="0" w:line="360" w:lineRule="auto"/>
            <w:rPr>
              <w:rFonts w:eastAsiaTheme="minorEastAsia"/>
              <w:noProof/>
              <w:sz w:val="22"/>
              <w:szCs w:val="22"/>
            </w:rPr>
          </w:pPr>
          <w:hyperlink w:anchor="_Toc450906254" w:history="1">
            <w:r w:rsidR="00B66BB8" w:rsidRPr="00117C53">
              <w:rPr>
                <w:rStyle w:val="Hyperlink"/>
                <w:noProof/>
              </w:rPr>
              <w:t>OCTOBER 2013 MINE PLAN</w:t>
            </w:r>
            <w:r w:rsidR="00B66BB8" w:rsidRPr="00117C53">
              <w:rPr>
                <w:noProof/>
                <w:webHidden/>
              </w:rPr>
              <w:tab/>
            </w:r>
            <w:r w:rsidR="00B66BB8" w:rsidRPr="00117C53">
              <w:rPr>
                <w:noProof/>
                <w:webHidden/>
              </w:rPr>
              <w:fldChar w:fldCharType="begin"/>
            </w:r>
            <w:r w:rsidR="00B66BB8" w:rsidRPr="00117C53">
              <w:rPr>
                <w:noProof/>
                <w:webHidden/>
              </w:rPr>
              <w:instrText xml:space="preserve"> PAGEREF _Toc450906254 \h </w:instrText>
            </w:r>
            <w:r w:rsidR="00B66BB8" w:rsidRPr="00117C53">
              <w:rPr>
                <w:noProof/>
                <w:webHidden/>
              </w:rPr>
            </w:r>
            <w:r w:rsidR="00B66BB8" w:rsidRPr="00117C53">
              <w:rPr>
                <w:noProof/>
                <w:webHidden/>
              </w:rPr>
              <w:fldChar w:fldCharType="separate"/>
            </w:r>
            <w:r w:rsidR="00B66BB8" w:rsidRPr="00117C53">
              <w:rPr>
                <w:noProof/>
                <w:webHidden/>
              </w:rPr>
              <w:t>3</w:t>
            </w:r>
            <w:r w:rsidR="00B66BB8" w:rsidRPr="00117C53">
              <w:rPr>
                <w:noProof/>
                <w:webHidden/>
              </w:rPr>
              <w:fldChar w:fldCharType="end"/>
            </w:r>
          </w:hyperlink>
        </w:p>
        <w:p w:rsidR="00B66BB8" w:rsidRPr="00117C53" w:rsidRDefault="005D562A" w:rsidP="00B66BB8">
          <w:pPr>
            <w:pStyle w:val="TOC1"/>
            <w:tabs>
              <w:tab w:val="right" w:leader="dot" w:pos="8990"/>
            </w:tabs>
            <w:spacing w:after="0" w:line="360" w:lineRule="auto"/>
            <w:rPr>
              <w:rFonts w:eastAsiaTheme="minorEastAsia"/>
              <w:noProof/>
              <w:sz w:val="22"/>
              <w:szCs w:val="22"/>
            </w:rPr>
          </w:pPr>
          <w:hyperlink w:anchor="_Toc450906255" w:history="1">
            <w:r w:rsidR="00B66BB8" w:rsidRPr="00117C53">
              <w:rPr>
                <w:rStyle w:val="Hyperlink"/>
                <w:noProof/>
              </w:rPr>
              <w:t>THIRD-PARTY FUEL COSTS</w:t>
            </w:r>
            <w:r w:rsidR="00B66BB8" w:rsidRPr="00117C53">
              <w:rPr>
                <w:noProof/>
                <w:webHidden/>
              </w:rPr>
              <w:tab/>
            </w:r>
            <w:r w:rsidR="00B66BB8" w:rsidRPr="00117C53">
              <w:rPr>
                <w:noProof/>
                <w:webHidden/>
              </w:rPr>
              <w:fldChar w:fldCharType="begin"/>
            </w:r>
            <w:r w:rsidR="00B66BB8" w:rsidRPr="00117C53">
              <w:rPr>
                <w:noProof/>
                <w:webHidden/>
              </w:rPr>
              <w:instrText xml:space="preserve"> PAGEREF _Toc450906255 \h </w:instrText>
            </w:r>
            <w:r w:rsidR="00B66BB8" w:rsidRPr="00117C53">
              <w:rPr>
                <w:noProof/>
                <w:webHidden/>
              </w:rPr>
            </w:r>
            <w:r w:rsidR="00B66BB8" w:rsidRPr="00117C53">
              <w:rPr>
                <w:noProof/>
                <w:webHidden/>
              </w:rPr>
              <w:fldChar w:fldCharType="separate"/>
            </w:r>
            <w:r w:rsidR="00B66BB8" w:rsidRPr="00117C53">
              <w:rPr>
                <w:noProof/>
                <w:webHidden/>
              </w:rPr>
              <w:t>8</w:t>
            </w:r>
            <w:r w:rsidR="00B66BB8" w:rsidRPr="00117C53">
              <w:rPr>
                <w:noProof/>
                <w:webHidden/>
              </w:rPr>
              <w:fldChar w:fldCharType="end"/>
            </w:r>
          </w:hyperlink>
        </w:p>
        <w:p w:rsidR="00B66BB8" w:rsidRPr="00117C53" w:rsidRDefault="005D562A" w:rsidP="00B66BB8">
          <w:pPr>
            <w:pStyle w:val="TOC1"/>
            <w:tabs>
              <w:tab w:val="right" w:leader="dot" w:pos="8990"/>
            </w:tabs>
            <w:spacing w:after="0" w:line="360" w:lineRule="auto"/>
            <w:rPr>
              <w:rFonts w:eastAsiaTheme="minorEastAsia"/>
              <w:noProof/>
              <w:sz w:val="22"/>
              <w:szCs w:val="22"/>
            </w:rPr>
          </w:pPr>
          <w:hyperlink w:anchor="_Toc450906256" w:history="1">
            <w:r w:rsidR="00B66BB8" w:rsidRPr="00117C53">
              <w:rPr>
                <w:rStyle w:val="Hyperlink"/>
                <w:noProof/>
              </w:rPr>
              <w:t>TWO-UNIT SCENARIO</w:t>
            </w:r>
            <w:r w:rsidR="00B66BB8" w:rsidRPr="00117C53">
              <w:rPr>
                <w:noProof/>
                <w:webHidden/>
              </w:rPr>
              <w:tab/>
            </w:r>
            <w:r w:rsidR="00B66BB8" w:rsidRPr="00117C53">
              <w:rPr>
                <w:noProof/>
                <w:webHidden/>
              </w:rPr>
              <w:fldChar w:fldCharType="begin"/>
            </w:r>
            <w:r w:rsidR="00B66BB8" w:rsidRPr="00117C53">
              <w:rPr>
                <w:noProof/>
                <w:webHidden/>
              </w:rPr>
              <w:instrText xml:space="preserve"> PAGEREF _Toc450906256 \h </w:instrText>
            </w:r>
            <w:r w:rsidR="00B66BB8" w:rsidRPr="00117C53">
              <w:rPr>
                <w:noProof/>
                <w:webHidden/>
              </w:rPr>
            </w:r>
            <w:r w:rsidR="00B66BB8" w:rsidRPr="00117C53">
              <w:rPr>
                <w:noProof/>
                <w:webHidden/>
              </w:rPr>
              <w:fldChar w:fldCharType="separate"/>
            </w:r>
            <w:r w:rsidR="00B66BB8" w:rsidRPr="00117C53">
              <w:rPr>
                <w:noProof/>
                <w:webHidden/>
              </w:rPr>
              <w:t>11</w:t>
            </w:r>
            <w:r w:rsidR="00B66BB8" w:rsidRPr="00117C53">
              <w:rPr>
                <w:noProof/>
                <w:webHidden/>
              </w:rPr>
              <w:fldChar w:fldCharType="end"/>
            </w:r>
          </w:hyperlink>
        </w:p>
        <w:p w:rsidR="00B66BB8" w:rsidRPr="00117C53" w:rsidRDefault="005D562A" w:rsidP="00B66BB8">
          <w:pPr>
            <w:pStyle w:val="TOC1"/>
            <w:tabs>
              <w:tab w:val="right" w:leader="dot" w:pos="8990"/>
            </w:tabs>
            <w:spacing w:after="0" w:line="360" w:lineRule="auto"/>
            <w:rPr>
              <w:rFonts w:eastAsiaTheme="minorEastAsia"/>
              <w:noProof/>
              <w:sz w:val="22"/>
              <w:szCs w:val="22"/>
            </w:rPr>
          </w:pPr>
          <w:hyperlink w:anchor="_Toc450906257" w:history="1">
            <w:r w:rsidR="00B66BB8" w:rsidRPr="00117C53">
              <w:rPr>
                <w:rStyle w:val="Hyperlink"/>
                <w:noProof/>
              </w:rPr>
              <w:t>OTHER ISSUES</w:t>
            </w:r>
            <w:r w:rsidR="00B66BB8" w:rsidRPr="00117C53">
              <w:rPr>
                <w:noProof/>
                <w:webHidden/>
              </w:rPr>
              <w:tab/>
            </w:r>
            <w:r w:rsidR="00B66BB8" w:rsidRPr="00117C53">
              <w:rPr>
                <w:noProof/>
                <w:webHidden/>
              </w:rPr>
              <w:fldChar w:fldCharType="begin"/>
            </w:r>
            <w:r w:rsidR="00B66BB8" w:rsidRPr="00117C53">
              <w:rPr>
                <w:noProof/>
                <w:webHidden/>
              </w:rPr>
              <w:instrText xml:space="preserve"> PAGEREF _Toc450906257 \h </w:instrText>
            </w:r>
            <w:r w:rsidR="00B66BB8" w:rsidRPr="00117C53">
              <w:rPr>
                <w:noProof/>
                <w:webHidden/>
              </w:rPr>
            </w:r>
            <w:r w:rsidR="00B66BB8" w:rsidRPr="00117C53">
              <w:rPr>
                <w:noProof/>
                <w:webHidden/>
              </w:rPr>
              <w:fldChar w:fldCharType="separate"/>
            </w:r>
            <w:r w:rsidR="00B66BB8" w:rsidRPr="00117C53">
              <w:rPr>
                <w:noProof/>
                <w:webHidden/>
              </w:rPr>
              <w:t>13</w:t>
            </w:r>
            <w:r w:rsidR="00B66BB8" w:rsidRPr="00117C53">
              <w:rPr>
                <w:noProof/>
                <w:webHidden/>
              </w:rPr>
              <w:fldChar w:fldCharType="end"/>
            </w:r>
          </w:hyperlink>
        </w:p>
        <w:p w:rsidR="00B66BB8" w:rsidRPr="00117C53" w:rsidRDefault="005D562A" w:rsidP="00B66BB8">
          <w:pPr>
            <w:pStyle w:val="TOC1"/>
            <w:tabs>
              <w:tab w:val="right" w:leader="dot" w:pos="8990"/>
            </w:tabs>
            <w:spacing w:after="0" w:line="360" w:lineRule="auto"/>
            <w:rPr>
              <w:rFonts w:eastAsiaTheme="minorEastAsia"/>
              <w:noProof/>
              <w:sz w:val="22"/>
              <w:szCs w:val="22"/>
            </w:rPr>
          </w:pPr>
          <w:hyperlink w:anchor="_Toc450906258" w:history="1">
            <w:r w:rsidR="00B66BB8" w:rsidRPr="00117C53">
              <w:rPr>
                <w:rStyle w:val="Hyperlink"/>
                <w:noProof/>
              </w:rPr>
              <w:t>CONCLUSION</w:t>
            </w:r>
            <w:r w:rsidR="00B66BB8" w:rsidRPr="00117C53">
              <w:rPr>
                <w:noProof/>
                <w:webHidden/>
              </w:rPr>
              <w:tab/>
            </w:r>
            <w:r w:rsidR="00B66BB8" w:rsidRPr="00117C53">
              <w:rPr>
                <w:noProof/>
                <w:webHidden/>
              </w:rPr>
              <w:fldChar w:fldCharType="begin"/>
            </w:r>
            <w:r w:rsidR="00B66BB8" w:rsidRPr="00117C53">
              <w:rPr>
                <w:noProof/>
                <w:webHidden/>
              </w:rPr>
              <w:instrText xml:space="preserve"> PAGEREF _Toc450906258 \h </w:instrText>
            </w:r>
            <w:r w:rsidR="00B66BB8" w:rsidRPr="00117C53">
              <w:rPr>
                <w:noProof/>
                <w:webHidden/>
              </w:rPr>
            </w:r>
            <w:r w:rsidR="00B66BB8" w:rsidRPr="00117C53">
              <w:rPr>
                <w:noProof/>
                <w:webHidden/>
              </w:rPr>
              <w:fldChar w:fldCharType="separate"/>
            </w:r>
            <w:r w:rsidR="00B66BB8" w:rsidRPr="00117C53">
              <w:rPr>
                <w:noProof/>
                <w:webHidden/>
              </w:rPr>
              <w:t>15</w:t>
            </w:r>
            <w:r w:rsidR="00B66BB8" w:rsidRPr="00117C53">
              <w:rPr>
                <w:noProof/>
                <w:webHidden/>
              </w:rPr>
              <w:fldChar w:fldCharType="end"/>
            </w:r>
          </w:hyperlink>
        </w:p>
        <w:p w:rsidR="00E80220" w:rsidRPr="00117C53" w:rsidRDefault="006649E2" w:rsidP="00B66BB8">
          <w:pPr>
            <w:spacing w:line="360" w:lineRule="auto"/>
            <w:rPr>
              <w:b/>
              <w:bCs/>
              <w:noProof/>
            </w:rPr>
          </w:pPr>
          <w:r w:rsidRPr="00117C53">
            <w:rPr>
              <w:b/>
              <w:bCs/>
              <w:noProof/>
            </w:rPr>
            <w:fldChar w:fldCharType="end"/>
          </w:r>
        </w:p>
        <w:p w:rsidR="00E80220" w:rsidRPr="00117C53" w:rsidRDefault="005D562A"/>
      </w:sdtContent>
    </w:sdt>
    <w:p w:rsidR="00E80220" w:rsidRPr="00117C53" w:rsidRDefault="006649E2">
      <w:pPr>
        <w:pStyle w:val="Question"/>
        <w:jc w:val="center"/>
      </w:pPr>
      <w:r w:rsidRPr="00117C53">
        <w:t>ATTACHED EXHIBITS</w:t>
      </w:r>
    </w:p>
    <w:p w:rsidR="00E80220" w:rsidRPr="00117C53" w:rsidRDefault="00072CD1" w:rsidP="00072CD1">
      <w:pPr>
        <w:pStyle w:val="Question"/>
        <w:spacing w:after="240" w:line="240" w:lineRule="auto"/>
        <w:ind w:left="3600" w:hanging="3600"/>
        <w:jc w:val="left"/>
        <w:rPr>
          <w:b w:val="0"/>
        </w:rPr>
      </w:pPr>
      <w:proofErr w:type="gramStart"/>
      <w:r w:rsidRPr="00117C53">
        <w:rPr>
          <w:b w:val="0"/>
        </w:rPr>
        <w:t xml:space="preserve">Confidential </w:t>
      </w:r>
      <w:r w:rsidR="001B12E4" w:rsidRPr="00117C53">
        <w:rPr>
          <w:b w:val="0"/>
        </w:rPr>
        <w:t>Exhibit No.</w:t>
      </w:r>
      <w:proofErr w:type="gramEnd"/>
      <w:r w:rsidR="001B12E4" w:rsidRPr="00117C53">
        <w:rPr>
          <w:b w:val="0"/>
        </w:rPr>
        <w:t xml:space="preserve"> CAC-2C—</w:t>
      </w:r>
      <w:r w:rsidR="007F1A3E" w:rsidRPr="00117C53">
        <w:rPr>
          <w:b w:val="0"/>
        </w:rPr>
        <w:t>Corrected Coal Cost Comparison bet</w:t>
      </w:r>
      <w:r w:rsidRPr="00117C53">
        <w:rPr>
          <w:b w:val="0"/>
        </w:rPr>
        <w:t xml:space="preserve">ween January 2013   Long-Term </w:t>
      </w:r>
      <w:r w:rsidR="007F1A3E" w:rsidRPr="00117C53">
        <w:rPr>
          <w:b w:val="0"/>
        </w:rPr>
        <w:t>Fueling Plan and October 2013 Mine Plan</w:t>
      </w:r>
    </w:p>
    <w:p w:rsidR="001B12E4" w:rsidRPr="00117C53" w:rsidRDefault="00072CD1" w:rsidP="00072CD1">
      <w:pPr>
        <w:pStyle w:val="Question"/>
        <w:spacing w:after="240" w:line="240" w:lineRule="auto"/>
        <w:ind w:left="3600" w:hanging="3600"/>
        <w:jc w:val="left"/>
        <w:rPr>
          <w:b w:val="0"/>
        </w:rPr>
      </w:pPr>
      <w:proofErr w:type="gramStart"/>
      <w:r w:rsidRPr="00117C53">
        <w:rPr>
          <w:b w:val="0"/>
        </w:rPr>
        <w:t xml:space="preserve">Confidential </w:t>
      </w:r>
      <w:r w:rsidR="001B12E4" w:rsidRPr="00117C53">
        <w:rPr>
          <w:b w:val="0"/>
        </w:rPr>
        <w:t>Exhibit No.</w:t>
      </w:r>
      <w:proofErr w:type="gramEnd"/>
      <w:r w:rsidR="001B12E4" w:rsidRPr="00117C53">
        <w:rPr>
          <w:b w:val="0"/>
        </w:rPr>
        <w:t xml:space="preserve"> CAC-3C—</w:t>
      </w:r>
      <w:r w:rsidR="007F1A3E" w:rsidRPr="00117C53">
        <w:rPr>
          <w:b w:val="0"/>
        </w:rPr>
        <w:t>Analysis of</w:t>
      </w:r>
      <w:r w:rsidR="001B12E4" w:rsidRPr="00117C53">
        <w:rPr>
          <w:b w:val="0"/>
        </w:rPr>
        <w:t xml:space="preserve"> Hypothetical</w:t>
      </w:r>
      <w:r w:rsidRPr="00117C53">
        <w:rPr>
          <w:b w:val="0"/>
        </w:rPr>
        <w:t xml:space="preserve"> Jim </w:t>
      </w:r>
      <w:r w:rsidR="007F1A3E" w:rsidRPr="00117C53">
        <w:rPr>
          <w:b w:val="0"/>
        </w:rPr>
        <w:t xml:space="preserve">Bridger </w:t>
      </w:r>
      <w:r w:rsidR="001B12E4" w:rsidRPr="00117C53">
        <w:rPr>
          <w:b w:val="0"/>
        </w:rPr>
        <w:t>Two-Unit Scenario</w:t>
      </w:r>
    </w:p>
    <w:p w:rsidR="00072CD1" w:rsidRPr="00117C53" w:rsidRDefault="00072CD1">
      <w:pPr>
        <w:pStyle w:val="Question"/>
        <w:jc w:val="left"/>
        <w:rPr>
          <w:b w:val="0"/>
        </w:rPr>
      </w:pPr>
      <w:r w:rsidRPr="00117C53">
        <w:rPr>
          <w:b w:val="0"/>
        </w:rPr>
        <w:t>Exhibit No. CAC-4—Pacific Power’s Response to Sierra Club Data Request 1.11</w:t>
      </w:r>
    </w:p>
    <w:p w:rsidR="00E80220" w:rsidRPr="00117C53" w:rsidRDefault="00E80220">
      <w:pPr>
        <w:pStyle w:val="Question"/>
        <w:jc w:val="left"/>
        <w:rPr>
          <w:b w:val="0"/>
        </w:rPr>
      </w:pPr>
    </w:p>
    <w:p w:rsidR="00E80220" w:rsidRPr="00117C53" w:rsidRDefault="00E80220">
      <w:pPr>
        <w:pStyle w:val="Question"/>
        <w:jc w:val="left"/>
        <w:rPr>
          <w:b w:val="0"/>
        </w:rPr>
      </w:pPr>
    </w:p>
    <w:p w:rsidR="00E80220" w:rsidRPr="00117C53" w:rsidRDefault="00E80220">
      <w:pPr>
        <w:pStyle w:val="Question"/>
        <w:jc w:val="left"/>
      </w:pPr>
    </w:p>
    <w:p w:rsidR="00E80220" w:rsidRPr="00117C53" w:rsidRDefault="00E80220">
      <w:pPr>
        <w:pStyle w:val="Question"/>
        <w:jc w:val="left"/>
        <w:sectPr w:rsidR="00E80220" w:rsidRPr="00117C53">
          <w:footerReference w:type="default" r:id="rId9"/>
          <w:pgSz w:w="12240" w:h="15840" w:code="1"/>
          <w:pgMar w:top="1440" w:right="1440" w:bottom="1440" w:left="1800" w:header="720" w:footer="720" w:gutter="0"/>
          <w:pgNumType w:fmt="lowerRoman" w:start="1"/>
          <w:cols w:space="720"/>
          <w:docGrid w:linePitch="360"/>
        </w:sectPr>
      </w:pPr>
    </w:p>
    <w:p w:rsidR="00E80220" w:rsidRPr="00117C53" w:rsidRDefault="006649E2">
      <w:pPr>
        <w:pStyle w:val="Question"/>
        <w:jc w:val="left"/>
      </w:pPr>
      <w:r w:rsidRPr="00117C53">
        <w:lastRenderedPageBreak/>
        <w:t>Q.</w:t>
      </w:r>
      <w:r w:rsidRPr="00117C53">
        <w:tab/>
        <w:t xml:space="preserve">Please state your name, business address, and present position. </w:t>
      </w:r>
    </w:p>
    <w:p w:rsidR="00E80220" w:rsidRPr="00117C53" w:rsidRDefault="006649E2">
      <w:pPr>
        <w:pStyle w:val="Answer"/>
        <w:jc w:val="left"/>
      </w:pPr>
      <w:r w:rsidRPr="00117C53">
        <w:t>A.</w:t>
      </w:r>
      <w:r w:rsidRPr="00117C53">
        <w:tab/>
        <w:t>My name is Cindy A. Crane.  My business address i</w:t>
      </w:r>
      <w:r w:rsidR="00744086" w:rsidRPr="00117C53">
        <w:t>s 1407 West North Temple, Suite </w:t>
      </w:r>
      <w:r w:rsidRPr="00117C53">
        <w:t xml:space="preserve">310, </w:t>
      </w:r>
      <w:proofErr w:type="gramStart"/>
      <w:r w:rsidRPr="00117C53">
        <w:t>Salt</w:t>
      </w:r>
      <w:proofErr w:type="gramEnd"/>
      <w:r w:rsidRPr="00117C53">
        <w:t xml:space="preserve"> Lake City, Utah 84116.  I am the President and Chief Executive Officer of Rocky Mountain Power, a division of PacifiCorp.</w:t>
      </w:r>
    </w:p>
    <w:p w:rsidR="00E80220" w:rsidRPr="00117C53" w:rsidRDefault="006649E2">
      <w:pPr>
        <w:pStyle w:val="Answer"/>
        <w:jc w:val="left"/>
      </w:pPr>
      <w:r w:rsidRPr="00117C53">
        <w:rPr>
          <w:b/>
        </w:rPr>
        <w:t>Q.</w:t>
      </w:r>
      <w:r w:rsidRPr="00117C53">
        <w:rPr>
          <w:b/>
        </w:rPr>
        <w:tab/>
        <w:t xml:space="preserve">Have you previously testified in this proceeding on behalf of </w:t>
      </w:r>
      <w:r w:rsidRPr="00117C53">
        <w:rPr>
          <w:b/>
          <w:bCs/>
        </w:rPr>
        <w:t>Pacific Power &amp; Light Company (Pacific Power or Company), a division of PacifiCorp</w:t>
      </w:r>
      <w:r w:rsidRPr="00117C53">
        <w:rPr>
          <w:b/>
        </w:rPr>
        <w:t>?</w:t>
      </w:r>
    </w:p>
    <w:p w:rsidR="00E80220" w:rsidRPr="00117C53" w:rsidRDefault="006649E2">
      <w:pPr>
        <w:pStyle w:val="Answer"/>
        <w:jc w:val="left"/>
      </w:pPr>
      <w:r w:rsidRPr="00117C53">
        <w:t>A.</w:t>
      </w:r>
      <w:r w:rsidRPr="00117C53">
        <w:tab/>
        <w:t>No, but I am adopting the pre-filed rebuttal testimony</w:t>
      </w:r>
      <w:r w:rsidR="007F1A3E" w:rsidRPr="00117C53">
        <w:t xml:space="preserve"> and exhibits</w:t>
      </w:r>
      <w:r w:rsidRPr="00117C53">
        <w:t xml:space="preserve"> of </w:t>
      </w:r>
      <w:r w:rsidR="007F1A3E" w:rsidRPr="00117C53">
        <w:t xml:space="preserve">Mr. </w:t>
      </w:r>
      <w:r w:rsidRPr="00117C53">
        <w:t>Dana Ralston,</w:t>
      </w:r>
      <w:r w:rsidR="007F1A3E" w:rsidRPr="00117C53">
        <w:t xml:space="preserve"> which</w:t>
      </w:r>
      <w:r w:rsidRPr="00117C53">
        <w:t xml:space="preserve"> have been identified as Exhibit Nos. </w:t>
      </w:r>
      <w:proofErr w:type="gramStart"/>
      <w:r w:rsidRPr="00117C53">
        <w:t>DR-1CT, 2C, 3C, and 4C.</w:t>
      </w:r>
      <w:proofErr w:type="gramEnd"/>
      <w:r w:rsidRPr="00117C53">
        <w:t xml:space="preserve">   </w:t>
      </w:r>
    </w:p>
    <w:p w:rsidR="00E80220" w:rsidRPr="00117C53" w:rsidRDefault="006649E2">
      <w:pPr>
        <w:pStyle w:val="Heading1"/>
        <w:rPr>
          <w:rFonts w:ascii="Times New Roman" w:hAnsi="Times New Roman"/>
        </w:rPr>
      </w:pPr>
      <w:bookmarkStart w:id="0" w:name="_Toc450906252"/>
      <w:r w:rsidRPr="00117C53">
        <w:rPr>
          <w:rFonts w:ascii="Times New Roman" w:hAnsi="Times New Roman"/>
        </w:rPr>
        <w:t>QUALIFICATIONS</w:t>
      </w:r>
      <w:bookmarkEnd w:id="0"/>
    </w:p>
    <w:p w:rsidR="00E80220" w:rsidRPr="00117C53" w:rsidRDefault="006649E2">
      <w:pPr>
        <w:pStyle w:val="Question"/>
        <w:widowControl w:val="0"/>
        <w:rPr>
          <w:b w:val="0"/>
        </w:rPr>
      </w:pPr>
      <w:r w:rsidRPr="00117C53">
        <w:t>Q.</w:t>
      </w:r>
      <w:r w:rsidRPr="00117C53">
        <w:tab/>
        <w:t>Briefly describe your professional experience.</w:t>
      </w:r>
    </w:p>
    <w:p w:rsidR="00E80220" w:rsidRPr="00117C53" w:rsidRDefault="006649E2">
      <w:pPr>
        <w:pStyle w:val="Answer"/>
        <w:widowControl w:val="0"/>
        <w:jc w:val="left"/>
      </w:pPr>
      <w:r w:rsidRPr="00117C53">
        <w:t>A.</w:t>
      </w:r>
      <w:r w:rsidRPr="00117C53">
        <w:tab/>
        <w:t xml:space="preserve">I joined PacifiCorp in 1990.  Since then I have served as Director of Business Systems Integration, Managing Director of Business Planning and Strategic Analysis, Vice President of Strategy and Division Services, and Vice President of </w:t>
      </w:r>
      <w:proofErr w:type="spellStart"/>
      <w:r w:rsidRPr="00117C53">
        <w:t>Interwest</w:t>
      </w:r>
      <w:proofErr w:type="spellEnd"/>
      <w:r w:rsidRPr="00117C53">
        <w:t xml:space="preserve"> Mining Company and Fuel Resources.  My responsibilities in these positions included the management and development of PacifiCorp’s 10-year business plan, directing operations of the Energy West Mining and Bridger Coal companies, and coal supply acquisition and fuel management for PacifiCorp’s coal-fired generating plants.  In October 2014, I was appointed to my present position as President and Chief Executive Officer of Rocky Mountain Power.</w:t>
      </w:r>
    </w:p>
    <w:p w:rsidR="00E80220" w:rsidRPr="00117C53" w:rsidRDefault="006649E2">
      <w:pPr>
        <w:pStyle w:val="Question"/>
        <w:widowControl w:val="0"/>
      </w:pPr>
      <w:r w:rsidRPr="00117C53">
        <w:t>Q.</w:t>
      </w:r>
      <w:r w:rsidRPr="00117C53">
        <w:tab/>
        <w:t>Have you testified in previous regulatory proceedings?</w:t>
      </w:r>
    </w:p>
    <w:p w:rsidR="00E80220" w:rsidRPr="00117C53" w:rsidRDefault="006649E2">
      <w:pPr>
        <w:pStyle w:val="Answer"/>
        <w:widowControl w:val="0"/>
        <w:jc w:val="left"/>
      </w:pPr>
      <w:r w:rsidRPr="00117C53">
        <w:t>A.</w:t>
      </w:r>
      <w:r w:rsidRPr="00117C53">
        <w:tab/>
        <w:t>Yes.  I have filed testimony in proceedings before public utility commissions in all states in which PacifiCorp serves customers, including Washington.</w:t>
      </w:r>
    </w:p>
    <w:p w:rsidR="00E80220" w:rsidRPr="00117C53" w:rsidRDefault="006649E2">
      <w:pPr>
        <w:pStyle w:val="Heading1"/>
        <w:keepNext/>
        <w:rPr>
          <w:rFonts w:ascii="Times New Roman" w:hAnsi="Times New Roman"/>
        </w:rPr>
      </w:pPr>
      <w:bookmarkStart w:id="1" w:name="_Toc450906253"/>
      <w:r w:rsidRPr="00117C53">
        <w:rPr>
          <w:rFonts w:ascii="Times New Roman" w:hAnsi="Times New Roman"/>
        </w:rPr>
        <w:lastRenderedPageBreak/>
        <w:t>PURPOSE AND SUMMARY OF TESTIMONY</w:t>
      </w:r>
      <w:bookmarkEnd w:id="1"/>
    </w:p>
    <w:p w:rsidR="00E80220" w:rsidRPr="00117C53" w:rsidRDefault="006649E2">
      <w:pPr>
        <w:pStyle w:val="Question"/>
        <w:widowControl w:val="0"/>
        <w:jc w:val="left"/>
      </w:pPr>
      <w:r w:rsidRPr="00117C53">
        <w:t>Q.</w:t>
      </w:r>
      <w:r w:rsidRPr="00117C53">
        <w:tab/>
        <w:t>What is the purpose of your supplemental rebuttal testimony?</w:t>
      </w:r>
    </w:p>
    <w:p w:rsidR="00E80220" w:rsidRPr="00117C53" w:rsidRDefault="006649E2">
      <w:pPr>
        <w:pStyle w:val="Answer"/>
        <w:widowControl w:val="0"/>
        <w:jc w:val="left"/>
        <w:rPr>
          <w:b/>
        </w:rPr>
      </w:pPr>
      <w:r w:rsidRPr="00117C53">
        <w:t>A.</w:t>
      </w:r>
      <w:r w:rsidRPr="00117C53">
        <w:tab/>
        <w:t>My testimony resp</w:t>
      </w:r>
      <w:r w:rsidR="007F1A3E" w:rsidRPr="00117C53">
        <w:t>onds to the supplemental t</w:t>
      </w:r>
      <w:r w:rsidRPr="00117C53">
        <w:t xml:space="preserve">estimony of </w:t>
      </w:r>
      <w:r w:rsidR="007F1A3E" w:rsidRPr="00117C53">
        <w:t xml:space="preserve">Mr. </w:t>
      </w:r>
      <w:r w:rsidRPr="00117C53">
        <w:t xml:space="preserve">Jeremy B. </w:t>
      </w:r>
      <w:proofErr w:type="spellStart"/>
      <w:r w:rsidRPr="00117C53">
        <w:t>Twitchell</w:t>
      </w:r>
      <w:proofErr w:type="spellEnd"/>
      <w:r w:rsidRPr="00117C53">
        <w:t xml:space="preserve"> on behalf of </w:t>
      </w:r>
      <w:r w:rsidR="007F1A3E" w:rsidRPr="00117C53">
        <w:t xml:space="preserve">Staff of the </w:t>
      </w:r>
      <w:r w:rsidRPr="00117C53">
        <w:t xml:space="preserve">Washington Utilities and Transportation Commission </w:t>
      </w:r>
      <w:r w:rsidR="007F1A3E" w:rsidRPr="00117C53">
        <w:t>(Commission)</w:t>
      </w:r>
      <w:r w:rsidRPr="00117C53">
        <w:t xml:space="preserve"> related to the prudence of the Company’s decision to install selective catalytic reduction systems (SCRs) on Units 3 and 4 of the Jim Bridger generating plant</w:t>
      </w:r>
      <w:r w:rsidR="00FD7BF9" w:rsidRPr="00117C53">
        <w:t xml:space="preserve"> (Jim Bridger Units 3 and 4)</w:t>
      </w:r>
      <w:r w:rsidRPr="00117C53">
        <w:t xml:space="preserve">.  In particular, I respond to Staff’s analysis of the coal costs Pacific Power used in its present value revenue requirement differential calculations (PVRR(d)) supporting the decision to install SCRs.  </w:t>
      </w:r>
    </w:p>
    <w:p w:rsidR="00E80220" w:rsidRPr="00117C53" w:rsidRDefault="006649E2">
      <w:pPr>
        <w:tabs>
          <w:tab w:val="left" w:pos="720"/>
        </w:tabs>
        <w:spacing w:line="480" w:lineRule="auto"/>
        <w:ind w:left="720" w:hanging="720"/>
        <w:jc w:val="left"/>
        <w:rPr>
          <w:szCs w:val="20"/>
        </w:rPr>
      </w:pPr>
      <w:bookmarkStart w:id="2" w:name="_Toc386469982"/>
      <w:r w:rsidRPr="00117C53">
        <w:rPr>
          <w:b/>
          <w:szCs w:val="20"/>
        </w:rPr>
        <w:t>Q.</w:t>
      </w:r>
      <w:r w:rsidRPr="00117C53">
        <w:rPr>
          <w:b/>
          <w:szCs w:val="20"/>
        </w:rPr>
        <w:tab/>
        <w:t>Please summarize your testimony.</w:t>
      </w:r>
    </w:p>
    <w:p w:rsidR="00E80220" w:rsidRPr="00117C53" w:rsidRDefault="006649E2">
      <w:pPr>
        <w:pStyle w:val="Answer"/>
        <w:widowControl w:val="0"/>
        <w:jc w:val="left"/>
      </w:pPr>
      <w:r w:rsidRPr="00117C53">
        <w:rPr>
          <w:szCs w:val="20"/>
        </w:rPr>
        <w:t>A.</w:t>
      </w:r>
      <w:r w:rsidRPr="00117C53">
        <w:rPr>
          <w:szCs w:val="20"/>
        </w:rPr>
        <w:tab/>
      </w:r>
      <w:r w:rsidRPr="00117C53">
        <w:t>Pacific Power’s decision to install SCRs at Jim Bridger Units 3 and 4 was prudent, and the Company’s analysis supporting the decision was based on the best available information at the time the decision was made.  Staff accuses the Company of failing to consider increases in coal costs and decreases in natural gas prices when it issued the f</w:t>
      </w:r>
      <w:r w:rsidR="00C54A7C" w:rsidRPr="00117C53">
        <w:t>ull</w:t>
      </w:r>
      <w:r w:rsidRPr="00117C53">
        <w:t xml:space="preserve"> notice to proceed </w:t>
      </w:r>
      <w:r w:rsidR="00C54A7C" w:rsidRPr="00117C53">
        <w:t>(FNTP) on</w:t>
      </w:r>
      <w:r w:rsidRPr="00117C53">
        <w:t xml:space="preserve"> December </w:t>
      </w:r>
      <w:r w:rsidR="00C54A7C" w:rsidRPr="00117C53">
        <w:t xml:space="preserve">1, </w:t>
      </w:r>
      <w:r w:rsidRPr="00117C53">
        <w:t>2013.  Staff bases these accusations on an alleged lack of evidence that these changes were considered, and relies on an analysis of Bridger Coal Company (BCC) coal costs prepared by the Company in fall 2013 as part of its annual budge</w:t>
      </w:r>
      <w:r w:rsidR="00072CD1" w:rsidRPr="00117C53">
        <w:t>ting process (the October 2013 mine p</w:t>
      </w:r>
      <w:r w:rsidRPr="00117C53">
        <w:t xml:space="preserve">lan) and selective application of third-party natural gas price forecasts.  Staff’s accusations are unfounded and untrue.  </w:t>
      </w:r>
    </w:p>
    <w:p w:rsidR="00E80220" w:rsidRPr="00117C53" w:rsidRDefault="006649E2">
      <w:pPr>
        <w:pStyle w:val="Answer"/>
        <w:widowControl w:val="0"/>
        <w:ind w:firstLine="720"/>
        <w:jc w:val="left"/>
        <w:rPr>
          <w:szCs w:val="20"/>
        </w:rPr>
      </w:pPr>
      <w:r w:rsidRPr="00117C53">
        <w:t xml:space="preserve">Mr. Chad A. Teply addresses Staff’s assertions that the </w:t>
      </w:r>
      <w:r w:rsidR="00AD02ED" w:rsidRPr="00117C53">
        <w:t>C</w:t>
      </w:r>
      <w:r w:rsidRPr="00117C53">
        <w:t xml:space="preserve">ompany did not consider these changes in December 2013 before issuing the </w:t>
      </w:r>
      <w:r w:rsidR="00C54A7C" w:rsidRPr="00117C53">
        <w:t>FNTP</w:t>
      </w:r>
      <w:r w:rsidRPr="00117C53">
        <w:t xml:space="preserve">, and Mr. Rick T. Link addresses the natural gas price forecasts.  In this testimony, I address Staff’s </w:t>
      </w:r>
      <w:r w:rsidRPr="00117C53">
        <w:lastRenderedPageBreak/>
        <w:t>assertions about estimated coal costs in fall 2013.  Although certain costs related to BCC</w:t>
      </w:r>
      <w:r w:rsidR="00072CD1" w:rsidRPr="00117C53">
        <w:t xml:space="preserve"> increased in the October 2013 mine p</w:t>
      </w:r>
      <w:r w:rsidRPr="00117C53">
        <w:t xml:space="preserve">lan, other costs decreased, including </w:t>
      </w:r>
      <w:r w:rsidRPr="00117C53">
        <w:rPr>
          <w:szCs w:val="20"/>
        </w:rPr>
        <w:t xml:space="preserve">decreases in capital expenditures and third-party coal costs. </w:t>
      </w:r>
      <w:r w:rsidRPr="00117C53">
        <w:t xml:space="preserve"> The changes in the October 2</w:t>
      </w:r>
      <w:r w:rsidR="00072CD1" w:rsidRPr="00117C53">
        <w:t>013 mine p</w:t>
      </w:r>
      <w:r w:rsidRPr="00117C53">
        <w:t xml:space="preserve">lan were not material and did not warrant </w:t>
      </w:r>
      <w:r w:rsidRPr="00117C53">
        <w:rPr>
          <w:szCs w:val="20"/>
        </w:rPr>
        <w:t xml:space="preserve">an update to the Company’s long-term fueling plan (what has been called the January 2013 mine plan, but is referred to in </w:t>
      </w:r>
      <w:r w:rsidR="00072CD1" w:rsidRPr="00117C53">
        <w:rPr>
          <w:szCs w:val="20"/>
        </w:rPr>
        <w:t>the Company’s supplemental rebuttal testimony as the January 2013 long-term fueling p</w:t>
      </w:r>
      <w:r w:rsidRPr="00117C53">
        <w:rPr>
          <w:szCs w:val="20"/>
        </w:rPr>
        <w:t xml:space="preserve">lan to clarify the intended purposes of the two different types of plans) or its SCR analysis.  </w:t>
      </w:r>
    </w:p>
    <w:p w:rsidR="00E80220" w:rsidRPr="00117C53" w:rsidRDefault="006649E2">
      <w:pPr>
        <w:pStyle w:val="Heading1"/>
        <w:rPr>
          <w:rFonts w:ascii="Times New Roman" w:hAnsi="Times New Roman"/>
          <w:szCs w:val="20"/>
        </w:rPr>
      </w:pPr>
      <w:bookmarkStart w:id="3" w:name="_Toc450906254"/>
      <w:r w:rsidRPr="00117C53">
        <w:rPr>
          <w:rFonts w:ascii="Times New Roman" w:hAnsi="Times New Roman"/>
          <w:szCs w:val="20"/>
        </w:rPr>
        <w:t xml:space="preserve">OCTOBER 2013 </w:t>
      </w:r>
      <w:r w:rsidRPr="00117C53">
        <w:rPr>
          <w:rFonts w:ascii="Times New Roman" w:hAnsi="Times New Roman"/>
        </w:rPr>
        <w:t>MINE</w:t>
      </w:r>
      <w:r w:rsidRPr="00117C53">
        <w:rPr>
          <w:rFonts w:ascii="Times New Roman" w:hAnsi="Times New Roman"/>
          <w:szCs w:val="20"/>
        </w:rPr>
        <w:t xml:space="preserve"> PLAN</w:t>
      </w:r>
      <w:bookmarkEnd w:id="3"/>
    </w:p>
    <w:p w:rsidR="00E80220" w:rsidRPr="00117C53" w:rsidRDefault="006649E2">
      <w:pPr>
        <w:pStyle w:val="Answer"/>
        <w:widowControl w:val="0"/>
        <w:jc w:val="left"/>
        <w:rPr>
          <w:b/>
          <w:szCs w:val="20"/>
        </w:rPr>
      </w:pPr>
      <w:r w:rsidRPr="00117C53">
        <w:rPr>
          <w:b/>
          <w:szCs w:val="20"/>
        </w:rPr>
        <w:t>Q.</w:t>
      </w:r>
      <w:r w:rsidRPr="00117C53">
        <w:rPr>
          <w:b/>
          <w:szCs w:val="20"/>
        </w:rPr>
        <w:tab/>
        <w:t>Please descr</w:t>
      </w:r>
      <w:r w:rsidR="00072CD1" w:rsidRPr="00117C53">
        <w:rPr>
          <w:b/>
          <w:szCs w:val="20"/>
        </w:rPr>
        <w:t>ibe the Company’s October 2013 mine p</w:t>
      </w:r>
      <w:r w:rsidRPr="00117C53">
        <w:rPr>
          <w:b/>
          <w:szCs w:val="20"/>
        </w:rPr>
        <w:t>lan.</w:t>
      </w:r>
    </w:p>
    <w:p w:rsidR="00E80220" w:rsidRPr="00117C53" w:rsidRDefault="006649E2">
      <w:pPr>
        <w:pStyle w:val="Answer"/>
        <w:widowControl w:val="0"/>
        <w:jc w:val="left"/>
        <w:rPr>
          <w:szCs w:val="20"/>
        </w:rPr>
      </w:pPr>
      <w:r w:rsidRPr="00117C53">
        <w:rPr>
          <w:szCs w:val="20"/>
        </w:rPr>
        <w:t>A.</w:t>
      </w:r>
      <w:r w:rsidRPr="00117C53">
        <w:rPr>
          <w:szCs w:val="20"/>
        </w:rPr>
        <w:tab/>
        <w:t>As discussed in Mr. Ralston’s rebutt</w:t>
      </w:r>
      <w:r w:rsidR="00072CD1" w:rsidRPr="00117C53">
        <w:rPr>
          <w:szCs w:val="20"/>
        </w:rPr>
        <w:t>al testimony, the October 2013 mine p</w:t>
      </w:r>
      <w:r w:rsidRPr="00117C53">
        <w:rPr>
          <w:szCs w:val="20"/>
        </w:rPr>
        <w:t>lan was developed by the Company as part of its annual budgeting process.</w:t>
      </w:r>
      <w:r w:rsidRPr="00117C53">
        <w:rPr>
          <w:rStyle w:val="FootnoteReference"/>
          <w:szCs w:val="20"/>
        </w:rPr>
        <w:footnoteReference w:id="2"/>
      </w:r>
      <w:r w:rsidRPr="00117C53">
        <w:rPr>
          <w:szCs w:val="20"/>
        </w:rPr>
        <w:t xml:space="preserve">  The plan was prepared to forecast BCC coal costs for a 10-year budget horiz</w:t>
      </w:r>
      <w:r w:rsidR="00072CD1" w:rsidRPr="00117C53">
        <w:rPr>
          <w:szCs w:val="20"/>
        </w:rPr>
        <w:t>on.  Although the October 2013 mine p</w:t>
      </w:r>
      <w:r w:rsidRPr="00117C53">
        <w:rPr>
          <w:szCs w:val="20"/>
        </w:rPr>
        <w:t>lan includes forecasts beyond this 10-year horizon, this information is used only to develop reclamation funding inputs for the 10-year budget horizon.  In contrast, the Company prepares long-term fueling p</w:t>
      </w:r>
      <w:r w:rsidR="00072CD1" w:rsidRPr="00117C53">
        <w:rPr>
          <w:szCs w:val="20"/>
        </w:rPr>
        <w:t>lans, such as the January 2013 long-term fueling p</w:t>
      </w:r>
      <w:r w:rsidRPr="00117C53">
        <w:rPr>
          <w:szCs w:val="20"/>
        </w:rPr>
        <w:t xml:space="preserve">lan, for use in the integrated resource planning process and in analyses of decisions with long-term impacts to the Company and its customers, such as the decision to install SCRs at Jim Bridger Units 3 and 4.  Therefore, the nature of the data provided in the two types of plans is different, and different analytical rigor is applied in developing the long-term data included in the plans.  </w:t>
      </w:r>
    </w:p>
    <w:p w:rsidR="00E80220" w:rsidRPr="00117C53" w:rsidRDefault="00072CD1">
      <w:pPr>
        <w:pStyle w:val="Answer"/>
        <w:jc w:val="left"/>
        <w:rPr>
          <w:b/>
          <w:szCs w:val="20"/>
        </w:rPr>
      </w:pPr>
      <w:r w:rsidRPr="00117C53">
        <w:rPr>
          <w:b/>
          <w:szCs w:val="20"/>
        </w:rPr>
        <w:lastRenderedPageBreak/>
        <w:t>Q.</w:t>
      </w:r>
      <w:r w:rsidRPr="00117C53">
        <w:rPr>
          <w:b/>
          <w:szCs w:val="20"/>
        </w:rPr>
        <w:tab/>
        <w:t>Is the October 2013 mine p</w:t>
      </w:r>
      <w:r w:rsidR="006649E2" w:rsidRPr="00117C53">
        <w:rPr>
          <w:b/>
          <w:szCs w:val="20"/>
        </w:rPr>
        <w:t xml:space="preserve">lan directly </w:t>
      </w:r>
      <w:r w:rsidRPr="00117C53">
        <w:rPr>
          <w:b/>
          <w:szCs w:val="20"/>
        </w:rPr>
        <w:t>comparable to the January 2013 long-term fueling p</w:t>
      </w:r>
      <w:r w:rsidR="006649E2" w:rsidRPr="00117C53">
        <w:rPr>
          <w:b/>
          <w:szCs w:val="20"/>
        </w:rPr>
        <w:t>lan?</w:t>
      </w:r>
    </w:p>
    <w:p w:rsidR="00E80220" w:rsidRPr="00117C53" w:rsidRDefault="006649E2">
      <w:pPr>
        <w:pStyle w:val="Answer"/>
        <w:widowControl w:val="0"/>
        <w:jc w:val="left"/>
        <w:rPr>
          <w:szCs w:val="20"/>
        </w:rPr>
      </w:pPr>
      <w:r w:rsidRPr="00117C53">
        <w:rPr>
          <w:szCs w:val="20"/>
        </w:rPr>
        <w:t>A.</w:t>
      </w:r>
      <w:r w:rsidRPr="00117C53">
        <w:rPr>
          <w:szCs w:val="20"/>
        </w:rPr>
        <w:tab/>
        <w:t xml:space="preserve">No.  As Mr. Ralston previously testified, the plans are not comparable given the major differences in their purpose, scope, and planning horizons.  The Company never </w:t>
      </w:r>
      <w:r w:rsidR="009918EE" w:rsidRPr="00117C53">
        <w:rPr>
          <w:szCs w:val="20"/>
        </w:rPr>
        <w:t xml:space="preserve">relied on </w:t>
      </w:r>
      <w:r w:rsidR="00072CD1" w:rsidRPr="00117C53">
        <w:rPr>
          <w:szCs w:val="20"/>
        </w:rPr>
        <w:t>the October 2013 mine p</w:t>
      </w:r>
      <w:r w:rsidRPr="00117C53">
        <w:rPr>
          <w:szCs w:val="20"/>
        </w:rPr>
        <w:t xml:space="preserve">lan as a long-term fueling forecast for the Jim Bridger plant.   </w:t>
      </w:r>
    </w:p>
    <w:p w:rsidR="00E80220" w:rsidRPr="00117C53" w:rsidRDefault="006649E2">
      <w:pPr>
        <w:pStyle w:val="Answer"/>
        <w:jc w:val="left"/>
        <w:rPr>
          <w:szCs w:val="20"/>
        </w:rPr>
      </w:pPr>
      <w:r w:rsidRPr="00117C53">
        <w:rPr>
          <w:b/>
          <w:szCs w:val="20"/>
        </w:rPr>
        <w:t>Q.</w:t>
      </w:r>
      <w:r w:rsidRPr="00117C53">
        <w:rPr>
          <w:b/>
          <w:szCs w:val="20"/>
        </w:rPr>
        <w:tab/>
        <w:t xml:space="preserve">Did the BCC coal costs included in the October 2013 Mine Plan increase by </w:t>
      </w:r>
      <w:r w:rsidR="005F3F43" w:rsidRPr="005F3F43">
        <w:rPr>
          <w:b/>
          <w:szCs w:val="20"/>
          <w:highlight w:val="black"/>
        </w:rPr>
        <w:t>_________</w:t>
      </w:r>
      <w:r w:rsidRPr="00117C53">
        <w:rPr>
          <w:b/>
          <w:szCs w:val="20"/>
        </w:rPr>
        <w:t xml:space="preserve"> over the BCC coal cost</w:t>
      </w:r>
      <w:r w:rsidR="008D5817" w:rsidRPr="00117C53">
        <w:rPr>
          <w:b/>
          <w:szCs w:val="20"/>
        </w:rPr>
        <w:t>s included in the January 2013 long-term fueling p</w:t>
      </w:r>
      <w:r w:rsidRPr="00117C53">
        <w:rPr>
          <w:b/>
          <w:szCs w:val="20"/>
        </w:rPr>
        <w:t>lan, as Staff testified?</w:t>
      </w:r>
      <w:r w:rsidRPr="00117C53">
        <w:rPr>
          <w:rStyle w:val="FootnoteReference"/>
          <w:b/>
          <w:szCs w:val="20"/>
        </w:rPr>
        <w:footnoteReference w:id="3"/>
      </w:r>
      <w:r w:rsidRPr="00117C53">
        <w:rPr>
          <w:b/>
          <w:szCs w:val="20"/>
        </w:rPr>
        <w:t xml:space="preserve">  </w:t>
      </w:r>
    </w:p>
    <w:p w:rsidR="00E80220" w:rsidRPr="00117C53" w:rsidRDefault="006649E2">
      <w:pPr>
        <w:pStyle w:val="Answer"/>
        <w:widowControl w:val="0"/>
        <w:jc w:val="left"/>
        <w:rPr>
          <w:szCs w:val="20"/>
        </w:rPr>
      </w:pPr>
      <w:r w:rsidRPr="00117C53">
        <w:rPr>
          <w:szCs w:val="20"/>
        </w:rPr>
        <w:t>A.</w:t>
      </w:r>
      <w:r w:rsidRPr="00117C53">
        <w:rPr>
          <w:szCs w:val="20"/>
        </w:rPr>
        <w:tab/>
        <w:t xml:space="preserve">No.  Because the January 2013 and October 2013 plans are not directly comparable, Staff needed to make several assumptions in conducting its analysis.  When errors in these assumptions are corrected, the results show that overall coal costs for the Jim Bridger plant increased by only </w:t>
      </w:r>
      <w:r w:rsidR="005F3F43" w:rsidRPr="005F3F43">
        <w:rPr>
          <w:b/>
          <w:szCs w:val="20"/>
          <w:highlight w:val="black"/>
        </w:rPr>
        <w:t>_________</w:t>
      </w:r>
      <w:r w:rsidR="005F3F43">
        <w:rPr>
          <w:b/>
          <w:szCs w:val="20"/>
        </w:rPr>
        <w:t xml:space="preserve"> </w:t>
      </w:r>
      <w:r w:rsidRPr="00117C53">
        <w:rPr>
          <w:szCs w:val="20"/>
        </w:rPr>
        <w:t>during the 10-year budget horiz</w:t>
      </w:r>
      <w:r w:rsidR="008D5817" w:rsidRPr="00117C53">
        <w:rPr>
          <w:szCs w:val="20"/>
        </w:rPr>
        <w:t>on covered by the October 2013 mine p</w:t>
      </w:r>
      <w:r w:rsidRPr="00117C53">
        <w:rPr>
          <w:szCs w:val="20"/>
        </w:rPr>
        <w:t xml:space="preserve">lan.  This amount is consistent with the </w:t>
      </w:r>
      <w:r w:rsidR="005F3F43" w:rsidRPr="005F3F43">
        <w:rPr>
          <w:b/>
          <w:szCs w:val="20"/>
          <w:highlight w:val="black"/>
        </w:rPr>
        <w:t>_________</w:t>
      </w:r>
      <w:r w:rsidR="005F3F43">
        <w:rPr>
          <w:b/>
          <w:szCs w:val="20"/>
        </w:rPr>
        <w:t xml:space="preserve"> </w:t>
      </w:r>
      <w:r w:rsidRPr="00117C53">
        <w:rPr>
          <w:szCs w:val="20"/>
        </w:rPr>
        <w:t>increase reflected in the Company’s long-term fueling plan for the Jim Bridger plant used for the 2015 Integrated Resource Plan (IRP)</w:t>
      </w:r>
      <w:r w:rsidR="00D85B84" w:rsidRPr="00117C53">
        <w:rPr>
          <w:szCs w:val="20"/>
        </w:rPr>
        <w:t xml:space="preserve"> for the 2016-2030 </w:t>
      </w:r>
      <w:proofErr w:type="gramStart"/>
      <w:r w:rsidR="00D85B84" w:rsidRPr="00117C53">
        <w:rPr>
          <w:szCs w:val="20"/>
        </w:rPr>
        <w:t>period</w:t>
      </w:r>
      <w:proofErr w:type="gramEnd"/>
      <w:r w:rsidRPr="00117C53">
        <w:rPr>
          <w:szCs w:val="20"/>
        </w:rPr>
        <w:t>.</w:t>
      </w:r>
      <w:r w:rsidRPr="00117C53">
        <w:rPr>
          <w:rStyle w:val="FootnoteReference"/>
          <w:szCs w:val="20"/>
        </w:rPr>
        <w:footnoteReference w:id="4"/>
      </w:r>
      <w:r w:rsidRPr="00117C53">
        <w:rPr>
          <w:szCs w:val="20"/>
        </w:rPr>
        <w:t xml:space="preserve"> </w:t>
      </w:r>
      <w:r w:rsidR="00FD6AA6" w:rsidRPr="00117C53">
        <w:rPr>
          <w:szCs w:val="20"/>
        </w:rPr>
        <w:t xml:space="preserve"> </w:t>
      </w:r>
      <w:r w:rsidR="00FD6AA6" w:rsidRPr="00117C53">
        <w:t>If the Company had updated</w:t>
      </w:r>
      <w:r w:rsidR="00744086" w:rsidRPr="00117C53">
        <w:t xml:space="preserve"> costs by this percentage increase in </w:t>
      </w:r>
      <w:proofErr w:type="gramStart"/>
      <w:r w:rsidR="00744086" w:rsidRPr="00117C53">
        <w:t>both</w:t>
      </w:r>
      <w:r w:rsidR="00FD6AA6" w:rsidRPr="00117C53">
        <w:t xml:space="preserve"> </w:t>
      </w:r>
      <w:r w:rsidR="00744086" w:rsidRPr="00117C53">
        <w:t>the</w:t>
      </w:r>
      <w:proofErr w:type="gramEnd"/>
      <w:r w:rsidR="00744086" w:rsidRPr="00117C53">
        <w:t xml:space="preserve"> two-unit operating scenario (the natural gas conversion alternative) and four</w:t>
      </w:r>
      <w:r w:rsidR="00FD6AA6" w:rsidRPr="00117C53">
        <w:t xml:space="preserve">-unit </w:t>
      </w:r>
      <w:r w:rsidR="00744086" w:rsidRPr="00117C53">
        <w:t>operating scenario (the SCR alternative)</w:t>
      </w:r>
      <w:r w:rsidR="00FD6AA6" w:rsidRPr="00117C53">
        <w:t xml:space="preserve">, the SCR benefits would have decreased by approximately </w:t>
      </w:r>
      <w:r w:rsidR="005F3F43" w:rsidRPr="005F3F43">
        <w:rPr>
          <w:b/>
          <w:szCs w:val="20"/>
          <w:highlight w:val="black"/>
        </w:rPr>
        <w:t>______</w:t>
      </w:r>
      <w:r w:rsidR="005F3F43">
        <w:rPr>
          <w:b/>
          <w:szCs w:val="20"/>
          <w:highlight w:val="black"/>
        </w:rPr>
        <w:t>__</w:t>
      </w:r>
      <w:r w:rsidR="005F3F43" w:rsidRPr="005F3F43">
        <w:rPr>
          <w:b/>
          <w:szCs w:val="20"/>
          <w:highlight w:val="black"/>
        </w:rPr>
        <w:t>___</w:t>
      </w:r>
      <w:r w:rsidR="005F3F43">
        <w:rPr>
          <w:b/>
          <w:szCs w:val="20"/>
        </w:rPr>
        <w:t xml:space="preserve"> </w:t>
      </w:r>
      <w:r w:rsidR="00FD6AA6" w:rsidRPr="00117C53">
        <w:t>over the 10-year budget period</w:t>
      </w:r>
      <w:r w:rsidR="00A10937" w:rsidRPr="00117C53">
        <w:t xml:space="preserve">, as set forth in </w:t>
      </w:r>
      <w:r w:rsidR="001B12E4" w:rsidRPr="00117C53">
        <w:t xml:space="preserve">Exhibit </w:t>
      </w:r>
      <w:r w:rsidR="001B12E4" w:rsidRPr="00117C53">
        <w:lastRenderedPageBreak/>
        <w:t>No.</w:t>
      </w:r>
      <w:r w:rsidR="00A10937" w:rsidRPr="00117C53">
        <w:t xml:space="preserve"> CAC-2</w:t>
      </w:r>
      <w:r w:rsidR="007F1A3E" w:rsidRPr="00117C53">
        <w:t>C</w:t>
      </w:r>
      <w:r w:rsidR="00A10937" w:rsidRPr="00117C53">
        <w:t xml:space="preserve">.  </w:t>
      </w:r>
      <w:r w:rsidR="003D3C61" w:rsidRPr="00117C53">
        <w:t xml:space="preserve">This is a conservative assumption because, as discussed below, the Company’s analysis shows that projected cost increases in a two-unit scenario under the October 2013 mine plan would have offset all cost increases in the four-unit scenario. </w:t>
      </w:r>
    </w:p>
    <w:p w:rsidR="00E80220" w:rsidRPr="00117C53" w:rsidRDefault="006649E2">
      <w:pPr>
        <w:pStyle w:val="Answer"/>
        <w:widowControl w:val="0"/>
        <w:jc w:val="left"/>
        <w:rPr>
          <w:szCs w:val="20"/>
        </w:rPr>
      </w:pPr>
      <w:r w:rsidRPr="00117C53">
        <w:rPr>
          <w:b/>
          <w:szCs w:val="20"/>
        </w:rPr>
        <w:t>Q.</w:t>
      </w:r>
      <w:r w:rsidRPr="00117C53">
        <w:rPr>
          <w:b/>
          <w:szCs w:val="20"/>
        </w:rPr>
        <w:tab/>
        <w:t xml:space="preserve">Before filing </w:t>
      </w:r>
      <w:r w:rsidR="00917583" w:rsidRPr="00117C53">
        <w:rPr>
          <w:b/>
          <w:szCs w:val="20"/>
        </w:rPr>
        <w:t xml:space="preserve">its initial </w:t>
      </w:r>
      <w:r w:rsidRPr="00117C53">
        <w:rPr>
          <w:b/>
          <w:szCs w:val="20"/>
        </w:rPr>
        <w:t>or supplemental testimon</w:t>
      </w:r>
      <w:r w:rsidR="00917583" w:rsidRPr="00117C53">
        <w:rPr>
          <w:b/>
          <w:szCs w:val="20"/>
        </w:rPr>
        <w:t>y</w:t>
      </w:r>
      <w:r w:rsidRPr="00117C53">
        <w:rPr>
          <w:b/>
          <w:szCs w:val="20"/>
        </w:rPr>
        <w:t xml:space="preserve">, </w:t>
      </w:r>
      <w:r w:rsidR="00917583" w:rsidRPr="00117C53">
        <w:rPr>
          <w:b/>
          <w:szCs w:val="20"/>
        </w:rPr>
        <w:t>was S</w:t>
      </w:r>
      <w:r w:rsidRPr="00117C53">
        <w:rPr>
          <w:b/>
          <w:szCs w:val="20"/>
        </w:rPr>
        <w:t xml:space="preserve">taff aware that the October 2013 Mine Plan was not directly </w:t>
      </w:r>
      <w:r w:rsidR="008D5817" w:rsidRPr="00117C53">
        <w:rPr>
          <w:b/>
          <w:szCs w:val="20"/>
        </w:rPr>
        <w:t>comparable to the January 2013 long-term fueling p</w:t>
      </w:r>
      <w:r w:rsidRPr="00117C53">
        <w:rPr>
          <w:b/>
          <w:szCs w:val="20"/>
        </w:rPr>
        <w:t>lan?</w:t>
      </w:r>
    </w:p>
    <w:p w:rsidR="00E80220" w:rsidRPr="00117C53" w:rsidRDefault="006649E2">
      <w:pPr>
        <w:pStyle w:val="Answer"/>
        <w:widowControl w:val="0"/>
        <w:jc w:val="left"/>
        <w:rPr>
          <w:szCs w:val="20"/>
        </w:rPr>
      </w:pPr>
      <w:r w:rsidRPr="00117C53">
        <w:rPr>
          <w:szCs w:val="20"/>
        </w:rPr>
        <w:t>A.</w:t>
      </w:r>
      <w:r w:rsidRPr="00117C53">
        <w:rPr>
          <w:szCs w:val="20"/>
        </w:rPr>
        <w:tab/>
        <w:t xml:space="preserve">Yes.  In Mr. </w:t>
      </w:r>
      <w:proofErr w:type="spellStart"/>
      <w:r w:rsidRPr="00117C53">
        <w:rPr>
          <w:szCs w:val="20"/>
        </w:rPr>
        <w:t>Twitchell’s</w:t>
      </w:r>
      <w:proofErr w:type="spellEnd"/>
      <w:r w:rsidRPr="00117C53">
        <w:rPr>
          <w:szCs w:val="20"/>
        </w:rPr>
        <w:t xml:space="preserve"> initial testimony, he explained that he had reviewed the record from the Company’s 2014 Utah rate case to determine how the SCR investments were treated.</w:t>
      </w:r>
      <w:r w:rsidRPr="00117C53">
        <w:rPr>
          <w:rStyle w:val="FootnoteReference"/>
          <w:szCs w:val="20"/>
        </w:rPr>
        <w:footnoteReference w:id="5"/>
      </w:r>
      <w:r w:rsidRPr="00117C53">
        <w:rPr>
          <w:szCs w:val="20"/>
        </w:rPr>
        <w:t xml:space="preserve">  My testimony in that case explained the differ</w:t>
      </w:r>
      <w:r w:rsidR="008D5817" w:rsidRPr="00117C53">
        <w:rPr>
          <w:szCs w:val="20"/>
        </w:rPr>
        <w:t>ences between the October 2013 mine plan and the January 2013 long-term fueling p</w:t>
      </w:r>
      <w:r w:rsidRPr="00117C53">
        <w:rPr>
          <w:szCs w:val="20"/>
        </w:rPr>
        <w:t>lan and made clear that they are not directly comparable.</w:t>
      </w:r>
      <w:r w:rsidRPr="00117C53">
        <w:rPr>
          <w:rStyle w:val="FootnoteReference"/>
          <w:szCs w:val="20"/>
        </w:rPr>
        <w:footnoteReference w:id="6"/>
      </w:r>
      <w:r w:rsidRPr="00117C53">
        <w:rPr>
          <w:szCs w:val="20"/>
        </w:rPr>
        <w:t xml:space="preserve">  Mr. </w:t>
      </w:r>
      <w:proofErr w:type="spellStart"/>
      <w:r w:rsidRPr="00117C53">
        <w:rPr>
          <w:szCs w:val="20"/>
        </w:rPr>
        <w:t>Twitchell’s</w:t>
      </w:r>
      <w:proofErr w:type="spellEnd"/>
      <w:r w:rsidRPr="00117C53">
        <w:rPr>
          <w:szCs w:val="20"/>
        </w:rPr>
        <w:t xml:space="preserve"> review of the record from the 2014 Utah rate case should have alerted him to the material differences in these two plans.  Moreover, Mr. Ralston clearly explained in his rebuttal testimony that these two plans are not directly comparable for the same reasons discussed here.</w:t>
      </w:r>
      <w:r w:rsidRPr="00117C53">
        <w:rPr>
          <w:rStyle w:val="FootnoteReference"/>
          <w:szCs w:val="20"/>
        </w:rPr>
        <w:footnoteReference w:id="7"/>
      </w:r>
      <w:r w:rsidRPr="00117C53">
        <w:rPr>
          <w:szCs w:val="20"/>
        </w:rPr>
        <w:t xml:space="preserve">    </w:t>
      </w:r>
    </w:p>
    <w:p w:rsidR="00E80220" w:rsidRPr="00117C53" w:rsidRDefault="006649E2">
      <w:pPr>
        <w:pStyle w:val="Answer"/>
        <w:widowControl w:val="0"/>
        <w:jc w:val="left"/>
        <w:rPr>
          <w:b/>
          <w:szCs w:val="20"/>
        </w:rPr>
      </w:pPr>
      <w:r w:rsidRPr="00117C53">
        <w:rPr>
          <w:b/>
          <w:szCs w:val="20"/>
        </w:rPr>
        <w:t>Q.</w:t>
      </w:r>
      <w:r w:rsidRPr="00117C53">
        <w:rPr>
          <w:b/>
          <w:szCs w:val="20"/>
        </w:rPr>
        <w:tab/>
        <w:t>Please describe the first incorrect assumption made in Staff’s new analysis.</w:t>
      </w:r>
    </w:p>
    <w:p w:rsidR="00E80220" w:rsidRPr="00117C53" w:rsidRDefault="006649E2">
      <w:pPr>
        <w:pStyle w:val="Answer"/>
        <w:widowControl w:val="0"/>
        <w:jc w:val="left"/>
        <w:rPr>
          <w:szCs w:val="20"/>
        </w:rPr>
      </w:pPr>
      <w:r w:rsidRPr="00117C53">
        <w:rPr>
          <w:szCs w:val="20"/>
        </w:rPr>
        <w:t>A.</w:t>
      </w:r>
      <w:r w:rsidRPr="00117C53">
        <w:rPr>
          <w:szCs w:val="20"/>
        </w:rPr>
        <w:tab/>
        <w:t>Staff mistakenly assumes that the long</w:t>
      </w:r>
      <w:r w:rsidR="008D5817" w:rsidRPr="00117C53">
        <w:rPr>
          <w:szCs w:val="20"/>
        </w:rPr>
        <w:t>-term data in the October 2013 mine p</w:t>
      </w:r>
      <w:r w:rsidRPr="00117C53">
        <w:rPr>
          <w:szCs w:val="20"/>
        </w:rPr>
        <w:t>lan is comparable to the long</w:t>
      </w:r>
      <w:r w:rsidR="008D5817" w:rsidRPr="00117C53">
        <w:rPr>
          <w:szCs w:val="20"/>
        </w:rPr>
        <w:t>-term data in the January 2013 long-term fueling p</w:t>
      </w:r>
      <w:r w:rsidRPr="00117C53">
        <w:rPr>
          <w:szCs w:val="20"/>
        </w:rPr>
        <w:t>lan</w:t>
      </w:r>
      <w:r w:rsidR="002B42B4" w:rsidRPr="00117C53">
        <w:rPr>
          <w:szCs w:val="20"/>
        </w:rPr>
        <w:t xml:space="preserve"> and</w:t>
      </w:r>
      <w:r w:rsidR="008D5817" w:rsidRPr="00117C53">
        <w:rPr>
          <w:szCs w:val="20"/>
        </w:rPr>
        <w:t xml:space="preserve"> </w:t>
      </w:r>
      <w:r w:rsidR="002B42B4" w:rsidRPr="00117C53">
        <w:rPr>
          <w:szCs w:val="20"/>
        </w:rPr>
        <w:t>uses</w:t>
      </w:r>
      <w:r w:rsidRPr="00117C53">
        <w:rPr>
          <w:szCs w:val="20"/>
        </w:rPr>
        <w:t xml:space="preserve"> some </w:t>
      </w:r>
      <w:r w:rsidR="00AB4C95" w:rsidRPr="00117C53">
        <w:rPr>
          <w:szCs w:val="20"/>
        </w:rPr>
        <w:t xml:space="preserve">of this </w:t>
      </w:r>
      <w:r w:rsidRPr="00117C53">
        <w:rPr>
          <w:szCs w:val="20"/>
        </w:rPr>
        <w:t>longer-t</w:t>
      </w:r>
      <w:r w:rsidR="008D5817" w:rsidRPr="00117C53">
        <w:rPr>
          <w:szCs w:val="20"/>
        </w:rPr>
        <w:t>erm data from the October 2013 mine p</w:t>
      </w:r>
      <w:r w:rsidRPr="00117C53">
        <w:rPr>
          <w:szCs w:val="20"/>
        </w:rPr>
        <w:t xml:space="preserve">lan (data for the period </w:t>
      </w:r>
      <w:r w:rsidRPr="00117C53">
        <w:rPr>
          <w:szCs w:val="20"/>
        </w:rPr>
        <w:lastRenderedPageBreak/>
        <w:t>2023 through 2030).</w:t>
      </w:r>
      <w:r w:rsidRPr="00117C53">
        <w:rPr>
          <w:rStyle w:val="FootnoteReference"/>
          <w:szCs w:val="20"/>
        </w:rPr>
        <w:footnoteReference w:id="8"/>
      </w:r>
      <w:r w:rsidRPr="00117C53">
        <w:rPr>
          <w:szCs w:val="20"/>
        </w:rPr>
        <w:t xml:space="preserve">  </w:t>
      </w:r>
      <w:r w:rsidR="002B42B4" w:rsidRPr="00117C53">
        <w:rPr>
          <w:szCs w:val="20"/>
        </w:rPr>
        <w:t xml:space="preserve">As I explain above, </w:t>
      </w:r>
      <w:r w:rsidRPr="00117C53">
        <w:rPr>
          <w:szCs w:val="20"/>
        </w:rPr>
        <w:t xml:space="preserve">the long-term cost and revenue assumptions included in the October </w:t>
      </w:r>
      <w:r w:rsidR="00AB4C95" w:rsidRPr="00117C53">
        <w:rPr>
          <w:szCs w:val="20"/>
        </w:rPr>
        <w:t xml:space="preserve">2013 </w:t>
      </w:r>
      <w:r w:rsidR="008D5817" w:rsidRPr="00117C53">
        <w:rPr>
          <w:szCs w:val="20"/>
        </w:rPr>
        <w:t>mine p</w:t>
      </w:r>
      <w:r w:rsidRPr="00117C53">
        <w:rPr>
          <w:szCs w:val="20"/>
        </w:rPr>
        <w:t>lan were not developed with the same analytical rigor that the Company uses to develop its long-term fueling plans because th</w:t>
      </w:r>
      <w:r w:rsidR="00AB4C95" w:rsidRPr="00117C53">
        <w:rPr>
          <w:szCs w:val="20"/>
        </w:rPr>
        <w:t>is</w:t>
      </w:r>
      <w:r w:rsidRPr="00117C53">
        <w:rPr>
          <w:szCs w:val="20"/>
        </w:rPr>
        <w:t xml:space="preserve"> data </w:t>
      </w:r>
      <w:r w:rsidR="00AB4C95" w:rsidRPr="00117C53">
        <w:rPr>
          <w:szCs w:val="20"/>
        </w:rPr>
        <w:t xml:space="preserve">is </w:t>
      </w:r>
      <w:r w:rsidRPr="00117C53">
        <w:rPr>
          <w:szCs w:val="20"/>
        </w:rPr>
        <w:t xml:space="preserve">used solely to determine appropriate contributions to the reclamation sinking fund during the 10-year budget horizon.  This is why, as Staff noted, in the October </w:t>
      </w:r>
      <w:r w:rsidR="002B42B4" w:rsidRPr="00117C53">
        <w:rPr>
          <w:szCs w:val="20"/>
        </w:rPr>
        <w:t xml:space="preserve">2013 </w:t>
      </w:r>
      <w:r w:rsidR="008D5817" w:rsidRPr="00117C53">
        <w:rPr>
          <w:szCs w:val="20"/>
        </w:rPr>
        <w:t>mine p</w:t>
      </w:r>
      <w:r w:rsidRPr="00117C53">
        <w:rPr>
          <w:szCs w:val="20"/>
        </w:rPr>
        <w:t>lan the longer-term capital cost data was kept in a different file than the capital cost data for the 10-year budget horizon.</w:t>
      </w:r>
      <w:r w:rsidR="00AB4C95" w:rsidRPr="00117C53">
        <w:rPr>
          <w:rStyle w:val="FootnoteReference"/>
          <w:szCs w:val="20"/>
        </w:rPr>
        <w:footnoteReference w:id="9"/>
      </w:r>
      <w:r w:rsidRPr="00117C53">
        <w:rPr>
          <w:szCs w:val="20"/>
        </w:rPr>
        <w:t xml:space="preserve"> </w:t>
      </w:r>
    </w:p>
    <w:p w:rsidR="00E80220" w:rsidRPr="00117C53" w:rsidRDefault="006649E2">
      <w:pPr>
        <w:pStyle w:val="Answer"/>
        <w:widowControl w:val="0"/>
        <w:jc w:val="left"/>
        <w:rPr>
          <w:szCs w:val="20"/>
        </w:rPr>
      </w:pPr>
      <w:r w:rsidRPr="00117C53">
        <w:rPr>
          <w:b/>
          <w:szCs w:val="20"/>
        </w:rPr>
        <w:t>Q.</w:t>
      </w:r>
      <w:r w:rsidRPr="00117C53">
        <w:rPr>
          <w:b/>
          <w:szCs w:val="20"/>
        </w:rPr>
        <w:tab/>
        <w:t>Please describe the second erroneous assumption in Staff’s analysis.</w:t>
      </w:r>
    </w:p>
    <w:p w:rsidR="00E80220" w:rsidRPr="00117C53" w:rsidRDefault="006649E2">
      <w:pPr>
        <w:pStyle w:val="Answer"/>
        <w:widowControl w:val="0"/>
        <w:jc w:val="left"/>
        <w:rPr>
          <w:szCs w:val="20"/>
        </w:rPr>
      </w:pPr>
      <w:r w:rsidRPr="00117C53">
        <w:rPr>
          <w:szCs w:val="20"/>
        </w:rPr>
        <w:t>A.</w:t>
      </w:r>
      <w:r w:rsidRPr="00117C53">
        <w:rPr>
          <w:szCs w:val="20"/>
        </w:rPr>
        <w:tab/>
        <w:t xml:space="preserve">Staff’s analysis includes a modeling error </w:t>
      </w:r>
      <w:r w:rsidR="004F24FB" w:rsidRPr="00117C53">
        <w:rPr>
          <w:szCs w:val="20"/>
        </w:rPr>
        <w:t xml:space="preserve">in BCC’s “Mine and Equipment Maintenance” cost component in 2028 </w:t>
      </w:r>
      <w:r w:rsidRPr="00117C53">
        <w:rPr>
          <w:szCs w:val="20"/>
        </w:rPr>
        <w:t xml:space="preserve">that inflates coal costs </w:t>
      </w:r>
      <w:r w:rsidR="004F24FB" w:rsidRPr="00117C53">
        <w:rPr>
          <w:szCs w:val="20"/>
        </w:rPr>
        <w:t xml:space="preserve">by </w:t>
      </w:r>
      <w:r w:rsidR="005F3F43" w:rsidRPr="005F3F43">
        <w:rPr>
          <w:b/>
          <w:szCs w:val="20"/>
          <w:highlight w:val="black"/>
        </w:rPr>
        <w:t>_________</w:t>
      </w:r>
      <w:r w:rsidR="005F3F43">
        <w:rPr>
          <w:b/>
          <w:szCs w:val="20"/>
        </w:rPr>
        <w:t xml:space="preserve"> </w:t>
      </w:r>
      <w:r w:rsidR="004F24FB" w:rsidRPr="00117C53">
        <w:rPr>
          <w:szCs w:val="20"/>
        </w:rPr>
        <w:t xml:space="preserve">(Company portion, </w:t>
      </w:r>
      <w:r w:rsidR="005F3F43" w:rsidRPr="005F3F43">
        <w:rPr>
          <w:b/>
          <w:szCs w:val="20"/>
          <w:highlight w:val="black"/>
        </w:rPr>
        <w:t>_________</w:t>
      </w:r>
      <w:r w:rsidR="008D5817" w:rsidRPr="00117C53">
        <w:rPr>
          <w:szCs w:val="20"/>
        </w:rPr>
        <w:t>).  On a net-present-</w:t>
      </w:r>
      <w:r w:rsidR="004F24FB" w:rsidRPr="00117C53">
        <w:rPr>
          <w:szCs w:val="20"/>
        </w:rPr>
        <w:t>value basis, c</w:t>
      </w:r>
      <w:r w:rsidRPr="00117C53">
        <w:rPr>
          <w:szCs w:val="20"/>
        </w:rPr>
        <w:t xml:space="preserve">orrecting this error reduces Staff’s calculated coal cost increase by approximately </w:t>
      </w:r>
      <w:r w:rsidR="005F3F43" w:rsidRPr="005F3F43">
        <w:rPr>
          <w:b/>
          <w:szCs w:val="20"/>
          <w:highlight w:val="black"/>
        </w:rPr>
        <w:t>_________</w:t>
      </w:r>
      <w:r w:rsidRPr="00117C53">
        <w:rPr>
          <w:szCs w:val="20"/>
        </w:rPr>
        <w:t>.</w:t>
      </w:r>
    </w:p>
    <w:p w:rsidR="00E80220" w:rsidRPr="00117C53" w:rsidRDefault="006649E2">
      <w:pPr>
        <w:pStyle w:val="Answer"/>
        <w:widowControl w:val="0"/>
        <w:jc w:val="left"/>
        <w:rPr>
          <w:szCs w:val="20"/>
        </w:rPr>
      </w:pPr>
      <w:r w:rsidRPr="00117C53">
        <w:rPr>
          <w:b/>
          <w:szCs w:val="20"/>
        </w:rPr>
        <w:t>Q.</w:t>
      </w:r>
      <w:r w:rsidRPr="00117C53">
        <w:rPr>
          <w:b/>
          <w:szCs w:val="20"/>
        </w:rPr>
        <w:tab/>
        <w:t>What is the impact of correcting the analysis to account for only the 10-year budget horizon</w:t>
      </w:r>
      <w:r w:rsidR="008D5817" w:rsidRPr="00117C53">
        <w:rPr>
          <w:b/>
          <w:szCs w:val="20"/>
        </w:rPr>
        <w:t xml:space="preserve"> reflected in the October 2013 mine p</w:t>
      </w:r>
      <w:r w:rsidRPr="00117C53">
        <w:rPr>
          <w:b/>
          <w:szCs w:val="20"/>
        </w:rPr>
        <w:t>lan and correcting Staff’s modeling error?</w:t>
      </w:r>
    </w:p>
    <w:p w:rsidR="00E80220" w:rsidRPr="00117C53" w:rsidRDefault="006649E2">
      <w:pPr>
        <w:pStyle w:val="Answer"/>
        <w:widowControl w:val="0"/>
        <w:jc w:val="left"/>
        <w:rPr>
          <w:szCs w:val="20"/>
        </w:rPr>
      </w:pPr>
      <w:r w:rsidRPr="00117C53">
        <w:rPr>
          <w:szCs w:val="20"/>
        </w:rPr>
        <w:t>A.</w:t>
      </w:r>
      <w:r w:rsidRPr="00117C53">
        <w:rPr>
          <w:szCs w:val="20"/>
        </w:rPr>
        <w:tab/>
        <w:t xml:space="preserve">The overall increase in coal costs is only </w:t>
      </w:r>
      <w:r w:rsidR="005F3F43" w:rsidRPr="005F3F43">
        <w:rPr>
          <w:b/>
          <w:szCs w:val="20"/>
          <w:highlight w:val="black"/>
        </w:rPr>
        <w:t>_________</w:t>
      </w:r>
      <w:r w:rsidRPr="00117C53">
        <w:rPr>
          <w:szCs w:val="20"/>
        </w:rPr>
        <w:t xml:space="preserve">.  Notably, this increase is consistent with the overall increase between the January 2013 and 2015 IRP long-term fueling plans for the Jim Bridger plant, as I note above.  The fact that the long-term cost projections in the 2015 IRP are consistent with the 10-year budget but inconsistent with Staff’s 2016 to 2030 analysis highlights the underlying problems in Staff’s approach.  </w:t>
      </w:r>
    </w:p>
    <w:p w:rsidR="00E80220" w:rsidRPr="00117C53" w:rsidRDefault="006649E2" w:rsidP="00917583">
      <w:pPr>
        <w:pStyle w:val="Answer"/>
        <w:widowControl w:val="0"/>
        <w:jc w:val="left"/>
        <w:rPr>
          <w:szCs w:val="20"/>
        </w:rPr>
      </w:pPr>
      <w:r w:rsidRPr="00117C53">
        <w:rPr>
          <w:b/>
          <w:szCs w:val="20"/>
        </w:rPr>
        <w:lastRenderedPageBreak/>
        <w:t>Q.</w:t>
      </w:r>
      <w:r w:rsidRPr="00117C53">
        <w:rPr>
          <w:b/>
          <w:szCs w:val="20"/>
        </w:rPr>
        <w:tab/>
        <w:t>Are there any other indicators that Staff’s analysis was flawed?</w:t>
      </w:r>
    </w:p>
    <w:p w:rsidR="00E80220" w:rsidRPr="00117C53" w:rsidRDefault="006649E2">
      <w:pPr>
        <w:pStyle w:val="Answer"/>
        <w:widowControl w:val="0"/>
        <w:jc w:val="left"/>
        <w:rPr>
          <w:szCs w:val="20"/>
        </w:rPr>
      </w:pPr>
      <w:r w:rsidRPr="00117C53">
        <w:rPr>
          <w:szCs w:val="20"/>
        </w:rPr>
        <w:t>A.</w:t>
      </w:r>
      <w:r w:rsidRPr="00117C53">
        <w:rPr>
          <w:szCs w:val="20"/>
        </w:rPr>
        <w:tab/>
        <w:t xml:space="preserve">Yes.  The flaws in Staff’s revised analysis should have been apparent simply by examining the overall results.  In response testimony, Staff claimed that BCC coal costs increased by </w:t>
      </w:r>
      <w:r w:rsidR="005F3F43" w:rsidRPr="005F3F43">
        <w:rPr>
          <w:b/>
          <w:szCs w:val="20"/>
          <w:highlight w:val="black"/>
        </w:rPr>
        <w:t>________</w:t>
      </w:r>
      <w:r w:rsidRPr="00117C53">
        <w:rPr>
          <w:szCs w:val="20"/>
        </w:rPr>
        <w:t xml:space="preserve">, which resulted in a downward adjustment to the SCR benefits of </w:t>
      </w:r>
      <w:r w:rsidR="005F3F43" w:rsidRPr="005F3F43">
        <w:rPr>
          <w:b/>
          <w:szCs w:val="20"/>
          <w:highlight w:val="black"/>
        </w:rPr>
        <w:t>_______</w:t>
      </w:r>
      <w:r w:rsidR="005F3F43">
        <w:rPr>
          <w:b/>
          <w:szCs w:val="20"/>
          <w:highlight w:val="black"/>
        </w:rPr>
        <w:t>____</w:t>
      </w:r>
      <w:r w:rsidR="005F3F43" w:rsidRPr="005F3F43">
        <w:rPr>
          <w:b/>
          <w:szCs w:val="20"/>
          <w:highlight w:val="black"/>
        </w:rPr>
        <w:t>__</w:t>
      </w:r>
      <w:r w:rsidRPr="00117C53">
        <w:rPr>
          <w:szCs w:val="20"/>
        </w:rPr>
        <w:t>.</w:t>
      </w:r>
      <w:r w:rsidRPr="00117C53">
        <w:rPr>
          <w:rStyle w:val="FootnoteReference"/>
          <w:szCs w:val="20"/>
        </w:rPr>
        <w:footnoteReference w:id="10"/>
      </w:r>
      <w:r w:rsidRPr="00117C53">
        <w:rPr>
          <w:szCs w:val="20"/>
        </w:rPr>
        <w:t xml:space="preserve">  Now, Staff claims that coal costs increased by only </w:t>
      </w:r>
      <w:r w:rsidR="005F3F43" w:rsidRPr="005F3F43">
        <w:rPr>
          <w:b/>
          <w:szCs w:val="20"/>
          <w:highlight w:val="black"/>
        </w:rPr>
        <w:t>_________</w:t>
      </w:r>
      <w:r w:rsidRPr="00117C53">
        <w:rPr>
          <w:szCs w:val="20"/>
        </w:rPr>
        <w:t xml:space="preserve">, yet the downward SCR adjustment increased to </w:t>
      </w:r>
      <w:r w:rsidR="005F3F43" w:rsidRPr="005F3F43">
        <w:rPr>
          <w:b/>
          <w:szCs w:val="20"/>
          <w:highlight w:val="black"/>
        </w:rPr>
        <w:t>________</w:t>
      </w:r>
      <w:r w:rsidR="005F3F43">
        <w:rPr>
          <w:b/>
          <w:szCs w:val="20"/>
          <w:highlight w:val="black"/>
        </w:rPr>
        <w:t>__</w:t>
      </w:r>
      <w:r w:rsidR="005F3F43" w:rsidRPr="005F3F43">
        <w:rPr>
          <w:b/>
          <w:szCs w:val="20"/>
          <w:highlight w:val="black"/>
        </w:rPr>
        <w:t>_</w:t>
      </w:r>
      <w:r w:rsidRPr="00117C53">
        <w:rPr>
          <w:szCs w:val="20"/>
        </w:rPr>
        <w:t>.</w:t>
      </w:r>
      <w:r w:rsidRPr="00117C53">
        <w:rPr>
          <w:rStyle w:val="FootnoteReference"/>
          <w:szCs w:val="20"/>
        </w:rPr>
        <w:footnoteReference w:id="11"/>
      </w:r>
      <w:r w:rsidRPr="00117C53">
        <w:rPr>
          <w:szCs w:val="20"/>
        </w:rPr>
        <w:t xml:space="preserve">  </w:t>
      </w:r>
    </w:p>
    <w:p w:rsidR="00E80220" w:rsidRPr="00117C53" w:rsidRDefault="006649E2">
      <w:pPr>
        <w:pStyle w:val="Answer"/>
        <w:widowControl w:val="0"/>
        <w:jc w:val="left"/>
        <w:rPr>
          <w:szCs w:val="20"/>
        </w:rPr>
      </w:pPr>
      <w:r w:rsidRPr="00117C53">
        <w:rPr>
          <w:b/>
          <w:szCs w:val="20"/>
        </w:rPr>
        <w:t>Q.</w:t>
      </w:r>
      <w:r w:rsidRPr="00117C53">
        <w:rPr>
          <w:b/>
          <w:szCs w:val="20"/>
        </w:rPr>
        <w:tab/>
        <w:t>Staff contends that the Company’s continue</w:t>
      </w:r>
      <w:r w:rsidR="008D5817" w:rsidRPr="00117C53">
        <w:rPr>
          <w:b/>
          <w:szCs w:val="20"/>
        </w:rPr>
        <w:t>d reliance on the January 2013 long-term fueling p</w:t>
      </w:r>
      <w:r w:rsidRPr="00117C53">
        <w:rPr>
          <w:b/>
          <w:szCs w:val="20"/>
        </w:rPr>
        <w:t>l</w:t>
      </w:r>
      <w:r w:rsidR="008D5817" w:rsidRPr="00117C53">
        <w:rPr>
          <w:b/>
          <w:szCs w:val="20"/>
        </w:rPr>
        <w:t>an even after the October 2013 mine p</w:t>
      </w:r>
      <w:r w:rsidRPr="00117C53">
        <w:rPr>
          <w:b/>
          <w:szCs w:val="20"/>
        </w:rPr>
        <w:t>lan was developed was unreasonable.</w:t>
      </w:r>
      <w:r w:rsidRPr="00117C53">
        <w:rPr>
          <w:rStyle w:val="FootnoteReference"/>
          <w:b/>
          <w:szCs w:val="20"/>
        </w:rPr>
        <w:footnoteReference w:id="12"/>
      </w:r>
      <w:r w:rsidRPr="00117C53">
        <w:rPr>
          <w:b/>
          <w:szCs w:val="20"/>
        </w:rPr>
        <w:t xml:space="preserve">  How do you respond?</w:t>
      </w:r>
    </w:p>
    <w:p w:rsidR="00E80220" w:rsidRPr="00117C53" w:rsidRDefault="006649E2">
      <w:pPr>
        <w:pStyle w:val="Answer"/>
        <w:widowControl w:val="0"/>
        <w:jc w:val="left"/>
        <w:rPr>
          <w:szCs w:val="20"/>
        </w:rPr>
      </w:pPr>
      <w:r w:rsidRPr="00117C53">
        <w:rPr>
          <w:szCs w:val="20"/>
        </w:rPr>
        <w:t>A.</w:t>
      </w:r>
      <w:r w:rsidRPr="00117C53">
        <w:rPr>
          <w:szCs w:val="20"/>
        </w:rPr>
        <w:tab/>
        <w:t>I disagree.  During the budgeting process in fall 2013, the Company recognized that increases in BCC cash costs would be substantially offset by reduced BCC capital spending</w:t>
      </w:r>
      <w:r w:rsidR="00C67317" w:rsidRPr="00117C53">
        <w:rPr>
          <w:szCs w:val="20"/>
        </w:rPr>
        <w:t xml:space="preserve"> and third-party fuel costs</w:t>
      </w:r>
      <w:r w:rsidR="008D5817" w:rsidRPr="00117C53">
        <w:rPr>
          <w:szCs w:val="20"/>
        </w:rPr>
        <w:t>.  Nothing in the October 2013 mine p</w:t>
      </w:r>
      <w:r w:rsidRPr="00117C53">
        <w:rPr>
          <w:szCs w:val="20"/>
        </w:rPr>
        <w:t xml:space="preserve">lan </w:t>
      </w:r>
      <w:r w:rsidR="00C67317" w:rsidRPr="00117C53">
        <w:rPr>
          <w:szCs w:val="20"/>
        </w:rPr>
        <w:t xml:space="preserve">signaled </w:t>
      </w:r>
      <w:r w:rsidR="008D5817" w:rsidRPr="00117C53">
        <w:rPr>
          <w:szCs w:val="20"/>
        </w:rPr>
        <w:t>that the January 2013 long-term fueling p</w:t>
      </w:r>
      <w:r w:rsidRPr="00117C53">
        <w:rPr>
          <w:szCs w:val="20"/>
        </w:rPr>
        <w:t>lan was obsolete.</w:t>
      </w:r>
    </w:p>
    <w:p w:rsidR="00E80220" w:rsidRPr="00117C53" w:rsidRDefault="00FD7BF9">
      <w:pPr>
        <w:pStyle w:val="Answer"/>
        <w:widowControl w:val="0"/>
        <w:jc w:val="left"/>
        <w:rPr>
          <w:szCs w:val="20"/>
        </w:rPr>
      </w:pPr>
      <w:r w:rsidRPr="00117C53">
        <w:rPr>
          <w:b/>
          <w:szCs w:val="20"/>
        </w:rPr>
        <w:t>Q.</w:t>
      </w:r>
      <w:r w:rsidRPr="00117C53">
        <w:rPr>
          <w:b/>
          <w:szCs w:val="20"/>
        </w:rPr>
        <w:tab/>
        <w:t>Staff</w:t>
      </w:r>
      <w:r w:rsidR="006649E2" w:rsidRPr="00117C53">
        <w:rPr>
          <w:b/>
          <w:szCs w:val="20"/>
        </w:rPr>
        <w:t xml:space="preserve"> bolsters its long-term analysis by pointing to coal cost increases reported in the Company’s 2014 Washington rate case.</w:t>
      </w:r>
      <w:r w:rsidR="006649E2" w:rsidRPr="00117C53">
        <w:rPr>
          <w:rStyle w:val="FootnoteReference"/>
          <w:b/>
          <w:szCs w:val="20"/>
        </w:rPr>
        <w:footnoteReference w:id="13"/>
      </w:r>
      <w:r w:rsidR="006649E2" w:rsidRPr="00117C53">
        <w:rPr>
          <w:b/>
          <w:szCs w:val="20"/>
        </w:rPr>
        <w:t xml:space="preserve">  Is Staff’s reliance on rate case coal costs appropriate here?</w:t>
      </w:r>
    </w:p>
    <w:p w:rsidR="00E80220" w:rsidRPr="00117C53" w:rsidRDefault="006649E2">
      <w:pPr>
        <w:pStyle w:val="Answer"/>
        <w:widowControl w:val="0"/>
        <w:jc w:val="left"/>
        <w:rPr>
          <w:szCs w:val="20"/>
        </w:rPr>
      </w:pPr>
      <w:r w:rsidRPr="00117C53">
        <w:rPr>
          <w:szCs w:val="20"/>
        </w:rPr>
        <w:t>A.</w:t>
      </w:r>
      <w:r w:rsidRPr="00117C53">
        <w:rPr>
          <w:szCs w:val="20"/>
        </w:rPr>
        <w:tab/>
        <w:t>No.  Staff c</w:t>
      </w:r>
      <w:r w:rsidR="00E22948" w:rsidRPr="00117C53">
        <w:rPr>
          <w:szCs w:val="20"/>
        </w:rPr>
        <w:t>laims that if the October 2013 mine p</w:t>
      </w:r>
      <w:r w:rsidRPr="00117C53">
        <w:rPr>
          <w:szCs w:val="20"/>
        </w:rPr>
        <w:t xml:space="preserve">lan “created cost increases that were sufficiently known and measurable to support a rate increase, then those costs increases were sufficiently known and measurable to be included in the Company’s planning.”  But as Staff acknowledges, the coal costs included in the Company’s rate </w:t>
      </w:r>
      <w:r w:rsidRPr="00117C53">
        <w:rPr>
          <w:szCs w:val="20"/>
        </w:rPr>
        <w:lastRenderedPageBreak/>
        <w:t>case filings reflect costs expected during the rate year.</w:t>
      </w:r>
      <w:r w:rsidRPr="00117C53">
        <w:rPr>
          <w:rStyle w:val="FootnoteReference"/>
          <w:szCs w:val="20"/>
        </w:rPr>
        <w:footnoteReference w:id="14"/>
      </w:r>
      <w:r w:rsidRPr="00117C53">
        <w:rPr>
          <w:szCs w:val="20"/>
        </w:rPr>
        <w:t xml:space="preserve">  The analysis used to develop test-period coal costs for a general rate case is fundamentally different from the analysis required to develop long-term fuel plans for a generating pl</w:t>
      </w:r>
      <w:r w:rsidR="00E22948" w:rsidRPr="00117C53">
        <w:rPr>
          <w:szCs w:val="20"/>
        </w:rPr>
        <w:t>ant.  Because the October 2013 mine p</w:t>
      </w:r>
      <w:r w:rsidRPr="00117C53">
        <w:rPr>
          <w:szCs w:val="20"/>
        </w:rPr>
        <w:t>lan updated BCC coal costs for the 10-year budget horizon (a relatively short-term period), the Company reasona</w:t>
      </w:r>
      <w:r w:rsidR="00E22948" w:rsidRPr="00117C53">
        <w:rPr>
          <w:szCs w:val="20"/>
        </w:rPr>
        <w:t>bly relied on the October 2013 mine p</w:t>
      </w:r>
      <w:r w:rsidRPr="00117C53">
        <w:rPr>
          <w:szCs w:val="20"/>
        </w:rPr>
        <w:t>lan to establish short-term rates.  The fact that the mine plan was used to determine short-term costs does not mean that it is appropriate as a long-term forecast or as a comprehensive life-of-plant fueling plan for the Jim Bridger plant.</w:t>
      </w:r>
    </w:p>
    <w:p w:rsidR="00E80220" w:rsidRPr="00117C53" w:rsidRDefault="006649E2">
      <w:pPr>
        <w:pStyle w:val="Heading1"/>
        <w:keepNext/>
        <w:rPr>
          <w:rFonts w:ascii="Times New Roman" w:hAnsi="Times New Roman"/>
          <w:szCs w:val="20"/>
        </w:rPr>
      </w:pPr>
      <w:bookmarkStart w:id="4" w:name="_Toc450906255"/>
      <w:r w:rsidRPr="00117C53">
        <w:rPr>
          <w:rFonts w:ascii="Times New Roman" w:hAnsi="Times New Roman"/>
          <w:szCs w:val="20"/>
        </w:rPr>
        <w:t xml:space="preserve">THIRD-PARTY </w:t>
      </w:r>
      <w:r w:rsidRPr="00117C53">
        <w:rPr>
          <w:rFonts w:ascii="Times New Roman" w:hAnsi="Times New Roman"/>
        </w:rPr>
        <w:t>FUEL</w:t>
      </w:r>
      <w:r w:rsidRPr="00117C53">
        <w:rPr>
          <w:rFonts w:ascii="Times New Roman" w:hAnsi="Times New Roman"/>
          <w:szCs w:val="20"/>
        </w:rPr>
        <w:t xml:space="preserve"> COSTS</w:t>
      </w:r>
      <w:bookmarkEnd w:id="4"/>
    </w:p>
    <w:p w:rsidR="00E80220" w:rsidRPr="00117C53" w:rsidRDefault="006649E2">
      <w:pPr>
        <w:pStyle w:val="Answer"/>
        <w:jc w:val="left"/>
        <w:rPr>
          <w:szCs w:val="20"/>
        </w:rPr>
      </w:pPr>
      <w:r w:rsidRPr="00117C53">
        <w:rPr>
          <w:b/>
          <w:szCs w:val="20"/>
        </w:rPr>
        <w:t>Q.</w:t>
      </w:r>
      <w:r w:rsidRPr="00117C53">
        <w:rPr>
          <w:b/>
          <w:szCs w:val="20"/>
        </w:rPr>
        <w:tab/>
        <w:t>Staff acknowledges that the October 2013 Mine Plan did not update third-party coal costs.</w:t>
      </w:r>
      <w:r w:rsidRPr="00117C53">
        <w:rPr>
          <w:rStyle w:val="FootnoteReference"/>
          <w:b/>
          <w:szCs w:val="20"/>
        </w:rPr>
        <w:footnoteReference w:id="15"/>
      </w:r>
      <w:r w:rsidRPr="00117C53">
        <w:rPr>
          <w:b/>
          <w:szCs w:val="20"/>
        </w:rPr>
        <w:t xml:space="preserve">  Staff therefore relied on the third-party coal increases from the 2014 Washington rate case to forecast the change in third-party coal costs over the 2016 to 2030 study period.</w:t>
      </w:r>
      <w:r w:rsidRPr="00117C53">
        <w:rPr>
          <w:rStyle w:val="FootnoteReference"/>
          <w:b/>
          <w:szCs w:val="20"/>
        </w:rPr>
        <w:footnoteReference w:id="16"/>
      </w:r>
      <w:r w:rsidRPr="00117C53">
        <w:rPr>
          <w:b/>
          <w:szCs w:val="20"/>
        </w:rPr>
        <w:t xml:space="preserve">  Is this a valid way to forecast third-party coal costs?</w:t>
      </w:r>
    </w:p>
    <w:p w:rsidR="007F1A3E" w:rsidRPr="00117C53" w:rsidRDefault="006649E2" w:rsidP="007F1A3E">
      <w:pPr>
        <w:pStyle w:val="Answer"/>
        <w:jc w:val="left"/>
        <w:rPr>
          <w:szCs w:val="20"/>
        </w:rPr>
      </w:pPr>
      <w:r w:rsidRPr="00117C53">
        <w:rPr>
          <w:szCs w:val="20"/>
        </w:rPr>
        <w:t>A.</w:t>
      </w:r>
      <w:r w:rsidRPr="00117C53">
        <w:rPr>
          <w:szCs w:val="20"/>
        </w:rPr>
        <w:tab/>
        <w:t xml:space="preserve">No.  Staff’s reliance on the 2014 Washington rate case produces two fundamental errors in its analysis of third-party coal costs.  First, Staff unreasonably assumes </w:t>
      </w:r>
      <w:proofErr w:type="gramStart"/>
      <w:r w:rsidRPr="00117C53">
        <w:rPr>
          <w:szCs w:val="20"/>
        </w:rPr>
        <w:t>an</w:t>
      </w:r>
      <w:proofErr w:type="gramEnd"/>
      <w:r w:rsidRPr="00117C53">
        <w:rPr>
          <w:szCs w:val="20"/>
        </w:rPr>
        <w:t xml:space="preserve"> </w:t>
      </w:r>
      <w:r w:rsidR="005F3F43" w:rsidRPr="005F3F43">
        <w:rPr>
          <w:b/>
          <w:szCs w:val="20"/>
          <w:highlight w:val="black"/>
        </w:rPr>
        <w:t>______</w:t>
      </w:r>
      <w:r w:rsidR="005F3F43">
        <w:rPr>
          <w:b/>
          <w:szCs w:val="20"/>
          <w:highlight w:val="black"/>
        </w:rPr>
        <w:t>__</w:t>
      </w:r>
      <w:r w:rsidR="005F3F43" w:rsidRPr="005F3F43">
        <w:rPr>
          <w:b/>
          <w:szCs w:val="20"/>
          <w:highlight w:val="black"/>
        </w:rPr>
        <w:t>___</w:t>
      </w:r>
      <w:r w:rsidR="005F3F43">
        <w:rPr>
          <w:b/>
          <w:szCs w:val="20"/>
        </w:rPr>
        <w:t xml:space="preserve"> </w:t>
      </w:r>
      <w:r w:rsidRPr="00117C53">
        <w:rPr>
          <w:szCs w:val="20"/>
        </w:rPr>
        <w:t>annual cost increase for third-party coal.  Second, Staff unreasonably assumes that the production ratio between BCC and third-party suppliers reflected in the Company’s direct filing in its 2014 Washington rate case will remain constant through 2030.  Both of t</w:t>
      </w:r>
      <w:r w:rsidR="007F1A3E" w:rsidRPr="00117C53">
        <w:rPr>
          <w:szCs w:val="20"/>
        </w:rPr>
        <w:t>hese assumptions are incorrect.</w:t>
      </w:r>
      <w:r w:rsidR="007F1A3E" w:rsidRPr="00117C53">
        <w:rPr>
          <w:b/>
          <w:szCs w:val="20"/>
        </w:rPr>
        <w:br w:type="page"/>
      </w:r>
    </w:p>
    <w:p w:rsidR="00E80220" w:rsidRPr="00117C53" w:rsidRDefault="006649E2">
      <w:pPr>
        <w:pStyle w:val="Answer"/>
        <w:jc w:val="left"/>
        <w:rPr>
          <w:b/>
          <w:szCs w:val="20"/>
        </w:rPr>
      </w:pPr>
      <w:r w:rsidRPr="00117C53">
        <w:rPr>
          <w:b/>
          <w:szCs w:val="20"/>
        </w:rPr>
        <w:lastRenderedPageBreak/>
        <w:t>Q.</w:t>
      </w:r>
      <w:r w:rsidRPr="00117C53">
        <w:rPr>
          <w:b/>
          <w:szCs w:val="20"/>
        </w:rPr>
        <w:tab/>
        <w:t>How did Staff calculate its assumed increase for third-party coal costs?</w:t>
      </w:r>
    </w:p>
    <w:p w:rsidR="00E80220" w:rsidRPr="00117C53" w:rsidRDefault="006649E2">
      <w:pPr>
        <w:pStyle w:val="Answer"/>
        <w:widowControl w:val="0"/>
        <w:jc w:val="left"/>
        <w:rPr>
          <w:szCs w:val="20"/>
        </w:rPr>
      </w:pPr>
      <w:r w:rsidRPr="00117C53">
        <w:rPr>
          <w:szCs w:val="20"/>
        </w:rPr>
        <w:t>A.</w:t>
      </w:r>
      <w:r w:rsidRPr="00117C53">
        <w:rPr>
          <w:szCs w:val="20"/>
        </w:rPr>
        <w:tab/>
        <w:t>Staff compared the costs of Black Butte coal in the Company’s 2013 Washington rate case</w:t>
      </w:r>
      <w:r w:rsidR="000B7549" w:rsidRPr="00117C53">
        <w:rPr>
          <w:rStyle w:val="FootnoteReference"/>
          <w:szCs w:val="20"/>
        </w:rPr>
        <w:footnoteReference w:id="17"/>
      </w:r>
      <w:r w:rsidRPr="00117C53">
        <w:rPr>
          <w:szCs w:val="20"/>
        </w:rPr>
        <w:t xml:space="preserve"> to the costs of Black Butte coal in the Company’s 2014 Washington rate case.  Because costs increased by </w:t>
      </w:r>
      <w:r w:rsidR="005F3F43" w:rsidRPr="005F3F43">
        <w:rPr>
          <w:b/>
          <w:szCs w:val="20"/>
          <w:highlight w:val="black"/>
        </w:rPr>
        <w:t>____</w:t>
      </w:r>
      <w:r w:rsidR="005F3F43">
        <w:rPr>
          <w:b/>
          <w:szCs w:val="20"/>
          <w:highlight w:val="black"/>
        </w:rPr>
        <w:t>__</w:t>
      </w:r>
      <w:r w:rsidR="005F3F43" w:rsidRPr="005F3F43">
        <w:rPr>
          <w:b/>
          <w:szCs w:val="20"/>
          <w:highlight w:val="black"/>
        </w:rPr>
        <w:t>_____</w:t>
      </w:r>
      <w:r w:rsidR="005F3F43">
        <w:rPr>
          <w:b/>
          <w:szCs w:val="20"/>
        </w:rPr>
        <w:t xml:space="preserve"> </w:t>
      </w:r>
      <w:r w:rsidRPr="00117C53">
        <w:rPr>
          <w:szCs w:val="20"/>
        </w:rPr>
        <w:t xml:space="preserve">between the 2013 and 2014 cases, Staff assumed that costs would continue to increase at </w:t>
      </w:r>
      <w:r w:rsidR="005F3F43" w:rsidRPr="005F3F43">
        <w:rPr>
          <w:b/>
          <w:szCs w:val="20"/>
          <w:highlight w:val="black"/>
        </w:rPr>
        <w:t>_______</w:t>
      </w:r>
      <w:r w:rsidR="005F3F43">
        <w:rPr>
          <w:b/>
          <w:szCs w:val="20"/>
          <w:highlight w:val="black"/>
        </w:rPr>
        <w:t>__</w:t>
      </w:r>
      <w:r w:rsidR="005F3F43" w:rsidRPr="005F3F43">
        <w:rPr>
          <w:b/>
          <w:szCs w:val="20"/>
          <w:highlight w:val="black"/>
        </w:rPr>
        <w:t>__</w:t>
      </w:r>
      <w:r w:rsidR="005F3F43">
        <w:rPr>
          <w:b/>
          <w:szCs w:val="20"/>
        </w:rPr>
        <w:t xml:space="preserve"> </w:t>
      </w:r>
      <w:r w:rsidRPr="00117C53">
        <w:rPr>
          <w:szCs w:val="20"/>
        </w:rPr>
        <w:t>annually until 2030.</w:t>
      </w:r>
      <w:r w:rsidRPr="00117C53">
        <w:rPr>
          <w:rStyle w:val="FootnoteReference"/>
          <w:szCs w:val="20"/>
        </w:rPr>
        <w:footnoteReference w:id="18"/>
      </w:r>
      <w:r w:rsidRPr="00117C53">
        <w:rPr>
          <w:szCs w:val="20"/>
        </w:rPr>
        <w:t xml:space="preserve">  </w:t>
      </w:r>
    </w:p>
    <w:p w:rsidR="00E80220" w:rsidRPr="00117C53" w:rsidRDefault="006649E2">
      <w:pPr>
        <w:pStyle w:val="Answer"/>
        <w:widowControl w:val="0"/>
        <w:jc w:val="left"/>
        <w:rPr>
          <w:szCs w:val="20"/>
        </w:rPr>
      </w:pPr>
      <w:r w:rsidRPr="00117C53">
        <w:rPr>
          <w:b/>
          <w:szCs w:val="20"/>
        </w:rPr>
        <w:t>Q.</w:t>
      </w:r>
      <w:r w:rsidRPr="00117C53">
        <w:rPr>
          <w:b/>
          <w:szCs w:val="20"/>
        </w:rPr>
        <w:tab/>
        <w:t>What is wrong with this assumption?</w:t>
      </w:r>
    </w:p>
    <w:p w:rsidR="00E80220" w:rsidRPr="00117C53" w:rsidRDefault="006649E2">
      <w:pPr>
        <w:pStyle w:val="Answer"/>
        <w:widowControl w:val="0"/>
        <w:jc w:val="left"/>
        <w:rPr>
          <w:szCs w:val="20"/>
        </w:rPr>
      </w:pPr>
      <w:r w:rsidRPr="00117C53">
        <w:rPr>
          <w:szCs w:val="20"/>
        </w:rPr>
        <w:t>A.</w:t>
      </w:r>
      <w:r w:rsidRPr="00117C53">
        <w:rPr>
          <w:szCs w:val="20"/>
        </w:rPr>
        <w:tab/>
        <w:t xml:space="preserve">First, there were 15 months between the 2013 and 2014 net power cost test years.  Therefore, the annual change is only </w:t>
      </w:r>
      <w:r w:rsidR="005F3F43" w:rsidRPr="005F3F43">
        <w:rPr>
          <w:b/>
          <w:szCs w:val="20"/>
          <w:highlight w:val="black"/>
        </w:rPr>
        <w:t>_________</w:t>
      </w:r>
      <w:r w:rsidRPr="00117C53">
        <w:rPr>
          <w:szCs w:val="20"/>
        </w:rPr>
        <w:t xml:space="preserve">, not </w:t>
      </w:r>
      <w:r w:rsidR="005F3F43" w:rsidRPr="005F3F43">
        <w:rPr>
          <w:b/>
          <w:szCs w:val="20"/>
          <w:highlight w:val="black"/>
        </w:rPr>
        <w:t>____</w:t>
      </w:r>
      <w:r w:rsidR="005F3F43">
        <w:rPr>
          <w:b/>
          <w:szCs w:val="20"/>
          <w:highlight w:val="black"/>
        </w:rPr>
        <w:t>_</w:t>
      </w:r>
      <w:r w:rsidR="005F3F43" w:rsidRPr="005F3F43">
        <w:rPr>
          <w:b/>
          <w:szCs w:val="20"/>
          <w:highlight w:val="black"/>
        </w:rPr>
        <w:t>_____</w:t>
      </w:r>
      <w:r w:rsidRPr="00117C53">
        <w:rPr>
          <w:szCs w:val="20"/>
        </w:rPr>
        <w:t xml:space="preserve">.  Second, it is unreasonable to assume that third-party coal costs would increase at the same percentage annually through 2030 based on consideration of changes over only one 15-month period.  The third-party cost increase between the 2013 and 2014 case represented a price change between two test periods based on contract terms that were expiring in 2015.  There is absolutely no basis to assume that the increases in those cases reflect long-term expectations.  </w:t>
      </w:r>
    </w:p>
    <w:p w:rsidR="00E80220" w:rsidRPr="00117C53" w:rsidRDefault="006649E2">
      <w:pPr>
        <w:pStyle w:val="Answer"/>
        <w:widowControl w:val="0"/>
        <w:jc w:val="left"/>
        <w:rPr>
          <w:szCs w:val="20"/>
        </w:rPr>
      </w:pPr>
      <w:r w:rsidRPr="00117C53">
        <w:rPr>
          <w:b/>
          <w:szCs w:val="20"/>
        </w:rPr>
        <w:t>Q.</w:t>
      </w:r>
      <w:r w:rsidRPr="00117C53">
        <w:rPr>
          <w:b/>
          <w:szCs w:val="20"/>
        </w:rPr>
        <w:tab/>
        <w:t>How would you correct Staff’s assumed third-party cost increase?</w:t>
      </w:r>
    </w:p>
    <w:p w:rsidR="00E80220" w:rsidRPr="00117C53" w:rsidRDefault="006649E2">
      <w:pPr>
        <w:pStyle w:val="Answer"/>
        <w:widowControl w:val="0"/>
        <w:jc w:val="left"/>
        <w:rPr>
          <w:szCs w:val="20"/>
        </w:rPr>
      </w:pPr>
      <w:r w:rsidRPr="00117C53">
        <w:rPr>
          <w:szCs w:val="20"/>
        </w:rPr>
        <w:t>A.</w:t>
      </w:r>
      <w:r w:rsidRPr="00117C53">
        <w:rPr>
          <w:szCs w:val="20"/>
        </w:rPr>
        <w:tab/>
        <w:t xml:space="preserve">Based on what the Company knew in fall 2013, during the 10-year budget horizon third-party coal costs were expected to increase by roughly </w:t>
      </w:r>
      <w:r w:rsidR="005F3F43" w:rsidRPr="005F3F43">
        <w:rPr>
          <w:b/>
          <w:szCs w:val="20"/>
          <w:highlight w:val="black"/>
        </w:rPr>
        <w:t>_________</w:t>
      </w:r>
      <w:r w:rsidR="005F3F43">
        <w:rPr>
          <w:b/>
          <w:szCs w:val="20"/>
        </w:rPr>
        <w:t xml:space="preserve"> </w:t>
      </w:r>
      <w:r w:rsidRPr="00117C53">
        <w:rPr>
          <w:szCs w:val="20"/>
        </w:rPr>
        <w:t>annually.  When factored into the overall plant fueling costs, third-party costs</w:t>
      </w:r>
      <w:r w:rsidR="00102277" w:rsidRPr="00117C53">
        <w:rPr>
          <w:szCs w:val="20"/>
        </w:rPr>
        <w:t xml:space="preserve"> inclusive of coal inventory changes</w:t>
      </w:r>
      <w:r w:rsidRPr="00117C53">
        <w:rPr>
          <w:szCs w:val="20"/>
        </w:rPr>
        <w:t xml:space="preserve"> known in fall 2013 actually </w:t>
      </w:r>
      <w:r w:rsidRPr="00117C53">
        <w:rPr>
          <w:i/>
          <w:iCs/>
          <w:szCs w:val="20"/>
        </w:rPr>
        <w:t>decrease</w:t>
      </w:r>
      <w:r w:rsidRPr="00117C53">
        <w:rPr>
          <w:szCs w:val="20"/>
        </w:rPr>
        <w:t xml:space="preserve"> by </w:t>
      </w:r>
      <w:r w:rsidR="005F3F43" w:rsidRPr="005F3F43">
        <w:rPr>
          <w:b/>
          <w:szCs w:val="20"/>
          <w:highlight w:val="black"/>
        </w:rPr>
        <w:t>_________</w:t>
      </w:r>
      <w:r w:rsidRPr="00117C53">
        <w:rPr>
          <w:szCs w:val="20"/>
        </w:rPr>
        <w:t xml:space="preserve"> relative to the third-party costs assumed in the SCR analysis.  This decrease further offsets the modest increase in BCC cost</w:t>
      </w:r>
      <w:r w:rsidR="00E22948" w:rsidRPr="00117C53">
        <w:rPr>
          <w:szCs w:val="20"/>
        </w:rPr>
        <w:t>s reported in the October 2013 mine p</w:t>
      </w:r>
      <w:r w:rsidRPr="00117C53">
        <w:rPr>
          <w:szCs w:val="20"/>
        </w:rPr>
        <w:t>lan’s 10-year budget horizon.</w:t>
      </w:r>
    </w:p>
    <w:p w:rsidR="00E80220" w:rsidRPr="00117C53" w:rsidRDefault="006649E2">
      <w:pPr>
        <w:pStyle w:val="Answer"/>
        <w:widowControl w:val="0"/>
        <w:jc w:val="left"/>
        <w:rPr>
          <w:szCs w:val="20"/>
        </w:rPr>
      </w:pPr>
      <w:r w:rsidRPr="00117C53">
        <w:rPr>
          <w:b/>
          <w:szCs w:val="20"/>
        </w:rPr>
        <w:lastRenderedPageBreak/>
        <w:t>Q.</w:t>
      </w:r>
      <w:r w:rsidRPr="00117C53">
        <w:rPr>
          <w:b/>
          <w:szCs w:val="20"/>
        </w:rPr>
        <w:tab/>
        <w:t>Are there any other deficiencies in Staff’s analysis?</w:t>
      </w:r>
    </w:p>
    <w:p w:rsidR="00E80220" w:rsidRPr="00117C53" w:rsidRDefault="006649E2">
      <w:pPr>
        <w:pStyle w:val="Answer"/>
        <w:widowControl w:val="0"/>
        <w:jc w:val="left"/>
        <w:rPr>
          <w:szCs w:val="20"/>
        </w:rPr>
      </w:pPr>
      <w:r w:rsidRPr="00117C53">
        <w:rPr>
          <w:szCs w:val="20"/>
        </w:rPr>
        <w:t>A.</w:t>
      </w:r>
      <w:r w:rsidRPr="00117C53">
        <w:rPr>
          <w:szCs w:val="20"/>
        </w:rPr>
        <w:tab/>
        <w:t>Yes.  The Company’s direct testimony in the 2014 Washington rate case was filed in May 2014, well after the period of time that Staff concedes is relevant to the prudence determination in this case.  Staff claims that it is improper to reference the long-term fueling plan used in the 2015 IRP to validate the absence of major cost</w:t>
      </w:r>
      <w:r w:rsidR="00E22948" w:rsidRPr="00117C53">
        <w:rPr>
          <w:szCs w:val="20"/>
        </w:rPr>
        <w:t xml:space="preserve"> increases in the October 2013 mine p</w:t>
      </w:r>
      <w:r w:rsidRPr="00117C53">
        <w:rPr>
          <w:szCs w:val="20"/>
        </w:rPr>
        <w:t xml:space="preserve">lan.  But Staff attempts to do the same thing by referencing Company testimony filed in May 2014.  The </w:t>
      </w:r>
      <w:proofErr w:type="gramStart"/>
      <w:r w:rsidRPr="00117C53">
        <w:rPr>
          <w:szCs w:val="20"/>
        </w:rPr>
        <w:t>testimony</w:t>
      </w:r>
      <w:proofErr w:type="gramEnd"/>
      <w:r w:rsidRPr="00117C53">
        <w:rPr>
          <w:szCs w:val="20"/>
        </w:rPr>
        <w:t xml:space="preserve"> on which Staff relies, however, is irrelevant to the long-term coal cost increases at issue in this case.    </w:t>
      </w:r>
    </w:p>
    <w:p w:rsidR="00E80220" w:rsidRPr="00117C53" w:rsidRDefault="006649E2">
      <w:pPr>
        <w:pStyle w:val="Answer"/>
        <w:widowControl w:val="0"/>
        <w:jc w:val="left"/>
        <w:rPr>
          <w:b/>
          <w:szCs w:val="20"/>
        </w:rPr>
      </w:pPr>
      <w:r w:rsidRPr="00117C53">
        <w:rPr>
          <w:b/>
          <w:szCs w:val="20"/>
        </w:rPr>
        <w:t>Q.</w:t>
      </w:r>
      <w:r w:rsidRPr="00117C53">
        <w:rPr>
          <w:b/>
          <w:szCs w:val="20"/>
        </w:rPr>
        <w:tab/>
        <w:t>What is the second error in Staff’s analysis?</w:t>
      </w:r>
    </w:p>
    <w:p w:rsidR="00E80220" w:rsidRPr="00117C53" w:rsidRDefault="006649E2">
      <w:pPr>
        <w:pStyle w:val="Answer"/>
        <w:widowControl w:val="0"/>
        <w:jc w:val="left"/>
        <w:rPr>
          <w:szCs w:val="20"/>
        </w:rPr>
      </w:pPr>
      <w:r w:rsidRPr="00117C53">
        <w:rPr>
          <w:szCs w:val="20"/>
        </w:rPr>
        <w:t>A.</w:t>
      </w:r>
      <w:r w:rsidRPr="00117C53">
        <w:rPr>
          <w:szCs w:val="20"/>
        </w:rPr>
        <w:tab/>
        <w:t>Staff incorrectly assumes that the ratio between BCC and third-party coal reflected in a single year is indicative of the ratio from 2016 through 2030.</w:t>
      </w:r>
      <w:r w:rsidRPr="00117C53">
        <w:rPr>
          <w:rStyle w:val="FootnoteReference"/>
          <w:szCs w:val="20"/>
        </w:rPr>
        <w:footnoteReference w:id="19"/>
      </w:r>
      <w:r w:rsidRPr="00117C53">
        <w:rPr>
          <w:szCs w:val="20"/>
        </w:rPr>
        <w:t xml:space="preserve">  </w:t>
      </w:r>
    </w:p>
    <w:p w:rsidR="00E80220" w:rsidRPr="00117C53" w:rsidRDefault="006649E2">
      <w:pPr>
        <w:pStyle w:val="Answer"/>
        <w:widowControl w:val="0"/>
        <w:jc w:val="left"/>
        <w:rPr>
          <w:szCs w:val="20"/>
        </w:rPr>
      </w:pPr>
      <w:r w:rsidRPr="00117C53">
        <w:rPr>
          <w:b/>
          <w:szCs w:val="20"/>
        </w:rPr>
        <w:t>Q.</w:t>
      </w:r>
      <w:r w:rsidRPr="00117C53">
        <w:rPr>
          <w:b/>
          <w:szCs w:val="20"/>
        </w:rPr>
        <w:tab/>
        <w:t>How did Staff determine the amount of coal provided by BCC and third-parties from 2016 through 2030?</w:t>
      </w:r>
    </w:p>
    <w:p w:rsidR="00E80220" w:rsidRPr="00117C53" w:rsidRDefault="006649E2">
      <w:pPr>
        <w:pStyle w:val="Answer"/>
        <w:widowControl w:val="0"/>
        <w:jc w:val="left"/>
        <w:rPr>
          <w:szCs w:val="20"/>
        </w:rPr>
      </w:pPr>
      <w:r w:rsidRPr="00117C53">
        <w:rPr>
          <w:szCs w:val="20"/>
        </w:rPr>
        <w:t>A.</w:t>
      </w:r>
      <w:r w:rsidRPr="00117C53">
        <w:rPr>
          <w:szCs w:val="20"/>
        </w:rPr>
        <w:tab/>
        <w:t xml:space="preserve">To determine the ratio between BCC and third-party coal over a 17-year period, Staff relies on testimony from the Company’s 2014 Washington rate case.  In that case, the Company’s direct testimony projected that BCC would provide roughly 85 percent of the plant’s total coal, with third-party mines providing the remaining 15 percent.  The Company’s projection in the 2014 rate case, however, was based on expected coal deliveries </w:t>
      </w:r>
      <w:r w:rsidRPr="00117C53">
        <w:rPr>
          <w:i/>
          <w:szCs w:val="20"/>
        </w:rPr>
        <w:t>during a single year</w:t>
      </w:r>
      <w:r w:rsidRPr="00117C53">
        <w:rPr>
          <w:szCs w:val="20"/>
        </w:rPr>
        <w:t xml:space="preserve">—April 2015 through March 2016.  Staff is incorrect to assume that BCC would provide 85 percent of the plant’s total coal until 2030 based on a single year of data.  </w:t>
      </w:r>
    </w:p>
    <w:p w:rsidR="00E80220" w:rsidRPr="00117C53" w:rsidRDefault="006649E2" w:rsidP="00E22948">
      <w:pPr>
        <w:pStyle w:val="Answer"/>
        <w:keepLines/>
        <w:widowControl w:val="0"/>
        <w:jc w:val="left"/>
        <w:rPr>
          <w:szCs w:val="20"/>
        </w:rPr>
      </w:pPr>
      <w:r w:rsidRPr="00117C53">
        <w:rPr>
          <w:szCs w:val="20"/>
        </w:rPr>
        <w:lastRenderedPageBreak/>
        <w:t xml:space="preserve">  </w:t>
      </w:r>
      <w:r w:rsidRPr="00117C53">
        <w:rPr>
          <w:szCs w:val="20"/>
        </w:rPr>
        <w:tab/>
      </w:r>
      <w:r w:rsidRPr="00117C53">
        <w:rPr>
          <w:szCs w:val="20"/>
        </w:rPr>
        <w:tab/>
        <w:t>The flaw in Staff’s assumption is evident from the record in the 2014 rate case.  By the time the Company file</w:t>
      </w:r>
      <w:r w:rsidR="00205DDB" w:rsidRPr="00117C53">
        <w:rPr>
          <w:szCs w:val="20"/>
        </w:rPr>
        <w:t xml:space="preserve">d its rebuttal testimony in that </w:t>
      </w:r>
      <w:r w:rsidRPr="00117C53">
        <w:rPr>
          <w:szCs w:val="20"/>
        </w:rPr>
        <w:t xml:space="preserve">case, the </w:t>
      </w:r>
      <w:r w:rsidR="007F16BB" w:rsidRPr="00117C53">
        <w:rPr>
          <w:szCs w:val="20"/>
        </w:rPr>
        <w:t>proportion of</w:t>
      </w:r>
      <w:r w:rsidRPr="00117C53">
        <w:rPr>
          <w:szCs w:val="20"/>
        </w:rPr>
        <w:t xml:space="preserve"> BCC coal</w:t>
      </w:r>
      <w:r w:rsidR="00004BDD" w:rsidRPr="00117C53">
        <w:rPr>
          <w:szCs w:val="20"/>
        </w:rPr>
        <w:t xml:space="preserve"> </w:t>
      </w:r>
      <w:r w:rsidR="007F16BB" w:rsidRPr="00117C53">
        <w:rPr>
          <w:szCs w:val="20"/>
        </w:rPr>
        <w:t>decreased</w:t>
      </w:r>
      <w:r w:rsidR="00CC3841" w:rsidRPr="00117C53">
        <w:rPr>
          <w:szCs w:val="20"/>
        </w:rPr>
        <w:t xml:space="preserve"> to approximately</w:t>
      </w:r>
      <w:r w:rsidRPr="00117C53">
        <w:rPr>
          <w:szCs w:val="20"/>
        </w:rPr>
        <w:t xml:space="preserve"> 70 percent of the plant’s </w:t>
      </w:r>
      <w:r w:rsidR="00DA0EBD" w:rsidRPr="00117C53">
        <w:rPr>
          <w:szCs w:val="20"/>
        </w:rPr>
        <w:t>total</w:t>
      </w:r>
      <w:r w:rsidR="00657803" w:rsidRPr="00117C53">
        <w:rPr>
          <w:szCs w:val="20"/>
        </w:rPr>
        <w:t xml:space="preserve"> coal requirement</w:t>
      </w:r>
      <w:r w:rsidRPr="00117C53">
        <w:rPr>
          <w:szCs w:val="20"/>
        </w:rPr>
        <w:t>.</w:t>
      </w:r>
      <w:r w:rsidRPr="00117C53">
        <w:rPr>
          <w:rStyle w:val="FootnoteReference"/>
          <w:szCs w:val="20"/>
        </w:rPr>
        <w:footnoteReference w:id="20"/>
      </w:r>
      <w:r w:rsidRPr="00117C53">
        <w:rPr>
          <w:szCs w:val="20"/>
        </w:rPr>
        <w:t xml:space="preserve">  This fact undermines Staff</w:t>
      </w:r>
      <w:r w:rsidR="00205DDB" w:rsidRPr="00117C53">
        <w:rPr>
          <w:szCs w:val="20"/>
        </w:rPr>
        <w:t>’s claim that the October 2013 mine p</w:t>
      </w:r>
      <w:r w:rsidRPr="00117C53">
        <w:rPr>
          <w:szCs w:val="20"/>
        </w:rPr>
        <w:t>lan increased the Company’s exposure to market risk because of greater reliance on third-party coal.</w:t>
      </w:r>
      <w:r w:rsidRPr="00117C53">
        <w:rPr>
          <w:rStyle w:val="FootnoteReference"/>
          <w:szCs w:val="20"/>
        </w:rPr>
        <w:footnoteReference w:id="21"/>
      </w:r>
      <w:r w:rsidRPr="00117C53">
        <w:rPr>
          <w:szCs w:val="20"/>
        </w:rPr>
        <w:t xml:space="preserve">  </w:t>
      </w:r>
    </w:p>
    <w:p w:rsidR="00E80220" w:rsidRPr="00117C53" w:rsidRDefault="006649E2">
      <w:pPr>
        <w:pStyle w:val="Heading1"/>
        <w:rPr>
          <w:rFonts w:ascii="Times New Roman" w:hAnsi="Times New Roman"/>
          <w:szCs w:val="20"/>
        </w:rPr>
      </w:pPr>
      <w:bookmarkStart w:id="5" w:name="_Toc450906256"/>
      <w:r w:rsidRPr="00117C53">
        <w:rPr>
          <w:rFonts w:ascii="Times New Roman" w:hAnsi="Times New Roman"/>
          <w:szCs w:val="20"/>
        </w:rPr>
        <w:t>TWO-</w:t>
      </w:r>
      <w:r w:rsidRPr="00117C53">
        <w:rPr>
          <w:rFonts w:ascii="Times New Roman" w:hAnsi="Times New Roman"/>
        </w:rPr>
        <w:t>UNIT</w:t>
      </w:r>
      <w:r w:rsidRPr="00117C53">
        <w:rPr>
          <w:rFonts w:ascii="Times New Roman" w:hAnsi="Times New Roman"/>
          <w:szCs w:val="20"/>
        </w:rPr>
        <w:t xml:space="preserve"> SCENARIO</w:t>
      </w:r>
      <w:bookmarkEnd w:id="5"/>
    </w:p>
    <w:p w:rsidR="00E80220" w:rsidRPr="00117C53" w:rsidRDefault="006649E2">
      <w:pPr>
        <w:pStyle w:val="Answer"/>
        <w:widowControl w:val="0"/>
        <w:jc w:val="left"/>
        <w:rPr>
          <w:szCs w:val="20"/>
        </w:rPr>
      </w:pPr>
      <w:r w:rsidRPr="00117C53">
        <w:rPr>
          <w:b/>
          <w:szCs w:val="20"/>
        </w:rPr>
        <w:t>Q.</w:t>
      </w:r>
      <w:r w:rsidRPr="00117C53">
        <w:rPr>
          <w:b/>
          <w:szCs w:val="20"/>
        </w:rPr>
        <w:tab/>
        <w:t>Staff contends that if the Company had performed a two-unit scenario analysis in October 2013 it would have shown that coal costs in a two-unit scenario would have decreased, making gas conversion even more attractive.</w:t>
      </w:r>
      <w:r w:rsidRPr="00117C53">
        <w:rPr>
          <w:rStyle w:val="FootnoteReference"/>
          <w:b/>
          <w:szCs w:val="20"/>
        </w:rPr>
        <w:footnoteReference w:id="22"/>
      </w:r>
      <w:r w:rsidRPr="00117C53">
        <w:rPr>
          <w:b/>
          <w:szCs w:val="20"/>
        </w:rPr>
        <w:t xml:space="preserve">  Is Staff’s conclusion sound?</w:t>
      </w:r>
    </w:p>
    <w:p w:rsidR="00E80220" w:rsidRPr="00117C53" w:rsidRDefault="006649E2">
      <w:pPr>
        <w:pStyle w:val="Answer"/>
        <w:widowControl w:val="0"/>
        <w:jc w:val="left"/>
        <w:rPr>
          <w:szCs w:val="20"/>
        </w:rPr>
      </w:pPr>
      <w:r w:rsidRPr="00117C53">
        <w:rPr>
          <w:szCs w:val="20"/>
        </w:rPr>
        <w:t>A.</w:t>
      </w:r>
      <w:r w:rsidRPr="00117C53">
        <w:rPr>
          <w:szCs w:val="20"/>
        </w:rPr>
        <w:tab/>
        <w:t xml:space="preserve">No.  Staff’s analysis again relies on incorrect assumptions.  First, Staff claims that the surface mine is subject to economies of scale, while </w:t>
      </w:r>
      <w:r w:rsidR="00C67317" w:rsidRPr="00117C53">
        <w:rPr>
          <w:szCs w:val="20"/>
        </w:rPr>
        <w:t xml:space="preserve">implying that </w:t>
      </w:r>
      <w:r w:rsidRPr="00117C53">
        <w:rPr>
          <w:szCs w:val="20"/>
        </w:rPr>
        <w:t>the underground mine is not.</w:t>
      </w:r>
      <w:r w:rsidRPr="00117C53">
        <w:rPr>
          <w:rStyle w:val="FootnoteReference"/>
          <w:szCs w:val="20"/>
        </w:rPr>
        <w:footnoteReference w:id="23"/>
      </w:r>
      <w:r w:rsidRPr="00117C53">
        <w:rPr>
          <w:szCs w:val="20"/>
        </w:rPr>
        <w:t xml:space="preserve">  On the contrary, both the surface and underground mine are subject to economies of scale—as production decreases in either operation the per-unit cost increases.  Under a two-unit scenario, production would decrease.  </w:t>
      </w:r>
    </w:p>
    <w:p w:rsidR="00B12426" w:rsidRPr="00117C53" w:rsidRDefault="00B12426">
      <w:pPr>
        <w:pStyle w:val="Answer"/>
        <w:widowControl w:val="0"/>
        <w:jc w:val="left"/>
        <w:rPr>
          <w:b/>
          <w:szCs w:val="20"/>
        </w:rPr>
      </w:pPr>
      <w:r w:rsidRPr="00117C53">
        <w:rPr>
          <w:b/>
          <w:szCs w:val="20"/>
        </w:rPr>
        <w:t>Q.</w:t>
      </w:r>
      <w:r w:rsidRPr="00117C53">
        <w:rPr>
          <w:b/>
          <w:szCs w:val="20"/>
        </w:rPr>
        <w:tab/>
        <w:t>Does Staff’s analysis include any other incorrect assumptions?</w:t>
      </w:r>
    </w:p>
    <w:p w:rsidR="00835137" w:rsidRPr="00117C53" w:rsidRDefault="00B12426">
      <w:pPr>
        <w:pStyle w:val="Answer"/>
        <w:widowControl w:val="0"/>
        <w:jc w:val="left"/>
      </w:pPr>
      <w:r w:rsidRPr="00117C53">
        <w:rPr>
          <w:szCs w:val="20"/>
        </w:rPr>
        <w:t>A.</w:t>
      </w:r>
      <w:r w:rsidRPr="00117C53">
        <w:rPr>
          <w:szCs w:val="20"/>
        </w:rPr>
        <w:tab/>
        <w:t xml:space="preserve">Yes.  </w:t>
      </w:r>
      <w:r w:rsidR="00817D46" w:rsidRPr="00117C53">
        <w:t xml:space="preserve">Staff reasons that under a </w:t>
      </w:r>
      <w:r w:rsidR="00A53EA1" w:rsidRPr="00117C53">
        <w:t>two</w:t>
      </w:r>
      <w:r w:rsidR="00817D46" w:rsidRPr="00117C53">
        <w:t>-unit scenario based on the October 2013 Mine Plan, the surface mine would continue to operate</w:t>
      </w:r>
      <w:r w:rsidR="00A53EA1" w:rsidRPr="00117C53">
        <w:t xml:space="preserve">, which would avoid accelerated </w:t>
      </w:r>
      <w:r w:rsidR="00D1216D" w:rsidRPr="00117C53">
        <w:t>re</w:t>
      </w:r>
      <w:r w:rsidR="000B7549" w:rsidRPr="00117C53">
        <w:t xml:space="preserve">clamation </w:t>
      </w:r>
      <w:r w:rsidR="00A53EA1" w:rsidRPr="00117C53">
        <w:t xml:space="preserve">and result in lower costs relative to the two-unit scenario based on the </w:t>
      </w:r>
      <w:r w:rsidR="00205DDB" w:rsidRPr="00117C53">
        <w:lastRenderedPageBreak/>
        <w:t>January 2013 long-term fueling p</w:t>
      </w:r>
      <w:r w:rsidR="00A53EA1" w:rsidRPr="00117C53">
        <w:t>lan</w:t>
      </w:r>
      <w:r w:rsidR="00817D46" w:rsidRPr="00117C53">
        <w:t>.</w:t>
      </w:r>
      <w:r w:rsidR="00817D46" w:rsidRPr="00117C53">
        <w:rPr>
          <w:rStyle w:val="FootnoteReference"/>
          <w:szCs w:val="20"/>
        </w:rPr>
        <w:footnoteReference w:id="24"/>
      </w:r>
      <w:r w:rsidR="00072CD1" w:rsidRPr="00117C53">
        <w:t xml:space="preserve">  Additionally, Staff states that</w:t>
      </w:r>
      <w:r w:rsidR="00817D46" w:rsidRPr="00117C53">
        <w:t xml:space="preserve"> availability of underground coal th</w:t>
      </w:r>
      <w:r w:rsidR="00205DDB" w:rsidRPr="00117C53">
        <w:t>rough 2023 in the October 2013 mine p</w:t>
      </w:r>
      <w:r w:rsidR="00817D46" w:rsidRPr="00117C53">
        <w:t>lan would also lower costs.</w:t>
      </w:r>
      <w:r w:rsidR="00A53EA1" w:rsidRPr="00117C53">
        <w:rPr>
          <w:rStyle w:val="FootnoteReference"/>
        </w:rPr>
        <w:footnoteReference w:id="25"/>
      </w:r>
      <w:r w:rsidR="00817D46" w:rsidRPr="00117C53">
        <w:t xml:space="preserve">  </w:t>
      </w:r>
      <w:r w:rsidR="00835137" w:rsidRPr="00117C53">
        <w:t>Relying on these assumptions, Staff concludes that a two-unit scen</w:t>
      </w:r>
      <w:r w:rsidR="00205DDB" w:rsidRPr="00117C53">
        <w:t>ario based on the October 2013 mine p</w:t>
      </w:r>
      <w:r w:rsidR="00835137" w:rsidRPr="00117C53">
        <w:t xml:space="preserve">lan would have lower costs than the January 2013 two-unit scenario.   </w:t>
      </w:r>
    </w:p>
    <w:p w:rsidR="00B12426" w:rsidRPr="00117C53" w:rsidRDefault="00B12426">
      <w:pPr>
        <w:pStyle w:val="Answer"/>
        <w:widowControl w:val="0"/>
        <w:jc w:val="left"/>
      </w:pPr>
      <w:r w:rsidRPr="00117C53">
        <w:rPr>
          <w:b/>
        </w:rPr>
        <w:t>Q.</w:t>
      </w:r>
      <w:r w:rsidRPr="00117C53">
        <w:rPr>
          <w:b/>
        </w:rPr>
        <w:tab/>
        <w:t>If the Company had developed a two-unit scenario based on the October 2013 Mine Plan, would the costs be less than the January 2013 two-unit scenario?</w:t>
      </w:r>
    </w:p>
    <w:p w:rsidR="00EE0F36" w:rsidRPr="00117C53" w:rsidRDefault="00B12426">
      <w:pPr>
        <w:pStyle w:val="Answer"/>
        <w:widowControl w:val="0"/>
        <w:jc w:val="left"/>
      </w:pPr>
      <w:r w:rsidRPr="00117C53">
        <w:t>A.</w:t>
      </w:r>
      <w:r w:rsidRPr="00117C53">
        <w:tab/>
        <w:t xml:space="preserve">No.  </w:t>
      </w:r>
      <w:r w:rsidR="00817D46" w:rsidRPr="00117C53">
        <w:t xml:space="preserve">Both the January 2013 </w:t>
      </w:r>
      <w:r w:rsidR="00E159CA" w:rsidRPr="00117C53">
        <w:t>two-u</w:t>
      </w:r>
      <w:r w:rsidR="00817D46" w:rsidRPr="00117C53">
        <w:t xml:space="preserve">nit </w:t>
      </w:r>
      <w:r w:rsidR="00E159CA" w:rsidRPr="00117C53">
        <w:t>s</w:t>
      </w:r>
      <w:r w:rsidR="00817D46" w:rsidRPr="00117C53">
        <w:t xml:space="preserve">cenario and the October 2013 </w:t>
      </w:r>
      <w:r w:rsidR="00205DDB" w:rsidRPr="00117C53">
        <w:t xml:space="preserve">mine plan </w:t>
      </w:r>
      <w:r w:rsidR="00817D46" w:rsidRPr="00117C53">
        <w:t xml:space="preserve">consider varying levels of underground coal production through 2023.  The primary difference between the </w:t>
      </w:r>
      <w:r w:rsidR="00FF3A32" w:rsidRPr="00117C53">
        <w:t xml:space="preserve">January 2013 two-unit scenario and </w:t>
      </w:r>
      <w:r w:rsidR="007D5619" w:rsidRPr="00117C53">
        <w:t xml:space="preserve">a two-unit scenario based on the </w:t>
      </w:r>
      <w:r w:rsidR="00FF3A32" w:rsidRPr="00117C53">
        <w:t xml:space="preserve">October 2013 </w:t>
      </w:r>
      <w:r w:rsidR="00205DDB" w:rsidRPr="00117C53">
        <w:t xml:space="preserve">mine plan </w:t>
      </w:r>
      <w:r w:rsidR="00817D46" w:rsidRPr="00117C53">
        <w:t xml:space="preserve">is </w:t>
      </w:r>
      <w:r w:rsidR="00FF3A32" w:rsidRPr="00117C53">
        <w:t xml:space="preserve">that </w:t>
      </w:r>
      <w:r w:rsidR="00817D46" w:rsidRPr="00117C53">
        <w:t>surface mine closure occurs in 2018 in the</w:t>
      </w:r>
      <w:r w:rsidR="007D5619" w:rsidRPr="00117C53">
        <w:t xml:space="preserve"> January 2013</w:t>
      </w:r>
      <w:r w:rsidR="00817D46" w:rsidRPr="00117C53">
        <w:t xml:space="preserve"> </w:t>
      </w:r>
      <w:r w:rsidR="00FF3A32" w:rsidRPr="00117C53">
        <w:t>t</w:t>
      </w:r>
      <w:r w:rsidR="00817D46" w:rsidRPr="00117C53">
        <w:t>wo-</w:t>
      </w:r>
      <w:r w:rsidR="00FF3A32" w:rsidRPr="00117C53">
        <w:t>u</w:t>
      </w:r>
      <w:r w:rsidR="00817D46" w:rsidRPr="00117C53">
        <w:t xml:space="preserve">nit scenario and the surface mine continues to operate in the October 2013 </w:t>
      </w:r>
      <w:r w:rsidR="00205DDB" w:rsidRPr="00117C53">
        <w:t>mine plan</w:t>
      </w:r>
      <w:r w:rsidR="00817D46" w:rsidRPr="00117C53">
        <w:t xml:space="preserve">.  </w:t>
      </w:r>
    </w:p>
    <w:p w:rsidR="00C3167A" w:rsidRPr="00117C53" w:rsidRDefault="00EE0F36">
      <w:pPr>
        <w:pStyle w:val="Answer"/>
        <w:widowControl w:val="0"/>
        <w:jc w:val="left"/>
      </w:pPr>
      <w:r w:rsidRPr="00117C53">
        <w:tab/>
      </w:r>
      <w:r w:rsidRPr="00117C53">
        <w:tab/>
      </w:r>
      <w:r w:rsidR="00817D46" w:rsidRPr="00117C53">
        <w:t>To quantify the impact of this change using</w:t>
      </w:r>
      <w:r w:rsidR="00FF3A32" w:rsidRPr="00117C53">
        <w:t xml:space="preserve"> information </w:t>
      </w:r>
      <w:r w:rsidR="00817D46" w:rsidRPr="00117C53">
        <w:t xml:space="preserve">available </w:t>
      </w:r>
      <w:r w:rsidR="00FF3A32" w:rsidRPr="00117C53">
        <w:t>in fall 2013,</w:t>
      </w:r>
      <w:r w:rsidR="00817D46" w:rsidRPr="00117C53">
        <w:t xml:space="preserve"> the Company compared </w:t>
      </w:r>
      <w:r w:rsidR="00FF3A32" w:rsidRPr="00117C53">
        <w:t>BCC</w:t>
      </w:r>
      <w:r w:rsidR="00817D46" w:rsidRPr="00117C53">
        <w:t xml:space="preserve"> surface mine cash costs, </w:t>
      </w:r>
      <w:r w:rsidR="00FF3A32" w:rsidRPr="00117C53">
        <w:t>BCC</w:t>
      </w:r>
      <w:r w:rsidR="00817D46" w:rsidRPr="00117C53">
        <w:t xml:space="preserve"> surface mine capital costs expressed on a revenue requirement basis</w:t>
      </w:r>
      <w:r w:rsidR="00FF3A32" w:rsidRPr="00117C53">
        <w:t>,</w:t>
      </w:r>
      <w:r w:rsidR="00817D46" w:rsidRPr="00117C53">
        <w:t xml:space="preserve"> and external coal prices to costs in the </w:t>
      </w:r>
      <w:r w:rsidR="00FF3A32" w:rsidRPr="00117C53">
        <w:t>January 2013 two-u</w:t>
      </w:r>
      <w:r w:rsidR="00B12426" w:rsidRPr="00117C53">
        <w:t xml:space="preserve">nit scenario.  Based on this analysis, </w:t>
      </w:r>
      <w:r w:rsidR="00633B29" w:rsidRPr="00117C53">
        <w:t xml:space="preserve">the Company estimates that two-unit scenario coal </w:t>
      </w:r>
      <w:r w:rsidR="00817D46" w:rsidRPr="00117C53">
        <w:t xml:space="preserve">costs would have increased by approximately </w:t>
      </w:r>
      <w:r w:rsidR="005F3F43" w:rsidRPr="005F3F43">
        <w:rPr>
          <w:b/>
          <w:szCs w:val="20"/>
          <w:highlight w:val="black"/>
        </w:rPr>
        <w:t>_________</w:t>
      </w:r>
      <w:r w:rsidR="005F3F43">
        <w:rPr>
          <w:b/>
          <w:szCs w:val="20"/>
        </w:rPr>
        <w:t xml:space="preserve"> </w:t>
      </w:r>
      <w:r w:rsidR="00817D46" w:rsidRPr="00117C53">
        <w:t xml:space="preserve">during </w:t>
      </w:r>
      <w:r w:rsidR="005F3F43" w:rsidRPr="005F3F43">
        <w:rPr>
          <w:b/>
          <w:szCs w:val="20"/>
          <w:highlight w:val="black"/>
        </w:rPr>
        <w:t>_________</w:t>
      </w:r>
      <w:r w:rsidR="005F3F43">
        <w:rPr>
          <w:b/>
          <w:szCs w:val="20"/>
          <w:highlight w:val="black"/>
        </w:rPr>
        <w:t>___</w:t>
      </w:r>
      <w:r w:rsidR="005F3F43" w:rsidRPr="005F3F43">
        <w:rPr>
          <w:b/>
          <w:szCs w:val="20"/>
          <w:highlight w:val="black"/>
        </w:rPr>
        <w:t>___</w:t>
      </w:r>
      <w:r w:rsidR="005F3F43">
        <w:rPr>
          <w:b/>
          <w:szCs w:val="20"/>
        </w:rPr>
        <w:t xml:space="preserve"> </w:t>
      </w:r>
      <w:r w:rsidR="00817D46" w:rsidRPr="00117C53">
        <w:t xml:space="preserve">based on changes in the </w:t>
      </w:r>
      <w:r w:rsidR="00B12426" w:rsidRPr="00117C53">
        <w:t xml:space="preserve">October 2013 </w:t>
      </w:r>
      <w:r w:rsidR="00205DDB" w:rsidRPr="00117C53">
        <w:t>mine plan</w:t>
      </w:r>
      <w:r w:rsidR="00817D46" w:rsidRPr="00117C53">
        <w:t xml:space="preserve">. </w:t>
      </w:r>
      <w:r w:rsidR="00DE17DF" w:rsidRPr="00117C53">
        <w:t xml:space="preserve"> </w:t>
      </w:r>
      <w:r w:rsidRPr="00117C53">
        <w:t xml:space="preserve">This is </w:t>
      </w:r>
      <w:r w:rsidR="00C3167A" w:rsidRPr="00117C53">
        <w:t>prima</w:t>
      </w:r>
      <w:r w:rsidR="00BC7B4D" w:rsidRPr="00117C53">
        <w:t>ri</w:t>
      </w:r>
      <w:r w:rsidR="00C3167A" w:rsidRPr="00117C53">
        <w:t xml:space="preserve">ly </w:t>
      </w:r>
      <w:r w:rsidRPr="00117C53">
        <w:t xml:space="preserve">due to </w:t>
      </w:r>
      <w:r w:rsidR="00C3167A" w:rsidRPr="00117C53">
        <w:t xml:space="preserve">higher costs at the surface mine.  </w:t>
      </w:r>
      <w:r w:rsidR="00633B29" w:rsidRPr="00117C53">
        <w:t>Th</w:t>
      </w:r>
      <w:r w:rsidRPr="00117C53">
        <w:t>e cost increases in the two-unit scenario would have entirely offset the</w:t>
      </w:r>
      <w:r w:rsidR="00633B29" w:rsidRPr="00117C53">
        <w:t xml:space="preserve"> cost increases </w:t>
      </w:r>
      <w:r w:rsidRPr="00117C53">
        <w:t xml:space="preserve">in </w:t>
      </w:r>
      <w:r w:rsidR="00072CD1" w:rsidRPr="00117C53">
        <w:t>the four-unit scenario</w:t>
      </w:r>
      <w:r w:rsidRPr="00117C53">
        <w:t xml:space="preserve"> in the Company’s PVRR(d) analysis</w:t>
      </w:r>
      <w:r w:rsidR="00633B29" w:rsidRPr="00117C53">
        <w:t>—</w:t>
      </w:r>
      <w:r w:rsidRPr="00117C53">
        <w:t>making</w:t>
      </w:r>
      <w:r w:rsidR="00633B29" w:rsidRPr="00117C53">
        <w:t xml:space="preserve"> the SCR investment bec</w:t>
      </w:r>
      <w:r w:rsidR="002E2AB5" w:rsidRPr="00117C53">
        <w:t>o</w:t>
      </w:r>
      <w:r w:rsidR="00633B29" w:rsidRPr="00117C53">
        <w:t xml:space="preserve">me more favorable </w:t>
      </w:r>
      <w:r w:rsidR="00633B29" w:rsidRPr="00117C53">
        <w:lastRenderedPageBreak/>
        <w:t>based on the October 2013 Mine Plan.</w:t>
      </w:r>
      <w:r w:rsidR="001B12E4" w:rsidRPr="00117C53">
        <w:t xml:space="preserve">  </w:t>
      </w:r>
      <w:r w:rsidR="000B7549" w:rsidRPr="00117C53">
        <w:t xml:space="preserve">My analysis is shown in </w:t>
      </w:r>
      <w:r w:rsidR="002C3AE3" w:rsidRPr="00117C53">
        <w:t xml:space="preserve">Exhibit No. </w:t>
      </w:r>
      <w:r w:rsidR="000B7549" w:rsidRPr="00117C53">
        <w:t>CAC-</w:t>
      </w:r>
      <w:r w:rsidR="00A10937" w:rsidRPr="00117C53">
        <w:t>3</w:t>
      </w:r>
      <w:r w:rsidR="002C3AE3" w:rsidRPr="00117C53">
        <w:t>C</w:t>
      </w:r>
      <w:r w:rsidR="000B7549" w:rsidRPr="00117C53">
        <w:t>.</w:t>
      </w:r>
    </w:p>
    <w:p w:rsidR="00C3167A" w:rsidRPr="00117C53" w:rsidRDefault="00C3167A">
      <w:pPr>
        <w:pStyle w:val="Answer"/>
        <w:widowControl w:val="0"/>
        <w:jc w:val="left"/>
        <w:rPr>
          <w:b/>
        </w:rPr>
      </w:pPr>
      <w:r w:rsidRPr="00117C53">
        <w:rPr>
          <w:b/>
        </w:rPr>
        <w:t>Q.</w:t>
      </w:r>
      <w:r w:rsidRPr="00117C53">
        <w:rPr>
          <w:b/>
        </w:rPr>
        <w:tab/>
        <w:t xml:space="preserve">How does this analysis relate to the Company’s previous testimony responding to Sierra Club’s use of the January 2013 four-unit scenario as a proxy for the October 2013 two-unit scenario? </w:t>
      </w:r>
    </w:p>
    <w:p w:rsidR="00E80220" w:rsidRPr="00117C53" w:rsidRDefault="00C3167A">
      <w:pPr>
        <w:pStyle w:val="Answer"/>
        <w:widowControl w:val="0"/>
        <w:jc w:val="left"/>
        <w:rPr>
          <w:szCs w:val="20"/>
        </w:rPr>
      </w:pPr>
      <w:r w:rsidRPr="00117C53">
        <w:t>A.</w:t>
      </w:r>
      <w:r w:rsidRPr="00117C53">
        <w:tab/>
      </w:r>
      <w:r w:rsidR="007D348D" w:rsidRPr="00117C53">
        <w:t xml:space="preserve">In </w:t>
      </w:r>
      <w:r w:rsidR="00342A58" w:rsidRPr="00117C53">
        <w:t xml:space="preserve">rebuttal testimony, Mr. Ralston testified that it </w:t>
      </w:r>
      <w:r w:rsidRPr="00117C53">
        <w:t>was</w:t>
      </w:r>
      <w:r w:rsidR="00342A58" w:rsidRPr="00117C53">
        <w:t xml:space="preserve"> reasonable to assume that the two-unit costs increased at the same percentage as the four-unit costs </w:t>
      </w:r>
      <w:r w:rsidRPr="00117C53">
        <w:t>in the Company’s 2015 IRP fueling plan.  This responded to Sierra Club’s c</w:t>
      </w:r>
      <w:r w:rsidR="00BC7B4D" w:rsidRPr="00117C53">
        <w:t xml:space="preserve">laim </w:t>
      </w:r>
      <w:r w:rsidR="00072CD1" w:rsidRPr="00117C53">
        <w:t>that the two</w:t>
      </w:r>
      <w:r w:rsidRPr="00117C53">
        <w:t xml:space="preserve">-unit costs in the 2015 IRP fueling plan </w:t>
      </w:r>
      <w:r w:rsidR="00BC7B4D" w:rsidRPr="00117C53">
        <w:t xml:space="preserve">would have </w:t>
      </w:r>
      <w:r w:rsidRPr="00117C53">
        <w:t xml:space="preserve">actually decreased to </w:t>
      </w:r>
      <w:r w:rsidR="00BC7B4D" w:rsidRPr="00117C53">
        <w:t xml:space="preserve">the level of </w:t>
      </w:r>
      <w:r w:rsidR="00072CD1" w:rsidRPr="00117C53">
        <w:t>four</w:t>
      </w:r>
      <w:r w:rsidRPr="00117C53">
        <w:t xml:space="preserve">-unit costs </w:t>
      </w:r>
      <w:r w:rsidR="00BC7B4D" w:rsidRPr="00117C53">
        <w:t>in</w:t>
      </w:r>
      <w:r w:rsidR="00342A58" w:rsidRPr="00117C53">
        <w:t xml:space="preserve"> January 2013</w:t>
      </w:r>
      <w:r w:rsidRPr="00117C53">
        <w:t>.</w:t>
      </w:r>
      <w:r w:rsidR="007D348D" w:rsidRPr="00117C53">
        <w:t xml:space="preserve"> </w:t>
      </w:r>
      <w:r w:rsidR="000B7549" w:rsidRPr="00117C53">
        <w:t xml:space="preserve"> </w:t>
      </w:r>
      <w:r w:rsidR="00EE0F36" w:rsidRPr="00117C53">
        <w:t xml:space="preserve">The Company’s </w:t>
      </w:r>
      <w:r w:rsidRPr="00117C53">
        <w:t xml:space="preserve">updated </w:t>
      </w:r>
      <w:r w:rsidR="00EE0F36" w:rsidRPr="00117C53">
        <w:t>analysis</w:t>
      </w:r>
      <w:r w:rsidRPr="00117C53">
        <w:t xml:space="preserve"> </w:t>
      </w:r>
      <w:r w:rsidR="00EE0F36" w:rsidRPr="00117C53">
        <w:t>indicates that its previous estimate of two-unit coal costs</w:t>
      </w:r>
      <w:r w:rsidR="00FD6AA6" w:rsidRPr="00117C53">
        <w:t xml:space="preserve"> in the 2015 IRP fueling plan</w:t>
      </w:r>
      <w:r w:rsidR="00BC7B4D" w:rsidRPr="00117C53">
        <w:t xml:space="preserve">, which </w:t>
      </w:r>
      <w:r w:rsidR="00FD6AA6" w:rsidRPr="00117C53">
        <w:t xml:space="preserve">projected only </w:t>
      </w:r>
      <w:proofErr w:type="spellStart"/>
      <w:r w:rsidR="00FD6AA6" w:rsidRPr="00117C53">
        <w:t>a</w:t>
      </w:r>
      <w:proofErr w:type="spellEnd"/>
      <w:r w:rsidR="00FD6AA6" w:rsidRPr="00117C53">
        <w:t xml:space="preserve"> </w:t>
      </w:r>
      <w:r w:rsidR="005F3F43" w:rsidRPr="005F3F43">
        <w:rPr>
          <w:b/>
          <w:szCs w:val="20"/>
          <w:highlight w:val="black"/>
        </w:rPr>
        <w:t>_________</w:t>
      </w:r>
      <w:r w:rsidR="005F3F43">
        <w:rPr>
          <w:b/>
          <w:szCs w:val="20"/>
        </w:rPr>
        <w:t xml:space="preserve"> </w:t>
      </w:r>
      <w:proofErr w:type="gramStart"/>
      <w:r w:rsidR="00FD6AA6" w:rsidRPr="00117C53">
        <w:t>increase,</w:t>
      </w:r>
      <w:proofErr w:type="gramEnd"/>
      <w:r w:rsidR="00FD6AA6" w:rsidRPr="00117C53">
        <w:t xml:space="preserve"> </w:t>
      </w:r>
      <w:r w:rsidR="00EE0F36" w:rsidRPr="00117C53">
        <w:t>was conservative.</w:t>
      </w:r>
      <w:r w:rsidR="00EE0F36" w:rsidRPr="00117C53">
        <w:rPr>
          <w:rStyle w:val="FootnoteReference"/>
        </w:rPr>
        <w:footnoteReference w:id="26"/>
      </w:r>
      <w:r w:rsidR="00EE0F36" w:rsidRPr="00117C53">
        <w:t xml:space="preserve">  </w:t>
      </w:r>
      <w:r w:rsidR="007D348D" w:rsidRPr="00117C53">
        <w:t xml:space="preserve"> </w:t>
      </w:r>
    </w:p>
    <w:p w:rsidR="00E80220" w:rsidRPr="00117C53" w:rsidRDefault="006649E2">
      <w:pPr>
        <w:pStyle w:val="Answer"/>
        <w:widowControl w:val="0"/>
        <w:jc w:val="left"/>
        <w:rPr>
          <w:b/>
          <w:szCs w:val="20"/>
        </w:rPr>
      </w:pPr>
      <w:r w:rsidRPr="00117C53">
        <w:rPr>
          <w:b/>
          <w:szCs w:val="20"/>
        </w:rPr>
        <w:t>Q.</w:t>
      </w:r>
      <w:r w:rsidRPr="00117C53">
        <w:rPr>
          <w:b/>
          <w:szCs w:val="20"/>
        </w:rPr>
        <w:tab/>
        <w:t>Why didn’t the Company update its two-unit scenario coal costs in fall 2013?</w:t>
      </w:r>
    </w:p>
    <w:p w:rsidR="00E80220" w:rsidRPr="00117C53" w:rsidRDefault="006649E2">
      <w:pPr>
        <w:pStyle w:val="Answer"/>
        <w:widowControl w:val="0"/>
        <w:jc w:val="left"/>
        <w:rPr>
          <w:szCs w:val="20"/>
        </w:rPr>
      </w:pPr>
      <w:r w:rsidRPr="00117C53">
        <w:rPr>
          <w:szCs w:val="20"/>
        </w:rPr>
        <w:t>A.</w:t>
      </w:r>
      <w:r w:rsidRPr="00117C53">
        <w:rPr>
          <w:szCs w:val="20"/>
        </w:rPr>
        <w:tab/>
        <w:t xml:space="preserve">As I discuss above, nothing in the October 2013 </w:t>
      </w:r>
      <w:r w:rsidR="00205DDB" w:rsidRPr="00117C53">
        <w:t xml:space="preserve">mine plan </w:t>
      </w:r>
      <w:r w:rsidRPr="00117C53">
        <w:rPr>
          <w:szCs w:val="20"/>
        </w:rPr>
        <w:t xml:space="preserve">raised concerns that the January 2013 </w:t>
      </w:r>
      <w:r w:rsidR="00205DDB" w:rsidRPr="00117C53">
        <w:rPr>
          <w:szCs w:val="20"/>
        </w:rPr>
        <w:t>long-term fueling plan</w:t>
      </w:r>
      <w:r w:rsidRPr="00117C53">
        <w:rPr>
          <w:szCs w:val="20"/>
        </w:rPr>
        <w:t xml:space="preserve"> was obsolete</w:t>
      </w:r>
      <w:r w:rsidR="00FD6AA6" w:rsidRPr="00117C53">
        <w:rPr>
          <w:szCs w:val="20"/>
        </w:rPr>
        <w:t xml:space="preserve"> or that costs in the </w:t>
      </w:r>
      <w:r w:rsidR="00072CD1" w:rsidRPr="00117C53">
        <w:rPr>
          <w:szCs w:val="20"/>
        </w:rPr>
        <w:t>two</w:t>
      </w:r>
      <w:r w:rsidR="00FD6AA6" w:rsidRPr="00117C53">
        <w:rPr>
          <w:szCs w:val="20"/>
        </w:rPr>
        <w:t xml:space="preserve">-unit scenario were decreasing </w:t>
      </w:r>
      <w:r w:rsidR="000B7549" w:rsidRPr="00117C53">
        <w:rPr>
          <w:szCs w:val="20"/>
        </w:rPr>
        <w:t xml:space="preserve">relative </w:t>
      </w:r>
      <w:r w:rsidR="00072CD1" w:rsidRPr="00117C53">
        <w:rPr>
          <w:szCs w:val="20"/>
        </w:rPr>
        <w:t>to costs in the four</w:t>
      </w:r>
      <w:r w:rsidR="00FD6AA6" w:rsidRPr="00117C53">
        <w:rPr>
          <w:szCs w:val="20"/>
        </w:rPr>
        <w:t xml:space="preserve">-unit </w:t>
      </w:r>
      <w:r w:rsidR="003D3C61" w:rsidRPr="00117C53">
        <w:rPr>
          <w:szCs w:val="20"/>
        </w:rPr>
        <w:t xml:space="preserve">scenario. </w:t>
      </w:r>
      <w:r w:rsidR="00072CD1" w:rsidRPr="00117C53">
        <w:rPr>
          <w:szCs w:val="20"/>
        </w:rPr>
        <w:t xml:space="preserve"> </w:t>
      </w:r>
      <w:r w:rsidR="003D3C61" w:rsidRPr="00117C53">
        <w:rPr>
          <w:szCs w:val="20"/>
        </w:rPr>
        <w:t>Under</w:t>
      </w:r>
      <w:r w:rsidRPr="00117C53">
        <w:rPr>
          <w:szCs w:val="20"/>
        </w:rPr>
        <w:t xml:space="preserve"> these circumstances, updating the two-unit scenario </w:t>
      </w:r>
      <w:r w:rsidR="00A10937" w:rsidRPr="00117C53">
        <w:rPr>
          <w:szCs w:val="20"/>
        </w:rPr>
        <w:t>was un</w:t>
      </w:r>
      <w:r w:rsidRPr="00117C53">
        <w:rPr>
          <w:szCs w:val="20"/>
        </w:rPr>
        <w:t xml:space="preserve">necessary. </w:t>
      </w:r>
    </w:p>
    <w:p w:rsidR="00E80220" w:rsidRPr="00117C53" w:rsidRDefault="006649E2">
      <w:pPr>
        <w:pStyle w:val="Heading1"/>
        <w:rPr>
          <w:rFonts w:ascii="Times New Roman" w:hAnsi="Times New Roman"/>
          <w:szCs w:val="20"/>
        </w:rPr>
      </w:pPr>
      <w:bookmarkStart w:id="6" w:name="_Toc450906257"/>
      <w:r w:rsidRPr="00117C53">
        <w:rPr>
          <w:rFonts w:ascii="Times New Roman" w:hAnsi="Times New Roman"/>
          <w:szCs w:val="20"/>
        </w:rPr>
        <w:t>OTHER ISSUES</w:t>
      </w:r>
      <w:bookmarkEnd w:id="6"/>
    </w:p>
    <w:p w:rsidR="00E80220" w:rsidRPr="00117C53" w:rsidRDefault="006649E2">
      <w:pPr>
        <w:pStyle w:val="Answer"/>
        <w:widowControl w:val="0"/>
        <w:jc w:val="left"/>
        <w:rPr>
          <w:szCs w:val="20"/>
        </w:rPr>
      </w:pPr>
      <w:r w:rsidRPr="00117C53">
        <w:rPr>
          <w:b/>
          <w:szCs w:val="20"/>
        </w:rPr>
        <w:t>Q.</w:t>
      </w:r>
      <w:r w:rsidRPr="00117C53">
        <w:rPr>
          <w:b/>
          <w:szCs w:val="20"/>
        </w:rPr>
        <w:tab/>
        <w:t xml:space="preserve">Staff testifies that they do not understand why the Company conducted analysis in its rebuttal testimony </w:t>
      </w:r>
      <w:r w:rsidR="00FD6AA6" w:rsidRPr="00117C53">
        <w:rPr>
          <w:b/>
          <w:szCs w:val="20"/>
        </w:rPr>
        <w:t>based on</w:t>
      </w:r>
      <w:r w:rsidRPr="00117C53">
        <w:rPr>
          <w:b/>
          <w:szCs w:val="20"/>
        </w:rPr>
        <w:t xml:space="preserve"> </w:t>
      </w:r>
      <w:r w:rsidR="00FD6AA6" w:rsidRPr="00117C53">
        <w:rPr>
          <w:b/>
          <w:szCs w:val="20"/>
        </w:rPr>
        <w:t xml:space="preserve">the </w:t>
      </w:r>
      <w:r w:rsidRPr="00117C53">
        <w:rPr>
          <w:b/>
          <w:szCs w:val="20"/>
        </w:rPr>
        <w:t>Company’s 2015 IRP</w:t>
      </w:r>
      <w:r w:rsidR="00FD6AA6" w:rsidRPr="00117C53">
        <w:rPr>
          <w:b/>
          <w:szCs w:val="20"/>
        </w:rPr>
        <w:t xml:space="preserve"> fueling plan</w:t>
      </w:r>
      <w:r w:rsidRPr="00117C53">
        <w:rPr>
          <w:b/>
          <w:szCs w:val="20"/>
        </w:rPr>
        <w:t>.</w:t>
      </w:r>
      <w:r w:rsidRPr="00117C53">
        <w:rPr>
          <w:rStyle w:val="FootnoteReference"/>
          <w:b/>
          <w:szCs w:val="20"/>
        </w:rPr>
        <w:footnoteReference w:id="27"/>
      </w:r>
      <w:r w:rsidRPr="00117C53">
        <w:rPr>
          <w:b/>
          <w:szCs w:val="20"/>
        </w:rPr>
        <w:t xml:space="preserve">  Why did the Company include that analysis in its rebuttal testimony?</w:t>
      </w:r>
    </w:p>
    <w:p w:rsidR="00E80220" w:rsidRPr="00117C53" w:rsidRDefault="006649E2">
      <w:pPr>
        <w:pStyle w:val="Answer"/>
        <w:widowControl w:val="0"/>
        <w:jc w:val="left"/>
        <w:rPr>
          <w:szCs w:val="20"/>
        </w:rPr>
      </w:pPr>
      <w:r w:rsidRPr="00117C53">
        <w:rPr>
          <w:szCs w:val="20"/>
        </w:rPr>
        <w:t>A.</w:t>
      </w:r>
      <w:r w:rsidRPr="00117C53">
        <w:rPr>
          <w:szCs w:val="20"/>
        </w:rPr>
        <w:tab/>
        <w:t>As explained clearly in Mr. Ralston’s rebuttal testimony, the Company was responding to Sierra Club’s comparison of coal costs between the January 2013</w:t>
      </w:r>
      <w:r w:rsidR="006A5ABF" w:rsidRPr="00117C53">
        <w:rPr>
          <w:szCs w:val="20"/>
        </w:rPr>
        <w:t xml:space="preserve"> </w:t>
      </w:r>
      <w:r w:rsidR="00205DDB" w:rsidRPr="00117C53">
        <w:rPr>
          <w:szCs w:val="20"/>
        </w:rPr>
        <w:t>long-</w:t>
      </w:r>
      <w:r w:rsidR="00205DDB" w:rsidRPr="00117C53">
        <w:rPr>
          <w:szCs w:val="20"/>
        </w:rPr>
        <w:lastRenderedPageBreak/>
        <w:t xml:space="preserve">term fueling plan </w:t>
      </w:r>
      <w:r w:rsidRPr="00117C53">
        <w:rPr>
          <w:szCs w:val="20"/>
        </w:rPr>
        <w:t>and the long-term fueling plan used in the 2015 IRP.</w:t>
      </w:r>
      <w:r w:rsidRPr="00117C53">
        <w:rPr>
          <w:rStyle w:val="FootnoteReference"/>
          <w:szCs w:val="20"/>
        </w:rPr>
        <w:footnoteReference w:id="28"/>
      </w:r>
      <w:r w:rsidRPr="00117C53">
        <w:rPr>
          <w:szCs w:val="20"/>
        </w:rPr>
        <w:t xml:space="preserve">   </w:t>
      </w:r>
    </w:p>
    <w:p w:rsidR="00E80220" w:rsidRPr="00117C53" w:rsidRDefault="006649E2">
      <w:pPr>
        <w:pStyle w:val="Answer"/>
        <w:widowControl w:val="0"/>
        <w:jc w:val="left"/>
        <w:rPr>
          <w:szCs w:val="20"/>
        </w:rPr>
      </w:pPr>
      <w:r w:rsidRPr="00117C53">
        <w:rPr>
          <w:b/>
          <w:szCs w:val="20"/>
        </w:rPr>
        <w:t>Q.</w:t>
      </w:r>
      <w:r w:rsidRPr="00117C53">
        <w:rPr>
          <w:b/>
          <w:szCs w:val="20"/>
        </w:rPr>
        <w:tab/>
        <w:t xml:space="preserve">Staff claims that the long-term fueling plan used in the 2015 IRP is “not relevant in evaluating the prudence of the Company’s decision” because “it was prepared several months after Pacific Power issued the full notice to proceed </w:t>
      </w:r>
      <w:r w:rsidR="00180877" w:rsidRPr="00117C53">
        <w:rPr>
          <w:b/>
          <w:szCs w:val="20"/>
        </w:rPr>
        <w:t xml:space="preserve">(FNTP) </w:t>
      </w:r>
      <w:r w:rsidRPr="00117C53">
        <w:rPr>
          <w:b/>
          <w:szCs w:val="20"/>
        </w:rPr>
        <w:t>with SCR installation at Bridger.”</w:t>
      </w:r>
      <w:r w:rsidRPr="00117C53">
        <w:rPr>
          <w:rStyle w:val="FootnoteReference"/>
          <w:b/>
          <w:szCs w:val="20"/>
        </w:rPr>
        <w:footnoteReference w:id="29"/>
      </w:r>
      <w:r w:rsidRPr="00117C53">
        <w:rPr>
          <w:b/>
          <w:szCs w:val="20"/>
        </w:rPr>
        <w:t xml:space="preserve">  Do you agree?</w:t>
      </w:r>
    </w:p>
    <w:p w:rsidR="005F3F43" w:rsidRPr="005F3F43" w:rsidRDefault="006649E2" w:rsidP="005F3F43">
      <w:pPr>
        <w:pStyle w:val="Answer"/>
        <w:widowControl w:val="0"/>
        <w:jc w:val="left"/>
        <w:rPr>
          <w:szCs w:val="20"/>
        </w:rPr>
      </w:pPr>
      <w:r w:rsidRPr="00117C53">
        <w:rPr>
          <w:szCs w:val="20"/>
        </w:rPr>
        <w:t>A.</w:t>
      </w:r>
      <w:r w:rsidRPr="00117C53">
        <w:rPr>
          <w:szCs w:val="20"/>
        </w:rPr>
        <w:tab/>
        <w:t xml:space="preserve">Yes, in part.  </w:t>
      </w:r>
      <w:r w:rsidR="00AD02ED" w:rsidRPr="00117C53">
        <w:rPr>
          <w:szCs w:val="20"/>
        </w:rPr>
        <w:t xml:space="preserve">The Company generally agrees that the prudence standard examines whether a utility’s decision was reasonable based on the information it knew or should have known at the time the decision was made.  The data used in the 2015 IRP is therefore not relevant to the prudence of the Company’s decision to install SCRs at Jim Bridger Units 3 and 4 because the data was developed after the Company made the decision in May 2013 and after </w:t>
      </w:r>
      <w:r w:rsidR="00A10937" w:rsidRPr="00117C53">
        <w:rPr>
          <w:szCs w:val="20"/>
        </w:rPr>
        <w:t>it issued</w:t>
      </w:r>
      <w:r w:rsidR="00AD02ED" w:rsidRPr="00117C53">
        <w:rPr>
          <w:szCs w:val="20"/>
        </w:rPr>
        <w:t xml:space="preserve"> the </w:t>
      </w:r>
      <w:r w:rsidR="00180877" w:rsidRPr="00117C53">
        <w:rPr>
          <w:szCs w:val="20"/>
        </w:rPr>
        <w:t>FNTP</w:t>
      </w:r>
      <w:r w:rsidR="00A10937" w:rsidRPr="00117C53">
        <w:rPr>
          <w:szCs w:val="20"/>
        </w:rPr>
        <w:t xml:space="preserve"> on December 1, 2013</w:t>
      </w:r>
      <w:r w:rsidR="00AD02ED" w:rsidRPr="00117C53">
        <w:rPr>
          <w:szCs w:val="20"/>
        </w:rPr>
        <w:t>.  But in this case, Staff argues that “rising coal costs and falling natural gas costs”</w:t>
      </w:r>
      <w:r w:rsidR="00AD02ED" w:rsidRPr="00117C53">
        <w:rPr>
          <w:szCs w:val="20"/>
          <w:vertAlign w:val="superscript"/>
        </w:rPr>
        <w:footnoteReference w:id="30"/>
      </w:r>
      <w:r w:rsidR="00AD02ED" w:rsidRPr="00117C53">
        <w:rPr>
          <w:szCs w:val="20"/>
        </w:rPr>
        <w:t xml:space="preserve"> between January 2013 and October 2013 demonstrate “obvious trends” that the Company willfully ignored before issuing the FNTP.</w:t>
      </w:r>
      <w:r w:rsidR="00AD02ED" w:rsidRPr="00117C53">
        <w:rPr>
          <w:szCs w:val="20"/>
          <w:vertAlign w:val="superscript"/>
        </w:rPr>
        <w:footnoteReference w:id="31"/>
      </w:r>
      <w:r w:rsidR="00AD02ED" w:rsidRPr="00117C53">
        <w:rPr>
          <w:szCs w:val="20"/>
        </w:rPr>
        <w:t xml:space="preserve">  The analysis of the SCR investments using the 2015 IRP data is therefore relevant to rebut this argument and to verify that there was no significant long-term trend of increasing coal costs. </w:t>
      </w:r>
      <w:bookmarkStart w:id="7" w:name="_GoBack"/>
      <w:bookmarkEnd w:id="7"/>
      <w:r w:rsidR="005F3F43">
        <w:rPr>
          <w:b/>
          <w:szCs w:val="20"/>
        </w:rPr>
        <w:br w:type="page"/>
      </w:r>
    </w:p>
    <w:p w:rsidR="00E80220" w:rsidRPr="00117C53" w:rsidRDefault="006649E2">
      <w:pPr>
        <w:pStyle w:val="Answer"/>
        <w:widowControl w:val="0"/>
        <w:jc w:val="left"/>
        <w:rPr>
          <w:szCs w:val="20"/>
        </w:rPr>
      </w:pPr>
      <w:r w:rsidRPr="00117C53">
        <w:rPr>
          <w:b/>
          <w:szCs w:val="20"/>
        </w:rPr>
        <w:lastRenderedPageBreak/>
        <w:t>Q.</w:t>
      </w:r>
      <w:r w:rsidRPr="00117C53">
        <w:rPr>
          <w:b/>
          <w:szCs w:val="20"/>
        </w:rPr>
        <w:tab/>
        <w:t>One of the corrections Staff made in its supplemental testimony is to exclude non-cash operating costs (</w:t>
      </w:r>
      <w:r w:rsidRPr="00117C53">
        <w:rPr>
          <w:b/>
          <w:i/>
          <w:szCs w:val="20"/>
        </w:rPr>
        <w:t>i.e.</w:t>
      </w:r>
      <w:r w:rsidRPr="00117C53">
        <w:rPr>
          <w:b/>
          <w:szCs w:val="20"/>
        </w:rPr>
        <w:t>, depletion, depreciation, and amortization) from its analysis.  While acknowledging its previous error, Staff faults the Company for failing to explain that non-cash operating costs were excluded from the SCR analysis.</w:t>
      </w:r>
      <w:r w:rsidRPr="00117C53">
        <w:rPr>
          <w:rStyle w:val="FootnoteReference"/>
          <w:b/>
          <w:szCs w:val="20"/>
        </w:rPr>
        <w:footnoteReference w:id="32"/>
      </w:r>
      <w:r w:rsidRPr="00117C53">
        <w:rPr>
          <w:b/>
          <w:szCs w:val="20"/>
        </w:rPr>
        <w:t xml:space="preserve">  How do you respond to Staff’s allegation?</w:t>
      </w:r>
    </w:p>
    <w:p w:rsidR="00E80220" w:rsidRPr="00117C53" w:rsidRDefault="006649E2">
      <w:pPr>
        <w:pStyle w:val="Answer"/>
        <w:widowControl w:val="0"/>
        <w:jc w:val="left"/>
        <w:rPr>
          <w:szCs w:val="20"/>
        </w:rPr>
      </w:pPr>
      <w:r w:rsidRPr="00117C53">
        <w:rPr>
          <w:szCs w:val="20"/>
        </w:rPr>
        <w:t>A.</w:t>
      </w:r>
      <w:r w:rsidRPr="00117C53">
        <w:rPr>
          <w:szCs w:val="20"/>
        </w:rPr>
        <w:tab/>
        <w:t>Staff’s criticism of the Company is unwarranted.  On January 20, 2016, Staff received the Company’s response to Sierra Club’s Data Request No. 11.  That request referenced the Company’s cash coal costs set forth in Exhibit No. RTL-3C and asked the Company to: “</w:t>
      </w:r>
      <w:r w:rsidRPr="00117C53">
        <w:t xml:space="preserve">Identify, separately, the elements of Bridger Coal Company’s costs which are specifically included and excluded in cash costs.”  The Company’s response clearly indicated that </w:t>
      </w:r>
      <w:r w:rsidRPr="00117C53">
        <w:rPr>
          <w:szCs w:val="20"/>
        </w:rPr>
        <w:t xml:space="preserve">amortization, depreciation, and depletion are excluded from the cash costs used in the Company’s SCR analysis.  This data response is attached as Exhibit No. </w:t>
      </w:r>
      <w:proofErr w:type="gramStart"/>
      <w:r w:rsidRPr="00117C53">
        <w:rPr>
          <w:szCs w:val="20"/>
        </w:rPr>
        <w:t>CAC-</w:t>
      </w:r>
      <w:r w:rsidR="00A10937" w:rsidRPr="00117C53">
        <w:rPr>
          <w:szCs w:val="20"/>
        </w:rPr>
        <w:t>4</w:t>
      </w:r>
      <w:r w:rsidRPr="00117C53">
        <w:rPr>
          <w:szCs w:val="20"/>
        </w:rPr>
        <w:t>.</w:t>
      </w:r>
      <w:proofErr w:type="gramEnd"/>
      <w:r w:rsidRPr="00117C53">
        <w:rPr>
          <w:szCs w:val="20"/>
        </w:rPr>
        <w:t xml:space="preserve">  Staff had this information well before filing its rebuttal testimony.</w:t>
      </w:r>
      <w:r w:rsidR="00FD6AA6" w:rsidRPr="00117C53">
        <w:rPr>
          <w:szCs w:val="20"/>
        </w:rPr>
        <w:t xml:space="preserve">  </w:t>
      </w:r>
      <w:r w:rsidRPr="00117C53">
        <w:rPr>
          <w:szCs w:val="20"/>
        </w:rPr>
        <w:t xml:space="preserve">In addition, my Utah testimony that Mr. </w:t>
      </w:r>
      <w:proofErr w:type="spellStart"/>
      <w:r w:rsidRPr="00117C53">
        <w:rPr>
          <w:szCs w:val="20"/>
        </w:rPr>
        <w:t>Twitchell</w:t>
      </w:r>
      <w:proofErr w:type="spellEnd"/>
      <w:r w:rsidRPr="00117C53">
        <w:rPr>
          <w:szCs w:val="20"/>
        </w:rPr>
        <w:t xml:space="preserve"> reviewed </w:t>
      </w:r>
      <w:r w:rsidR="002C3AE3" w:rsidRPr="00117C53">
        <w:rPr>
          <w:szCs w:val="20"/>
        </w:rPr>
        <w:t>before</w:t>
      </w:r>
      <w:r w:rsidRPr="00117C53">
        <w:rPr>
          <w:szCs w:val="20"/>
        </w:rPr>
        <w:t xml:space="preserve"> filing his initial testimony,</w:t>
      </w:r>
      <w:r w:rsidRPr="00117C53">
        <w:rPr>
          <w:rStyle w:val="FootnoteReference"/>
          <w:szCs w:val="20"/>
        </w:rPr>
        <w:footnoteReference w:id="33"/>
      </w:r>
      <w:r w:rsidRPr="00117C53">
        <w:rPr>
          <w:szCs w:val="20"/>
        </w:rPr>
        <w:t xml:space="preserve"> described in detail how the Company removed the non-cash operating costs from its SCR analysis.</w:t>
      </w:r>
      <w:r w:rsidRPr="00117C53">
        <w:rPr>
          <w:rStyle w:val="FootnoteReference"/>
          <w:szCs w:val="20"/>
        </w:rPr>
        <w:footnoteReference w:id="34"/>
      </w:r>
      <w:r w:rsidRPr="00117C53">
        <w:rPr>
          <w:szCs w:val="20"/>
        </w:rPr>
        <w:t xml:space="preserve">    </w:t>
      </w:r>
      <w:r w:rsidRPr="00117C53">
        <w:rPr>
          <w:szCs w:val="20"/>
        </w:rPr>
        <w:tab/>
      </w:r>
    </w:p>
    <w:p w:rsidR="00E80220" w:rsidRPr="00117C53" w:rsidRDefault="006649E2">
      <w:pPr>
        <w:pStyle w:val="Heading1"/>
        <w:rPr>
          <w:rFonts w:ascii="Times New Roman" w:hAnsi="Times New Roman"/>
        </w:rPr>
      </w:pPr>
      <w:bookmarkStart w:id="8" w:name="_Toc450906258"/>
      <w:r w:rsidRPr="00117C53">
        <w:rPr>
          <w:rFonts w:ascii="Times New Roman" w:hAnsi="Times New Roman"/>
        </w:rPr>
        <w:t>CONCLUSION</w:t>
      </w:r>
      <w:bookmarkEnd w:id="8"/>
    </w:p>
    <w:bookmarkEnd w:id="2"/>
    <w:p w:rsidR="00E80220" w:rsidRPr="00117C53" w:rsidRDefault="006649E2">
      <w:pPr>
        <w:pStyle w:val="Answer"/>
        <w:keepNext/>
        <w:widowControl w:val="0"/>
        <w:jc w:val="left"/>
        <w:rPr>
          <w:b/>
        </w:rPr>
      </w:pPr>
      <w:r w:rsidRPr="00117C53">
        <w:rPr>
          <w:b/>
        </w:rPr>
        <w:t>Q.</w:t>
      </w:r>
      <w:r w:rsidRPr="00117C53">
        <w:rPr>
          <w:b/>
        </w:rPr>
        <w:tab/>
        <w:t>What is your recommendation to the Commission?</w:t>
      </w:r>
    </w:p>
    <w:p w:rsidR="00E80220" w:rsidRPr="00117C53" w:rsidRDefault="006649E2">
      <w:pPr>
        <w:tabs>
          <w:tab w:val="left" w:pos="720"/>
        </w:tabs>
        <w:spacing w:line="480" w:lineRule="auto"/>
        <w:ind w:left="720" w:hanging="720"/>
        <w:jc w:val="left"/>
      </w:pPr>
      <w:r w:rsidRPr="00117C53">
        <w:t>A.</w:t>
      </w:r>
      <w:r w:rsidRPr="00117C53">
        <w:tab/>
        <w:t>The Commission should conclude that the Company’s SCR analysis was robust and its decision to install SCR systems on Jim Bridger Units 3 and 4 was prudent.  T</w:t>
      </w:r>
      <w:r w:rsidRPr="00117C53">
        <w:rPr>
          <w:szCs w:val="20"/>
        </w:rPr>
        <w:t xml:space="preserve">he October 2013 </w:t>
      </w:r>
      <w:r w:rsidR="00205DDB" w:rsidRPr="00117C53">
        <w:rPr>
          <w:szCs w:val="20"/>
        </w:rPr>
        <w:t>mine plan</w:t>
      </w:r>
      <w:r w:rsidRPr="00117C53">
        <w:rPr>
          <w:szCs w:val="20"/>
        </w:rPr>
        <w:t xml:space="preserve"> showed increased operating cash costs, but those increasing </w:t>
      </w:r>
      <w:r w:rsidRPr="00117C53">
        <w:rPr>
          <w:szCs w:val="20"/>
        </w:rPr>
        <w:lastRenderedPageBreak/>
        <w:t>costs were substantially offset by decreased capital and third-party costs</w:t>
      </w:r>
      <w:r w:rsidR="00FD6AA6" w:rsidRPr="00117C53">
        <w:rPr>
          <w:szCs w:val="20"/>
        </w:rPr>
        <w:t>, and by cost increases in the two-unit scenario</w:t>
      </w:r>
      <w:r w:rsidRPr="00117C53">
        <w:rPr>
          <w:szCs w:val="20"/>
        </w:rPr>
        <w:t xml:space="preserve">.  This shows that changes in coal costs during the period the SCR analysis was under review were adequately considered before the </w:t>
      </w:r>
      <w:r w:rsidR="005C4497" w:rsidRPr="00117C53">
        <w:rPr>
          <w:szCs w:val="20"/>
        </w:rPr>
        <w:t>FNTP</w:t>
      </w:r>
      <w:r w:rsidRPr="00117C53">
        <w:rPr>
          <w:szCs w:val="20"/>
        </w:rPr>
        <w:t xml:space="preserve"> was issued, as demonstrated by the Company in its rebuttal testimony.</w:t>
      </w:r>
    </w:p>
    <w:p w:rsidR="00E80220" w:rsidRPr="00117C53" w:rsidRDefault="006649E2">
      <w:pPr>
        <w:pStyle w:val="Answer"/>
        <w:keepNext/>
        <w:widowControl w:val="0"/>
        <w:jc w:val="left"/>
        <w:rPr>
          <w:b/>
        </w:rPr>
      </w:pPr>
      <w:r w:rsidRPr="00117C53">
        <w:rPr>
          <w:b/>
        </w:rPr>
        <w:t>Q.</w:t>
      </w:r>
      <w:r w:rsidRPr="00117C53">
        <w:rPr>
          <w:b/>
        </w:rPr>
        <w:tab/>
        <w:t>Does this conclude your supplemental rebuttal testimony?</w:t>
      </w:r>
    </w:p>
    <w:p w:rsidR="00E80220" w:rsidRPr="00117C53" w:rsidRDefault="006649E2">
      <w:pPr>
        <w:pStyle w:val="Answer"/>
        <w:widowControl w:val="0"/>
        <w:jc w:val="left"/>
      </w:pPr>
      <w:r w:rsidRPr="00117C53">
        <w:t>A.</w:t>
      </w:r>
      <w:r w:rsidRPr="00117C53">
        <w:tab/>
        <w:t>Yes.</w:t>
      </w:r>
    </w:p>
    <w:sectPr w:rsidR="00E80220" w:rsidRPr="00117C53">
      <w:pgSz w:w="12240" w:h="15840" w:code="1"/>
      <w:pgMar w:top="1440" w:right="1440" w:bottom="1440" w:left="1800"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62A" w:rsidRDefault="005D562A">
      <w:r>
        <w:separator/>
      </w:r>
    </w:p>
  </w:endnote>
  <w:endnote w:type="continuationSeparator" w:id="0">
    <w:p w:rsidR="005D562A" w:rsidRDefault="005D562A">
      <w:r>
        <w:continuationSeparator/>
      </w:r>
    </w:p>
  </w:endnote>
  <w:endnote w:type="continuationNotice" w:id="1">
    <w:p w:rsidR="005D562A" w:rsidRDefault="005D56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220" w:rsidRDefault="005F3F43">
    <w:pPr>
      <w:pStyle w:val="Footer"/>
      <w:tabs>
        <w:tab w:val="clear" w:pos="4320"/>
        <w:tab w:val="clear" w:pos="8640"/>
        <w:tab w:val="center" w:pos="5130"/>
        <w:tab w:val="right" w:pos="9000"/>
      </w:tabs>
      <w:jc w:val="left"/>
    </w:pPr>
    <w:r>
      <w:t>Redacted</w:t>
    </w:r>
    <w:r w:rsidR="004A1785">
      <w:t xml:space="preserve"> </w:t>
    </w:r>
    <w:r w:rsidR="006649E2">
      <w:t>Supplemental Rebuttal Testimony of Cindy A. Crane</w:t>
    </w:r>
    <w:r w:rsidR="006649E2">
      <w:tab/>
      <w:t>Exhibit No. CAC-1CT</w:t>
    </w:r>
  </w:p>
  <w:p w:rsidR="00E80220" w:rsidRDefault="006649E2">
    <w:pPr>
      <w:pStyle w:val="Footer"/>
      <w:jc w:val="right"/>
    </w:pPr>
    <w:r>
      <w:t xml:space="preserve">Page </w:t>
    </w:r>
    <w:r>
      <w:fldChar w:fldCharType="begin"/>
    </w:r>
    <w:r>
      <w:instrText xml:space="preserve"> PAGE   \* MERGEFORMAT </w:instrText>
    </w:r>
    <w:r>
      <w:fldChar w:fldCharType="separate"/>
    </w:r>
    <w:r w:rsidR="005F3F43">
      <w:rPr>
        <w:noProof/>
      </w:rPr>
      <w:t>16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62A" w:rsidRDefault="005D562A">
      <w:r>
        <w:separator/>
      </w:r>
    </w:p>
  </w:footnote>
  <w:footnote w:type="continuationSeparator" w:id="0">
    <w:p w:rsidR="005D562A" w:rsidRDefault="005D562A">
      <w:r>
        <w:continuationSeparator/>
      </w:r>
    </w:p>
  </w:footnote>
  <w:footnote w:type="continuationNotice" w:id="1">
    <w:p w:rsidR="005D562A" w:rsidRDefault="005D562A"/>
  </w:footnote>
  <w:footnote w:id="2">
    <w:p w:rsidR="00E80220" w:rsidRDefault="006649E2" w:rsidP="00744086">
      <w:pPr>
        <w:pStyle w:val="FootnoteText"/>
        <w:jc w:val="left"/>
      </w:pPr>
      <w:r>
        <w:rPr>
          <w:rStyle w:val="FootnoteReference"/>
        </w:rPr>
        <w:footnoteRef/>
      </w:r>
      <w:r w:rsidR="00B66BB8">
        <w:t xml:space="preserve"> Ralston, </w:t>
      </w:r>
      <w:proofErr w:type="spellStart"/>
      <w:r w:rsidR="00B66BB8">
        <w:t>Exh</w:t>
      </w:r>
      <w:proofErr w:type="spellEnd"/>
      <w:r w:rsidR="00B66BB8">
        <w:t>. No. DR-1CT 3:8-</w:t>
      </w:r>
      <w:r>
        <w:t>4:10.</w:t>
      </w:r>
    </w:p>
  </w:footnote>
  <w:footnote w:id="3">
    <w:p w:rsidR="00E80220" w:rsidRDefault="006649E2" w:rsidP="00744086">
      <w:pPr>
        <w:pStyle w:val="FootnoteText"/>
        <w:jc w:val="left"/>
      </w:pPr>
      <w:r>
        <w:rPr>
          <w:rStyle w:val="FootnoteReference"/>
        </w:rPr>
        <w:footnoteRef/>
      </w:r>
      <w:r>
        <w:t xml:space="preserve"> </w:t>
      </w:r>
      <w:proofErr w:type="spellStart"/>
      <w:r>
        <w:t>Twitchell</w:t>
      </w:r>
      <w:proofErr w:type="spellEnd"/>
      <w:r>
        <w:t xml:space="preserve">, </w:t>
      </w:r>
      <w:proofErr w:type="spellStart"/>
      <w:r>
        <w:t>Exh</w:t>
      </w:r>
      <w:proofErr w:type="spellEnd"/>
      <w:r>
        <w:t>. No. JBT-28HCT 18:12-15.</w:t>
      </w:r>
    </w:p>
  </w:footnote>
  <w:footnote w:id="4">
    <w:p w:rsidR="00E80220" w:rsidRDefault="006649E2" w:rsidP="00744086">
      <w:pPr>
        <w:pStyle w:val="FootnoteText"/>
        <w:jc w:val="left"/>
      </w:pPr>
      <w:r>
        <w:rPr>
          <w:rStyle w:val="FootnoteReference"/>
        </w:rPr>
        <w:footnoteRef/>
      </w:r>
      <w:r>
        <w:t xml:space="preserve"> </w:t>
      </w:r>
      <w:r w:rsidR="001E560C">
        <w:t xml:space="preserve">Ralston, </w:t>
      </w:r>
      <w:proofErr w:type="spellStart"/>
      <w:r w:rsidR="001E560C">
        <w:t>Exh</w:t>
      </w:r>
      <w:proofErr w:type="spellEnd"/>
      <w:r w:rsidR="001E560C">
        <w:t>. No. DR-1CT 7:16</w:t>
      </w:r>
      <w:r w:rsidR="008D5817">
        <w:t>,</w:t>
      </w:r>
      <w:r w:rsidR="001E560C">
        <w:t xml:space="preserve"> </w:t>
      </w:r>
      <w:proofErr w:type="spellStart"/>
      <w:r w:rsidR="008D5817">
        <w:t>Exh</w:t>
      </w:r>
      <w:proofErr w:type="spellEnd"/>
      <w:r w:rsidR="008D5817">
        <w:t xml:space="preserve">. No. </w:t>
      </w:r>
      <w:r w:rsidR="001E560C">
        <w:t xml:space="preserve">DR-4C.  </w:t>
      </w:r>
      <w:r>
        <w:t xml:space="preserve">The long-term fueling costs used in the 2015 IRP were based on the Company’s July </w:t>
      </w:r>
      <w:r w:rsidR="00C54A7C">
        <w:t xml:space="preserve">22, </w:t>
      </w:r>
      <w:r>
        <w:t xml:space="preserve">2014 BCC </w:t>
      </w:r>
      <w:r w:rsidR="00C54A7C">
        <w:t>mine plan</w:t>
      </w:r>
      <w:r>
        <w:t xml:space="preserve">. </w:t>
      </w:r>
      <w:r w:rsidR="001E560C">
        <w:t xml:space="preserve">The Company </w:t>
      </w:r>
      <w:r w:rsidR="00B951F1">
        <w:t xml:space="preserve">originally </w:t>
      </w:r>
      <w:r w:rsidR="001E560C">
        <w:t xml:space="preserve">produced a </w:t>
      </w:r>
      <w:r w:rsidR="00B951F1">
        <w:t>BCC</w:t>
      </w:r>
      <w:r w:rsidR="001E560C">
        <w:t xml:space="preserve"> mine plan </w:t>
      </w:r>
      <w:r w:rsidR="00B951F1">
        <w:t>on July 9, 2014</w:t>
      </w:r>
      <w:r w:rsidR="00744086">
        <w:t>,</w:t>
      </w:r>
      <w:r w:rsidR="00B951F1">
        <w:t xml:space="preserve"> </w:t>
      </w:r>
      <w:r w:rsidR="001E560C">
        <w:t>that it used in its 10-year budget</w:t>
      </w:r>
      <w:r w:rsidR="00B951F1">
        <w:t>.  This plan was updated with only a few changes in the July 22, 2014 mine plan</w:t>
      </w:r>
      <w:r w:rsidR="001E560C">
        <w:t xml:space="preserve">. </w:t>
      </w:r>
      <w:r>
        <w:t>Th</w:t>
      </w:r>
      <w:r w:rsidR="00C54A7C">
        <w:t>e</w:t>
      </w:r>
      <w:r>
        <w:t xml:space="preserve"> long-term fueling plan was finalized in November 2014 after the Company had updated third-party coal costs</w:t>
      </w:r>
      <w:r w:rsidR="00C54A7C">
        <w:t>.</w:t>
      </w:r>
      <w:r w:rsidR="0033754A">
        <w:t xml:space="preserve">  </w:t>
      </w:r>
    </w:p>
  </w:footnote>
  <w:footnote w:id="5">
    <w:p w:rsidR="00E80220" w:rsidRDefault="006649E2" w:rsidP="00744086">
      <w:pPr>
        <w:pStyle w:val="FootnoteText"/>
        <w:jc w:val="left"/>
      </w:pPr>
      <w:r>
        <w:rPr>
          <w:rStyle w:val="FootnoteReference"/>
        </w:rPr>
        <w:footnoteRef/>
      </w:r>
      <w:r>
        <w:t xml:space="preserve"> </w:t>
      </w:r>
      <w:proofErr w:type="spellStart"/>
      <w:r>
        <w:t>Twitchell</w:t>
      </w:r>
      <w:proofErr w:type="spellEnd"/>
      <w:r>
        <w:t xml:space="preserve">, </w:t>
      </w:r>
      <w:proofErr w:type="spellStart"/>
      <w:r>
        <w:t>Exh</w:t>
      </w:r>
      <w:proofErr w:type="spellEnd"/>
      <w:r>
        <w:t>. No. JBT-1T 62:1-4.</w:t>
      </w:r>
      <w:r w:rsidR="00AB4C95" w:rsidRPr="00AB4C95">
        <w:t xml:space="preserve"> </w:t>
      </w:r>
      <w:r w:rsidR="00AB4C95">
        <w:t xml:space="preserve">Sierra Club also included a copy of my Utah rebuttal testimony as an exhibit to its testimony in this case.  Fisher, </w:t>
      </w:r>
      <w:proofErr w:type="spellStart"/>
      <w:r w:rsidR="00AB4C95">
        <w:t>Exh</w:t>
      </w:r>
      <w:proofErr w:type="spellEnd"/>
      <w:r w:rsidR="00AB4C95">
        <w:t xml:space="preserve">. No. </w:t>
      </w:r>
      <w:proofErr w:type="gramStart"/>
      <w:r w:rsidR="00AB4C95">
        <w:t>JIF-8.</w:t>
      </w:r>
      <w:proofErr w:type="gramEnd"/>
      <w:r w:rsidR="00AB4C95">
        <w:t xml:space="preserve">  </w:t>
      </w:r>
      <w:r w:rsidR="000B7549">
        <w:t>The Company’s 2014 Utah rate case was d</w:t>
      </w:r>
      <w:r w:rsidR="000B7549" w:rsidRPr="000B7549">
        <w:t>ocket No. 13-035-184</w:t>
      </w:r>
      <w:r w:rsidR="000B7549">
        <w:t xml:space="preserve">. </w:t>
      </w:r>
    </w:p>
  </w:footnote>
  <w:footnote w:id="6">
    <w:p w:rsidR="00E80220" w:rsidRDefault="006649E2" w:rsidP="00744086">
      <w:pPr>
        <w:pStyle w:val="FootnoteText"/>
        <w:jc w:val="left"/>
      </w:pPr>
      <w:r>
        <w:rPr>
          <w:rStyle w:val="FootnoteReference"/>
        </w:rPr>
        <w:footnoteRef/>
      </w:r>
      <w:r>
        <w:t xml:space="preserve"> </w:t>
      </w:r>
      <w:r>
        <w:rPr>
          <w:i/>
        </w:rPr>
        <w:t>See e.g.</w:t>
      </w:r>
      <w:r>
        <w:t xml:space="preserve"> </w:t>
      </w:r>
      <w:proofErr w:type="spellStart"/>
      <w:r>
        <w:t>Exh</w:t>
      </w:r>
      <w:proofErr w:type="spellEnd"/>
      <w:r>
        <w:t>. No. JIF-8 5:72-81.</w:t>
      </w:r>
    </w:p>
  </w:footnote>
  <w:footnote w:id="7">
    <w:p w:rsidR="00E80220" w:rsidRDefault="006649E2" w:rsidP="00744086">
      <w:pPr>
        <w:pStyle w:val="FootnoteText"/>
        <w:jc w:val="left"/>
      </w:pPr>
      <w:r>
        <w:rPr>
          <w:rStyle w:val="FootnoteReference"/>
        </w:rPr>
        <w:footnoteRef/>
      </w:r>
      <w:r>
        <w:t xml:space="preserve"> Ralston, </w:t>
      </w:r>
      <w:proofErr w:type="spellStart"/>
      <w:r>
        <w:t>Exh</w:t>
      </w:r>
      <w:proofErr w:type="spellEnd"/>
      <w:r>
        <w:t>. No. DR-1CT 3:8-23.</w:t>
      </w:r>
    </w:p>
  </w:footnote>
  <w:footnote w:id="8">
    <w:p w:rsidR="00E80220" w:rsidRDefault="006649E2" w:rsidP="00744086">
      <w:pPr>
        <w:pStyle w:val="FootnoteText"/>
        <w:jc w:val="left"/>
      </w:pPr>
      <w:r>
        <w:rPr>
          <w:rStyle w:val="FootnoteReference"/>
        </w:rPr>
        <w:footnoteRef/>
      </w:r>
      <w:r>
        <w:t xml:space="preserve"> </w:t>
      </w:r>
      <w:r>
        <w:rPr>
          <w:i/>
        </w:rPr>
        <w:t>See e.g.</w:t>
      </w:r>
      <w:r>
        <w:t xml:space="preserve"> </w:t>
      </w:r>
      <w:proofErr w:type="spellStart"/>
      <w:r>
        <w:t>Twitchell</w:t>
      </w:r>
      <w:proofErr w:type="spellEnd"/>
      <w:r>
        <w:t xml:space="preserve">, </w:t>
      </w:r>
      <w:proofErr w:type="spellStart"/>
      <w:r>
        <w:t>Exh</w:t>
      </w:r>
      <w:proofErr w:type="spellEnd"/>
      <w:r>
        <w:t>. No. JBT-28HCT 18:7-9.</w:t>
      </w:r>
    </w:p>
  </w:footnote>
  <w:footnote w:id="9">
    <w:p w:rsidR="00AB4C95" w:rsidRPr="00AB4C95" w:rsidRDefault="00AB4C95" w:rsidP="00744086">
      <w:pPr>
        <w:pStyle w:val="FootnoteText"/>
        <w:jc w:val="left"/>
      </w:pPr>
      <w:r>
        <w:rPr>
          <w:rStyle w:val="FootnoteReference"/>
        </w:rPr>
        <w:footnoteRef/>
      </w:r>
      <w:r>
        <w:t xml:space="preserve"> </w:t>
      </w:r>
      <w:proofErr w:type="spellStart"/>
      <w:r w:rsidRPr="00AB4C95">
        <w:t>Twitchell</w:t>
      </w:r>
      <w:proofErr w:type="spellEnd"/>
      <w:r w:rsidRPr="00AB4C95">
        <w:t xml:space="preserve">, </w:t>
      </w:r>
      <w:proofErr w:type="spellStart"/>
      <w:r w:rsidRPr="00AB4C95">
        <w:t>Exh</w:t>
      </w:r>
      <w:proofErr w:type="spellEnd"/>
      <w:r w:rsidRPr="00AB4C95">
        <w:t xml:space="preserve">. No. </w:t>
      </w:r>
      <w:proofErr w:type="gramStart"/>
      <w:r w:rsidRPr="00AB4C95">
        <w:t>JBT-28HCT 17 n. 21.</w:t>
      </w:r>
      <w:proofErr w:type="gramEnd"/>
    </w:p>
    <w:p w:rsidR="00AB4C95" w:rsidRDefault="00AB4C95" w:rsidP="00744086">
      <w:pPr>
        <w:pStyle w:val="FootnoteText"/>
        <w:jc w:val="left"/>
      </w:pPr>
    </w:p>
  </w:footnote>
  <w:footnote w:id="10">
    <w:p w:rsidR="00E80220" w:rsidRDefault="006649E2" w:rsidP="00744086">
      <w:pPr>
        <w:pStyle w:val="FootnoteText"/>
        <w:jc w:val="left"/>
      </w:pPr>
      <w:r>
        <w:rPr>
          <w:rStyle w:val="FootnoteReference"/>
        </w:rPr>
        <w:footnoteRef/>
      </w:r>
      <w:r>
        <w:t xml:space="preserve"> </w:t>
      </w:r>
      <w:proofErr w:type="spellStart"/>
      <w:r>
        <w:t>Twitchell</w:t>
      </w:r>
      <w:proofErr w:type="spellEnd"/>
      <w:r>
        <w:t xml:space="preserve">, </w:t>
      </w:r>
      <w:proofErr w:type="spellStart"/>
      <w:r>
        <w:t>Exh</w:t>
      </w:r>
      <w:proofErr w:type="spellEnd"/>
      <w:r>
        <w:t>. No. JBT-1T 34:12-14; 9</w:t>
      </w:r>
      <w:r w:rsidR="00E22948">
        <w:t>,</w:t>
      </w:r>
      <w:r>
        <w:t xml:space="preserve"> Figure 1.</w:t>
      </w:r>
    </w:p>
  </w:footnote>
  <w:footnote w:id="11">
    <w:p w:rsidR="00E80220" w:rsidRDefault="006649E2" w:rsidP="00744086">
      <w:pPr>
        <w:pStyle w:val="FootnoteText"/>
        <w:jc w:val="left"/>
      </w:pPr>
      <w:r>
        <w:rPr>
          <w:rStyle w:val="FootnoteReference"/>
        </w:rPr>
        <w:footnoteRef/>
      </w:r>
      <w:r>
        <w:t xml:space="preserve"> </w:t>
      </w:r>
      <w:proofErr w:type="spellStart"/>
      <w:r>
        <w:t>Twitchell</w:t>
      </w:r>
      <w:proofErr w:type="spellEnd"/>
      <w:r>
        <w:t xml:space="preserve">, </w:t>
      </w:r>
      <w:proofErr w:type="spellStart"/>
      <w:r>
        <w:t>Exh</w:t>
      </w:r>
      <w:proofErr w:type="spellEnd"/>
      <w:r>
        <w:t xml:space="preserve">. No. JBT-28HCT 18:12-15; 19:20-21. </w:t>
      </w:r>
    </w:p>
  </w:footnote>
  <w:footnote w:id="12">
    <w:p w:rsidR="00E80220" w:rsidRDefault="006649E2" w:rsidP="00744086">
      <w:pPr>
        <w:pStyle w:val="FootnoteText"/>
        <w:jc w:val="left"/>
      </w:pPr>
      <w:r>
        <w:rPr>
          <w:rStyle w:val="FootnoteReference"/>
        </w:rPr>
        <w:footnoteRef/>
      </w:r>
      <w:r>
        <w:t xml:space="preserve"> </w:t>
      </w:r>
      <w:proofErr w:type="spellStart"/>
      <w:r>
        <w:t>Twitchell</w:t>
      </w:r>
      <w:proofErr w:type="spellEnd"/>
      <w:r>
        <w:t xml:space="preserve">, </w:t>
      </w:r>
      <w:proofErr w:type="spellStart"/>
      <w:r>
        <w:t>Exh</w:t>
      </w:r>
      <w:proofErr w:type="spellEnd"/>
      <w:r>
        <w:t>. No. JBT-28HCT 6:12-19.</w:t>
      </w:r>
    </w:p>
  </w:footnote>
  <w:footnote w:id="13">
    <w:p w:rsidR="00E80220" w:rsidRDefault="006649E2" w:rsidP="00744086">
      <w:pPr>
        <w:pStyle w:val="FootnoteText"/>
        <w:jc w:val="left"/>
      </w:pPr>
      <w:r>
        <w:rPr>
          <w:rStyle w:val="FootnoteReference"/>
        </w:rPr>
        <w:footnoteRef/>
      </w:r>
      <w:r>
        <w:t xml:space="preserve"> </w:t>
      </w:r>
      <w:proofErr w:type="spellStart"/>
      <w:r>
        <w:t>Twitchell</w:t>
      </w:r>
      <w:proofErr w:type="spellEnd"/>
      <w:r>
        <w:t xml:space="preserve">, </w:t>
      </w:r>
      <w:proofErr w:type="spellStart"/>
      <w:r>
        <w:t>Exh</w:t>
      </w:r>
      <w:proofErr w:type="spellEnd"/>
      <w:r>
        <w:t>. No. JBT-28HCT 7:8-12; 8:1-14; 10:17 – 11:20.</w:t>
      </w:r>
      <w:r w:rsidR="000B7549">
        <w:t xml:space="preserve">  The Company’s</w:t>
      </w:r>
      <w:r w:rsidR="00E22948">
        <w:t xml:space="preserve"> 2014 Washington rate case was D</w:t>
      </w:r>
      <w:r w:rsidR="000B7549">
        <w:t>ocket UE-140762.</w:t>
      </w:r>
    </w:p>
  </w:footnote>
  <w:footnote w:id="14">
    <w:p w:rsidR="00E80220" w:rsidRDefault="006649E2" w:rsidP="00744086">
      <w:pPr>
        <w:pStyle w:val="FootnoteText"/>
        <w:jc w:val="left"/>
      </w:pPr>
      <w:r>
        <w:rPr>
          <w:rStyle w:val="FootnoteReference"/>
        </w:rPr>
        <w:footnoteRef/>
      </w:r>
      <w:r>
        <w:t xml:space="preserve"> </w:t>
      </w:r>
      <w:proofErr w:type="spellStart"/>
      <w:r>
        <w:t>Twitchell</w:t>
      </w:r>
      <w:proofErr w:type="spellEnd"/>
      <w:r>
        <w:t xml:space="preserve">, </w:t>
      </w:r>
      <w:proofErr w:type="spellStart"/>
      <w:r>
        <w:t>Exh</w:t>
      </w:r>
      <w:proofErr w:type="spellEnd"/>
      <w:r>
        <w:t>. No. JBT-28HCT 11:</w:t>
      </w:r>
      <w:r w:rsidR="00A10937">
        <w:t xml:space="preserve"> 16-17</w:t>
      </w:r>
      <w:r>
        <w:t>.</w:t>
      </w:r>
    </w:p>
  </w:footnote>
  <w:footnote w:id="15">
    <w:p w:rsidR="00E80220" w:rsidRDefault="006649E2" w:rsidP="00744086">
      <w:pPr>
        <w:pStyle w:val="FootnoteText"/>
        <w:jc w:val="left"/>
      </w:pPr>
      <w:r>
        <w:rPr>
          <w:rStyle w:val="FootnoteReference"/>
        </w:rPr>
        <w:footnoteRef/>
      </w:r>
      <w:r>
        <w:t xml:space="preserve"> </w:t>
      </w:r>
      <w:proofErr w:type="spellStart"/>
      <w:r>
        <w:t>Twitchell</w:t>
      </w:r>
      <w:proofErr w:type="spellEnd"/>
      <w:r>
        <w:t xml:space="preserve">, </w:t>
      </w:r>
      <w:proofErr w:type="spellStart"/>
      <w:r>
        <w:t>Exh</w:t>
      </w:r>
      <w:proofErr w:type="spellEnd"/>
      <w:r>
        <w:t>. No. JBT-28HCT 10:5-9.</w:t>
      </w:r>
    </w:p>
  </w:footnote>
  <w:footnote w:id="16">
    <w:p w:rsidR="00E80220" w:rsidRDefault="006649E2" w:rsidP="00744086">
      <w:pPr>
        <w:pStyle w:val="FootnoteText"/>
        <w:jc w:val="left"/>
      </w:pPr>
      <w:r>
        <w:rPr>
          <w:rStyle w:val="FootnoteReference"/>
        </w:rPr>
        <w:footnoteRef/>
      </w:r>
      <w:r>
        <w:t xml:space="preserve"> </w:t>
      </w:r>
      <w:proofErr w:type="spellStart"/>
      <w:r>
        <w:t>Twitchell</w:t>
      </w:r>
      <w:proofErr w:type="spellEnd"/>
      <w:r>
        <w:t xml:space="preserve">, </w:t>
      </w:r>
      <w:proofErr w:type="spellStart"/>
      <w:r>
        <w:t>Exh</w:t>
      </w:r>
      <w:proofErr w:type="spellEnd"/>
      <w:r>
        <w:t>. No. JBT-28HCT 18:17 – 19: 8.</w:t>
      </w:r>
    </w:p>
  </w:footnote>
  <w:footnote w:id="17">
    <w:p w:rsidR="000B7549" w:rsidRDefault="000B7549" w:rsidP="00744086">
      <w:pPr>
        <w:pStyle w:val="FootnoteText"/>
        <w:jc w:val="left"/>
      </w:pPr>
      <w:r>
        <w:rPr>
          <w:rStyle w:val="FootnoteReference"/>
        </w:rPr>
        <w:footnoteRef/>
      </w:r>
      <w:r w:rsidR="007F1A3E">
        <w:t xml:space="preserve"> </w:t>
      </w:r>
      <w:proofErr w:type="gramStart"/>
      <w:r w:rsidR="007F1A3E" w:rsidRPr="007F1A3E">
        <w:rPr>
          <w:i/>
        </w:rPr>
        <w:t xml:space="preserve">Wash. </w:t>
      </w:r>
      <w:proofErr w:type="spellStart"/>
      <w:r w:rsidR="007F1A3E" w:rsidRPr="007F1A3E">
        <w:rPr>
          <w:i/>
        </w:rPr>
        <w:t>Utils</w:t>
      </w:r>
      <w:proofErr w:type="spellEnd"/>
      <w:r w:rsidR="007F1A3E" w:rsidRPr="007F1A3E">
        <w:rPr>
          <w:i/>
        </w:rPr>
        <w:t>.</w:t>
      </w:r>
      <w:proofErr w:type="gramEnd"/>
      <w:r w:rsidR="007F1A3E" w:rsidRPr="007F1A3E">
        <w:rPr>
          <w:i/>
        </w:rPr>
        <w:t xml:space="preserve"> </w:t>
      </w:r>
      <w:proofErr w:type="gramStart"/>
      <w:r w:rsidR="007F1A3E" w:rsidRPr="007F1A3E">
        <w:rPr>
          <w:i/>
        </w:rPr>
        <w:t xml:space="preserve">&amp; Transp. </w:t>
      </w:r>
      <w:proofErr w:type="spellStart"/>
      <w:r w:rsidR="007F1A3E" w:rsidRPr="007F1A3E">
        <w:rPr>
          <w:i/>
        </w:rPr>
        <w:t>Comm’n</w:t>
      </w:r>
      <w:proofErr w:type="spellEnd"/>
      <w:r w:rsidR="007F1A3E" w:rsidRPr="007F1A3E">
        <w:rPr>
          <w:i/>
        </w:rPr>
        <w:t xml:space="preserve"> v. PacifiCorp, </w:t>
      </w:r>
      <w:r w:rsidR="007F1A3E">
        <w:t xml:space="preserve">Docket </w:t>
      </w:r>
      <w:r>
        <w:t>UE-130043.</w:t>
      </w:r>
      <w:proofErr w:type="gramEnd"/>
    </w:p>
  </w:footnote>
  <w:footnote w:id="18">
    <w:p w:rsidR="00E80220" w:rsidRDefault="006649E2" w:rsidP="00744086">
      <w:pPr>
        <w:pStyle w:val="FootnoteText"/>
        <w:jc w:val="left"/>
      </w:pPr>
      <w:r>
        <w:rPr>
          <w:rStyle w:val="FootnoteReference"/>
        </w:rPr>
        <w:footnoteRef/>
      </w:r>
      <w:r>
        <w:t xml:space="preserve"> </w:t>
      </w:r>
      <w:proofErr w:type="spellStart"/>
      <w:r>
        <w:t>Twitchell</w:t>
      </w:r>
      <w:proofErr w:type="spellEnd"/>
      <w:r>
        <w:t xml:space="preserve">, </w:t>
      </w:r>
      <w:proofErr w:type="spellStart"/>
      <w:r>
        <w:t>Exh</w:t>
      </w:r>
      <w:proofErr w:type="spellEnd"/>
      <w:r>
        <w:t>. No. JBT-28HCT 18:18-22.</w:t>
      </w:r>
    </w:p>
  </w:footnote>
  <w:footnote w:id="19">
    <w:p w:rsidR="00E80220" w:rsidRDefault="006649E2" w:rsidP="00744086">
      <w:pPr>
        <w:pStyle w:val="FootnoteText"/>
        <w:jc w:val="left"/>
      </w:pPr>
      <w:r>
        <w:rPr>
          <w:rStyle w:val="FootnoteReference"/>
        </w:rPr>
        <w:footnoteRef/>
      </w:r>
      <w:r>
        <w:t xml:space="preserve"> </w:t>
      </w:r>
      <w:proofErr w:type="spellStart"/>
      <w:r>
        <w:t>Twitchell</w:t>
      </w:r>
      <w:proofErr w:type="spellEnd"/>
      <w:r>
        <w:t xml:space="preserve">, </w:t>
      </w:r>
      <w:proofErr w:type="spellStart"/>
      <w:r>
        <w:t>Exh</w:t>
      </w:r>
      <w:proofErr w:type="spellEnd"/>
      <w:r>
        <w:t>. No. JBT-28HCT 18:17 – 19:8.</w:t>
      </w:r>
    </w:p>
  </w:footnote>
  <w:footnote w:id="20">
    <w:p w:rsidR="00E80220" w:rsidRDefault="006649E2" w:rsidP="00744086">
      <w:pPr>
        <w:pStyle w:val="FootnoteText"/>
        <w:jc w:val="left"/>
      </w:pPr>
      <w:r>
        <w:rPr>
          <w:rStyle w:val="FootnoteReference"/>
        </w:rPr>
        <w:footnoteRef/>
      </w:r>
      <w:r>
        <w:t xml:space="preserve"> </w:t>
      </w:r>
      <w:proofErr w:type="gramStart"/>
      <w:r>
        <w:rPr>
          <w:i/>
          <w:iCs/>
        </w:rPr>
        <w:t xml:space="preserve">Wash. </w:t>
      </w:r>
      <w:proofErr w:type="spellStart"/>
      <w:r>
        <w:rPr>
          <w:i/>
          <w:iCs/>
        </w:rPr>
        <w:t>Utils</w:t>
      </w:r>
      <w:proofErr w:type="spellEnd"/>
      <w:r>
        <w:rPr>
          <w:i/>
          <w:iCs/>
        </w:rPr>
        <w:t>.</w:t>
      </w:r>
      <w:proofErr w:type="gramEnd"/>
      <w:r>
        <w:rPr>
          <w:i/>
          <w:iCs/>
        </w:rPr>
        <w:t xml:space="preserve"> </w:t>
      </w:r>
      <w:proofErr w:type="gramStart"/>
      <w:r>
        <w:rPr>
          <w:i/>
          <w:iCs/>
        </w:rPr>
        <w:t xml:space="preserve">&amp; Transp. </w:t>
      </w:r>
      <w:proofErr w:type="spellStart"/>
      <w:r>
        <w:rPr>
          <w:i/>
          <w:iCs/>
        </w:rPr>
        <w:t>Comm’n</w:t>
      </w:r>
      <w:proofErr w:type="spellEnd"/>
      <w:r>
        <w:rPr>
          <w:i/>
          <w:iCs/>
        </w:rPr>
        <w:t xml:space="preserve"> v. Pacific Power &amp; Light Co.</w:t>
      </w:r>
      <w:r>
        <w:t xml:space="preserve">, Docket UE-140762, </w:t>
      </w:r>
      <w:proofErr w:type="spellStart"/>
      <w:r>
        <w:t>Exh</w:t>
      </w:r>
      <w:proofErr w:type="spellEnd"/>
      <w:r>
        <w:t>.</w:t>
      </w:r>
      <w:proofErr w:type="gramEnd"/>
      <w:r>
        <w:t xml:space="preserve"> No. CAC-1CT 6:13-16.</w:t>
      </w:r>
    </w:p>
  </w:footnote>
  <w:footnote w:id="21">
    <w:p w:rsidR="00E80220" w:rsidRDefault="006649E2" w:rsidP="00744086">
      <w:pPr>
        <w:pStyle w:val="FootnoteText"/>
        <w:jc w:val="left"/>
      </w:pPr>
      <w:r>
        <w:rPr>
          <w:rStyle w:val="FootnoteReference"/>
        </w:rPr>
        <w:footnoteRef/>
      </w:r>
      <w:r>
        <w:t xml:space="preserve"> </w:t>
      </w:r>
      <w:proofErr w:type="spellStart"/>
      <w:r>
        <w:t>Twitchell</w:t>
      </w:r>
      <w:proofErr w:type="spellEnd"/>
      <w:r>
        <w:t xml:space="preserve">, </w:t>
      </w:r>
      <w:proofErr w:type="spellStart"/>
      <w:r>
        <w:t>Exh</w:t>
      </w:r>
      <w:proofErr w:type="spellEnd"/>
      <w:r>
        <w:t>. No. JBT-28HCT 12:10-18.</w:t>
      </w:r>
    </w:p>
  </w:footnote>
  <w:footnote w:id="22">
    <w:p w:rsidR="00E80220" w:rsidRDefault="006649E2" w:rsidP="00744086">
      <w:pPr>
        <w:pStyle w:val="FootnoteText"/>
        <w:jc w:val="left"/>
      </w:pPr>
      <w:r>
        <w:rPr>
          <w:rStyle w:val="FootnoteReference"/>
        </w:rPr>
        <w:footnoteRef/>
      </w:r>
      <w:r>
        <w:t xml:space="preserve"> </w:t>
      </w:r>
      <w:proofErr w:type="spellStart"/>
      <w:r>
        <w:t>Twitchell</w:t>
      </w:r>
      <w:proofErr w:type="spellEnd"/>
      <w:r>
        <w:t xml:space="preserve">, </w:t>
      </w:r>
      <w:proofErr w:type="spellStart"/>
      <w:r>
        <w:t>Exh</w:t>
      </w:r>
      <w:proofErr w:type="spellEnd"/>
      <w:r>
        <w:t>. No. JBT-28HCT 24:10-13.</w:t>
      </w:r>
    </w:p>
  </w:footnote>
  <w:footnote w:id="23">
    <w:p w:rsidR="00E80220" w:rsidRDefault="006649E2" w:rsidP="00744086">
      <w:pPr>
        <w:pStyle w:val="FootnoteText"/>
        <w:jc w:val="left"/>
      </w:pPr>
      <w:r>
        <w:rPr>
          <w:rStyle w:val="FootnoteReference"/>
        </w:rPr>
        <w:footnoteRef/>
      </w:r>
      <w:r>
        <w:t xml:space="preserve"> </w:t>
      </w:r>
      <w:proofErr w:type="spellStart"/>
      <w:r>
        <w:t>Twitchell</w:t>
      </w:r>
      <w:proofErr w:type="spellEnd"/>
      <w:r>
        <w:t xml:space="preserve">, </w:t>
      </w:r>
      <w:proofErr w:type="spellStart"/>
      <w:r>
        <w:t>Exh</w:t>
      </w:r>
      <w:proofErr w:type="spellEnd"/>
      <w:r>
        <w:t>. No. JBT-28HCT 23:19 – 24:13.</w:t>
      </w:r>
    </w:p>
  </w:footnote>
  <w:footnote w:id="24">
    <w:p w:rsidR="00817D46" w:rsidRDefault="00817D46" w:rsidP="00744086">
      <w:pPr>
        <w:pStyle w:val="FootnoteText"/>
        <w:jc w:val="left"/>
      </w:pPr>
      <w:r>
        <w:rPr>
          <w:rStyle w:val="FootnoteReference"/>
        </w:rPr>
        <w:footnoteRef/>
      </w:r>
      <w:r>
        <w:t xml:space="preserve"> </w:t>
      </w:r>
      <w:proofErr w:type="spellStart"/>
      <w:r>
        <w:t>Twitchell</w:t>
      </w:r>
      <w:proofErr w:type="spellEnd"/>
      <w:r>
        <w:t xml:space="preserve">, </w:t>
      </w:r>
      <w:proofErr w:type="spellStart"/>
      <w:r>
        <w:t>Exh</w:t>
      </w:r>
      <w:proofErr w:type="spellEnd"/>
      <w:r>
        <w:t xml:space="preserve">. No. JBT-28HCT 23:10-18.  </w:t>
      </w:r>
    </w:p>
  </w:footnote>
  <w:footnote w:id="25">
    <w:p w:rsidR="00A53EA1" w:rsidRDefault="00A53EA1" w:rsidP="00744086">
      <w:pPr>
        <w:pStyle w:val="FootnoteText"/>
        <w:jc w:val="left"/>
      </w:pPr>
      <w:r>
        <w:rPr>
          <w:rStyle w:val="FootnoteReference"/>
        </w:rPr>
        <w:footnoteRef/>
      </w:r>
      <w:r>
        <w:t xml:space="preserve"> </w:t>
      </w:r>
      <w:proofErr w:type="spellStart"/>
      <w:r>
        <w:t>Twitchell</w:t>
      </w:r>
      <w:proofErr w:type="spellEnd"/>
      <w:r>
        <w:t xml:space="preserve">, </w:t>
      </w:r>
      <w:proofErr w:type="spellStart"/>
      <w:r>
        <w:t>Exh</w:t>
      </w:r>
      <w:proofErr w:type="spellEnd"/>
      <w:r>
        <w:t>. No. JBT-28HCT 24:8-10.</w:t>
      </w:r>
    </w:p>
  </w:footnote>
  <w:footnote w:id="26">
    <w:p w:rsidR="00EE0F36" w:rsidRDefault="00EE0F36" w:rsidP="00744086">
      <w:pPr>
        <w:pStyle w:val="FootnoteText"/>
        <w:jc w:val="left"/>
      </w:pPr>
      <w:r>
        <w:rPr>
          <w:rStyle w:val="FootnoteReference"/>
        </w:rPr>
        <w:footnoteRef/>
      </w:r>
      <w:r>
        <w:t xml:space="preserve"> Ralston, </w:t>
      </w:r>
      <w:proofErr w:type="spellStart"/>
      <w:r>
        <w:t>Exh</w:t>
      </w:r>
      <w:proofErr w:type="spellEnd"/>
      <w:r>
        <w:t>. No. DR-1CT 12:10-14.</w:t>
      </w:r>
    </w:p>
  </w:footnote>
  <w:footnote w:id="27">
    <w:p w:rsidR="00E80220" w:rsidRDefault="006649E2" w:rsidP="00744086">
      <w:pPr>
        <w:pStyle w:val="FootnoteText"/>
        <w:jc w:val="left"/>
      </w:pPr>
      <w:r>
        <w:rPr>
          <w:rStyle w:val="FootnoteReference"/>
        </w:rPr>
        <w:footnoteRef/>
      </w:r>
      <w:r>
        <w:t xml:space="preserve"> </w:t>
      </w:r>
      <w:proofErr w:type="spellStart"/>
      <w:r>
        <w:t>Twitchell</w:t>
      </w:r>
      <w:proofErr w:type="spellEnd"/>
      <w:r>
        <w:t xml:space="preserve">, </w:t>
      </w:r>
      <w:proofErr w:type="spellStart"/>
      <w:r>
        <w:t>Exh</w:t>
      </w:r>
      <w:proofErr w:type="spellEnd"/>
      <w:r>
        <w:t>. No. JBT-28HCT 8:16 – 9:4.</w:t>
      </w:r>
    </w:p>
  </w:footnote>
  <w:footnote w:id="28">
    <w:p w:rsidR="00E80220" w:rsidRDefault="006649E2" w:rsidP="00744086">
      <w:pPr>
        <w:pStyle w:val="FootnoteText"/>
        <w:jc w:val="left"/>
      </w:pPr>
      <w:r>
        <w:rPr>
          <w:rStyle w:val="FootnoteReference"/>
        </w:rPr>
        <w:footnoteRef/>
      </w:r>
      <w:r>
        <w:t xml:space="preserve"> Ralston, </w:t>
      </w:r>
      <w:proofErr w:type="spellStart"/>
      <w:r>
        <w:t>Exh</w:t>
      </w:r>
      <w:proofErr w:type="spellEnd"/>
      <w:r>
        <w:t>. No. DR-1CT 6:4-9; 7:14 – 10:16.</w:t>
      </w:r>
    </w:p>
  </w:footnote>
  <w:footnote w:id="29">
    <w:p w:rsidR="00E80220" w:rsidRDefault="006649E2" w:rsidP="00744086">
      <w:pPr>
        <w:pStyle w:val="FootnoteText"/>
        <w:jc w:val="left"/>
      </w:pPr>
      <w:r>
        <w:rPr>
          <w:rStyle w:val="FootnoteReference"/>
        </w:rPr>
        <w:footnoteRef/>
      </w:r>
      <w:r>
        <w:t xml:space="preserve"> </w:t>
      </w:r>
      <w:proofErr w:type="spellStart"/>
      <w:r>
        <w:t>Twitchell</w:t>
      </w:r>
      <w:proofErr w:type="spellEnd"/>
      <w:r>
        <w:t xml:space="preserve">, </w:t>
      </w:r>
      <w:proofErr w:type="spellStart"/>
      <w:r>
        <w:t>Exh</w:t>
      </w:r>
      <w:proofErr w:type="spellEnd"/>
      <w:r>
        <w:t>. No. JBT-28HCT 8:17-19.</w:t>
      </w:r>
    </w:p>
  </w:footnote>
  <w:footnote w:id="30">
    <w:p w:rsidR="00AD02ED" w:rsidRDefault="00AD02ED" w:rsidP="00744086">
      <w:pPr>
        <w:pStyle w:val="FootnoteText"/>
        <w:jc w:val="left"/>
      </w:pPr>
      <w:r>
        <w:rPr>
          <w:rStyle w:val="FootnoteReference"/>
          <w:rFonts w:eastAsiaTheme="minorEastAsia"/>
        </w:rPr>
        <w:footnoteRef/>
      </w:r>
      <w:r>
        <w:t xml:space="preserve"> </w:t>
      </w:r>
      <w:proofErr w:type="spellStart"/>
      <w:r>
        <w:t>Twitchell</w:t>
      </w:r>
      <w:proofErr w:type="spellEnd"/>
      <w:r>
        <w:t xml:space="preserve">, </w:t>
      </w:r>
      <w:proofErr w:type="spellStart"/>
      <w:r>
        <w:t>Exh</w:t>
      </w:r>
      <w:proofErr w:type="spellEnd"/>
      <w:r>
        <w:t xml:space="preserve">. No. JBT-28HCT 33:5-6.  </w:t>
      </w:r>
    </w:p>
  </w:footnote>
  <w:footnote w:id="31">
    <w:p w:rsidR="00AD02ED" w:rsidRDefault="00AD02ED" w:rsidP="00744086">
      <w:pPr>
        <w:pStyle w:val="FootnoteText"/>
        <w:jc w:val="left"/>
      </w:pPr>
      <w:r>
        <w:rPr>
          <w:rStyle w:val="FootnoteReference"/>
          <w:rFonts w:eastAsiaTheme="minorEastAsia"/>
        </w:rPr>
        <w:footnoteRef/>
      </w:r>
      <w:r>
        <w:t xml:space="preserve"> </w:t>
      </w:r>
      <w:proofErr w:type="spellStart"/>
      <w:r>
        <w:t>Twitchell</w:t>
      </w:r>
      <w:proofErr w:type="spellEnd"/>
      <w:r>
        <w:t xml:space="preserve">, </w:t>
      </w:r>
      <w:proofErr w:type="spellStart"/>
      <w:r>
        <w:t>Exh</w:t>
      </w:r>
      <w:proofErr w:type="spellEnd"/>
      <w:r>
        <w:t>. No. JBT-28HCT 31:1</w:t>
      </w:r>
      <w:r w:rsidR="00A10937">
        <w:t>8-19</w:t>
      </w:r>
      <w:r>
        <w:t>.</w:t>
      </w:r>
    </w:p>
  </w:footnote>
  <w:footnote w:id="32">
    <w:p w:rsidR="00E80220" w:rsidRDefault="006649E2" w:rsidP="00744086">
      <w:pPr>
        <w:pStyle w:val="FootnoteText"/>
        <w:jc w:val="left"/>
      </w:pPr>
      <w:r>
        <w:rPr>
          <w:rStyle w:val="FootnoteReference"/>
        </w:rPr>
        <w:footnoteRef/>
      </w:r>
      <w:r>
        <w:t xml:space="preserve"> </w:t>
      </w:r>
      <w:proofErr w:type="spellStart"/>
      <w:r>
        <w:t>Twitchell</w:t>
      </w:r>
      <w:proofErr w:type="spellEnd"/>
      <w:r>
        <w:t xml:space="preserve">, </w:t>
      </w:r>
      <w:proofErr w:type="spellStart"/>
      <w:r>
        <w:t>Exh</w:t>
      </w:r>
      <w:proofErr w:type="spellEnd"/>
      <w:r>
        <w:t xml:space="preserve">. No. JBT-28HCT 15:16 – 16:3.  </w:t>
      </w:r>
    </w:p>
  </w:footnote>
  <w:footnote w:id="33">
    <w:p w:rsidR="00E80220" w:rsidRDefault="006649E2" w:rsidP="00744086">
      <w:pPr>
        <w:pStyle w:val="FootnoteText"/>
        <w:jc w:val="left"/>
      </w:pPr>
      <w:r>
        <w:rPr>
          <w:rStyle w:val="FootnoteReference"/>
        </w:rPr>
        <w:footnoteRef/>
      </w:r>
      <w:r>
        <w:t xml:space="preserve"> </w:t>
      </w:r>
      <w:proofErr w:type="spellStart"/>
      <w:r>
        <w:t>Twitchell</w:t>
      </w:r>
      <w:proofErr w:type="spellEnd"/>
      <w:r>
        <w:t xml:space="preserve">, </w:t>
      </w:r>
      <w:proofErr w:type="spellStart"/>
      <w:r>
        <w:t>Exh</w:t>
      </w:r>
      <w:proofErr w:type="spellEnd"/>
      <w:r>
        <w:t>. No. JBT-1T 62:1-4.</w:t>
      </w:r>
    </w:p>
  </w:footnote>
  <w:footnote w:id="34">
    <w:p w:rsidR="00E80220" w:rsidRDefault="006649E2" w:rsidP="00744086">
      <w:pPr>
        <w:pStyle w:val="FootnoteText"/>
        <w:jc w:val="left"/>
      </w:pPr>
      <w:r>
        <w:rPr>
          <w:rStyle w:val="FootnoteReference"/>
        </w:rPr>
        <w:footnoteRef/>
      </w:r>
      <w:r>
        <w:t xml:space="preserve"> Fisher, </w:t>
      </w:r>
      <w:proofErr w:type="spellStart"/>
      <w:r>
        <w:t>Exh</w:t>
      </w:r>
      <w:proofErr w:type="spellEnd"/>
      <w:r>
        <w:t>. No. JIF-8 6:107 – 7:116.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5D205D6"/>
    <w:lvl w:ilvl="0">
      <w:start w:val="1"/>
      <w:numFmt w:val="decimal"/>
      <w:lvlText w:val="%1."/>
      <w:lvlJc w:val="left"/>
      <w:pPr>
        <w:tabs>
          <w:tab w:val="num" w:pos="1800"/>
        </w:tabs>
        <w:ind w:left="1800" w:hanging="360"/>
      </w:pPr>
    </w:lvl>
  </w:abstractNum>
  <w:abstractNum w:abstractNumId="1">
    <w:nsid w:val="FFFFFF7D"/>
    <w:multiLevelType w:val="singleLevel"/>
    <w:tmpl w:val="35A2E582"/>
    <w:lvl w:ilvl="0">
      <w:start w:val="1"/>
      <w:numFmt w:val="decimal"/>
      <w:lvlText w:val="%1."/>
      <w:lvlJc w:val="left"/>
      <w:pPr>
        <w:tabs>
          <w:tab w:val="num" w:pos="1440"/>
        </w:tabs>
        <w:ind w:left="1440" w:hanging="360"/>
      </w:pPr>
    </w:lvl>
  </w:abstractNum>
  <w:abstractNum w:abstractNumId="2">
    <w:nsid w:val="FFFFFF7E"/>
    <w:multiLevelType w:val="singleLevel"/>
    <w:tmpl w:val="B922F278"/>
    <w:lvl w:ilvl="0">
      <w:start w:val="1"/>
      <w:numFmt w:val="decimal"/>
      <w:lvlText w:val="%1."/>
      <w:lvlJc w:val="left"/>
      <w:pPr>
        <w:tabs>
          <w:tab w:val="num" w:pos="1080"/>
        </w:tabs>
        <w:ind w:left="1080" w:hanging="360"/>
      </w:pPr>
    </w:lvl>
  </w:abstractNum>
  <w:abstractNum w:abstractNumId="3">
    <w:nsid w:val="FFFFFF7F"/>
    <w:multiLevelType w:val="singleLevel"/>
    <w:tmpl w:val="889405F4"/>
    <w:lvl w:ilvl="0">
      <w:start w:val="1"/>
      <w:numFmt w:val="decimal"/>
      <w:lvlText w:val="%1."/>
      <w:lvlJc w:val="left"/>
      <w:pPr>
        <w:tabs>
          <w:tab w:val="num" w:pos="720"/>
        </w:tabs>
        <w:ind w:left="720" w:hanging="360"/>
      </w:pPr>
    </w:lvl>
  </w:abstractNum>
  <w:abstractNum w:abstractNumId="4">
    <w:nsid w:val="FFFFFF80"/>
    <w:multiLevelType w:val="singleLevel"/>
    <w:tmpl w:val="32CC1A3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03A69B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E62092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4F0EDC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80AE412"/>
    <w:lvl w:ilvl="0">
      <w:start w:val="1"/>
      <w:numFmt w:val="decimal"/>
      <w:lvlText w:val="%1."/>
      <w:lvlJc w:val="left"/>
      <w:pPr>
        <w:tabs>
          <w:tab w:val="num" w:pos="360"/>
        </w:tabs>
        <w:ind w:left="360" w:hanging="360"/>
      </w:pPr>
    </w:lvl>
  </w:abstractNum>
  <w:abstractNum w:abstractNumId="9">
    <w:nsid w:val="FFFFFF89"/>
    <w:multiLevelType w:val="singleLevel"/>
    <w:tmpl w:val="5AD2AEA0"/>
    <w:lvl w:ilvl="0">
      <w:start w:val="1"/>
      <w:numFmt w:val="bullet"/>
      <w:lvlText w:val=""/>
      <w:lvlJc w:val="left"/>
      <w:pPr>
        <w:tabs>
          <w:tab w:val="num" w:pos="360"/>
        </w:tabs>
        <w:ind w:left="360" w:hanging="360"/>
      </w:pPr>
      <w:rPr>
        <w:rFonts w:ascii="Symbol" w:hAnsi="Symbol" w:hint="default"/>
      </w:rPr>
    </w:lvl>
  </w:abstractNum>
  <w:abstractNum w:abstractNumId="10">
    <w:nsid w:val="00A30A6D"/>
    <w:multiLevelType w:val="hybridMultilevel"/>
    <w:tmpl w:val="75300C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01B6423A"/>
    <w:multiLevelType w:val="hybridMultilevel"/>
    <w:tmpl w:val="C9AE8D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1F4F6B"/>
    <w:multiLevelType w:val="hybridMultilevel"/>
    <w:tmpl w:val="26D40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9286D02"/>
    <w:multiLevelType w:val="hybridMultilevel"/>
    <w:tmpl w:val="8E64F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AA51204"/>
    <w:multiLevelType w:val="hybridMultilevel"/>
    <w:tmpl w:val="C9AE8D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F042EB2"/>
    <w:multiLevelType w:val="hybridMultilevel"/>
    <w:tmpl w:val="5544A714"/>
    <w:lvl w:ilvl="0" w:tplc="2756748E">
      <w:start w:val="1"/>
      <w:numFmt w:val="decimal"/>
      <w:pStyle w:val="WAP1"/>
      <w:lvlText w:val="%1"/>
      <w:lvlJc w:val="left"/>
      <w:pPr>
        <w:tabs>
          <w:tab w:val="num" w:pos="360"/>
        </w:tabs>
        <w:ind w:left="720" w:hanging="720"/>
      </w:pPr>
      <w:rPr>
        <w:rFonts w:ascii="Times New Roman" w:hAnsi="Times New Roman" w:hint="default"/>
        <w:b w:val="0"/>
        <w:i/>
        <w:sz w:val="24"/>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6">
    <w:nsid w:val="13153F48"/>
    <w:multiLevelType w:val="hybridMultilevel"/>
    <w:tmpl w:val="CB7A8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44721AA"/>
    <w:multiLevelType w:val="hybridMultilevel"/>
    <w:tmpl w:val="C9AE8D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2875B3B"/>
    <w:multiLevelType w:val="hybridMultilevel"/>
    <w:tmpl w:val="FAEE0A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50C6720"/>
    <w:multiLevelType w:val="hybridMultilevel"/>
    <w:tmpl w:val="FA36B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7D5406B"/>
    <w:multiLevelType w:val="multilevel"/>
    <w:tmpl w:val="9AC4D5DC"/>
    <w:lvl w:ilvl="0">
      <w:start w:val="1"/>
      <w:numFmt w:val="bullet"/>
      <w:lvlText w:val=""/>
      <w:lvlJc w:val="left"/>
      <w:pPr>
        <w:tabs>
          <w:tab w:val="num" w:pos="1440"/>
        </w:tabs>
        <w:ind w:left="1440" w:hanging="360"/>
      </w:pPr>
      <w:rPr>
        <w:rFonts w:ascii="Symbol" w:hAnsi="Symbol" w:cs="Symbol" w:hint="default"/>
        <w:sz w:val="24"/>
        <w:szCs w:val="24"/>
      </w:rPr>
    </w:lvl>
    <w:lvl w:ilvl="1">
      <w:start w:val="1"/>
      <w:numFmt w:val="bullet"/>
      <w:lvlText w:val="o"/>
      <w:lvlJc w:val="left"/>
      <w:pPr>
        <w:tabs>
          <w:tab w:val="num" w:pos="2160"/>
        </w:tabs>
        <w:ind w:left="2160" w:hanging="360"/>
      </w:pPr>
      <w:rPr>
        <w:rFonts w:ascii="Courier New" w:hAnsi="Courier New" w:cs="Courier New" w:hint="default"/>
        <w:color w:val="auto"/>
        <w:sz w:val="24"/>
        <w:szCs w:val="24"/>
      </w:rPr>
    </w:lvl>
    <w:lvl w:ilvl="2">
      <w:start w:val="1"/>
      <w:numFmt w:val="bullet"/>
      <w:lvlText w:val=""/>
      <w:lvlJc w:val="left"/>
      <w:pPr>
        <w:tabs>
          <w:tab w:val="num" w:pos="-540"/>
        </w:tabs>
        <w:ind w:left="-540" w:hanging="360"/>
      </w:pPr>
      <w:rPr>
        <w:rFonts w:ascii="Wingdings" w:hAnsi="Wingdings" w:cs="Wingdings" w:hint="default"/>
      </w:rPr>
    </w:lvl>
    <w:lvl w:ilvl="3">
      <w:start w:val="1"/>
      <w:numFmt w:val="bullet"/>
      <w:lvlText w:val=""/>
      <w:lvlJc w:val="left"/>
      <w:pPr>
        <w:tabs>
          <w:tab w:val="num" w:pos="180"/>
        </w:tabs>
        <w:ind w:left="180" w:hanging="360"/>
      </w:pPr>
      <w:rPr>
        <w:rFonts w:ascii="Symbol" w:hAnsi="Symbol" w:cs="Symbol" w:hint="default"/>
      </w:rPr>
    </w:lvl>
    <w:lvl w:ilvl="4">
      <w:start w:val="1"/>
      <w:numFmt w:val="bullet"/>
      <w:lvlText w:val="o"/>
      <w:lvlJc w:val="left"/>
      <w:pPr>
        <w:tabs>
          <w:tab w:val="num" w:pos="900"/>
        </w:tabs>
        <w:ind w:left="900" w:hanging="360"/>
      </w:pPr>
      <w:rPr>
        <w:rFonts w:ascii="Courier New" w:hAnsi="Courier New" w:cs="Courier New" w:hint="default"/>
      </w:rPr>
    </w:lvl>
    <w:lvl w:ilvl="5">
      <w:start w:val="1"/>
      <w:numFmt w:val="bullet"/>
      <w:lvlText w:val=""/>
      <w:lvlJc w:val="left"/>
      <w:pPr>
        <w:tabs>
          <w:tab w:val="num" w:pos="1620"/>
        </w:tabs>
        <w:ind w:left="1620" w:hanging="360"/>
      </w:pPr>
      <w:rPr>
        <w:rFonts w:ascii="Wingdings" w:hAnsi="Wingdings" w:cs="Wingdings" w:hint="default"/>
      </w:rPr>
    </w:lvl>
    <w:lvl w:ilvl="6">
      <w:start w:val="1"/>
      <w:numFmt w:val="bullet"/>
      <w:lvlText w:val=""/>
      <w:lvlJc w:val="left"/>
      <w:pPr>
        <w:tabs>
          <w:tab w:val="num" w:pos="2340"/>
        </w:tabs>
        <w:ind w:left="2340" w:hanging="360"/>
      </w:pPr>
      <w:rPr>
        <w:rFonts w:ascii="Symbol" w:hAnsi="Symbol" w:cs="Symbol" w:hint="default"/>
      </w:rPr>
    </w:lvl>
    <w:lvl w:ilvl="7">
      <w:start w:val="1"/>
      <w:numFmt w:val="bullet"/>
      <w:lvlText w:val="o"/>
      <w:lvlJc w:val="left"/>
      <w:pPr>
        <w:tabs>
          <w:tab w:val="num" w:pos="3060"/>
        </w:tabs>
        <w:ind w:left="3060" w:hanging="360"/>
      </w:pPr>
      <w:rPr>
        <w:rFonts w:ascii="Courier New" w:hAnsi="Courier New" w:cs="Courier New" w:hint="default"/>
      </w:rPr>
    </w:lvl>
    <w:lvl w:ilvl="8">
      <w:start w:val="1"/>
      <w:numFmt w:val="bullet"/>
      <w:lvlText w:val=""/>
      <w:lvlJc w:val="left"/>
      <w:pPr>
        <w:tabs>
          <w:tab w:val="num" w:pos="3780"/>
        </w:tabs>
        <w:ind w:left="3780" w:hanging="360"/>
      </w:pPr>
      <w:rPr>
        <w:rFonts w:ascii="Wingdings" w:hAnsi="Wingdings" w:cs="Wingdings" w:hint="default"/>
      </w:rPr>
    </w:lvl>
  </w:abstractNum>
  <w:abstractNum w:abstractNumId="21">
    <w:nsid w:val="33B0375E"/>
    <w:multiLevelType w:val="hybridMultilevel"/>
    <w:tmpl w:val="E3BA14E4"/>
    <w:lvl w:ilvl="0" w:tplc="C1D23F24">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32A53D9"/>
    <w:multiLevelType w:val="hybridMultilevel"/>
    <w:tmpl w:val="D0B2B5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A9867CA"/>
    <w:multiLevelType w:val="hybridMultilevel"/>
    <w:tmpl w:val="0CB02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9D1F28"/>
    <w:multiLevelType w:val="hybridMultilevel"/>
    <w:tmpl w:val="0F76892C"/>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cs="Wingdings" w:hint="default"/>
      </w:rPr>
    </w:lvl>
    <w:lvl w:ilvl="3" w:tplc="04090001" w:tentative="1">
      <w:start w:val="1"/>
      <w:numFmt w:val="bullet"/>
      <w:lvlText w:val=""/>
      <w:lvlJc w:val="left"/>
      <w:pPr>
        <w:tabs>
          <w:tab w:val="num" w:pos="1080"/>
        </w:tabs>
        <w:ind w:left="1080" w:hanging="360"/>
      </w:pPr>
      <w:rPr>
        <w:rFonts w:ascii="Symbol" w:hAnsi="Symbol" w:cs="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cs="Wingdings" w:hint="default"/>
      </w:rPr>
    </w:lvl>
    <w:lvl w:ilvl="6" w:tplc="04090001" w:tentative="1">
      <w:start w:val="1"/>
      <w:numFmt w:val="bullet"/>
      <w:lvlText w:val=""/>
      <w:lvlJc w:val="left"/>
      <w:pPr>
        <w:tabs>
          <w:tab w:val="num" w:pos="3240"/>
        </w:tabs>
        <w:ind w:left="3240" w:hanging="360"/>
      </w:pPr>
      <w:rPr>
        <w:rFonts w:ascii="Symbol" w:hAnsi="Symbol" w:cs="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cs="Wingdings" w:hint="default"/>
      </w:rPr>
    </w:lvl>
  </w:abstractNum>
  <w:abstractNum w:abstractNumId="25">
    <w:nsid w:val="5DE43D80"/>
    <w:multiLevelType w:val="hybridMultilevel"/>
    <w:tmpl w:val="06EAA79E"/>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7531D8F"/>
    <w:multiLevelType w:val="hybridMultilevel"/>
    <w:tmpl w:val="45FAE9B2"/>
    <w:lvl w:ilvl="0" w:tplc="04090001">
      <w:start w:val="1"/>
      <w:numFmt w:val="bullet"/>
      <w:lvlText w:val=""/>
      <w:lvlJc w:val="left"/>
      <w:pPr>
        <w:ind w:left="108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6CB82836"/>
    <w:multiLevelType w:val="hybridMultilevel"/>
    <w:tmpl w:val="ADE233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69A4273"/>
    <w:multiLevelType w:val="hybridMultilevel"/>
    <w:tmpl w:val="E494A8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B663E51"/>
    <w:multiLevelType w:val="hybridMultilevel"/>
    <w:tmpl w:val="581240D2"/>
    <w:lvl w:ilvl="0" w:tplc="1B8622EE">
      <w:start w:val="1"/>
      <w:numFmt w:val="bullet"/>
      <w:pStyle w:val="AutoNumBodyCharCharCharChar"/>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DEB71B7"/>
    <w:multiLevelType w:val="hybridMultilevel"/>
    <w:tmpl w:val="924CF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4"/>
  </w:num>
  <w:num w:numId="3">
    <w:abstractNumId w:val="25"/>
  </w:num>
  <w:num w:numId="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9"/>
  </w:num>
  <w:num w:numId="16">
    <w:abstractNumId w:val="16"/>
  </w:num>
  <w:num w:numId="17">
    <w:abstractNumId w:val="23"/>
  </w:num>
  <w:num w:numId="18">
    <w:abstractNumId w:val="12"/>
  </w:num>
  <w:num w:numId="19">
    <w:abstractNumId w:val="18"/>
  </w:num>
  <w:num w:numId="20">
    <w:abstractNumId w:val="29"/>
  </w:num>
  <w:num w:numId="21">
    <w:abstractNumId w:val="13"/>
  </w:num>
  <w:num w:numId="22">
    <w:abstractNumId w:val="15"/>
  </w:num>
  <w:num w:numId="23">
    <w:abstractNumId w:val="21"/>
  </w:num>
  <w:num w:numId="24">
    <w:abstractNumId w:val="10"/>
  </w:num>
  <w:num w:numId="25">
    <w:abstractNumId w:val="30"/>
  </w:num>
  <w:num w:numId="26">
    <w:abstractNumId w:val="28"/>
  </w:num>
  <w:num w:numId="27">
    <w:abstractNumId w:val="17"/>
  </w:num>
  <w:num w:numId="28">
    <w:abstractNumId w:val="22"/>
  </w:num>
  <w:num w:numId="29">
    <w:abstractNumId w:val="27"/>
  </w:num>
  <w:num w:numId="30">
    <w:abstractNumId w:val="11"/>
  </w:num>
  <w:num w:numId="31">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herine McDowell">
    <w15:presenceInfo w15:providerId="AD" w15:userId="S-1-5-21-3609767714-3250289785-3513976271-1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220"/>
    <w:rsid w:val="00004BDD"/>
    <w:rsid w:val="00072CD1"/>
    <w:rsid w:val="000842C3"/>
    <w:rsid w:val="00087ABA"/>
    <w:rsid w:val="000913CB"/>
    <w:rsid w:val="000B7549"/>
    <w:rsid w:val="00102277"/>
    <w:rsid w:val="00117C53"/>
    <w:rsid w:val="0013752B"/>
    <w:rsid w:val="00180877"/>
    <w:rsid w:val="001A0BE5"/>
    <w:rsid w:val="001B12E4"/>
    <w:rsid w:val="001B2A6C"/>
    <w:rsid w:val="001E560C"/>
    <w:rsid w:val="001F3D27"/>
    <w:rsid w:val="00205DDB"/>
    <w:rsid w:val="00251125"/>
    <w:rsid w:val="002524A4"/>
    <w:rsid w:val="002A6158"/>
    <w:rsid w:val="002B42B4"/>
    <w:rsid w:val="002C3AE3"/>
    <w:rsid w:val="002E2AB5"/>
    <w:rsid w:val="00300C31"/>
    <w:rsid w:val="00306D83"/>
    <w:rsid w:val="0033754A"/>
    <w:rsid w:val="00342A58"/>
    <w:rsid w:val="00344988"/>
    <w:rsid w:val="003D3C61"/>
    <w:rsid w:val="004925D9"/>
    <w:rsid w:val="004A1785"/>
    <w:rsid w:val="004A7989"/>
    <w:rsid w:val="004E403C"/>
    <w:rsid w:val="004F24FB"/>
    <w:rsid w:val="00535B86"/>
    <w:rsid w:val="00596462"/>
    <w:rsid w:val="005C4497"/>
    <w:rsid w:val="005D562A"/>
    <w:rsid w:val="005F3F43"/>
    <w:rsid w:val="00613C5B"/>
    <w:rsid w:val="00633B29"/>
    <w:rsid w:val="00647BFD"/>
    <w:rsid w:val="00657803"/>
    <w:rsid w:val="00662A79"/>
    <w:rsid w:val="006649E2"/>
    <w:rsid w:val="006837A7"/>
    <w:rsid w:val="006A5ABF"/>
    <w:rsid w:val="006F76A6"/>
    <w:rsid w:val="00744086"/>
    <w:rsid w:val="007D348D"/>
    <w:rsid w:val="007D5619"/>
    <w:rsid w:val="007F16BB"/>
    <w:rsid w:val="007F1A3E"/>
    <w:rsid w:val="00817D46"/>
    <w:rsid w:val="00835137"/>
    <w:rsid w:val="008C2784"/>
    <w:rsid w:val="008D5817"/>
    <w:rsid w:val="00917583"/>
    <w:rsid w:val="00947C5A"/>
    <w:rsid w:val="009918EE"/>
    <w:rsid w:val="009C220C"/>
    <w:rsid w:val="009C4D32"/>
    <w:rsid w:val="009F1A59"/>
    <w:rsid w:val="00A10937"/>
    <w:rsid w:val="00A53EA1"/>
    <w:rsid w:val="00A65CC3"/>
    <w:rsid w:val="00A76F7E"/>
    <w:rsid w:val="00AB4C95"/>
    <w:rsid w:val="00AD02ED"/>
    <w:rsid w:val="00B12426"/>
    <w:rsid w:val="00B66BB8"/>
    <w:rsid w:val="00B951F1"/>
    <w:rsid w:val="00BC7B4D"/>
    <w:rsid w:val="00C20171"/>
    <w:rsid w:val="00C3167A"/>
    <w:rsid w:val="00C54A7C"/>
    <w:rsid w:val="00C617F7"/>
    <w:rsid w:val="00C67317"/>
    <w:rsid w:val="00CC3841"/>
    <w:rsid w:val="00CD0A5E"/>
    <w:rsid w:val="00CD14D7"/>
    <w:rsid w:val="00CD27C4"/>
    <w:rsid w:val="00D1216D"/>
    <w:rsid w:val="00D24CD2"/>
    <w:rsid w:val="00D50AD6"/>
    <w:rsid w:val="00D85B84"/>
    <w:rsid w:val="00DA0EBD"/>
    <w:rsid w:val="00DE17DF"/>
    <w:rsid w:val="00E06D25"/>
    <w:rsid w:val="00E12FA4"/>
    <w:rsid w:val="00E159CA"/>
    <w:rsid w:val="00E22948"/>
    <w:rsid w:val="00E80220"/>
    <w:rsid w:val="00EE0F36"/>
    <w:rsid w:val="00EF5D83"/>
    <w:rsid w:val="00F45C2B"/>
    <w:rsid w:val="00F57E0C"/>
    <w:rsid w:val="00FD6AA6"/>
    <w:rsid w:val="00FD7BF9"/>
    <w:rsid w:val="00FF3A3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qFormat="1"/>
    <w:lsdException w:name="annotation text" w:uiPriority="0" w:unhideWhenUsed="0"/>
    <w:lsdException w:name="header" w:unhideWhenUsed="0"/>
    <w:lsdException w:name="footer" w:unhideWhenUsed="0"/>
    <w:lsdException w:name="caption" w:uiPriority="35" w:qFormat="1"/>
    <w:lsdException w:name="footnote reference" w:unhideWhenUsed="0" w:qFormat="1"/>
    <w:lsdException w:name="annotation reference" w:uiPriority="0" w:unhideWhenUsed="0"/>
    <w:lsdException w:name="line number" w:unhideWhenUsed="0"/>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sz w:val="24"/>
      <w:szCs w:val="24"/>
    </w:rPr>
  </w:style>
  <w:style w:type="paragraph" w:styleId="Heading1">
    <w:name w:val="heading 1"/>
    <w:basedOn w:val="Normal"/>
    <w:next w:val="Normal"/>
    <w:link w:val="Heading1Char"/>
    <w:uiPriority w:val="99"/>
    <w:qFormat/>
    <w:pPr>
      <w:spacing w:line="480" w:lineRule="auto"/>
      <w:jc w:val="center"/>
      <w:outlineLvl w:val="0"/>
    </w:pPr>
    <w:rPr>
      <w:rFonts w:ascii="Times New Roman Bold" w:hAnsi="Times New Roman Bold"/>
      <w:b/>
      <w:bCs/>
    </w:rPr>
  </w:style>
  <w:style w:type="paragraph" w:styleId="Heading2">
    <w:name w:val="heading 2"/>
    <w:basedOn w:val="Normal"/>
    <w:next w:val="Normal"/>
    <w:link w:val="Heading2Char"/>
    <w:uiPriority w:val="99"/>
    <w:qFormat/>
    <w:pPr>
      <w:keepNext/>
      <w:spacing w:line="480" w:lineRule="auto"/>
      <w:outlineLvl w:val="1"/>
    </w:pPr>
    <w:rPr>
      <w:b/>
      <w:bCs/>
    </w:rPr>
  </w:style>
  <w:style w:type="paragraph" w:styleId="Heading3">
    <w:name w:val="heading 3"/>
    <w:basedOn w:val="Heading2"/>
    <w:next w:val="Normal"/>
    <w:link w:val="Heading3Char"/>
    <w:uiPriority w:val="99"/>
    <w:qFormat/>
    <w:pPr>
      <w:outlineLvl w:val="2"/>
    </w:pPr>
    <w:rPr>
      <w:b w:val="0"/>
      <w:bCs w:val="0"/>
      <w:u w:val="single"/>
    </w:rPr>
  </w:style>
  <w:style w:type="paragraph" w:styleId="Heading6">
    <w:name w:val="heading 6"/>
    <w:basedOn w:val="Normal"/>
    <w:next w:val="Normal"/>
    <w:link w:val="Heading6Char"/>
    <w:uiPriority w:val="99"/>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imes New Roman Bold" w:hAnsi="Times New Roman Bold"/>
      <w:b/>
      <w:bCs/>
      <w:sz w:val="24"/>
      <w:szCs w:val="24"/>
    </w:rPr>
  </w:style>
  <w:style w:type="character" w:customStyle="1" w:styleId="Heading2Char">
    <w:name w:val="Heading 2 Char"/>
    <w:basedOn w:val="DefaultParagraphFont"/>
    <w:link w:val="Heading2"/>
    <w:uiPriority w:val="99"/>
    <w:rPr>
      <w:b/>
      <w:bCs/>
      <w:sz w:val="24"/>
      <w:szCs w:val="24"/>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rPr>
  </w:style>
  <w:style w:type="character" w:styleId="LineNumber">
    <w:name w:val="line number"/>
    <w:basedOn w:val="DefaultParagraphFont"/>
    <w:uiPriority w:val="99"/>
  </w:style>
  <w:style w:type="paragraph" w:customStyle="1" w:styleId="Question">
    <w:name w:val="Question"/>
    <w:basedOn w:val="Normal"/>
    <w:link w:val="QuestionChar"/>
    <w:pPr>
      <w:spacing w:line="480" w:lineRule="auto"/>
      <w:ind w:left="720" w:hanging="720"/>
    </w:pPr>
    <w:rPr>
      <w:b/>
      <w:bCs/>
    </w:rPr>
  </w:style>
  <w:style w:type="character" w:customStyle="1" w:styleId="QuestionChar">
    <w:name w:val="Question Char"/>
    <w:basedOn w:val="DefaultParagraphFont"/>
    <w:link w:val="Question"/>
    <w:rPr>
      <w:b/>
      <w:bCs/>
      <w:sz w:val="24"/>
      <w:szCs w:val="24"/>
      <w:lang w:val="en-US" w:eastAsia="en-US"/>
    </w:rPr>
  </w:style>
  <w:style w:type="paragraph" w:customStyle="1" w:styleId="Answer">
    <w:name w:val="Answer"/>
    <w:basedOn w:val="Normal"/>
    <w:link w:val="AnswerChar1"/>
    <w:qFormat/>
    <w:pPr>
      <w:spacing w:line="480" w:lineRule="auto"/>
      <w:ind w:left="720" w:hanging="720"/>
    </w:pPr>
  </w:style>
  <w:style w:type="character" w:customStyle="1" w:styleId="AnswerChar1">
    <w:name w:val="Answer Char1"/>
    <w:basedOn w:val="DefaultParagraphFont"/>
    <w:link w:val="Answer"/>
    <w:rPr>
      <w:sz w:val="24"/>
      <w:szCs w:val="24"/>
      <w:lang w:val="en-US" w:eastAsia="en-US"/>
    </w:rPr>
  </w:style>
  <w:style w:type="character" w:styleId="PageNumber">
    <w:name w:val="page number"/>
    <w:basedOn w:val="DefaultParagraphFont"/>
    <w:uiPriority w:val="99"/>
  </w:style>
  <w:style w:type="paragraph" w:customStyle="1" w:styleId="Bullet">
    <w:name w:val="Bullet"/>
    <w:basedOn w:val="Answer"/>
    <w:pPr>
      <w:tabs>
        <w:tab w:val="num" w:pos="2160"/>
      </w:tabs>
      <w:ind w:left="2160" w:hanging="360"/>
    </w:p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sz w:val="24"/>
      <w:szCs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sz w:val="0"/>
      <w:szCs w:val="0"/>
    </w:rPr>
  </w:style>
  <w:style w:type="paragraph" w:styleId="Quote">
    <w:name w:val="Quote"/>
    <w:basedOn w:val="Normal"/>
    <w:link w:val="QuoteChar"/>
    <w:uiPriority w:val="29"/>
    <w:qFormat/>
    <w:pPr>
      <w:spacing w:after="240"/>
      <w:ind w:left="1440"/>
    </w:pPr>
  </w:style>
  <w:style w:type="character" w:customStyle="1" w:styleId="QuoteChar">
    <w:name w:val="Quote Char"/>
    <w:basedOn w:val="DefaultParagraphFont"/>
    <w:link w:val="Quote"/>
    <w:uiPriority w:val="29"/>
    <w:rPr>
      <w:i/>
      <w:iCs/>
      <w:color w:val="000000" w:themeColor="text1"/>
      <w:sz w:val="24"/>
      <w:szCs w:val="24"/>
    </w:rPr>
  </w:style>
  <w:style w:type="paragraph" w:customStyle="1" w:styleId="answer0">
    <w:name w:val="answer"/>
    <w:basedOn w:val="Normal"/>
    <w:link w:val="answerChar"/>
    <w:uiPriority w:val="99"/>
    <w:pPr>
      <w:spacing w:before="100" w:beforeAutospacing="1" w:after="100" w:afterAutospacing="1"/>
      <w:jc w:val="left"/>
    </w:pPr>
  </w:style>
  <w:style w:type="character" w:customStyle="1" w:styleId="answerChar">
    <w:name w:val="answer Char"/>
    <w:basedOn w:val="DefaultParagraphFont"/>
    <w:link w:val="answer0"/>
    <w:uiPriority w:val="99"/>
    <w:rPr>
      <w:sz w:val="24"/>
      <w:szCs w:val="24"/>
      <w:lang w:val="en-US" w:eastAsia="en-US"/>
    </w:rPr>
  </w:style>
  <w:style w:type="paragraph" w:customStyle="1" w:styleId="CharChar">
    <w:name w:val="Char Char"/>
    <w:basedOn w:val="Normal"/>
    <w:uiPriority w:val="99"/>
    <w:pPr>
      <w:spacing w:after="160" w:line="240" w:lineRule="exact"/>
      <w:jc w:val="left"/>
    </w:pPr>
    <w:rPr>
      <w:rFonts w:ascii="Verdana" w:hAnsi="Verdana" w:cs="Verdana"/>
      <w:sz w:val="20"/>
      <w:szCs w:val="20"/>
    </w:r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fn"/>
    <w:basedOn w:val="Normal"/>
    <w:link w:val="FootnoteTextChar1"/>
    <w:uiPriority w:val="99"/>
    <w:qFormat/>
    <w:rPr>
      <w:sz w:val="20"/>
      <w:szCs w:val="20"/>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n Char"/>
    <w:basedOn w:val="DefaultParagraphFont"/>
    <w:link w:val="FootnoteText"/>
    <w:uiPriority w:val="99"/>
    <w:rPr>
      <w:sz w:val="20"/>
      <w:szCs w:val="20"/>
    </w:rPr>
  </w:style>
  <w:style w:type="character" w:styleId="FootnoteReference">
    <w:name w:val="footnote reference"/>
    <w:aliases w:val="Style 3,o,fr,Style 13,Style 12,Style 15,Style 17,Style 9,o1,fr1,o2,fr2,o3,fr3,Style 18,(NECG) Footnote Reference,Style 20,Style 7,Style 8,Style 19,Style 28,Style 11,Style 16,Styl,Style 6"/>
    <w:basedOn w:val="DefaultParagraphFont"/>
    <w:uiPriority w:val="99"/>
    <w:qFormat/>
    <w:rPr>
      <w:vertAlign w:val="superscript"/>
    </w:rPr>
  </w:style>
  <w:style w:type="character" w:customStyle="1" w:styleId="AnswerChar0">
    <w:name w:val="Answer Char"/>
    <w:basedOn w:val="DefaultParagraphFont"/>
    <w:rPr>
      <w:sz w:val="24"/>
      <w:szCs w:val="24"/>
      <w:lang w:val="en-US" w:eastAsia="en-US"/>
    </w:rPr>
  </w:style>
  <w:style w:type="paragraph" w:customStyle="1" w:styleId="Commitmenttable">
    <w:name w:val="Commitment table"/>
    <w:basedOn w:val="Normal"/>
    <w:uiPriority w:val="99"/>
    <w:pPr>
      <w:spacing w:before="60" w:after="60"/>
    </w:pPr>
    <w:rPr>
      <w:sz w:val="20"/>
      <w:szCs w:val="20"/>
    </w:rPr>
  </w:style>
  <w:style w:type="paragraph" w:customStyle="1" w:styleId="CommitmenttableIndent">
    <w:name w:val="Commitment table Indent"/>
    <w:basedOn w:val="Normal"/>
    <w:uiPriority w:val="99"/>
    <w:pPr>
      <w:spacing w:before="60" w:after="60"/>
      <w:ind w:left="720"/>
    </w:pPr>
    <w:rPr>
      <w:sz w:val="20"/>
      <w:szCs w:val="20"/>
    </w:rPr>
  </w:style>
  <w:style w:type="table" w:styleId="TableGrid">
    <w:name w:val="Table Grid"/>
    <w:basedOn w:val="TableNormal"/>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Char Char1"/>
    <w:basedOn w:val="Normal"/>
    <w:uiPriority w:val="99"/>
    <w:pPr>
      <w:spacing w:after="160" w:line="240" w:lineRule="exact"/>
      <w:jc w:val="left"/>
    </w:pPr>
    <w:rPr>
      <w:rFonts w:ascii="Verdana" w:hAnsi="Verdana" w:cs="Verdana"/>
      <w:sz w:val="20"/>
      <w:szCs w:val="20"/>
    </w:rPr>
  </w:style>
  <w:style w:type="paragraph" w:styleId="BodyText">
    <w:name w:val="Body Text"/>
    <w:basedOn w:val="Normal"/>
    <w:link w:val="BodyTextChar"/>
    <w:uiPriority w:val="99"/>
    <w:pPr>
      <w:spacing w:line="480" w:lineRule="auto"/>
      <w:ind w:firstLine="720"/>
      <w:jc w:val="left"/>
    </w:pPr>
  </w:style>
  <w:style w:type="character" w:customStyle="1" w:styleId="BodyTextChar">
    <w:name w:val="Body Text Char"/>
    <w:basedOn w:val="DefaultParagraphFont"/>
    <w:link w:val="BodyText"/>
    <w:uiPriority w:val="99"/>
    <w:semiHidden/>
    <w:rPr>
      <w:sz w:val="24"/>
      <w:szCs w:val="24"/>
    </w:rPr>
  </w:style>
  <w:style w:type="paragraph" w:customStyle="1" w:styleId="CharChar2">
    <w:name w:val="Char Char2"/>
    <w:basedOn w:val="Normal"/>
    <w:uiPriority w:val="99"/>
    <w:pPr>
      <w:spacing w:after="160" w:line="240" w:lineRule="exact"/>
      <w:jc w:val="left"/>
    </w:pPr>
    <w:rPr>
      <w:rFonts w:ascii="Verdana" w:hAnsi="Verdana" w:cs="Verdana"/>
      <w:sz w:val="20"/>
      <w:szCs w:val="20"/>
    </w:rPr>
  </w:style>
  <w:style w:type="paragraph" w:styleId="NormalWeb">
    <w:name w:val="Normal (Web)"/>
    <w:basedOn w:val="Normal"/>
    <w:uiPriority w:val="99"/>
    <w:semiHidden/>
    <w:pPr>
      <w:spacing w:before="100" w:beforeAutospacing="1" w:after="100" w:afterAutospacing="1"/>
      <w:jc w:val="left"/>
    </w:pPr>
  </w:style>
  <w:style w:type="paragraph" w:customStyle="1" w:styleId="msolistparagraph0">
    <w:name w:val="msolistparagraph"/>
    <w:basedOn w:val="Normal"/>
    <w:uiPriority w:val="99"/>
    <w:pPr>
      <w:ind w:left="720"/>
      <w:jc w:val="left"/>
    </w:pPr>
    <w:rPr>
      <w:rFonts w:ascii="Calibri" w:hAnsi="Calibri" w:cs="Calibri"/>
      <w:sz w:val="22"/>
      <w:szCs w:val="22"/>
    </w:rPr>
  </w:style>
  <w:style w:type="paragraph" w:customStyle="1" w:styleId="StyleBodyTextIndentLeft0LinespacingDouble">
    <w:name w:val="Style Body Text Indent + Left:  0&quot; Line spacing:  Double"/>
    <w:basedOn w:val="BodyText2"/>
    <w:uiPriority w:val="99"/>
    <w:pPr>
      <w:spacing w:line="480" w:lineRule="auto"/>
      <w:ind w:left="0" w:firstLine="720"/>
      <w:jc w:val="left"/>
    </w:pPr>
  </w:style>
  <w:style w:type="paragraph" w:styleId="BodyText2">
    <w:name w:val="Body Text 2"/>
    <w:basedOn w:val="Normal"/>
    <w:link w:val="BodyText2Char"/>
    <w:uiPriority w:val="99"/>
    <w:pPr>
      <w:spacing w:after="120"/>
      <w:ind w:left="360"/>
    </w:pPr>
  </w:style>
  <w:style w:type="character" w:customStyle="1" w:styleId="BodyText2Char">
    <w:name w:val="Body Text 2 Char"/>
    <w:basedOn w:val="DefaultParagraphFont"/>
    <w:link w:val="BodyText2"/>
    <w:uiPriority w:val="99"/>
    <w:semiHidden/>
    <w:rPr>
      <w:sz w:val="24"/>
      <w:szCs w:val="24"/>
    </w:rPr>
  </w:style>
  <w:style w:type="character" w:customStyle="1" w:styleId="QuestionChar1">
    <w:name w:val="Question Char1"/>
    <w:basedOn w:val="DefaultParagraphFont"/>
    <w:rPr>
      <w:b/>
      <w:bCs/>
      <w:sz w:val="24"/>
      <w:szCs w:val="24"/>
      <w:lang w:val="en-US" w:eastAsia="en-US" w:bidi="ar-SA"/>
    </w:rPr>
  </w:style>
  <w:style w:type="paragraph" w:styleId="Revision">
    <w:name w:val="Revision"/>
    <w:hidden/>
    <w:uiPriority w:val="99"/>
    <w:semiHidden/>
    <w:rPr>
      <w:sz w:val="24"/>
      <w:szCs w:val="24"/>
    </w:rPr>
  </w:style>
  <w:style w:type="paragraph" w:styleId="ListParagraph">
    <w:name w:val="List Paragraph"/>
    <w:basedOn w:val="Normal"/>
    <w:link w:val="ListParagraphChar"/>
    <w:uiPriority w:val="34"/>
    <w:qFormat/>
    <w:pPr>
      <w:ind w:left="720"/>
      <w:contextualSpacing/>
    </w:pPr>
  </w:style>
  <w:style w:type="paragraph" w:styleId="TOCHeading">
    <w:name w:val="TOC Heading"/>
    <w:basedOn w:val="Heading1"/>
    <w:next w:val="Normal"/>
    <w:uiPriority w:val="39"/>
    <w:unhideWhenUsed/>
    <w:qFormat/>
    <w:pPr>
      <w:keepNext/>
      <w:keepLine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uppressLineNumbers/>
      <w:tabs>
        <w:tab w:val="right" w:leader="dot" w:pos="8630"/>
      </w:tabs>
      <w:spacing w:after="100"/>
      <w:ind w:left="245"/>
    </w:pPr>
    <w:rPr>
      <w:noProof/>
    </w:rPr>
  </w:style>
  <w:style w:type="character" w:styleId="Hyperlink">
    <w:name w:val="Hyperlink"/>
    <w:basedOn w:val="DefaultParagraphFont"/>
    <w:uiPriority w:val="99"/>
    <w:unhideWhenUsed/>
    <w:rPr>
      <w:color w:val="0000FF" w:themeColor="hyperlink"/>
      <w:u w:val="single"/>
    </w:rPr>
  </w:style>
  <w:style w:type="paragraph" w:customStyle="1" w:styleId="AutoNumBodyCharCharCharChar">
    <w:name w:val="AutoNum Body Char Char Char Char"/>
    <w:basedOn w:val="Normal"/>
    <w:link w:val="AutoNumBodyCharCharCharCharChar"/>
    <w:autoRedefine/>
    <w:qFormat/>
    <w:pPr>
      <w:keepLines/>
      <w:widowControl w:val="0"/>
      <w:numPr>
        <w:numId w:val="20"/>
      </w:numPr>
      <w:spacing w:line="480" w:lineRule="auto"/>
      <w:ind w:left="1800"/>
      <w:jc w:val="left"/>
    </w:pPr>
    <w:rPr>
      <w:color w:val="000000"/>
    </w:rPr>
  </w:style>
  <w:style w:type="character" w:customStyle="1" w:styleId="AutoNumBodyCharCharCharCharChar">
    <w:name w:val="AutoNum Body Char Char Char Char Char"/>
    <w:basedOn w:val="DefaultParagraphFont"/>
    <w:link w:val="AutoNumBodyCharCharCharChar"/>
    <w:rPr>
      <w:color w:val="000000"/>
      <w:sz w:val="24"/>
      <w:szCs w:val="24"/>
    </w:r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rPr>
      <w:sz w:val="24"/>
      <w:szCs w:val="24"/>
    </w:rPr>
  </w:style>
  <w:style w:type="character" w:customStyle="1" w:styleId="ListParagraphChar">
    <w:name w:val="List Paragraph Char"/>
    <w:basedOn w:val="DefaultParagraphFont"/>
    <w:link w:val="ListParagraph"/>
    <w:uiPriority w:val="34"/>
    <w:rPr>
      <w:sz w:val="24"/>
      <w:szCs w:val="24"/>
    </w:rPr>
  </w:style>
  <w:style w:type="paragraph" w:customStyle="1" w:styleId="WAP1">
    <w:name w:val="WA P1"/>
    <w:basedOn w:val="ListParagraph"/>
    <w:link w:val="WAP1Char"/>
    <w:autoRedefine/>
    <w:qFormat/>
    <w:pPr>
      <w:numPr>
        <w:numId w:val="22"/>
      </w:numPr>
      <w:tabs>
        <w:tab w:val="clear" w:pos="360"/>
        <w:tab w:val="num" w:pos="720"/>
      </w:tabs>
      <w:spacing w:line="480" w:lineRule="exact"/>
      <w:ind w:left="0"/>
      <w:contextualSpacing w:val="0"/>
      <w:jc w:val="left"/>
    </w:pPr>
    <w:rPr>
      <w:rFonts w:eastAsia="Times"/>
    </w:rPr>
  </w:style>
  <w:style w:type="character" w:customStyle="1" w:styleId="WAP1Char">
    <w:name w:val="WA P1 Char"/>
    <w:basedOn w:val="ListParagraphChar"/>
    <w:link w:val="WAP1"/>
    <w:rPr>
      <w:rFonts w:eastAsia="Times"/>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qFormat="1"/>
    <w:lsdException w:name="annotation text" w:uiPriority="0" w:unhideWhenUsed="0"/>
    <w:lsdException w:name="header" w:unhideWhenUsed="0"/>
    <w:lsdException w:name="footer" w:unhideWhenUsed="0"/>
    <w:lsdException w:name="caption" w:uiPriority="35" w:qFormat="1"/>
    <w:lsdException w:name="footnote reference" w:unhideWhenUsed="0" w:qFormat="1"/>
    <w:lsdException w:name="annotation reference" w:uiPriority="0" w:unhideWhenUsed="0"/>
    <w:lsdException w:name="line number" w:unhideWhenUsed="0"/>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sz w:val="24"/>
      <w:szCs w:val="24"/>
    </w:rPr>
  </w:style>
  <w:style w:type="paragraph" w:styleId="Heading1">
    <w:name w:val="heading 1"/>
    <w:basedOn w:val="Normal"/>
    <w:next w:val="Normal"/>
    <w:link w:val="Heading1Char"/>
    <w:uiPriority w:val="99"/>
    <w:qFormat/>
    <w:pPr>
      <w:spacing w:line="480" w:lineRule="auto"/>
      <w:jc w:val="center"/>
      <w:outlineLvl w:val="0"/>
    </w:pPr>
    <w:rPr>
      <w:rFonts w:ascii="Times New Roman Bold" w:hAnsi="Times New Roman Bold"/>
      <w:b/>
      <w:bCs/>
    </w:rPr>
  </w:style>
  <w:style w:type="paragraph" w:styleId="Heading2">
    <w:name w:val="heading 2"/>
    <w:basedOn w:val="Normal"/>
    <w:next w:val="Normal"/>
    <w:link w:val="Heading2Char"/>
    <w:uiPriority w:val="99"/>
    <w:qFormat/>
    <w:pPr>
      <w:keepNext/>
      <w:spacing w:line="480" w:lineRule="auto"/>
      <w:outlineLvl w:val="1"/>
    </w:pPr>
    <w:rPr>
      <w:b/>
      <w:bCs/>
    </w:rPr>
  </w:style>
  <w:style w:type="paragraph" w:styleId="Heading3">
    <w:name w:val="heading 3"/>
    <w:basedOn w:val="Heading2"/>
    <w:next w:val="Normal"/>
    <w:link w:val="Heading3Char"/>
    <w:uiPriority w:val="99"/>
    <w:qFormat/>
    <w:pPr>
      <w:outlineLvl w:val="2"/>
    </w:pPr>
    <w:rPr>
      <w:b w:val="0"/>
      <w:bCs w:val="0"/>
      <w:u w:val="single"/>
    </w:rPr>
  </w:style>
  <w:style w:type="paragraph" w:styleId="Heading6">
    <w:name w:val="heading 6"/>
    <w:basedOn w:val="Normal"/>
    <w:next w:val="Normal"/>
    <w:link w:val="Heading6Char"/>
    <w:uiPriority w:val="99"/>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imes New Roman Bold" w:hAnsi="Times New Roman Bold"/>
      <w:b/>
      <w:bCs/>
      <w:sz w:val="24"/>
      <w:szCs w:val="24"/>
    </w:rPr>
  </w:style>
  <w:style w:type="character" w:customStyle="1" w:styleId="Heading2Char">
    <w:name w:val="Heading 2 Char"/>
    <w:basedOn w:val="DefaultParagraphFont"/>
    <w:link w:val="Heading2"/>
    <w:uiPriority w:val="99"/>
    <w:rPr>
      <w:b/>
      <w:bCs/>
      <w:sz w:val="24"/>
      <w:szCs w:val="24"/>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rPr>
  </w:style>
  <w:style w:type="character" w:styleId="LineNumber">
    <w:name w:val="line number"/>
    <w:basedOn w:val="DefaultParagraphFont"/>
    <w:uiPriority w:val="99"/>
  </w:style>
  <w:style w:type="paragraph" w:customStyle="1" w:styleId="Question">
    <w:name w:val="Question"/>
    <w:basedOn w:val="Normal"/>
    <w:link w:val="QuestionChar"/>
    <w:pPr>
      <w:spacing w:line="480" w:lineRule="auto"/>
      <w:ind w:left="720" w:hanging="720"/>
    </w:pPr>
    <w:rPr>
      <w:b/>
      <w:bCs/>
    </w:rPr>
  </w:style>
  <w:style w:type="character" w:customStyle="1" w:styleId="QuestionChar">
    <w:name w:val="Question Char"/>
    <w:basedOn w:val="DefaultParagraphFont"/>
    <w:link w:val="Question"/>
    <w:rPr>
      <w:b/>
      <w:bCs/>
      <w:sz w:val="24"/>
      <w:szCs w:val="24"/>
      <w:lang w:val="en-US" w:eastAsia="en-US"/>
    </w:rPr>
  </w:style>
  <w:style w:type="paragraph" w:customStyle="1" w:styleId="Answer">
    <w:name w:val="Answer"/>
    <w:basedOn w:val="Normal"/>
    <w:link w:val="AnswerChar1"/>
    <w:qFormat/>
    <w:pPr>
      <w:spacing w:line="480" w:lineRule="auto"/>
      <w:ind w:left="720" w:hanging="720"/>
    </w:pPr>
  </w:style>
  <w:style w:type="character" w:customStyle="1" w:styleId="AnswerChar1">
    <w:name w:val="Answer Char1"/>
    <w:basedOn w:val="DefaultParagraphFont"/>
    <w:link w:val="Answer"/>
    <w:rPr>
      <w:sz w:val="24"/>
      <w:szCs w:val="24"/>
      <w:lang w:val="en-US" w:eastAsia="en-US"/>
    </w:rPr>
  </w:style>
  <w:style w:type="character" w:styleId="PageNumber">
    <w:name w:val="page number"/>
    <w:basedOn w:val="DefaultParagraphFont"/>
    <w:uiPriority w:val="99"/>
  </w:style>
  <w:style w:type="paragraph" w:customStyle="1" w:styleId="Bullet">
    <w:name w:val="Bullet"/>
    <w:basedOn w:val="Answer"/>
    <w:pPr>
      <w:tabs>
        <w:tab w:val="num" w:pos="2160"/>
      </w:tabs>
      <w:ind w:left="2160" w:hanging="360"/>
    </w:p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sz w:val="24"/>
      <w:szCs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sz w:val="0"/>
      <w:szCs w:val="0"/>
    </w:rPr>
  </w:style>
  <w:style w:type="paragraph" w:styleId="Quote">
    <w:name w:val="Quote"/>
    <w:basedOn w:val="Normal"/>
    <w:link w:val="QuoteChar"/>
    <w:uiPriority w:val="29"/>
    <w:qFormat/>
    <w:pPr>
      <w:spacing w:after="240"/>
      <w:ind w:left="1440"/>
    </w:pPr>
  </w:style>
  <w:style w:type="character" w:customStyle="1" w:styleId="QuoteChar">
    <w:name w:val="Quote Char"/>
    <w:basedOn w:val="DefaultParagraphFont"/>
    <w:link w:val="Quote"/>
    <w:uiPriority w:val="29"/>
    <w:rPr>
      <w:i/>
      <w:iCs/>
      <w:color w:val="000000" w:themeColor="text1"/>
      <w:sz w:val="24"/>
      <w:szCs w:val="24"/>
    </w:rPr>
  </w:style>
  <w:style w:type="paragraph" w:customStyle="1" w:styleId="answer0">
    <w:name w:val="answer"/>
    <w:basedOn w:val="Normal"/>
    <w:link w:val="answerChar"/>
    <w:uiPriority w:val="99"/>
    <w:pPr>
      <w:spacing w:before="100" w:beforeAutospacing="1" w:after="100" w:afterAutospacing="1"/>
      <w:jc w:val="left"/>
    </w:pPr>
  </w:style>
  <w:style w:type="character" w:customStyle="1" w:styleId="answerChar">
    <w:name w:val="answer Char"/>
    <w:basedOn w:val="DefaultParagraphFont"/>
    <w:link w:val="answer0"/>
    <w:uiPriority w:val="99"/>
    <w:rPr>
      <w:sz w:val="24"/>
      <w:szCs w:val="24"/>
      <w:lang w:val="en-US" w:eastAsia="en-US"/>
    </w:rPr>
  </w:style>
  <w:style w:type="paragraph" w:customStyle="1" w:styleId="CharChar">
    <w:name w:val="Char Char"/>
    <w:basedOn w:val="Normal"/>
    <w:uiPriority w:val="99"/>
    <w:pPr>
      <w:spacing w:after="160" w:line="240" w:lineRule="exact"/>
      <w:jc w:val="left"/>
    </w:pPr>
    <w:rPr>
      <w:rFonts w:ascii="Verdana" w:hAnsi="Verdana" w:cs="Verdana"/>
      <w:sz w:val="20"/>
      <w:szCs w:val="20"/>
    </w:r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fn"/>
    <w:basedOn w:val="Normal"/>
    <w:link w:val="FootnoteTextChar1"/>
    <w:uiPriority w:val="99"/>
    <w:qFormat/>
    <w:rPr>
      <w:sz w:val="20"/>
      <w:szCs w:val="20"/>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n Char"/>
    <w:basedOn w:val="DefaultParagraphFont"/>
    <w:link w:val="FootnoteText"/>
    <w:uiPriority w:val="99"/>
    <w:rPr>
      <w:sz w:val="20"/>
      <w:szCs w:val="20"/>
    </w:rPr>
  </w:style>
  <w:style w:type="character" w:styleId="FootnoteReference">
    <w:name w:val="footnote reference"/>
    <w:aliases w:val="Style 3,o,fr,Style 13,Style 12,Style 15,Style 17,Style 9,o1,fr1,o2,fr2,o3,fr3,Style 18,(NECG) Footnote Reference,Style 20,Style 7,Style 8,Style 19,Style 28,Style 11,Style 16,Styl,Style 6"/>
    <w:basedOn w:val="DefaultParagraphFont"/>
    <w:uiPriority w:val="99"/>
    <w:qFormat/>
    <w:rPr>
      <w:vertAlign w:val="superscript"/>
    </w:rPr>
  </w:style>
  <w:style w:type="character" w:customStyle="1" w:styleId="AnswerChar0">
    <w:name w:val="Answer Char"/>
    <w:basedOn w:val="DefaultParagraphFont"/>
    <w:rPr>
      <w:sz w:val="24"/>
      <w:szCs w:val="24"/>
      <w:lang w:val="en-US" w:eastAsia="en-US"/>
    </w:rPr>
  </w:style>
  <w:style w:type="paragraph" w:customStyle="1" w:styleId="Commitmenttable">
    <w:name w:val="Commitment table"/>
    <w:basedOn w:val="Normal"/>
    <w:uiPriority w:val="99"/>
    <w:pPr>
      <w:spacing w:before="60" w:after="60"/>
    </w:pPr>
    <w:rPr>
      <w:sz w:val="20"/>
      <w:szCs w:val="20"/>
    </w:rPr>
  </w:style>
  <w:style w:type="paragraph" w:customStyle="1" w:styleId="CommitmenttableIndent">
    <w:name w:val="Commitment table Indent"/>
    <w:basedOn w:val="Normal"/>
    <w:uiPriority w:val="99"/>
    <w:pPr>
      <w:spacing w:before="60" w:after="60"/>
      <w:ind w:left="720"/>
    </w:pPr>
    <w:rPr>
      <w:sz w:val="20"/>
      <w:szCs w:val="20"/>
    </w:rPr>
  </w:style>
  <w:style w:type="table" w:styleId="TableGrid">
    <w:name w:val="Table Grid"/>
    <w:basedOn w:val="TableNormal"/>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Char Char1"/>
    <w:basedOn w:val="Normal"/>
    <w:uiPriority w:val="99"/>
    <w:pPr>
      <w:spacing w:after="160" w:line="240" w:lineRule="exact"/>
      <w:jc w:val="left"/>
    </w:pPr>
    <w:rPr>
      <w:rFonts w:ascii="Verdana" w:hAnsi="Verdana" w:cs="Verdana"/>
      <w:sz w:val="20"/>
      <w:szCs w:val="20"/>
    </w:rPr>
  </w:style>
  <w:style w:type="paragraph" w:styleId="BodyText">
    <w:name w:val="Body Text"/>
    <w:basedOn w:val="Normal"/>
    <w:link w:val="BodyTextChar"/>
    <w:uiPriority w:val="99"/>
    <w:pPr>
      <w:spacing w:line="480" w:lineRule="auto"/>
      <w:ind w:firstLine="720"/>
      <w:jc w:val="left"/>
    </w:pPr>
  </w:style>
  <w:style w:type="character" w:customStyle="1" w:styleId="BodyTextChar">
    <w:name w:val="Body Text Char"/>
    <w:basedOn w:val="DefaultParagraphFont"/>
    <w:link w:val="BodyText"/>
    <w:uiPriority w:val="99"/>
    <w:semiHidden/>
    <w:rPr>
      <w:sz w:val="24"/>
      <w:szCs w:val="24"/>
    </w:rPr>
  </w:style>
  <w:style w:type="paragraph" w:customStyle="1" w:styleId="CharChar2">
    <w:name w:val="Char Char2"/>
    <w:basedOn w:val="Normal"/>
    <w:uiPriority w:val="99"/>
    <w:pPr>
      <w:spacing w:after="160" w:line="240" w:lineRule="exact"/>
      <w:jc w:val="left"/>
    </w:pPr>
    <w:rPr>
      <w:rFonts w:ascii="Verdana" w:hAnsi="Verdana" w:cs="Verdana"/>
      <w:sz w:val="20"/>
      <w:szCs w:val="20"/>
    </w:rPr>
  </w:style>
  <w:style w:type="paragraph" w:styleId="NormalWeb">
    <w:name w:val="Normal (Web)"/>
    <w:basedOn w:val="Normal"/>
    <w:uiPriority w:val="99"/>
    <w:semiHidden/>
    <w:pPr>
      <w:spacing w:before="100" w:beforeAutospacing="1" w:after="100" w:afterAutospacing="1"/>
      <w:jc w:val="left"/>
    </w:pPr>
  </w:style>
  <w:style w:type="paragraph" w:customStyle="1" w:styleId="msolistparagraph0">
    <w:name w:val="msolistparagraph"/>
    <w:basedOn w:val="Normal"/>
    <w:uiPriority w:val="99"/>
    <w:pPr>
      <w:ind w:left="720"/>
      <w:jc w:val="left"/>
    </w:pPr>
    <w:rPr>
      <w:rFonts w:ascii="Calibri" w:hAnsi="Calibri" w:cs="Calibri"/>
      <w:sz w:val="22"/>
      <w:szCs w:val="22"/>
    </w:rPr>
  </w:style>
  <w:style w:type="paragraph" w:customStyle="1" w:styleId="StyleBodyTextIndentLeft0LinespacingDouble">
    <w:name w:val="Style Body Text Indent + Left:  0&quot; Line spacing:  Double"/>
    <w:basedOn w:val="BodyText2"/>
    <w:uiPriority w:val="99"/>
    <w:pPr>
      <w:spacing w:line="480" w:lineRule="auto"/>
      <w:ind w:left="0" w:firstLine="720"/>
      <w:jc w:val="left"/>
    </w:pPr>
  </w:style>
  <w:style w:type="paragraph" w:styleId="BodyText2">
    <w:name w:val="Body Text 2"/>
    <w:basedOn w:val="Normal"/>
    <w:link w:val="BodyText2Char"/>
    <w:uiPriority w:val="99"/>
    <w:pPr>
      <w:spacing w:after="120"/>
      <w:ind w:left="360"/>
    </w:pPr>
  </w:style>
  <w:style w:type="character" w:customStyle="1" w:styleId="BodyText2Char">
    <w:name w:val="Body Text 2 Char"/>
    <w:basedOn w:val="DefaultParagraphFont"/>
    <w:link w:val="BodyText2"/>
    <w:uiPriority w:val="99"/>
    <w:semiHidden/>
    <w:rPr>
      <w:sz w:val="24"/>
      <w:szCs w:val="24"/>
    </w:rPr>
  </w:style>
  <w:style w:type="character" w:customStyle="1" w:styleId="QuestionChar1">
    <w:name w:val="Question Char1"/>
    <w:basedOn w:val="DefaultParagraphFont"/>
    <w:rPr>
      <w:b/>
      <w:bCs/>
      <w:sz w:val="24"/>
      <w:szCs w:val="24"/>
      <w:lang w:val="en-US" w:eastAsia="en-US" w:bidi="ar-SA"/>
    </w:rPr>
  </w:style>
  <w:style w:type="paragraph" w:styleId="Revision">
    <w:name w:val="Revision"/>
    <w:hidden/>
    <w:uiPriority w:val="99"/>
    <w:semiHidden/>
    <w:rPr>
      <w:sz w:val="24"/>
      <w:szCs w:val="24"/>
    </w:rPr>
  </w:style>
  <w:style w:type="paragraph" w:styleId="ListParagraph">
    <w:name w:val="List Paragraph"/>
    <w:basedOn w:val="Normal"/>
    <w:link w:val="ListParagraphChar"/>
    <w:uiPriority w:val="34"/>
    <w:qFormat/>
    <w:pPr>
      <w:ind w:left="720"/>
      <w:contextualSpacing/>
    </w:pPr>
  </w:style>
  <w:style w:type="paragraph" w:styleId="TOCHeading">
    <w:name w:val="TOC Heading"/>
    <w:basedOn w:val="Heading1"/>
    <w:next w:val="Normal"/>
    <w:uiPriority w:val="39"/>
    <w:unhideWhenUsed/>
    <w:qFormat/>
    <w:pPr>
      <w:keepNext/>
      <w:keepLine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uppressLineNumbers/>
      <w:tabs>
        <w:tab w:val="right" w:leader="dot" w:pos="8630"/>
      </w:tabs>
      <w:spacing w:after="100"/>
      <w:ind w:left="245"/>
    </w:pPr>
    <w:rPr>
      <w:noProof/>
    </w:rPr>
  </w:style>
  <w:style w:type="character" w:styleId="Hyperlink">
    <w:name w:val="Hyperlink"/>
    <w:basedOn w:val="DefaultParagraphFont"/>
    <w:uiPriority w:val="99"/>
    <w:unhideWhenUsed/>
    <w:rPr>
      <w:color w:val="0000FF" w:themeColor="hyperlink"/>
      <w:u w:val="single"/>
    </w:rPr>
  </w:style>
  <w:style w:type="paragraph" w:customStyle="1" w:styleId="AutoNumBodyCharCharCharChar">
    <w:name w:val="AutoNum Body Char Char Char Char"/>
    <w:basedOn w:val="Normal"/>
    <w:link w:val="AutoNumBodyCharCharCharCharChar"/>
    <w:autoRedefine/>
    <w:qFormat/>
    <w:pPr>
      <w:keepLines/>
      <w:widowControl w:val="0"/>
      <w:numPr>
        <w:numId w:val="20"/>
      </w:numPr>
      <w:spacing w:line="480" w:lineRule="auto"/>
      <w:ind w:left="1800"/>
      <w:jc w:val="left"/>
    </w:pPr>
    <w:rPr>
      <w:color w:val="000000"/>
    </w:rPr>
  </w:style>
  <w:style w:type="character" w:customStyle="1" w:styleId="AutoNumBodyCharCharCharCharChar">
    <w:name w:val="AutoNum Body Char Char Char Char Char"/>
    <w:basedOn w:val="DefaultParagraphFont"/>
    <w:link w:val="AutoNumBodyCharCharCharChar"/>
    <w:rPr>
      <w:color w:val="000000"/>
      <w:sz w:val="24"/>
      <w:szCs w:val="24"/>
    </w:r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rPr>
      <w:sz w:val="24"/>
      <w:szCs w:val="24"/>
    </w:rPr>
  </w:style>
  <w:style w:type="character" w:customStyle="1" w:styleId="ListParagraphChar">
    <w:name w:val="List Paragraph Char"/>
    <w:basedOn w:val="DefaultParagraphFont"/>
    <w:link w:val="ListParagraph"/>
    <w:uiPriority w:val="34"/>
    <w:rPr>
      <w:sz w:val="24"/>
      <w:szCs w:val="24"/>
    </w:rPr>
  </w:style>
  <w:style w:type="paragraph" w:customStyle="1" w:styleId="WAP1">
    <w:name w:val="WA P1"/>
    <w:basedOn w:val="ListParagraph"/>
    <w:link w:val="WAP1Char"/>
    <w:autoRedefine/>
    <w:qFormat/>
    <w:pPr>
      <w:numPr>
        <w:numId w:val="22"/>
      </w:numPr>
      <w:tabs>
        <w:tab w:val="clear" w:pos="360"/>
        <w:tab w:val="num" w:pos="720"/>
      </w:tabs>
      <w:spacing w:line="480" w:lineRule="exact"/>
      <w:ind w:left="0"/>
      <w:contextualSpacing w:val="0"/>
      <w:jc w:val="left"/>
    </w:pPr>
    <w:rPr>
      <w:rFonts w:eastAsia="Times"/>
    </w:rPr>
  </w:style>
  <w:style w:type="character" w:customStyle="1" w:styleId="WAP1Char">
    <w:name w:val="WA P1 Char"/>
    <w:basedOn w:val="ListParagraphChar"/>
    <w:link w:val="WAP1"/>
    <w:rPr>
      <w:rFonts w:eastAsia="Times"/>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545926">
      <w:bodyDiv w:val="1"/>
      <w:marLeft w:val="0"/>
      <w:marRight w:val="0"/>
      <w:marTop w:val="0"/>
      <w:marBottom w:val="0"/>
      <w:divBdr>
        <w:top w:val="none" w:sz="0" w:space="0" w:color="auto"/>
        <w:left w:val="none" w:sz="0" w:space="0" w:color="auto"/>
        <w:bottom w:val="none" w:sz="0" w:space="0" w:color="auto"/>
        <w:right w:val="none" w:sz="0" w:space="0" w:color="auto"/>
      </w:divBdr>
    </w:div>
    <w:div w:id="769198817">
      <w:bodyDiv w:val="1"/>
      <w:marLeft w:val="0"/>
      <w:marRight w:val="0"/>
      <w:marTop w:val="0"/>
      <w:marBottom w:val="0"/>
      <w:divBdr>
        <w:top w:val="none" w:sz="0" w:space="0" w:color="auto"/>
        <w:left w:val="none" w:sz="0" w:space="0" w:color="auto"/>
        <w:bottom w:val="none" w:sz="0" w:space="0" w:color="auto"/>
        <w:right w:val="none" w:sz="0" w:space="0" w:color="auto"/>
      </w:divBdr>
    </w:div>
    <w:div w:id="874344835">
      <w:bodyDiv w:val="1"/>
      <w:marLeft w:val="0"/>
      <w:marRight w:val="0"/>
      <w:marTop w:val="0"/>
      <w:marBottom w:val="0"/>
      <w:divBdr>
        <w:top w:val="none" w:sz="0" w:space="0" w:color="auto"/>
        <w:left w:val="none" w:sz="0" w:space="0" w:color="auto"/>
        <w:bottom w:val="none" w:sz="0" w:space="0" w:color="auto"/>
        <w:right w:val="none" w:sz="0" w:space="0" w:color="auto"/>
      </w:divBdr>
    </w:div>
    <w:div w:id="884293155">
      <w:bodyDiv w:val="1"/>
      <w:marLeft w:val="0"/>
      <w:marRight w:val="0"/>
      <w:marTop w:val="0"/>
      <w:marBottom w:val="0"/>
      <w:divBdr>
        <w:top w:val="none" w:sz="0" w:space="0" w:color="auto"/>
        <w:left w:val="none" w:sz="0" w:space="0" w:color="auto"/>
        <w:bottom w:val="none" w:sz="0" w:space="0" w:color="auto"/>
        <w:right w:val="none" w:sz="0" w:space="0" w:color="auto"/>
      </w:divBdr>
    </w:div>
    <w:div w:id="1020283482">
      <w:bodyDiv w:val="1"/>
      <w:marLeft w:val="0"/>
      <w:marRight w:val="0"/>
      <w:marTop w:val="0"/>
      <w:marBottom w:val="0"/>
      <w:divBdr>
        <w:top w:val="none" w:sz="0" w:space="0" w:color="auto"/>
        <w:left w:val="none" w:sz="0" w:space="0" w:color="auto"/>
        <w:bottom w:val="none" w:sz="0" w:space="0" w:color="auto"/>
        <w:right w:val="none" w:sz="0" w:space="0" w:color="auto"/>
      </w:divBdr>
    </w:div>
    <w:div w:id="1377703407">
      <w:bodyDiv w:val="1"/>
      <w:marLeft w:val="0"/>
      <w:marRight w:val="0"/>
      <w:marTop w:val="0"/>
      <w:marBottom w:val="0"/>
      <w:divBdr>
        <w:top w:val="none" w:sz="0" w:space="0" w:color="auto"/>
        <w:left w:val="none" w:sz="0" w:space="0" w:color="auto"/>
        <w:bottom w:val="none" w:sz="0" w:space="0" w:color="auto"/>
        <w:right w:val="none" w:sz="0" w:space="0" w:color="auto"/>
      </w:divBdr>
    </w:div>
    <w:div w:id="1514144330">
      <w:bodyDiv w:val="1"/>
      <w:marLeft w:val="0"/>
      <w:marRight w:val="0"/>
      <w:marTop w:val="0"/>
      <w:marBottom w:val="0"/>
      <w:divBdr>
        <w:top w:val="none" w:sz="0" w:space="0" w:color="auto"/>
        <w:left w:val="none" w:sz="0" w:space="0" w:color="auto"/>
        <w:bottom w:val="none" w:sz="0" w:space="0" w:color="auto"/>
        <w:right w:val="none" w:sz="0" w:space="0" w:color="auto"/>
      </w:divBdr>
    </w:div>
    <w:div w:id="1545486726">
      <w:bodyDiv w:val="1"/>
      <w:marLeft w:val="0"/>
      <w:marRight w:val="0"/>
      <w:marTop w:val="0"/>
      <w:marBottom w:val="0"/>
      <w:divBdr>
        <w:top w:val="none" w:sz="0" w:space="0" w:color="auto"/>
        <w:left w:val="none" w:sz="0" w:space="0" w:color="auto"/>
        <w:bottom w:val="none" w:sz="0" w:space="0" w:color="auto"/>
        <w:right w:val="none" w:sz="0" w:space="0" w:color="auto"/>
      </w:divBdr>
    </w:div>
    <w:div w:id="1629773801">
      <w:bodyDiv w:val="1"/>
      <w:marLeft w:val="0"/>
      <w:marRight w:val="0"/>
      <w:marTop w:val="0"/>
      <w:marBottom w:val="0"/>
      <w:divBdr>
        <w:top w:val="none" w:sz="0" w:space="0" w:color="auto"/>
        <w:left w:val="none" w:sz="0" w:space="0" w:color="auto"/>
        <w:bottom w:val="none" w:sz="0" w:space="0" w:color="auto"/>
        <w:right w:val="none" w:sz="0" w:space="0" w:color="auto"/>
      </w:divBdr>
    </w:div>
    <w:div w:id="1956911145">
      <w:bodyDiv w:val="1"/>
      <w:marLeft w:val="0"/>
      <w:marRight w:val="0"/>
      <w:marTop w:val="0"/>
      <w:marBottom w:val="0"/>
      <w:divBdr>
        <w:top w:val="none" w:sz="0" w:space="0" w:color="auto"/>
        <w:left w:val="none" w:sz="0" w:space="0" w:color="auto"/>
        <w:bottom w:val="none" w:sz="0" w:space="0" w:color="auto"/>
        <w:right w:val="none" w:sz="0" w:space="0" w:color="auto"/>
      </w:divBdr>
    </w:div>
    <w:div w:id="1970546924">
      <w:bodyDiv w:val="1"/>
      <w:marLeft w:val="0"/>
      <w:marRight w:val="0"/>
      <w:marTop w:val="0"/>
      <w:marBottom w:val="0"/>
      <w:divBdr>
        <w:top w:val="none" w:sz="0" w:space="0" w:color="auto"/>
        <w:left w:val="none" w:sz="0" w:space="0" w:color="auto"/>
        <w:bottom w:val="none" w:sz="0" w:space="0" w:color="auto"/>
        <w:right w:val="none" w:sz="0" w:space="0" w:color="auto"/>
      </w:divBdr>
    </w:div>
    <w:div w:id="2014990564">
      <w:bodyDiv w:val="1"/>
      <w:marLeft w:val="0"/>
      <w:marRight w:val="0"/>
      <w:marTop w:val="0"/>
      <w:marBottom w:val="0"/>
      <w:divBdr>
        <w:top w:val="none" w:sz="0" w:space="0" w:color="auto"/>
        <w:left w:val="none" w:sz="0" w:space="0" w:color="auto"/>
        <w:bottom w:val="none" w:sz="0" w:space="0" w:color="auto"/>
        <w:right w:val="none" w:sz="0" w:space="0" w:color="auto"/>
      </w:divBdr>
    </w:div>
    <w:div w:id="2035500685">
      <w:bodyDiv w:val="1"/>
      <w:marLeft w:val="0"/>
      <w:marRight w:val="0"/>
      <w:marTop w:val="0"/>
      <w:marBottom w:val="0"/>
      <w:divBdr>
        <w:top w:val="none" w:sz="0" w:space="0" w:color="auto"/>
        <w:left w:val="none" w:sz="0" w:space="0" w:color="auto"/>
        <w:bottom w:val="none" w:sz="0" w:space="0" w:color="auto"/>
        <w:right w:val="none" w:sz="0" w:space="0" w:color="auto"/>
      </w:divBdr>
    </w:div>
    <w:div w:id="2098548532">
      <w:marLeft w:val="0"/>
      <w:marRight w:val="0"/>
      <w:marTop w:val="0"/>
      <w:marBottom w:val="0"/>
      <w:divBdr>
        <w:top w:val="none" w:sz="0" w:space="0" w:color="auto"/>
        <w:left w:val="none" w:sz="0" w:space="0" w:color="auto"/>
        <w:bottom w:val="none" w:sz="0" w:space="0" w:color="auto"/>
        <w:right w:val="none" w:sz="0" w:space="0" w:color="auto"/>
      </w:divBdr>
    </w:div>
    <w:div w:id="2098548533">
      <w:marLeft w:val="0"/>
      <w:marRight w:val="0"/>
      <w:marTop w:val="0"/>
      <w:marBottom w:val="0"/>
      <w:divBdr>
        <w:top w:val="none" w:sz="0" w:space="0" w:color="auto"/>
        <w:left w:val="none" w:sz="0" w:space="0" w:color="auto"/>
        <w:bottom w:val="none" w:sz="0" w:space="0" w:color="auto"/>
        <w:right w:val="none" w:sz="0" w:space="0" w:color="auto"/>
      </w:divBdr>
      <w:divsChild>
        <w:div w:id="2098548531">
          <w:marLeft w:val="0"/>
          <w:marRight w:val="0"/>
          <w:marTop w:val="0"/>
          <w:marBottom w:val="0"/>
          <w:divBdr>
            <w:top w:val="none" w:sz="0" w:space="0" w:color="auto"/>
            <w:left w:val="none" w:sz="0" w:space="0" w:color="auto"/>
            <w:bottom w:val="none" w:sz="0" w:space="0" w:color="auto"/>
            <w:right w:val="none" w:sz="0" w:space="0" w:color="auto"/>
          </w:divBdr>
        </w:div>
      </w:divsChild>
    </w:div>
    <w:div w:id="2098548534">
      <w:marLeft w:val="0"/>
      <w:marRight w:val="0"/>
      <w:marTop w:val="0"/>
      <w:marBottom w:val="0"/>
      <w:divBdr>
        <w:top w:val="none" w:sz="0" w:space="0" w:color="auto"/>
        <w:left w:val="none" w:sz="0" w:space="0" w:color="auto"/>
        <w:bottom w:val="none" w:sz="0" w:space="0" w:color="auto"/>
        <w:right w:val="none" w:sz="0" w:space="0" w:color="auto"/>
      </w:divBdr>
    </w:div>
    <w:div w:id="2098548535">
      <w:marLeft w:val="0"/>
      <w:marRight w:val="0"/>
      <w:marTop w:val="0"/>
      <w:marBottom w:val="0"/>
      <w:divBdr>
        <w:top w:val="none" w:sz="0" w:space="0" w:color="auto"/>
        <w:left w:val="none" w:sz="0" w:space="0" w:color="auto"/>
        <w:bottom w:val="none" w:sz="0" w:space="0" w:color="auto"/>
        <w:right w:val="none" w:sz="0" w:space="0" w:color="auto"/>
      </w:divBdr>
      <w:divsChild>
        <w:div w:id="2098548530">
          <w:marLeft w:val="0"/>
          <w:marRight w:val="0"/>
          <w:marTop w:val="0"/>
          <w:marBottom w:val="0"/>
          <w:divBdr>
            <w:top w:val="none" w:sz="0" w:space="0" w:color="auto"/>
            <w:left w:val="none" w:sz="0" w:space="0" w:color="auto"/>
            <w:bottom w:val="none" w:sz="0" w:space="0" w:color="auto"/>
            <w:right w:val="none" w:sz="0" w:space="0" w:color="auto"/>
          </w:divBdr>
        </w:div>
      </w:divsChild>
    </w:div>
    <w:div w:id="2098548536">
      <w:marLeft w:val="0"/>
      <w:marRight w:val="0"/>
      <w:marTop w:val="0"/>
      <w:marBottom w:val="0"/>
      <w:divBdr>
        <w:top w:val="none" w:sz="0" w:space="0" w:color="auto"/>
        <w:left w:val="none" w:sz="0" w:space="0" w:color="auto"/>
        <w:bottom w:val="none" w:sz="0" w:space="0" w:color="auto"/>
        <w:right w:val="none" w:sz="0" w:space="0" w:color="auto"/>
      </w:divBdr>
    </w:div>
    <w:div w:id="2098548537">
      <w:marLeft w:val="0"/>
      <w:marRight w:val="0"/>
      <w:marTop w:val="0"/>
      <w:marBottom w:val="0"/>
      <w:divBdr>
        <w:top w:val="none" w:sz="0" w:space="0" w:color="auto"/>
        <w:left w:val="none" w:sz="0" w:space="0" w:color="auto"/>
        <w:bottom w:val="none" w:sz="0" w:space="0" w:color="auto"/>
        <w:right w:val="none" w:sz="0" w:space="0" w:color="auto"/>
      </w:divBdr>
    </w:div>
    <w:div w:id="20985485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2016-05-13T07:00:00+00:00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5D448CD-5902-4381-AD20-1639FB96DA0A}"/>
</file>

<file path=customXml/itemProps2.xml><?xml version="1.0" encoding="utf-8"?>
<ds:datastoreItem xmlns:ds="http://schemas.openxmlformats.org/officeDocument/2006/customXml" ds:itemID="{A2307DA3-0375-4B6B-89E3-83B8CAD86CA4}"/>
</file>

<file path=customXml/itemProps3.xml><?xml version="1.0" encoding="utf-8"?>
<ds:datastoreItem xmlns:ds="http://schemas.openxmlformats.org/officeDocument/2006/customXml" ds:itemID="{F14B9FC9-2583-42DE-9243-D88AD3D6F95F}"/>
</file>

<file path=customXml/itemProps4.xml><?xml version="1.0" encoding="utf-8"?>
<ds:datastoreItem xmlns:ds="http://schemas.openxmlformats.org/officeDocument/2006/customXml" ds:itemID="{A5628623-56DC-4D3F-9751-0ACBB0674088}"/>
</file>

<file path=customXml/itemProps5.xml><?xml version="1.0" encoding="utf-8"?>
<ds:datastoreItem xmlns:ds="http://schemas.openxmlformats.org/officeDocument/2006/customXml" ds:itemID="{729DF747-6A24-4EC6-B40A-B45C5E16C935}"/>
</file>

<file path=docProps/app.xml><?xml version="1.0" encoding="utf-8"?>
<Properties xmlns="http://schemas.openxmlformats.org/officeDocument/2006/extended-properties" xmlns:vt="http://schemas.openxmlformats.org/officeDocument/2006/docPropsVTypes">
  <Template>Normal</Template>
  <TotalTime>5</TotalTime>
  <Pages>17</Pages>
  <Words>3648</Words>
  <Characters>20799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24399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Kamman</dc:creator>
  <cp:lastModifiedBy>Ariel Son</cp:lastModifiedBy>
  <cp:revision>4</cp:revision>
  <dcterms:created xsi:type="dcterms:W3CDTF">2016-05-13T19:42:00Z</dcterms:created>
  <dcterms:modified xsi:type="dcterms:W3CDTF">2016-05-13T19:48:00Z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0x0101006E56B4D1795A2E4DB2F0B01679ED314A007595E2AA379E88449A4F511BF799667C</vt:lpwstr>
  </property>
  <property fmtid="{D5CDD505-2E9C-101B-9397-08002B2CF9AE}" pid="3" name="_docset_NoMedatataSyncRequired">
    <vt:lpwstr>False</vt:lpwstr>
  </property>
</Properties>
</file>