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E3A46F" w14:textId="77777777" w:rsidR="00E27AE1" w:rsidRPr="00E27AE1" w:rsidRDefault="00E27AE1" w:rsidP="00E27AE1">
      <w:pPr>
        <w:pStyle w:val="Title"/>
      </w:pPr>
      <w:bookmarkStart w:id="0" w:name="_Toc95526397"/>
      <w:bookmarkStart w:id="1" w:name="_GoBack"/>
      <w:bookmarkEnd w:id="1"/>
      <w:r w:rsidRPr="00E27AE1">
        <w:t>Technical Memorandum</w:t>
      </w:r>
      <w:r>
        <w:tab/>
      </w:r>
      <w:r>
        <w:rPr>
          <w:noProof/>
        </w:rPr>
        <w:drawing>
          <wp:inline distT="0" distB="0" distL="0" distR="0" wp14:anchorId="27F381A5" wp14:editId="43C14F10">
            <wp:extent cx="496976" cy="2743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HDR Logo_Gray.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6976" cy="274320"/>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8"/>
        <w:gridCol w:w="8298"/>
      </w:tblGrid>
      <w:tr w:rsidR="00E27AE1" w14:paraId="04C1035A" w14:textId="77777777" w:rsidTr="0095763E">
        <w:tc>
          <w:tcPr>
            <w:tcW w:w="1278" w:type="dxa"/>
          </w:tcPr>
          <w:p w14:paraId="4B280DC4" w14:textId="77777777" w:rsidR="00E27AE1" w:rsidRPr="00E27AE1" w:rsidRDefault="00E27AE1" w:rsidP="0095763E">
            <w:pPr>
              <w:rPr>
                <w:b/>
              </w:rPr>
            </w:pPr>
            <w:r w:rsidRPr="00E27AE1">
              <w:rPr>
                <w:b/>
              </w:rPr>
              <w:t>To:</w:t>
            </w:r>
          </w:p>
        </w:tc>
        <w:tc>
          <w:tcPr>
            <w:tcW w:w="8298" w:type="dxa"/>
          </w:tcPr>
          <w:p w14:paraId="5AA4F111" w14:textId="77777777" w:rsidR="00E27AE1" w:rsidRDefault="008A7E08" w:rsidP="0095763E">
            <w:r>
              <w:t xml:space="preserve">Greg Rae (OWSI) </w:t>
            </w:r>
          </w:p>
        </w:tc>
      </w:tr>
      <w:tr w:rsidR="00E27AE1" w14:paraId="771566F4" w14:textId="77777777" w:rsidTr="0095763E">
        <w:tc>
          <w:tcPr>
            <w:tcW w:w="1278" w:type="dxa"/>
          </w:tcPr>
          <w:p w14:paraId="7BAA55EE" w14:textId="77777777" w:rsidR="00E27AE1" w:rsidRPr="00E27AE1" w:rsidRDefault="00E27AE1" w:rsidP="0095763E">
            <w:pPr>
              <w:rPr>
                <w:b/>
              </w:rPr>
            </w:pPr>
            <w:r w:rsidRPr="00E27AE1">
              <w:rPr>
                <w:b/>
              </w:rPr>
              <w:t>From:</w:t>
            </w:r>
          </w:p>
        </w:tc>
        <w:tc>
          <w:tcPr>
            <w:tcW w:w="8298" w:type="dxa"/>
          </w:tcPr>
          <w:p w14:paraId="50AF7B2E" w14:textId="3564E6C8" w:rsidR="00E27AE1" w:rsidRDefault="008A7E08" w:rsidP="0095763E">
            <w:r>
              <w:t xml:space="preserve">Pierre Kwan, </w:t>
            </w:r>
            <w:r w:rsidR="00C34D2C">
              <w:t xml:space="preserve">PE; </w:t>
            </w:r>
            <w:r>
              <w:t xml:space="preserve">Beth Mende (HDR) </w:t>
            </w:r>
          </w:p>
        </w:tc>
      </w:tr>
      <w:tr w:rsidR="00E27AE1" w14:paraId="2C2FB541" w14:textId="77777777" w:rsidTr="0095763E">
        <w:tc>
          <w:tcPr>
            <w:tcW w:w="1278" w:type="dxa"/>
          </w:tcPr>
          <w:p w14:paraId="0B1B9747" w14:textId="77777777" w:rsidR="00E27AE1" w:rsidRPr="00E27AE1" w:rsidRDefault="00E27AE1" w:rsidP="0095763E">
            <w:pPr>
              <w:rPr>
                <w:b/>
              </w:rPr>
            </w:pPr>
            <w:r w:rsidRPr="00E27AE1">
              <w:rPr>
                <w:b/>
              </w:rPr>
              <w:t>Date:</w:t>
            </w:r>
          </w:p>
        </w:tc>
        <w:tc>
          <w:tcPr>
            <w:tcW w:w="8298" w:type="dxa"/>
          </w:tcPr>
          <w:p w14:paraId="3C87435A" w14:textId="074CBA44" w:rsidR="00E27AE1" w:rsidRDefault="001E5AFA" w:rsidP="003343DA">
            <w:r>
              <w:t>March 18</w:t>
            </w:r>
            <w:r w:rsidR="00213D5B">
              <w:t>,</w:t>
            </w:r>
            <w:r w:rsidR="008A7E08">
              <w:t xml:space="preserve"> 201</w:t>
            </w:r>
            <w:r w:rsidR="006807EA">
              <w:t>9</w:t>
            </w:r>
            <w:r w:rsidR="008A7E08">
              <w:t xml:space="preserve"> </w:t>
            </w:r>
          </w:p>
        </w:tc>
      </w:tr>
      <w:tr w:rsidR="00E27AE1" w14:paraId="3A4DEC29" w14:textId="77777777" w:rsidTr="0095763E">
        <w:tc>
          <w:tcPr>
            <w:tcW w:w="1278" w:type="dxa"/>
          </w:tcPr>
          <w:p w14:paraId="3D49451F" w14:textId="77777777" w:rsidR="00E27AE1" w:rsidRPr="00E27AE1" w:rsidRDefault="00E27AE1" w:rsidP="0095763E">
            <w:pPr>
              <w:rPr>
                <w:b/>
              </w:rPr>
            </w:pPr>
            <w:r w:rsidRPr="00E27AE1">
              <w:rPr>
                <w:b/>
              </w:rPr>
              <w:t>Subject:</w:t>
            </w:r>
          </w:p>
        </w:tc>
        <w:tc>
          <w:tcPr>
            <w:tcW w:w="8298" w:type="dxa"/>
          </w:tcPr>
          <w:p w14:paraId="3EED8D2E" w14:textId="77777777" w:rsidR="00E27AE1" w:rsidRDefault="0082313E" w:rsidP="00AF0C45">
            <w:r>
              <w:t xml:space="preserve">Well Treatment </w:t>
            </w:r>
            <w:r w:rsidR="00AF0C45">
              <w:t>Options</w:t>
            </w:r>
          </w:p>
        </w:tc>
      </w:tr>
    </w:tbl>
    <w:p w14:paraId="5A69C18D" w14:textId="77777777" w:rsidR="008A7E08" w:rsidRPr="0095763E" w:rsidRDefault="008A7E08" w:rsidP="008A7E08">
      <w:pPr>
        <w:pStyle w:val="BodyText"/>
        <w:numPr>
          <w:ilvl w:val="0"/>
          <w:numId w:val="0"/>
        </w:numPr>
        <w:rPr>
          <w:rFonts w:ascii="Tahoma" w:hAnsi="Tahoma"/>
          <w:b/>
          <w:bCs/>
          <w:color w:val="3095B4"/>
          <w:kern w:val="32"/>
          <w:szCs w:val="20"/>
        </w:rPr>
      </w:pPr>
      <w:bookmarkStart w:id="2" w:name="_Toc386453383"/>
    </w:p>
    <w:p w14:paraId="53F5E5E4" w14:textId="1FF6CEC5" w:rsidR="00FA0B1D" w:rsidRDefault="00FA0B1D" w:rsidP="001E5AFA">
      <w:pPr>
        <w:pStyle w:val="Heading1"/>
      </w:pPr>
      <w:r>
        <w:t xml:space="preserve">Background and Introduction </w:t>
      </w:r>
    </w:p>
    <w:p w14:paraId="26332434" w14:textId="77777777" w:rsidR="008A7E08" w:rsidRDefault="008A7E08" w:rsidP="008A7E08">
      <w:pPr>
        <w:pStyle w:val="BodyText"/>
        <w:numPr>
          <w:ilvl w:val="0"/>
          <w:numId w:val="0"/>
        </w:numPr>
      </w:pPr>
      <w:r>
        <w:t>Olympic Water and Sewer Inc. (OWSI) had repeated total coliform detections in the Service Zone B distribution system, the area served by Teal Lake Reservoir, in the fourth quarter of 2017. The utility began investigating the system to determine the source of contamination in response to the coliform detections. OWSI retained HDR to conduct an investigation of the Zone B water system to determine the source of the coliform and identify ways to eliminate the risk of future events.</w:t>
      </w:r>
    </w:p>
    <w:p w14:paraId="13009A89" w14:textId="77777777" w:rsidR="008A7E08" w:rsidRDefault="008A7E08" w:rsidP="008A7E08">
      <w:pPr>
        <w:pStyle w:val="BodyText"/>
      </w:pPr>
      <w:r>
        <w:t xml:space="preserve">The following conclusions were developed based upon the investigation: </w:t>
      </w:r>
    </w:p>
    <w:p w14:paraId="193543BA" w14:textId="77777777" w:rsidR="008A7E08" w:rsidRDefault="008A7E08" w:rsidP="008A7E08">
      <w:pPr>
        <w:pStyle w:val="BodyText"/>
        <w:numPr>
          <w:ilvl w:val="0"/>
          <w:numId w:val="25"/>
        </w:numPr>
      </w:pPr>
      <w:r>
        <w:t xml:space="preserve">A visual review of all system components by the utility and HDR found no obvious potential source of intrusion and contamination. </w:t>
      </w:r>
    </w:p>
    <w:p w14:paraId="2B73F4C3" w14:textId="77777777" w:rsidR="008A7E08" w:rsidRDefault="008A7E08" w:rsidP="008A7E08">
      <w:pPr>
        <w:pStyle w:val="BodyText"/>
        <w:numPr>
          <w:ilvl w:val="0"/>
          <w:numId w:val="25"/>
        </w:numPr>
      </w:pPr>
      <w:r>
        <w:t>The water quality sampling could not determine a specific source of the coliform contamination.</w:t>
      </w:r>
    </w:p>
    <w:p w14:paraId="1A81AD8A" w14:textId="77777777" w:rsidR="008A7E08" w:rsidRDefault="0095763E" w:rsidP="008A7E08">
      <w:pPr>
        <w:pStyle w:val="BodyText"/>
        <w:numPr>
          <w:ilvl w:val="0"/>
          <w:numId w:val="25"/>
        </w:numPr>
      </w:pPr>
      <w:r>
        <w:t>T</w:t>
      </w:r>
      <w:r w:rsidR="008A7E08">
        <w:t xml:space="preserve">he sampling did identify possible </w:t>
      </w:r>
      <w:r w:rsidR="00240A0B">
        <w:t xml:space="preserve">non-coliform </w:t>
      </w:r>
      <w:r w:rsidR="008A7E08">
        <w:t xml:space="preserve">bacterial contamination sources. The data indicates increased heterotrophic plate counts (HPC) throughout the Zone B system as Teal Lake Reservoir is drawing down and supplying the distribution system and that Well 14 groundwater had HPC.  The other well, Well 16, had no counts.  </w:t>
      </w:r>
    </w:p>
    <w:p w14:paraId="7BEB52A8" w14:textId="6059A881" w:rsidR="00D45FEA" w:rsidRDefault="00B85E5A" w:rsidP="008A7E08">
      <w:pPr>
        <w:pStyle w:val="BodyText"/>
        <w:numPr>
          <w:ilvl w:val="0"/>
          <w:numId w:val="0"/>
        </w:numPr>
      </w:pPr>
      <w:r>
        <w:t>After the initial investigation was completed</w:t>
      </w:r>
      <w:r w:rsidR="00885577">
        <w:t xml:space="preserve">, a maintenance procedure </w:t>
      </w:r>
      <w:r w:rsidR="0082313E">
        <w:t>was done to remove</w:t>
      </w:r>
      <w:r w:rsidR="00885577">
        <w:t xml:space="preserve"> </w:t>
      </w:r>
      <w:r w:rsidR="00240A0B">
        <w:t xml:space="preserve">a biological </w:t>
      </w:r>
      <w:r w:rsidR="00885577">
        <w:t>sl</w:t>
      </w:r>
      <w:r w:rsidR="0082313E">
        <w:t xml:space="preserve">ime that was growing on the </w:t>
      </w:r>
      <w:r w:rsidR="009D7F73">
        <w:t xml:space="preserve">Well 16 </w:t>
      </w:r>
      <w:r w:rsidR="0082313E">
        <w:t>source</w:t>
      </w:r>
      <w:r w:rsidR="00885577">
        <w:t xml:space="preserve"> </w:t>
      </w:r>
      <w:r w:rsidR="005825B5">
        <w:t>meter</w:t>
      </w:r>
      <w:r w:rsidR="009D7F73">
        <w:t xml:space="preserve">.  The slime had </w:t>
      </w:r>
      <w:r w:rsidR="009A45D7">
        <w:t>become large enough that</w:t>
      </w:r>
      <w:r w:rsidR="009D7F73">
        <w:t xml:space="preserve"> it</w:t>
      </w:r>
      <w:r w:rsidR="005825B5">
        <w:t xml:space="preserve"> caus</w:t>
      </w:r>
      <w:r w:rsidR="009D7F73">
        <w:t>ed</w:t>
      </w:r>
      <w:r w:rsidR="005825B5">
        <w:t xml:space="preserve"> </w:t>
      </w:r>
      <w:r w:rsidR="002952DB">
        <w:t>flow reading disruptions</w:t>
      </w:r>
      <w:r w:rsidR="00D45FEA">
        <w:t xml:space="preserve">.  HDR hypothesizes that the presence of the slime and its removal may be linked </w:t>
      </w:r>
      <w:r w:rsidR="00885577">
        <w:t xml:space="preserve">to coliform </w:t>
      </w:r>
      <w:r w:rsidR="0082313E">
        <w:t>detections</w:t>
      </w:r>
      <w:r w:rsidR="00885577">
        <w:t xml:space="preserve"> in three investigative samples that were taken </w:t>
      </w:r>
      <w:r w:rsidR="0082313E">
        <w:t>shortly after</w:t>
      </w:r>
      <w:r w:rsidR="00D45FEA">
        <w:t xml:space="preserve"> the meter cleaning</w:t>
      </w:r>
      <w:r w:rsidR="00885577">
        <w:t xml:space="preserve">. </w:t>
      </w:r>
      <w:r w:rsidR="00FA0B1D">
        <w:t xml:space="preserve"> </w:t>
      </w:r>
    </w:p>
    <w:p w14:paraId="0CE4A839" w14:textId="56C2496C" w:rsidR="00B85E5A" w:rsidRDefault="00B85E5A" w:rsidP="00B85E5A">
      <w:pPr>
        <w:pStyle w:val="BodyText"/>
        <w:numPr>
          <w:ilvl w:val="0"/>
          <w:numId w:val="0"/>
        </w:numPr>
      </w:pPr>
      <w:r>
        <w:t xml:space="preserve">The repeated coliform detections (albeit never detected again in replicate analyses), the inability to definitively identify a source of contamination, and the known presence of biological growth within the water system fixtures highlights the fact that OWSI is at risk of continued coliform detections in the future.  This risk relates to the current OWSI operation of an unchlorinated water utility; the risk of coliform detections in chlorinated systems is considerably lower.  However, the OWSI system purposefully operates without chlorine as the source water contains elevated manganese concentrations (0.077 mg/L for Well No. 14 and 0.079 mg/L for Well No. 16, compared to a state limit of 0.050 mg/L) and chlorinating the water would generate discolored water.  In other words, the lack of chlorine was to avoid one issue (discolored water) but allows another issue to develop (bacterial growth) in Service Zone B. </w:t>
      </w:r>
    </w:p>
    <w:p w14:paraId="0B6B922D" w14:textId="1DE894A3" w:rsidR="00FA0B1D" w:rsidRDefault="00FA0B1D" w:rsidP="00FA0B1D">
      <w:pPr>
        <w:pStyle w:val="BodyText"/>
        <w:numPr>
          <w:ilvl w:val="0"/>
          <w:numId w:val="0"/>
        </w:numPr>
      </w:pPr>
      <w:r>
        <w:t xml:space="preserve">Groundwater sources in Service Zone A are currently treated for high iron and manganese levels, however, </w:t>
      </w:r>
      <w:r w:rsidR="009807FB">
        <w:t xml:space="preserve">water in </w:t>
      </w:r>
      <w:r>
        <w:t>the</w:t>
      </w:r>
      <w:r w:rsidR="00E204AE">
        <w:t xml:space="preserve"> service z</w:t>
      </w:r>
      <w:r>
        <w:t xml:space="preserve">one is not chlorinated. </w:t>
      </w:r>
      <w:r w:rsidR="00377DCC">
        <w:t>There are interties between the two service zones and w</w:t>
      </w:r>
      <w:r>
        <w:t xml:space="preserve">ater can be conveyed between the two zones to meet fire flow </w:t>
      </w:r>
      <w:r w:rsidR="00E204AE">
        <w:t>demands</w:t>
      </w:r>
      <w:r w:rsidRPr="00377DCC">
        <w:t>.</w:t>
      </w:r>
      <w:r w:rsidR="00E204AE">
        <w:t xml:space="preserve"> In addition, water is transferred from Zone B to Zone A </w:t>
      </w:r>
      <w:r w:rsidR="009807FB">
        <w:t xml:space="preserve">several short durations a year </w:t>
      </w:r>
      <w:r w:rsidR="00E204AE">
        <w:t xml:space="preserve">to exercise </w:t>
      </w:r>
      <w:r w:rsidR="009807FB">
        <w:t xml:space="preserve">and maintain </w:t>
      </w:r>
      <w:r w:rsidR="00E204AE">
        <w:t>the North Bay Booster Pump Station.</w:t>
      </w:r>
      <w:r>
        <w:t xml:space="preserve"> </w:t>
      </w:r>
      <w:r w:rsidR="0042490E">
        <w:t>The blending of unchlorinated and chlorinated water, albeit in small volumes, is prohibited by DOH and necessitates that Zone A water be chlorinated</w:t>
      </w:r>
      <w:r w:rsidR="00B20DB8">
        <w:t xml:space="preserve"> if Zone B water is also chlorinated</w:t>
      </w:r>
      <w:r w:rsidR="0042490E">
        <w:t>.</w:t>
      </w:r>
    </w:p>
    <w:p w14:paraId="36F89D62" w14:textId="65D29389" w:rsidR="00FA0B1D" w:rsidRPr="00FA0B1D" w:rsidRDefault="00FA0B1D" w:rsidP="00B85E5A">
      <w:pPr>
        <w:pStyle w:val="BodyText"/>
        <w:numPr>
          <w:ilvl w:val="0"/>
          <w:numId w:val="0"/>
        </w:numPr>
      </w:pPr>
      <w:r>
        <w:t>This memorandum documents a high-level review of potential options to assist OWSI in identifying future operations of Well 14 and 16 along with the costs with adding chlorination</w:t>
      </w:r>
      <w:r w:rsidR="00B20DB8">
        <w:t>, if required,</w:t>
      </w:r>
      <w:r>
        <w:t xml:space="preserve"> to the groundwater sources</w:t>
      </w:r>
      <w:r w:rsidR="009959B2">
        <w:t xml:space="preserve"> (Wells 2,3 and 4N)</w:t>
      </w:r>
      <w:r>
        <w:t xml:space="preserve"> in Service Zone A. </w:t>
      </w:r>
    </w:p>
    <w:p w14:paraId="0DCEFAD5" w14:textId="2506FF53" w:rsidR="00A75B83" w:rsidRDefault="00FA0B1D" w:rsidP="00D44186">
      <w:pPr>
        <w:pStyle w:val="Heading1"/>
      </w:pPr>
      <w:r>
        <w:lastRenderedPageBreak/>
        <w:t>Treatment Alternatives for Service Zone B</w:t>
      </w:r>
    </w:p>
    <w:p w14:paraId="58798456" w14:textId="771B903C" w:rsidR="00A75B83" w:rsidRDefault="00FA0B1D" w:rsidP="008A7E08">
      <w:pPr>
        <w:pStyle w:val="BodyText"/>
        <w:numPr>
          <w:ilvl w:val="0"/>
          <w:numId w:val="0"/>
        </w:numPr>
      </w:pPr>
      <w:r>
        <w:t xml:space="preserve">A number of options were established for the treatment of Well 14 and 16 in Service Zone B. </w:t>
      </w:r>
      <w:r w:rsidR="00A75B83">
        <w:t>These options are</w:t>
      </w:r>
      <w:r w:rsidR="00B854EA">
        <w:t>:</w:t>
      </w:r>
    </w:p>
    <w:p w14:paraId="6F686365" w14:textId="77777777" w:rsidR="0082313E" w:rsidRDefault="0082313E" w:rsidP="0082313E">
      <w:pPr>
        <w:pStyle w:val="BodyText"/>
        <w:numPr>
          <w:ilvl w:val="0"/>
          <w:numId w:val="26"/>
        </w:numPr>
      </w:pPr>
      <w:r>
        <w:t xml:space="preserve">Maintain current operations </w:t>
      </w:r>
      <w:r w:rsidR="00A75B83">
        <w:t>as-is (i.e. no change)</w:t>
      </w:r>
    </w:p>
    <w:p w14:paraId="12B9FC9A" w14:textId="389F245D" w:rsidR="0082313E" w:rsidRDefault="00A75B83" w:rsidP="0082313E">
      <w:pPr>
        <w:pStyle w:val="BodyText"/>
        <w:numPr>
          <w:ilvl w:val="0"/>
          <w:numId w:val="26"/>
        </w:numPr>
      </w:pPr>
      <w:r>
        <w:t>Regular, i</w:t>
      </w:r>
      <w:r w:rsidR="0082313E">
        <w:t xml:space="preserve">ntermittent chlorination </w:t>
      </w:r>
      <w:r>
        <w:t xml:space="preserve">of the groundwater to kill off </w:t>
      </w:r>
      <w:r w:rsidR="006B4E32">
        <w:t>bacterial growth</w:t>
      </w:r>
      <w:r>
        <w:t>.</w:t>
      </w:r>
    </w:p>
    <w:p w14:paraId="041C4A6F" w14:textId="77777777" w:rsidR="0082313E" w:rsidRDefault="0082313E" w:rsidP="0082313E">
      <w:pPr>
        <w:pStyle w:val="BodyText"/>
        <w:numPr>
          <w:ilvl w:val="0"/>
          <w:numId w:val="26"/>
        </w:numPr>
      </w:pPr>
      <w:r>
        <w:t xml:space="preserve">Constant chlorination </w:t>
      </w:r>
      <w:r w:rsidR="00A75B83">
        <w:t>of the groundwater</w:t>
      </w:r>
      <w:r w:rsidR="006B4E32">
        <w:t xml:space="preserve"> to kill off the bacterial growth and prevent it from returning.</w:t>
      </w:r>
    </w:p>
    <w:p w14:paraId="4C60376D" w14:textId="77777777" w:rsidR="0082313E" w:rsidRDefault="0082313E" w:rsidP="0082313E">
      <w:pPr>
        <w:pStyle w:val="BodyText"/>
        <w:numPr>
          <w:ilvl w:val="0"/>
          <w:numId w:val="26"/>
        </w:numPr>
      </w:pPr>
      <w:r>
        <w:t xml:space="preserve">Constant </w:t>
      </w:r>
      <w:r w:rsidR="00A75B83">
        <w:t xml:space="preserve">groundwater </w:t>
      </w:r>
      <w:r>
        <w:t xml:space="preserve">chlorination with sequestrant addition </w:t>
      </w:r>
      <w:r w:rsidR="006B4E32">
        <w:t>to temporarily mask manganese-related color issues.</w:t>
      </w:r>
    </w:p>
    <w:p w14:paraId="223B25CB" w14:textId="3D98E526" w:rsidR="0082313E" w:rsidRDefault="006B4E32" w:rsidP="0082313E">
      <w:pPr>
        <w:pStyle w:val="BodyText"/>
        <w:numPr>
          <w:ilvl w:val="0"/>
          <w:numId w:val="26"/>
        </w:numPr>
      </w:pPr>
      <w:r>
        <w:t>Constant groundwater chlorination and i</w:t>
      </w:r>
      <w:r w:rsidR="0082313E">
        <w:t>nstall greensand</w:t>
      </w:r>
      <w:r w:rsidR="00A75B83">
        <w:t xml:space="preserve"> or pyrolusite</w:t>
      </w:r>
      <w:r w:rsidR="0082313E">
        <w:t xml:space="preserve"> filters </w:t>
      </w:r>
      <w:r>
        <w:t>to remove the manganese.</w:t>
      </w:r>
    </w:p>
    <w:p w14:paraId="5225A460" w14:textId="2D9BBC45" w:rsidR="006B4E32" w:rsidRDefault="006B4E32" w:rsidP="00032C1F">
      <w:pPr>
        <w:pStyle w:val="BodyText"/>
        <w:numPr>
          <w:ilvl w:val="0"/>
          <w:numId w:val="0"/>
        </w:numPr>
      </w:pPr>
      <w:r>
        <w:t xml:space="preserve">The order of these options is from simplest to implement to most difficult, which also corresponds to the amount of additional capital and operational costs incurred.  Maintaining current operations is the base option for which </w:t>
      </w:r>
      <w:r w:rsidR="001F2CB6">
        <w:t>requires no changes to be made to the current operations. This operation will not prevent coliform hits in the system</w:t>
      </w:r>
      <w:r w:rsidR="00A752EB">
        <w:t xml:space="preserve">, as </w:t>
      </w:r>
      <w:r w:rsidR="001F2CB6">
        <w:t xml:space="preserve">no changes will occur. </w:t>
      </w:r>
    </w:p>
    <w:p w14:paraId="16F83BDC" w14:textId="726B8187" w:rsidR="001F2CB6" w:rsidRDefault="00A752EB" w:rsidP="00032C1F">
      <w:pPr>
        <w:pStyle w:val="BodyText"/>
        <w:numPr>
          <w:ilvl w:val="0"/>
          <w:numId w:val="0"/>
        </w:numPr>
      </w:pPr>
      <w:r>
        <w:t>Option 2, r</w:t>
      </w:r>
      <w:r w:rsidR="001F2CB6">
        <w:t>egular intermittent chlorination of each groundwater source Well 14 and Well</w:t>
      </w:r>
      <w:r w:rsidR="00885AF4">
        <w:t xml:space="preserve"> </w:t>
      </w:r>
      <w:r w:rsidR="001F2CB6">
        <w:t xml:space="preserve">16, will minimize the risk of coliform occurrences throughout the system. However, it will not prevent the bacteria from growing back. This option would consist of the addition to a new chlorine feed system including a feed pump and storage drum to be installed at the Well </w:t>
      </w:r>
      <w:r w:rsidR="00885AF4">
        <w:t>16</w:t>
      </w:r>
      <w:r w:rsidR="001F2CB6">
        <w:t xml:space="preserve"> site inside the existing well house. The operations would be very similar to the temporary operation that was performed at the Well </w:t>
      </w:r>
      <w:r w:rsidR="00885AF4">
        <w:t>14</w:t>
      </w:r>
      <w:r w:rsidR="001F2CB6">
        <w:t xml:space="preserve"> site last year. It was assumed that the temporary chlorine system installed at the Well </w:t>
      </w:r>
      <w:r w:rsidR="00885AF4">
        <w:t>14</w:t>
      </w:r>
      <w:r w:rsidR="001F2CB6">
        <w:t xml:space="preserve"> site w</w:t>
      </w:r>
      <w:r>
        <w:t>ould</w:t>
      </w:r>
      <w:r w:rsidR="001F2CB6">
        <w:t xml:space="preserve"> be reused for intermittent chlorine feed at the Well </w:t>
      </w:r>
      <w:r w:rsidR="00885AF4">
        <w:t>14</w:t>
      </w:r>
      <w:r w:rsidR="001F2CB6">
        <w:t xml:space="preserve"> site. </w:t>
      </w:r>
    </w:p>
    <w:p w14:paraId="1CEFFDB5" w14:textId="2B5D96CC" w:rsidR="001F2CB6" w:rsidRDefault="00A752EB" w:rsidP="00032C1F">
      <w:pPr>
        <w:pStyle w:val="BodyText"/>
        <w:numPr>
          <w:ilvl w:val="0"/>
          <w:numId w:val="0"/>
        </w:numPr>
        <w:rPr>
          <w:color w:val="000000"/>
          <w:szCs w:val="20"/>
        </w:rPr>
      </w:pPr>
      <w:r>
        <w:t>Option 3, c</w:t>
      </w:r>
      <w:r w:rsidR="001F2CB6">
        <w:t>onstant chlorination of the groundwater sources</w:t>
      </w:r>
      <w:r>
        <w:t>,</w:t>
      </w:r>
      <w:r w:rsidR="001F2CB6">
        <w:t xml:space="preserve"> would </w:t>
      </w:r>
      <w:r w:rsidR="001F2CB6">
        <w:rPr>
          <w:color w:val="000000"/>
          <w:szCs w:val="20"/>
        </w:rPr>
        <w:t>p</w:t>
      </w:r>
      <w:r w:rsidR="001F2CB6" w:rsidRPr="00032C1F">
        <w:rPr>
          <w:color w:val="000000"/>
          <w:szCs w:val="20"/>
        </w:rPr>
        <w:t>revent coliform occurrences</w:t>
      </w:r>
      <w:r w:rsidR="001F2CB6">
        <w:rPr>
          <w:color w:val="000000"/>
          <w:szCs w:val="20"/>
        </w:rPr>
        <w:t xml:space="preserve">, as the initial bacteria growth is destroyed and the constant chlorination prevents future growth from happening. However, chlorine use causes dissolved </w:t>
      </w:r>
      <w:r w:rsidR="001F2CB6" w:rsidRPr="00032C1F">
        <w:rPr>
          <w:color w:val="000000"/>
          <w:szCs w:val="20"/>
        </w:rPr>
        <w:t>manganese</w:t>
      </w:r>
      <w:r w:rsidR="001F2CB6">
        <w:rPr>
          <w:color w:val="000000"/>
          <w:szCs w:val="20"/>
        </w:rPr>
        <w:t xml:space="preserve"> in the water to turn grey to black during the chlorination event</w:t>
      </w:r>
      <w:r w:rsidR="00635D85">
        <w:rPr>
          <w:color w:val="000000"/>
          <w:szCs w:val="20"/>
        </w:rPr>
        <w:t>.  This color often leads to customer complaints regarding persistent staining of toilets, sinks, and bathtubs and causing permanent discoloration on laundry, especia</w:t>
      </w:r>
      <w:r w:rsidR="003343DA">
        <w:rPr>
          <w:color w:val="000000"/>
          <w:szCs w:val="20"/>
        </w:rPr>
        <w:t xml:space="preserve">lly white clothing and towels. </w:t>
      </w:r>
      <w:r w:rsidR="001E6FCC">
        <w:rPr>
          <w:color w:val="000000"/>
          <w:szCs w:val="20"/>
        </w:rPr>
        <w:t xml:space="preserve">Water color is regulated by the Washington Department of Health (DOH) and the level of discoloration will likely exceed state limits.  OWSI will need to request a waiver </w:t>
      </w:r>
      <w:r w:rsidR="00D1132A">
        <w:rPr>
          <w:color w:val="000000"/>
          <w:szCs w:val="20"/>
        </w:rPr>
        <w:t>from DOH to implement this option.  If a waiver is granted, and whose likelihood is uncertain, a common condition of the waiver is that all customers be notified on an ongoing basis that OWSI is purposefully not meeting a s</w:t>
      </w:r>
      <w:r w:rsidR="003343DA">
        <w:rPr>
          <w:color w:val="000000"/>
          <w:szCs w:val="20"/>
        </w:rPr>
        <w:t>tate limit and the reasons why.</w:t>
      </w:r>
      <w:r w:rsidR="00D1132A">
        <w:rPr>
          <w:color w:val="000000"/>
          <w:szCs w:val="20"/>
        </w:rPr>
        <w:t xml:space="preserve"> Potential future customers (i.e. potential property purchasers) are often notified in the sales disclosure and property inspection documents.  If this option is selected, a</w:t>
      </w:r>
      <w:r w:rsidR="00051936">
        <w:rPr>
          <w:color w:val="000000"/>
          <w:szCs w:val="20"/>
        </w:rPr>
        <w:t xml:space="preserve"> c</w:t>
      </w:r>
      <w:r w:rsidR="001F2CB6">
        <w:rPr>
          <w:color w:val="000000"/>
          <w:szCs w:val="20"/>
        </w:rPr>
        <w:t>ontinuous chlorination</w:t>
      </w:r>
      <w:r w:rsidR="00051936">
        <w:rPr>
          <w:color w:val="000000"/>
          <w:szCs w:val="20"/>
        </w:rPr>
        <w:t xml:space="preserve"> feed system</w:t>
      </w:r>
      <w:r w:rsidR="001F2CB6">
        <w:rPr>
          <w:color w:val="000000"/>
          <w:szCs w:val="20"/>
        </w:rPr>
        <w:t xml:space="preserve"> would be installed in the existing Well </w:t>
      </w:r>
      <w:r w:rsidR="006E4B28">
        <w:rPr>
          <w:color w:val="000000"/>
          <w:szCs w:val="20"/>
        </w:rPr>
        <w:t>14</w:t>
      </w:r>
      <w:r w:rsidR="001F2CB6">
        <w:rPr>
          <w:color w:val="000000"/>
          <w:szCs w:val="20"/>
        </w:rPr>
        <w:t xml:space="preserve"> house and would consist of two metering pumps (one duty and one standby), a sodium hypochlorite storage tote, chemical metering piping, and a chemical injection vault located on the combined Well </w:t>
      </w:r>
      <w:r w:rsidR="00051936">
        <w:rPr>
          <w:color w:val="000000"/>
          <w:szCs w:val="20"/>
        </w:rPr>
        <w:t>14 and Well 16</w:t>
      </w:r>
      <w:r w:rsidR="009A45D7">
        <w:rPr>
          <w:color w:val="000000"/>
          <w:szCs w:val="20"/>
        </w:rPr>
        <w:t xml:space="preserve"> discharge</w:t>
      </w:r>
      <w:r w:rsidR="00051936">
        <w:rPr>
          <w:color w:val="000000"/>
          <w:szCs w:val="20"/>
        </w:rPr>
        <w:t xml:space="preserve"> line.</w:t>
      </w:r>
    </w:p>
    <w:p w14:paraId="419D9178" w14:textId="49871A29" w:rsidR="001F2CB6" w:rsidRDefault="00A752EB" w:rsidP="00032C1F">
      <w:pPr>
        <w:pStyle w:val="BodyText"/>
        <w:numPr>
          <w:ilvl w:val="0"/>
          <w:numId w:val="0"/>
        </w:numPr>
        <w:rPr>
          <w:color w:val="000000"/>
          <w:szCs w:val="20"/>
        </w:rPr>
      </w:pPr>
      <w:r>
        <w:rPr>
          <w:color w:val="000000"/>
          <w:szCs w:val="20"/>
        </w:rPr>
        <w:t>Option 4, c</w:t>
      </w:r>
      <w:r w:rsidR="001F2CB6">
        <w:rPr>
          <w:color w:val="000000"/>
          <w:szCs w:val="20"/>
        </w:rPr>
        <w:t>onstant chlorination along with sequestra</w:t>
      </w:r>
      <w:r>
        <w:rPr>
          <w:color w:val="000000"/>
          <w:szCs w:val="20"/>
        </w:rPr>
        <w:t>tion,</w:t>
      </w:r>
      <w:r w:rsidR="001F2CB6">
        <w:rPr>
          <w:color w:val="000000"/>
          <w:szCs w:val="20"/>
        </w:rPr>
        <w:t xml:space="preserve"> would provide all of the same benefits as the constant chlorination option but would </w:t>
      </w:r>
      <w:r w:rsidR="00E47B03">
        <w:rPr>
          <w:color w:val="000000"/>
          <w:szCs w:val="20"/>
        </w:rPr>
        <w:t xml:space="preserve">temporarily </w:t>
      </w:r>
      <w:r w:rsidR="001F2CB6">
        <w:rPr>
          <w:color w:val="000000"/>
          <w:szCs w:val="20"/>
        </w:rPr>
        <w:t xml:space="preserve">mask manganese discoloration for </w:t>
      </w:r>
      <w:r w:rsidR="00885AF4">
        <w:rPr>
          <w:color w:val="000000"/>
          <w:szCs w:val="20"/>
        </w:rPr>
        <w:t>24 to</w:t>
      </w:r>
      <w:r w:rsidR="001F2CB6">
        <w:rPr>
          <w:color w:val="000000"/>
          <w:szCs w:val="20"/>
        </w:rPr>
        <w:t xml:space="preserve"> 48 hours.</w:t>
      </w:r>
      <w:r w:rsidR="00E47B03">
        <w:rPr>
          <w:color w:val="000000"/>
          <w:szCs w:val="20"/>
        </w:rPr>
        <w:t xml:space="preserve">  After this period of time, the sequestration chemical breaks down and the chlorine in the water will once cause the manganese to turn the water g</w:t>
      </w:r>
      <w:r w:rsidR="00635D85">
        <w:rPr>
          <w:color w:val="000000"/>
          <w:szCs w:val="20"/>
        </w:rPr>
        <w:t xml:space="preserve">rey to black, leading to the same discoloration and potential as Option 3.  A duration of 48 hours is a very short time for the Zone B water.  During winter, this time is often exceeded before the water even reaches the first customer.  </w:t>
      </w:r>
      <w:r w:rsidR="001E6FCC">
        <w:rPr>
          <w:color w:val="000000"/>
          <w:szCs w:val="20"/>
        </w:rPr>
        <w:t>The cost of implementation is higher than Option 3 as it involves the storage and pumping of a second c</w:t>
      </w:r>
      <w:r w:rsidR="00E34EE2">
        <w:rPr>
          <w:color w:val="000000"/>
          <w:szCs w:val="20"/>
        </w:rPr>
        <w:t>hemical</w:t>
      </w:r>
      <w:r w:rsidR="001E6FCC">
        <w:rPr>
          <w:color w:val="000000"/>
          <w:szCs w:val="20"/>
        </w:rPr>
        <w:t>.  As a result, this option is more expensive than Option 3 with no additional benefits and nearly all the same disadvantages.</w:t>
      </w:r>
    </w:p>
    <w:p w14:paraId="34361383" w14:textId="5DCF5470" w:rsidR="001F2CB6" w:rsidRDefault="00322E49" w:rsidP="00032C1F">
      <w:pPr>
        <w:pStyle w:val="BodyText"/>
        <w:numPr>
          <w:ilvl w:val="0"/>
          <w:numId w:val="0"/>
        </w:numPr>
      </w:pPr>
      <w:r>
        <w:t>Manganese</w:t>
      </w:r>
      <w:r w:rsidR="008D6FF0">
        <w:t xml:space="preserve"> concentrations can be redu</w:t>
      </w:r>
      <w:r w:rsidR="00C34D2C">
        <w:t>ced using manganese greensand or</w:t>
      </w:r>
      <w:r w:rsidR="008D6FF0">
        <w:t xml:space="preserve"> pyrolusite filters. </w:t>
      </w:r>
      <w:r w:rsidR="00A752EB">
        <w:t>Option 5</w:t>
      </w:r>
      <w:r w:rsidR="008D6FF0">
        <w:t xml:space="preserve"> would require a new filtration building on the existing Well 14 site. </w:t>
      </w:r>
      <w:r w:rsidR="00C34D2C">
        <w:t xml:space="preserve">This system would be nearly identical to that installed to treat the groundwater from Well Nos. 2 and 3 in Zone A. </w:t>
      </w:r>
      <w:r w:rsidR="008D6FF0">
        <w:t xml:space="preserve">The filters require a chlorine system to feed chlorine upstream of the filters. The filtration building would house the filter and new chlorination system along with chemical feed piping and storage tank. The raw water from Well 14 and 16 </w:t>
      </w:r>
      <w:r w:rsidR="008D6FF0">
        <w:lastRenderedPageBreak/>
        <w:t xml:space="preserve">would be re-routed through the filters and discharged back into the existing combined Well 14 and 16 discharge main. </w:t>
      </w:r>
    </w:p>
    <w:p w14:paraId="133EA39C" w14:textId="611A09F3" w:rsidR="006B4E32" w:rsidRDefault="00E46918" w:rsidP="00032C1F">
      <w:pPr>
        <w:pStyle w:val="BodyText"/>
        <w:numPr>
          <w:ilvl w:val="0"/>
          <w:numId w:val="0"/>
        </w:numPr>
      </w:pPr>
      <w:r>
        <w:fldChar w:fldCharType="begin"/>
      </w:r>
      <w:r>
        <w:instrText xml:space="preserve"> REF _Ref522879371 \h </w:instrText>
      </w:r>
      <w:r>
        <w:fldChar w:fldCharType="separate"/>
      </w:r>
      <w:r>
        <w:t xml:space="preserve">Table </w:t>
      </w:r>
      <w:r>
        <w:rPr>
          <w:noProof/>
        </w:rPr>
        <w:t>1</w:t>
      </w:r>
      <w:r>
        <w:fldChar w:fldCharType="end"/>
      </w:r>
      <w:r>
        <w:t xml:space="preserve"> presents a</w:t>
      </w:r>
      <w:r w:rsidR="0095763E">
        <w:t xml:space="preserve"> high</w:t>
      </w:r>
      <w:r w:rsidR="006B4E32">
        <w:t>-</w:t>
      </w:r>
      <w:r w:rsidR="0095763E">
        <w:t xml:space="preserve">level </w:t>
      </w:r>
      <w:r>
        <w:t xml:space="preserve">summary of treatment options and the impacts each has with respect to the water quality </w:t>
      </w:r>
      <w:r w:rsidR="006B4E32">
        <w:t xml:space="preserve">coming from </w:t>
      </w:r>
      <w:r>
        <w:t>Well 14 and 16</w:t>
      </w:r>
      <w:r w:rsidR="006B4E32">
        <w:t xml:space="preserve"> and well operations</w:t>
      </w:r>
      <w:r>
        <w:t xml:space="preserve">. </w:t>
      </w:r>
      <w:r w:rsidR="006B4E32">
        <w:t xml:space="preserve">The water quality analysis is for coliform and manganese, but also arsenic.  Arsenic is high in Well </w:t>
      </w:r>
      <w:r w:rsidR="006D09E3">
        <w:t>14</w:t>
      </w:r>
      <w:r w:rsidR="006B4E32">
        <w:t xml:space="preserve"> and OWSI operations achieves drinking water compliance by constantly blending it with Well </w:t>
      </w:r>
      <w:r w:rsidR="006D09E3">
        <w:t>16</w:t>
      </w:r>
      <w:r w:rsidR="006B4E32">
        <w:t>.</w:t>
      </w:r>
    </w:p>
    <w:p w14:paraId="5912DB21" w14:textId="2EB80373" w:rsidR="00C34D2C" w:rsidRDefault="00E46918" w:rsidP="00D44186">
      <w:pPr>
        <w:pStyle w:val="BodyText"/>
        <w:numPr>
          <w:ilvl w:val="0"/>
          <w:numId w:val="0"/>
        </w:numPr>
      </w:pPr>
      <w:r>
        <w:fldChar w:fldCharType="begin"/>
      </w:r>
      <w:r>
        <w:instrText xml:space="preserve"> REF _Ref522879377 \h </w:instrText>
      </w:r>
      <w:r>
        <w:fldChar w:fldCharType="separate"/>
      </w:r>
      <w:r>
        <w:t xml:space="preserve">Table </w:t>
      </w:r>
      <w:r>
        <w:rPr>
          <w:noProof/>
        </w:rPr>
        <w:t>2</w:t>
      </w:r>
      <w:r>
        <w:fldChar w:fldCharType="end"/>
      </w:r>
      <w:r>
        <w:t xml:space="preserve"> </w:t>
      </w:r>
      <w:r w:rsidR="0095763E">
        <w:t>provides a high</w:t>
      </w:r>
      <w:r w:rsidR="006B4E32">
        <w:t>-</w:t>
      </w:r>
      <w:r w:rsidR="0095763E">
        <w:t>level summary of</w:t>
      </w:r>
      <w:r>
        <w:t xml:space="preserve"> </w:t>
      </w:r>
      <w:r w:rsidR="00AF0C45">
        <w:t>the requirements for implementation</w:t>
      </w:r>
      <w:r w:rsidR="00206630">
        <w:t xml:space="preserve"> </w:t>
      </w:r>
      <w:r w:rsidR="00147EC9">
        <w:t xml:space="preserve">and </w:t>
      </w:r>
      <w:r w:rsidR="00206630">
        <w:t>of each treatment option</w:t>
      </w:r>
      <w:r w:rsidR="00147EC9">
        <w:t xml:space="preserve"> along with the costs to implement</w:t>
      </w:r>
      <w:r w:rsidR="00AF0C45">
        <w:t xml:space="preserve">. </w:t>
      </w:r>
    </w:p>
    <w:p w14:paraId="43E17DCA" w14:textId="77777777" w:rsidR="00B527B5" w:rsidRDefault="00B527B5" w:rsidP="008A7E08">
      <w:pPr>
        <w:pStyle w:val="BodyText"/>
        <w:numPr>
          <w:ilvl w:val="0"/>
          <w:numId w:val="0"/>
        </w:numPr>
      </w:pPr>
    </w:p>
    <w:p w14:paraId="09980AA2" w14:textId="37DC8CF8" w:rsidR="007E644F" w:rsidRPr="007E644F" w:rsidRDefault="004F14D7" w:rsidP="004F14D7">
      <w:pPr>
        <w:pStyle w:val="Caption"/>
      </w:pPr>
      <w:bookmarkStart w:id="3" w:name="_Ref522879371"/>
      <w:bookmarkEnd w:id="2"/>
      <w:r>
        <w:t xml:space="preserve">Table </w:t>
      </w:r>
      <w:r w:rsidR="00835F85">
        <w:rPr>
          <w:noProof/>
        </w:rPr>
        <w:fldChar w:fldCharType="begin"/>
      </w:r>
      <w:r w:rsidR="00835F85">
        <w:rPr>
          <w:noProof/>
        </w:rPr>
        <w:instrText xml:space="preserve"> SEQ Table \* ARABIC </w:instrText>
      </w:r>
      <w:r w:rsidR="00835F85">
        <w:rPr>
          <w:noProof/>
        </w:rPr>
        <w:fldChar w:fldCharType="separate"/>
      </w:r>
      <w:r w:rsidR="008A7E08">
        <w:rPr>
          <w:noProof/>
        </w:rPr>
        <w:t>1</w:t>
      </w:r>
      <w:r w:rsidR="00835F85">
        <w:rPr>
          <w:noProof/>
        </w:rPr>
        <w:fldChar w:fldCharType="end"/>
      </w:r>
      <w:bookmarkEnd w:id="3"/>
      <w:r>
        <w:t>.</w:t>
      </w:r>
      <w:r w:rsidR="00AF0571">
        <w:t xml:space="preserve"> </w:t>
      </w:r>
      <w:bookmarkEnd w:id="0"/>
      <w:r w:rsidR="005825B5">
        <w:t xml:space="preserve">Options and Impacts </w:t>
      </w:r>
      <w:r w:rsidR="00E46918">
        <w:t xml:space="preserve">on Water Quality </w:t>
      </w:r>
      <w:r w:rsidR="006B4E32">
        <w:t>and Supply Operations</w:t>
      </w:r>
    </w:p>
    <w:tbl>
      <w:tblPr>
        <w:tblW w:w="9070" w:type="dxa"/>
        <w:tblLayout w:type="fixed"/>
        <w:tblLook w:val="04A0" w:firstRow="1" w:lastRow="0" w:firstColumn="1" w:lastColumn="0" w:noHBand="0" w:noVBand="1"/>
      </w:tblPr>
      <w:tblGrid>
        <w:gridCol w:w="2065"/>
        <w:gridCol w:w="2335"/>
        <w:gridCol w:w="2335"/>
        <w:gridCol w:w="2335"/>
      </w:tblGrid>
      <w:tr w:rsidR="00032C1F" w:rsidRPr="00032C1F" w14:paraId="1ECF0054" w14:textId="77777777" w:rsidTr="00E47B03">
        <w:trPr>
          <w:trHeight w:val="272"/>
        </w:trPr>
        <w:tc>
          <w:tcPr>
            <w:tcW w:w="2065" w:type="dxa"/>
            <w:tcBorders>
              <w:top w:val="single" w:sz="4" w:space="0" w:color="auto"/>
              <w:left w:val="single" w:sz="4" w:space="0" w:color="auto"/>
              <w:bottom w:val="single" w:sz="4" w:space="0" w:color="auto"/>
              <w:right w:val="single" w:sz="4" w:space="0" w:color="auto"/>
            </w:tcBorders>
            <w:shd w:val="clear" w:color="000000" w:fill="D0CECE"/>
            <w:noWrap/>
            <w:hideMark/>
          </w:tcPr>
          <w:p w14:paraId="28DC9BBB" w14:textId="2318C556" w:rsidR="00032C1F" w:rsidRPr="00032C1F" w:rsidRDefault="00032C1F">
            <w:pPr>
              <w:spacing w:before="0" w:after="0"/>
              <w:rPr>
                <w:rFonts w:cs="Arial"/>
                <w:b/>
                <w:bCs/>
                <w:color w:val="000000"/>
                <w:szCs w:val="20"/>
              </w:rPr>
            </w:pPr>
            <w:r w:rsidRPr="00032C1F">
              <w:rPr>
                <w:rFonts w:cs="Arial"/>
                <w:b/>
                <w:bCs/>
                <w:color w:val="000000"/>
                <w:szCs w:val="20"/>
              </w:rPr>
              <w:t xml:space="preserve">Options </w:t>
            </w:r>
          </w:p>
        </w:tc>
        <w:tc>
          <w:tcPr>
            <w:tcW w:w="2335" w:type="dxa"/>
            <w:tcBorders>
              <w:top w:val="single" w:sz="4" w:space="0" w:color="auto"/>
              <w:left w:val="nil"/>
              <w:bottom w:val="single" w:sz="4" w:space="0" w:color="auto"/>
              <w:right w:val="single" w:sz="4" w:space="0" w:color="auto"/>
            </w:tcBorders>
            <w:shd w:val="clear" w:color="000000" w:fill="D0CECE"/>
            <w:noWrap/>
            <w:hideMark/>
          </w:tcPr>
          <w:p w14:paraId="324F1539" w14:textId="77777777" w:rsidR="00032C1F" w:rsidRPr="00032C1F" w:rsidRDefault="00032C1F">
            <w:pPr>
              <w:spacing w:before="0" w:after="0"/>
              <w:rPr>
                <w:rFonts w:cs="Arial"/>
                <w:b/>
                <w:bCs/>
                <w:color w:val="000000"/>
                <w:szCs w:val="20"/>
              </w:rPr>
            </w:pPr>
            <w:r w:rsidRPr="00032C1F">
              <w:rPr>
                <w:rFonts w:cs="Arial"/>
                <w:b/>
                <w:bCs/>
                <w:color w:val="000000"/>
                <w:szCs w:val="20"/>
              </w:rPr>
              <w:t xml:space="preserve">Coliform </w:t>
            </w:r>
          </w:p>
        </w:tc>
        <w:tc>
          <w:tcPr>
            <w:tcW w:w="2335" w:type="dxa"/>
            <w:tcBorders>
              <w:top w:val="single" w:sz="4" w:space="0" w:color="auto"/>
              <w:left w:val="nil"/>
              <w:bottom w:val="single" w:sz="4" w:space="0" w:color="auto"/>
              <w:right w:val="single" w:sz="4" w:space="0" w:color="auto"/>
            </w:tcBorders>
            <w:shd w:val="clear" w:color="000000" w:fill="D0CECE"/>
            <w:noWrap/>
            <w:hideMark/>
          </w:tcPr>
          <w:p w14:paraId="1EEDFFB4" w14:textId="77777777" w:rsidR="00032C1F" w:rsidRPr="00032C1F" w:rsidRDefault="00032C1F">
            <w:pPr>
              <w:spacing w:before="0" w:after="0"/>
              <w:rPr>
                <w:rFonts w:cs="Arial"/>
                <w:b/>
                <w:bCs/>
                <w:color w:val="000000"/>
                <w:szCs w:val="20"/>
              </w:rPr>
            </w:pPr>
            <w:r w:rsidRPr="00032C1F">
              <w:rPr>
                <w:rFonts w:cs="Arial"/>
                <w:b/>
                <w:bCs/>
                <w:color w:val="000000"/>
                <w:szCs w:val="20"/>
              </w:rPr>
              <w:t xml:space="preserve">Manganese </w:t>
            </w:r>
          </w:p>
        </w:tc>
        <w:tc>
          <w:tcPr>
            <w:tcW w:w="2335" w:type="dxa"/>
            <w:tcBorders>
              <w:top w:val="single" w:sz="4" w:space="0" w:color="auto"/>
              <w:left w:val="nil"/>
              <w:bottom w:val="single" w:sz="4" w:space="0" w:color="auto"/>
              <w:right w:val="single" w:sz="4" w:space="0" w:color="auto"/>
            </w:tcBorders>
            <w:shd w:val="clear" w:color="000000" w:fill="D0CECE"/>
            <w:noWrap/>
            <w:hideMark/>
          </w:tcPr>
          <w:p w14:paraId="2B77679F" w14:textId="77777777" w:rsidR="00032C1F" w:rsidRPr="00032C1F" w:rsidRDefault="00032C1F">
            <w:pPr>
              <w:spacing w:before="0" w:after="0"/>
              <w:rPr>
                <w:rFonts w:cs="Arial"/>
                <w:b/>
                <w:bCs/>
                <w:color w:val="000000"/>
                <w:szCs w:val="20"/>
              </w:rPr>
            </w:pPr>
            <w:r w:rsidRPr="00032C1F">
              <w:rPr>
                <w:rFonts w:cs="Arial"/>
                <w:b/>
                <w:bCs/>
                <w:color w:val="000000"/>
                <w:szCs w:val="20"/>
              </w:rPr>
              <w:t xml:space="preserve">Arsenic </w:t>
            </w:r>
          </w:p>
        </w:tc>
      </w:tr>
      <w:tr w:rsidR="00032C1F" w:rsidRPr="00032C1F" w14:paraId="2A6625E4" w14:textId="77777777" w:rsidTr="00E47B03">
        <w:trPr>
          <w:trHeight w:val="818"/>
        </w:trPr>
        <w:tc>
          <w:tcPr>
            <w:tcW w:w="2065" w:type="dxa"/>
            <w:tcBorders>
              <w:top w:val="nil"/>
              <w:left w:val="single" w:sz="4" w:space="0" w:color="auto"/>
              <w:bottom w:val="single" w:sz="4" w:space="0" w:color="auto"/>
              <w:right w:val="single" w:sz="4" w:space="0" w:color="auto"/>
            </w:tcBorders>
            <w:shd w:val="clear" w:color="auto" w:fill="auto"/>
            <w:noWrap/>
            <w:hideMark/>
          </w:tcPr>
          <w:p w14:paraId="064C4786" w14:textId="77777777" w:rsidR="00032C1F" w:rsidRPr="00E47C64" w:rsidRDefault="00032C1F">
            <w:pPr>
              <w:pStyle w:val="ListParagraph"/>
              <w:numPr>
                <w:ilvl w:val="0"/>
                <w:numId w:val="28"/>
              </w:numPr>
              <w:spacing w:before="0" w:after="0"/>
              <w:rPr>
                <w:rFonts w:cs="Arial"/>
                <w:color w:val="000000"/>
                <w:szCs w:val="20"/>
              </w:rPr>
            </w:pPr>
            <w:r w:rsidRPr="00E47C64">
              <w:rPr>
                <w:rFonts w:cs="Arial"/>
                <w:color w:val="000000"/>
                <w:szCs w:val="20"/>
              </w:rPr>
              <w:t xml:space="preserve">Maintain Current Operations </w:t>
            </w:r>
          </w:p>
        </w:tc>
        <w:tc>
          <w:tcPr>
            <w:tcW w:w="2335" w:type="dxa"/>
            <w:tcBorders>
              <w:top w:val="nil"/>
              <w:left w:val="nil"/>
              <w:bottom w:val="single" w:sz="4" w:space="0" w:color="auto"/>
              <w:right w:val="single" w:sz="4" w:space="0" w:color="auto"/>
            </w:tcBorders>
            <w:shd w:val="clear" w:color="auto" w:fill="auto"/>
            <w:hideMark/>
          </w:tcPr>
          <w:p w14:paraId="37608B37" w14:textId="145BFB58" w:rsidR="00032C1F" w:rsidRPr="00032C1F" w:rsidRDefault="00032C1F">
            <w:pPr>
              <w:spacing w:before="0" w:after="0"/>
              <w:rPr>
                <w:rFonts w:cs="Arial"/>
                <w:color w:val="000000"/>
                <w:szCs w:val="20"/>
              </w:rPr>
            </w:pPr>
            <w:r w:rsidRPr="00032C1F">
              <w:rPr>
                <w:rFonts w:cs="Arial"/>
                <w:color w:val="000000"/>
                <w:szCs w:val="20"/>
              </w:rPr>
              <w:t xml:space="preserve">No change. Continued </w:t>
            </w:r>
            <w:r w:rsidR="006B4E32">
              <w:rPr>
                <w:rFonts w:cs="Arial"/>
                <w:color w:val="000000"/>
                <w:szCs w:val="20"/>
              </w:rPr>
              <w:t xml:space="preserve">risk of </w:t>
            </w:r>
            <w:r w:rsidRPr="00032C1F">
              <w:rPr>
                <w:rFonts w:cs="Arial"/>
                <w:color w:val="000000"/>
                <w:szCs w:val="20"/>
              </w:rPr>
              <w:t xml:space="preserve">coliform </w:t>
            </w:r>
            <w:r w:rsidR="006B4E32">
              <w:rPr>
                <w:rFonts w:cs="Arial"/>
                <w:color w:val="000000"/>
                <w:szCs w:val="20"/>
              </w:rPr>
              <w:t xml:space="preserve">detections </w:t>
            </w:r>
            <w:r w:rsidRPr="00032C1F">
              <w:rPr>
                <w:rFonts w:cs="Arial"/>
                <w:color w:val="000000"/>
                <w:szCs w:val="20"/>
              </w:rPr>
              <w:t>in the distribution system</w:t>
            </w:r>
            <w:r w:rsidR="00AF0571">
              <w:rPr>
                <w:rFonts w:cs="Arial"/>
                <w:color w:val="000000"/>
                <w:szCs w:val="20"/>
              </w:rPr>
              <w:t xml:space="preserve">. </w:t>
            </w:r>
          </w:p>
        </w:tc>
        <w:tc>
          <w:tcPr>
            <w:tcW w:w="2335" w:type="dxa"/>
            <w:tcBorders>
              <w:top w:val="nil"/>
              <w:left w:val="nil"/>
              <w:bottom w:val="single" w:sz="4" w:space="0" w:color="auto"/>
              <w:right w:val="single" w:sz="4" w:space="0" w:color="auto"/>
            </w:tcBorders>
            <w:shd w:val="clear" w:color="auto" w:fill="auto"/>
            <w:hideMark/>
          </w:tcPr>
          <w:p w14:paraId="0DC984EA" w14:textId="7611A1D3" w:rsidR="00032C1F" w:rsidRPr="00032C1F" w:rsidRDefault="00032C1F">
            <w:pPr>
              <w:spacing w:before="0" w:after="0"/>
              <w:rPr>
                <w:rFonts w:cs="Arial"/>
                <w:color w:val="000000"/>
                <w:szCs w:val="20"/>
              </w:rPr>
            </w:pPr>
            <w:r w:rsidRPr="00032C1F">
              <w:rPr>
                <w:rFonts w:cs="Arial"/>
                <w:color w:val="000000"/>
                <w:szCs w:val="20"/>
              </w:rPr>
              <w:t xml:space="preserve">No </w:t>
            </w:r>
            <w:r w:rsidR="006B4E32">
              <w:rPr>
                <w:rFonts w:cs="Arial"/>
                <w:color w:val="000000"/>
                <w:szCs w:val="20"/>
              </w:rPr>
              <w:t>c</w:t>
            </w:r>
            <w:r w:rsidRPr="00032C1F">
              <w:rPr>
                <w:rFonts w:cs="Arial"/>
                <w:color w:val="000000"/>
                <w:szCs w:val="20"/>
              </w:rPr>
              <w:t xml:space="preserve">hange. </w:t>
            </w:r>
            <w:r w:rsidR="006B4E32">
              <w:rPr>
                <w:rFonts w:cs="Arial"/>
                <w:color w:val="000000"/>
                <w:szCs w:val="20"/>
              </w:rPr>
              <w:t xml:space="preserve">Un-oxidized manganese still flows through </w:t>
            </w:r>
            <w:r w:rsidR="00DF6181">
              <w:rPr>
                <w:rFonts w:cs="Arial"/>
                <w:color w:val="000000"/>
                <w:szCs w:val="20"/>
              </w:rPr>
              <w:t>distribution system.  There is still a risk of discolored water</w:t>
            </w:r>
            <w:r w:rsidR="00AF0571">
              <w:rPr>
                <w:rFonts w:cs="Arial"/>
                <w:color w:val="000000"/>
                <w:szCs w:val="20"/>
              </w:rPr>
              <w:t xml:space="preserve">. </w:t>
            </w:r>
          </w:p>
        </w:tc>
        <w:tc>
          <w:tcPr>
            <w:tcW w:w="2335" w:type="dxa"/>
            <w:tcBorders>
              <w:top w:val="nil"/>
              <w:left w:val="nil"/>
              <w:bottom w:val="single" w:sz="4" w:space="0" w:color="auto"/>
              <w:right w:val="single" w:sz="4" w:space="0" w:color="auto"/>
            </w:tcBorders>
            <w:shd w:val="clear" w:color="auto" w:fill="auto"/>
            <w:hideMark/>
          </w:tcPr>
          <w:p w14:paraId="06FCC6E0" w14:textId="6C979FD3" w:rsidR="00032C1F" w:rsidRPr="00032C1F" w:rsidRDefault="00DF6181">
            <w:pPr>
              <w:spacing w:before="0" w:after="0"/>
              <w:rPr>
                <w:rFonts w:cs="Arial"/>
                <w:color w:val="000000"/>
                <w:szCs w:val="20"/>
              </w:rPr>
            </w:pPr>
            <w:r>
              <w:rPr>
                <w:rFonts w:cs="Arial"/>
                <w:color w:val="000000"/>
                <w:szCs w:val="20"/>
              </w:rPr>
              <w:t>Wells 14 and 16 must continue to be operated at the same time to blend arsenic concentration to below allowable limits.</w:t>
            </w:r>
          </w:p>
        </w:tc>
      </w:tr>
      <w:tr w:rsidR="00032C1F" w:rsidRPr="00032C1F" w14:paraId="2861EA03" w14:textId="77777777" w:rsidTr="00E47B03">
        <w:trPr>
          <w:trHeight w:val="1091"/>
        </w:trPr>
        <w:tc>
          <w:tcPr>
            <w:tcW w:w="2065" w:type="dxa"/>
            <w:tcBorders>
              <w:top w:val="nil"/>
              <w:left w:val="single" w:sz="4" w:space="0" w:color="auto"/>
              <w:bottom w:val="single" w:sz="4" w:space="0" w:color="auto"/>
              <w:right w:val="single" w:sz="4" w:space="0" w:color="auto"/>
            </w:tcBorders>
            <w:shd w:val="clear" w:color="auto" w:fill="auto"/>
            <w:noWrap/>
            <w:hideMark/>
          </w:tcPr>
          <w:p w14:paraId="2BC85D3E" w14:textId="77777777" w:rsidR="00032C1F" w:rsidRPr="00E47C64" w:rsidRDefault="00DF6181">
            <w:pPr>
              <w:pStyle w:val="ListParagraph"/>
              <w:numPr>
                <w:ilvl w:val="0"/>
                <w:numId w:val="28"/>
              </w:numPr>
              <w:spacing w:before="0" w:after="0"/>
              <w:rPr>
                <w:rFonts w:cs="Arial"/>
                <w:color w:val="000000"/>
                <w:szCs w:val="20"/>
              </w:rPr>
            </w:pPr>
            <w:r w:rsidRPr="00E47C64">
              <w:rPr>
                <w:rFonts w:cs="Arial"/>
                <w:color w:val="000000"/>
                <w:szCs w:val="20"/>
              </w:rPr>
              <w:t xml:space="preserve">Regular, </w:t>
            </w:r>
            <w:r w:rsidR="00032C1F" w:rsidRPr="00E47C64">
              <w:rPr>
                <w:rFonts w:cs="Arial"/>
                <w:color w:val="000000"/>
                <w:szCs w:val="20"/>
              </w:rPr>
              <w:t xml:space="preserve">Intermittent Chlorination </w:t>
            </w:r>
          </w:p>
        </w:tc>
        <w:tc>
          <w:tcPr>
            <w:tcW w:w="2335" w:type="dxa"/>
            <w:tcBorders>
              <w:top w:val="nil"/>
              <w:left w:val="nil"/>
              <w:bottom w:val="single" w:sz="4" w:space="0" w:color="auto"/>
              <w:right w:val="single" w:sz="4" w:space="0" w:color="auto"/>
            </w:tcBorders>
            <w:shd w:val="clear" w:color="auto" w:fill="auto"/>
            <w:hideMark/>
          </w:tcPr>
          <w:p w14:paraId="40ADDCF4" w14:textId="77777777" w:rsidR="00032C1F" w:rsidRPr="00032C1F" w:rsidRDefault="00032C1F">
            <w:pPr>
              <w:spacing w:before="0" w:after="0"/>
              <w:rPr>
                <w:rFonts w:cs="Arial"/>
                <w:color w:val="000000"/>
                <w:szCs w:val="20"/>
              </w:rPr>
            </w:pPr>
            <w:r w:rsidRPr="00032C1F">
              <w:rPr>
                <w:rFonts w:cs="Arial"/>
                <w:color w:val="000000"/>
                <w:szCs w:val="20"/>
              </w:rPr>
              <w:t xml:space="preserve">Minimizes risk of coliform </w:t>
            </w:r>
            <w:r w:rsidR="005825B5" w:rsidRPr="00032C1F">
              <w:rPr>
                <w:rFonts w:cs="Arial"/>
                <w:color w:val="000000"/>
                <w:szCs w:val="20"/>
              </w:rPr>
              <w:t>occurrences</w:t>
            </w:r>
            <w:r w:rsidR="00DF6181">
              <w:rPr>
                <w:rFonts w:cs="Arial"/>
                <w:color w:val="000000"/>
                <w:szCs w:val="20"/>
              </w:rPr>
              <w:t xml:space="preserve"> as large bacteria growths are </w:t>
            </w:r>
            <w:r w:rsidR="00C03737">
              <w:rPr>
                <w:rFonts w:cs="Arial"/>
                <w:color w:val="000000"/>
                <w:szCs w:val="20"/>
              </w:rPr>
              <w:t>killed.  However, bacteria will return and continue to grow between chlorination events.</w:t>
            </w:r>
          </w:p>
        </w:tc>
        <w:tc>
          <w:tcPr>
            <w:tcW w:w="2335" w:type="dxa"/>
            <w:tcBorders>
              <w:top w:val="nil"/>
              <w:left w:val="nil"/>
              <w:bottom w:val="single" w:sz="4" w:space="0" w:color="auto"/>
              <w:right w:val="single" w:sz="4" w:space="0" w:color="auto"/>
            </w:tcBorders>
            <w:shd w:val="clear" w:color="auto" w:fill="auto"/>
            <w:hideMark/>
          </w:tcPr>
          <w:p w14:paraId="690256C7" w14:textId="609F674A" w:rsidR="00032C1F" w:rsidRPr="00032C1F" w:rsidRDefault="00032C1F">
            <w:pPr>
              <w:spacing w:before="0" w:after="0"/>
              <w:rPr>
                <w:rFonts w:cs="Arial"/>
                <w:color w:val="000000"/>
                <w:szCs w:val="20"/>
              </w:rPr>
            </w:pPr>
            <w:r w:rsidRPr="00032C1F">
              <w:rPr>
                <w:rFonts w:cs="Arial"/>
                <w:color w:val="000000"/>
                <w:szCs w:val="20"/>
              </w:rPr>
              <w:t xml:space="preserve">Intermittent </w:t>
            </w:r>
            <w:r w:rsidR="00C03737">
              <w:rPr>
                <w:rFonts w:cs="Arial"/>
                <w:color w:val="000000"/>
                <w:szCs w:val="20"/>
              </w:rPr>
              <w:t xml:space="preserve">chlorine use causes dissolved </w:t>
            </w:r>
            <w:r w:rsidRPr="00032C1F">
              <w:rPr>
                <w:rFonts w:cs="Arial"/>
                <w:color w:val="000000"/>
                <w:szCs w:val="20"/>
              </w:rPr>
              <w:t>manganese</w:t>
            </w:r>
            <w:r w:rsidR="00C03737">
              <w:rPr>
                <w:rFonts w:cs="Arial"/>
                <w:color w:val="000000"/>
                <w:szCs w:val="20"/>
              </w:rPr>
              <w:t xml:space="preserve"> in the water to </w:t>
            </w:r>
            <w:r w:rsidR="001E6FCC">
              <w:rPr>
                <w:rFonts w:cs="Arial"/>
                <w:color w:val="000000"/>
                <w:szCs w:val="20"/>
              </w:rPr>
              <w:t xml:space="preserve">temporarily </w:t>
            </w:r>
            <w:r w:rsidR="00C03737">
              <w:rPr>
                <w:rFonts w:cs="Arial"/>
                <w:color w:val="000000"/>
                <w:szCs w:val="20"/>
              </w:rPr>
              <w:t>turn grey to black during the chlorination event.</w:t>
            </w:r>
            <w:r w:rsidRPr="00032C1F">
              <w:rPr>
                <w:rFonts w:cs="Arial"/>
                <w:color w:val="000000"/>
                <w:szCs w:val="20"/>
              </w:rPr>
              <w:t xml:space="preserve"> </w:t>
            </w:r>
            <w:r w:rsidR="00B3216A">
              <w:rPr>
                <w:rFonts w:cs="Arial"/>
                <w:color w:val="000000"/>
                <w:szCs w:val="20"/>
              </w:rPr>
              <w:t>Customer notification prior to event is recommended along with unidirectional flushing afterwards.</w:t>
            </w:r>
          </w:p>
        </w:tc>
        <w:tc>
          <w:tcPr>
            <w:tcW w:w="2335" w:type="dxa"/>
            <w:tcBorders>
              <w:top w:val="nil"/>
              <w:left w:val="nil"/>
              <w:bottom w:val="single" w:sz="4" w:space="0" w:color="auto"/>
              <w:right w:val="single" w:sz="4" w:space="0" w:color="auto"/>
            </w:tcBorders>
            <w:shd w:val="clear" w:color="auto" w:fill="auto"/>
            <w:hideMark/>
          </w:tcPr>
          <w:p w14:paraId="19C7FDD7" w14:textId="52A51D51" w:rsidR="00032C1F" w:rsidRPr="00032C1F" w:rsidRDefault="00C03737">
            <w:pPr>
              <w:spacing w:before="0" w:after="0"/>
              <w:rPr>
                <w:rFonts w:cs="Arial"/>
                <w:color w:val="000000"/>
                <w:szCs w:val="20"/>
              </w:rPr>
            </w:pPr>
            <w:r>
              <w:rPr>
                <w:rFonts w:cs="Arial"/>
                <w:color w:val="000000"/>
                <w:szCs w:val="20"/>
              </w:rPr>
              <w:t>Same as Option 1</w:t>
            </w:r>
          </w:p>
        </w:tc>
      </w:tr>
      <w:tr w:rsidR="00032C1F" w:rsidRPr="00032C1F" w14:paraId="4C95AE01" w14:textId="77777777" w:rsidTr="00E47B03">
        <w:trPr>
          <w:trHeight w:val="545"/>
        </w:trPr>
        <w:tc>
          <w:tcPr>
            <w:tcW w:w="2065" w:type="dxa"/>
            <w:tcBorders>
              <w:top w:val="nil"/>
              <w:left w:val="single" w:sz="4" w:space="0" w:color="auto"/>
              <w:bottom w:val="single" w:sz="4" w:space="0" w:color="auto"/>
              <w:right w:val="single" w:sz="4" w:space="0" w:color="auto"/>
            </w:tcBorders>
            <w:shd w:val="clear" w:color="auto" w:fill="auto"/>
            <w:noWrap/>
            <w:hideMark/>
          </w:tcPr>
          <w:p w14:paraId="4F5B44D0" w14:textId="77777777" w:rsidR="00032C1F" w:rsidRPr="00E47C64" w:rsidRDefault="00032C1F">
            <w:pPr>
              <w:pStyle w:val="ListParagraph"/>
              <w:numPr>
                <w:ilvl w:val="0"/>
                <w:numId w:val="28"/>
              </w:numPr>
              <w:spacing w:before="0" w:after="0"/>
              <w:rPr>
                <w:rFonts w:cs="Arial"/>
                <w:color w:val="000000"/>
                <w:szCs w:val="20"/>
              </w:rPr>
            </w:pPr>
            <w:r w:rsidRPr="00E47C64">
              <w:rPr>
                <w:rFonts w:cs="Arial"/>
                <w:color w:val="000000"/>
                <w:szCs w:val="20"/>
              </w:rPr>
              <w:t xml:space="preserve">Constant Chlorination </w:t>
            </w:r>
          </w:p>
        </w:tc>
        <w:tc>
          <w:tcPr>
            <w:tcW w:w="2335" w:type="dxa"/>
            <w:tcBorders>
              <w:top w:val="nil"/>
              <w:left w:val="nil"/>
              <w:bottom w:val="single" w:sz="4" w:space="0" w:color="auto"/>
              <w:right w:val="single" w:sz="4" w:space="0" w:color="auto"/>
            </w:tcBorders>
            <w:shd w:val="clear" w:color="auto" w:fill="auto"/>
            <w:hideMark/>
          </w:tcPr>
          <w:p w14:paraId="7B6BC397" w14:textId="77777777" w:rsidR="00032C1F" w:rsidRPr="00032C1F" w:rsidRDefault="00032C1F">
            <w:pPr>
              <w:spacing w:before="0" w:after="0"/>
              <w:rPr>
                <w:rFonts w:cs="Arial"/>
                <w:color w:val="000000"/>
                <w:szCs w:val="20"/>
              </w:rPr>
            </w:pPr>
            <w:r w:rsidRPr="00032C1F">
              <w:rPr>
                <w:rFonts w:cs="Arial"/>
                <w:color w:val="000000"/>
                <w:szCs w:val="20"/>
              </w:rPr>
              <w:t xml:space="preserve">Prevents coliform </w:t>
            </w:r>
            <w:r w:rsidR="005825B5" w:rsidRPr="00032C1F">
              <w:rPr>
                <w:rFonts w:cs="Arial"/>
                <w:color w:val="000000"/>
                <w:szCs w:val="20"/>
              </w:rPr>
              <w:t>occurrences</w:t>
            </w:r>
            <w:r w:rsidR="00C03737">
              <w:rPr>
                <w:rFonts w:cs="Arial"/>
                <w:color w:val="000000"/>
                <w:szCs w:val="20"/>
              </w:rPr>
              <w:t xml:space="preserve"> as the initial bacteria growth dies off and the constant chlorination prevents future growth from restarting.</w:t>
            </w:r>
          </w:p>
        </w:tc>
        <w:tc>
          <w:tcPr>
            <w:tcW w:w="2335" w:type="dxa"/>
            <w:tcBorders>
              <w:top w:val="nil"/>
              <w:left w:val="nil"/>
              <w:bottom w:val="single" w:sz="4" w:space="0" w:color="auto"/>
              <w:right w:val="single" w:sz="4" w:space="0" w:color="auto"/>
            </w:tcBorders>
            <w:shd w:val="clear" w:color="auto" w:fill="auto"/>
            <w:hideMark/>
          </w:tcPr>
          <w:p w14:paraId="703B6480" w14:textId="24AD3BE6" w:rsidR="00032C1F" w:rsidRPr="00032C1F" w:rsidRDefault="001E6FCC" w:rsidP="00D1132A">
            <w:pPr>
              <w:spacing w:before="0" w:after="0"/>
              <w:rPr>
                <w:rFonts w:cs="Arial"/>
                <w:color w:val="000000"/>
                <w:szCs w:val="20"/>
              </w:rPr>
            </w:pPr>
            <w:r>
              <w:rPr>
                <w:rFonts w:cs="Arial"/>
                <w:color w:val="000000"/>
                <w:szCs w:val="20"/>
              </w:rPr>
              <w:t>The c</w:t>
            </w:r>
            <w:r w:rsidR="00C03737">
              <w:rPr>
                <w:rFonts w:cs="Arial"/>
                <w:color w:val="000000"/>
                <w:szCs w:val="20"/>
              </w:rPr>
              <w:t xml:space="preserve">hlorine </w:t>
            </w:r>
            <w:r>
              <w:rPr>
                <w:rFonts w:cs="Arial"/>
                <w:color w:val="000000"/>
                <w:szCs w:val="20"/>
              </w:rPr>
              <w:t>cause</w:t>
            </w:r>
            <w:r w:rsidR="00D1132A">
              <w:rPr>
                <w:rFonts w:cs="Arial"/>
                <w:color w:val="000000"/>
                <w:szCs w:val="20"/>
              </w:rPr>
              <w:t>s</w:t>
            </w:r>
            <w:r>
              <w:rPr>
                <w:rFonts w:cs="Arial"/>
                <w:color w:val="000000"/>
                <w:szCs w:val="20"/>
              </w:rPr>
              <w:t xml:space="preserve"> the water to turn grey to black all the time for all </w:t>
            </w:r>
            <w:r w:rsidR="00D1132A">
              <w:rPr>
                <w:rFonts w:cs="Arial"/>
                <w:color w:val="000000"/>
                <w:szCs w:val="20"/>
              </w:rPr>
              <w:t xml:space="preserve">Zone B </w:t>
            </w:r>
            <w:r>
              <w:rPr>
                <w:rFonts w:cs="Arial"/>
                <w:color w:val="000000"/>
                <w:szCs w:val="20"/>
              </w:rPr>
              <w:t>customers</w:t>
            </w:r>
            <w:r w:rsidR="00D1132A">
              <w:rPr>
                <w:rFonts w:cs="Arial"/>
                <w:color w:val="000000"/>
                <w:szCs w:val="20"/>
              </w:rPr>
              <w:t>.</w:t>
            </w:r>
          </w:p>
        </w:tc>
        <w:tc>
          <w:tcPr>
            <w:tcW w:w="2335" w:type="dxa"/>
            <w:tcBorders>
              <w:top w:val="nil"/>
              <w:left w:val="nil"/>
              <w:bottom w:val="single" w:sz="4" w:space="0" w:color="auto"/>
              <w:right w:val="single" w:sz="4" w:space="0" w:color="auto"/>
            </w:tcBorders>
            <w:shd w:val="clear" w:color="auto" w:fill="auto"/>
            <w:noWrap/>
            <w:hideMark/>
          </w:tcPr>
          <w:p w14:paraId="318B6B07" w14:textId="1632EB77" w:rsidR="00032C1F" w:rsidRPr="00032C1F" w:rsidRDefault="00C03737">
            <w:pPr>
              <w:spacing w:before="0" w:after="0"/>
              <w:rPr>
                <w:rFonts w:cs="Arial"/>
                <w:color w:val="000000"/>
                <w:szCs w:val="20"/>
              </w:rPr>
            </w:pPr>
            <w:r>
              <w:rPr>
                <w:rFonts w:cs="Arial"/>
                <w:color w:val="000000"/>
                <w:szCs w:val="20"/>
              </w:rPr>
              <w:t>Same as Option 1</w:t>
            </w:r>
          </w:p>
        </w:tc>
      </w:tr>
      <w:tr w:rsidR="00032C1F" w:rsidRPr="00032C1F" w14:paraId="0EF21DED" w14:textId="77777777" w:rsidTr="00E47B03">
        <w:trPr>
          <w:trHeight w:val="545"/>
        </w:trPr>
        <w:tc>
          <w:tcPr>
            <w:tcW w:w="2065" w:type="dxa"/>
            <w:tcBorders>
              <w:top w:val="nil"/>
              <w:left w:val="single" w:sz="4" w:space="0" w:color="auto"/>
              <w:bottom w:val="single" w:sz="4" w:space="0" w:color="auto"/>
              <w:right w:val="single" w:sz="4" w:space="0" w:color="auto"/>
            </w:tcBorders>
            <w:shd w:val="clear" w:color="auto" w:fill="auto"/>
            <w:noWrap/>
            <w:hideMark/>
          </w:tcPr>
          <w:p w14:paraId="25413AA0" w14:textId="77777777" w:rsidR="00032C1F" w:rsidRPr="00E47C64" w:rsidRDefault="00032C1F">
            <w:pPr>
              <w:pStyle w:val="ListParagraph"/>
              <w:numPr>
                <w:ilvl w:val="0"/>
                <w:numId w:val="28"/>
              </w:numPr>
              <w:spacing w:before="0" w:after="0"/>
              <w:rPr>
                <w:rFonts w:cs="Arial"/>
                <w:color w:val="000000"/>
                <w:szCs w:val="20"/>
              </w:rPr>
            </w:pPr>
            <w:r w:rsidRPr="00E47C64">
              <w:rPr>
                <w:rFonts w:cs="Arial"/>
                <w:color w:val="000000"/>
                <w:szCs w:val="20"/>
              </w:rPr>
              <w:t xml:space="preserve">Constant Chlorination with Sequestrant </w:t>
            </w:r>
          </w:p>
        </w:tc>
        <w:tc>
          <w:tcPr>
            <w:tcW w:w="2335" w:type="dxa"/>
            <w:tcBorders>
              <w:top w:val="nil"/>
              <w:left w:val="nil"/>
              <w:bottom w:val="single" w:sz="4" w:space="0" w:color="auto"/>
              <w:right w:val="single" w:sz="4" w:space="0" w:color="auto"/>
            </w:tcBorders>
            <w:shd w:val="clear" w:color="auto" w:fill="auto"/>
            <w:hideMark/>
          </w:tcPr>
          <w:p w14:paraId="5272D2EE" w14:textId="575EE2A2" w:rsidR="00032C1F" w:rsidRPr="00032C1F" w:rsidRDefault="00C03737">
            <w:pPr>
              <w:spacing w:before="0" w:after="0"/>
              <w:rPr>
                <w:rFonts w:cs="Arial"/>
                <w:color w:val="000000"/>
                <w:szCs w:val="20"/>
              </w:rPr>
            </w:pPr>
            <w:r>
              <w:rPr>
                <w:rFonts w:cs="Arial"/>
                <w:color w:val="000000"/>
                <w:szCs w:val="20"/>
              </w:rPr>
              <w:t>Same as Option 3</w:t>
            </w:r>
          </w:p>
        </w:tc>
        <w:tc>
          <w:tcPr>
            <w:tcW w:w="2335" w:type="dxa"/>
            <w:tcBorders>
              <w:top w:val="nil"/>
              <w:left w:val="nil"/>
              <w:bottom w:val="single" w:sz="4" w:space="0" w:color="auto"/>
              <w:right w:val="single" w:sz="4" w:space="0" w:color="auto"/>
            </w:tcBorders>
            <w:shd w:val="clear" w:color="auto" w:fill="auto"/>
            <w:hideMark/>
          </w:tcPr>
          <w:p w14:paraId="1A12E741" w14:textId="7B37BF27" w:rsidR="00032C1F" w:rsidRPr="00032C1F" w:rsidRDefault="001E6FCC" w:rsidP="00D1132A">
            <w:pPr>
              <w:spacing w:before="0" w:after="0"/>
              <w:rPr>
                <w:rFonts w:cs="Arial"/>
                <w:color w:val="000000"/>
                <w:szCs w:val="20"/>
              </w:rPr>
            </w:pPr>
            <w:r>
              <w:rPr>
                <w:rFonts w:cs="Arial"/>
                <w:color w:val="000000"/>
                <w:szCs w:val="20"/>
              </w:rPr>
              <w:t>The chlorine cause</w:t>
            </w:r>
            <w:r w:rsidR="00D1132A">
              <w:rPr>
                <w:rFonts w:cs="Arial"/>
                <w:color w:val="000000"/>
                <w:szCs w:val="20"/>
              </w:rPr>
              <w:t>s</w:t>
            </w:r>
            <w:r>
              <w:rPr>
                <w:rFonts w:cs="Arial"/>
                <w:color w:val="000000"/>
                <w:szCs w:val="20"/>
              </w:rPr>
              <w:t xml:space="preserve"> the water to turn grey to black all the time for most Zone B customers.</w:t>
            </w:r>
          </w:p>
        </w:tc>
        <w:tc>
          <w:tcPr>
            <w:tcW w:w="2335" w:type="dxa"/>
            <w:tcBorders>
              <w:top w:val="nil"/>
              <w:left w:val="nil"/>
              <w:bottom w:val="single" w:sz="4" w:space="0" w:color="auto"/>
              <w:right w:val="single" w:sz="4" w:space="0" w:color="auto"/>
            </w:tcBorders>
            <w:shd w:val="clear" w:color="auto" w:fill="auto"/>
            <w:noWrap/>
            <w:hideMark/>
          </w:tcPr>
          <w:p w14:paraId="623E6694" w14:textId="63F1EAC1" w:rsidR="00032C1F" w:rsidRPr="00032C1F" w:rsidRDefault="00C03737">
            <w:pPr>
              <w:spacing w:before="0" w:after="0"/>
              <w:rPr>
                <w:rFonts w:cs="Arial"/>
                <w:color w:val="000000"/>
                <w:szCs w:val="20"/>
              </w:rPr>
            </w:pPr>
            <w:r>
              <w:rPr>
                <w:rFonts w:cs="Arial"/>
                <w:color w:val="000000"/>
                <w:szCs w:val="20"/>
              </w:rPr>
              <w:t>Same as Option 1</w:t>
            </w:r>
          </w:p>
        </w:tc>
      </w:tr>
      <w:tr w:rsidR="00032C1F" w:rsidRPr="00032C1F" w14:paraId="6A08CC1D" w14:textId="77777777" w:rsidTr="00E47B03">
        <w:trPr>
          <w:trHeight w:val="545"/>
        </w:trPr>
        <w:tc>
          <w:tcPr>
            <w:tcW w:w="2065" w:type="dxa"/>
            <w:tcBorders>
              <w:top w:val="nil"/>
              <w:left w:val="single" w:sz="4" w:space="0" w:color="auto"/>
              <w:bottom w:val="single" w:sz="4" w:space="0" w:color="auto"/>
              <w:right w:val="single" w:sz="4" w:space="0" w:color="auto"/>
            </w:tcBorders>
            <w:shd w:val="clear" w:color="auto" w:fill="auto"/>
            <w:noWrap/>
            <w:hideMark/>
          </w:tcPr>
          <w:p w14:paraId="7972BE9F" w14:textId="67EBF4FF" w:rsidR="00032C1F" w:rsidRPr="00E47C64" w:rsidRDefault="004B422C">
            <w:pPr>
              <w:pStyle w:val="ListParagraph"/>
              <w:numPr>
                <w:ilvl w:val="0"/>
                <w:numId w:val="28"/>
              </w:numPr>
              <w:spacing w:before="0" w:after="0"/>
              <w:rPr>
                <w:rFonts w:cs="Arial"/>
                <w:color w:val="000000"/>
                <w:szCs w:val="20"/>
              </w:rPr>
            </w:pPr>
            <w:r>
              <w:rPr>
                <w:rFonts w:cs="Arial"/>
                <w:color w:val="000000"/>
                <w:szCs w:val="20"/>
              </w:rPr>
              <w:t>Constant Chlorination with G</w:t>
            </w:r>
            <w:r w:rsidR="00C03737" w:rsidRPr="00E47C64">
              <w:rPr>
                <w:rFonts w:cs="Arial"/>
                <w:color w:val="000000"/>
                <w:szCs w:val="20"/>
              </w:rPr>
              <w:t>reensand</w:t>
            </w:r>
            <w:r>
              <w:rPr>
                <w:rFonts w:cs="Arial"/>
                <w:color w:val="000000"/>
                <w:szCs w:val="20"/>
              </w:rPr>
              <w:t xml:space="preserve"> or Pyrolusite F</w:t>
            </w:r>
            <w:r w:rsidR="00032C1F" w:rsidRPr="00E47C64">
              <w:rPr>
                <w:rFonts w:cs="Arial"/>
                <w:color w:val="000000"/>
                <w:szCs w:val="20"/>
              </w:rPr>
              <w:t xml:space="preserve">ilters </w:t>
            </w:r>
          </w:p>
        </w:tc>
        <w:tc>
          <w:tcPr>
            <w:tcW w:w="2335" w:type="dxa"/>
            <w:tcBorders>
              <w:top w:val="nil"/>
              <w:left w:val="nil"/>
              <w:bottom w:val="single" w:sz="4" w:space="0" w:color="auto"/>
              <w:right w:val="single" w:sz="4" w:space="0" w:color="auto"/>
            </w:tcBorders>
            <w:shd w:val="clear" w:color="auto" w:fill="auto"/>
            <w:noWrap/>
            <w:hideMark/>
          </w:tcPr>
          <w:p w14:paraId="4207DC70" w14:textId="637E9DF1" w:rsidR="00032C1F" w:rsidRPr="00032C1F" w:rsidRDefault="00750636">
            <w:pPr>
              <w:spacing w:before="0" w:after="0"/>
              <w:rPr>
                <w:rFonts w:cs="Arial"/>
                <w:color w:val="000000"/>
                <w:szCs w:val="20"/>
              </w:rPr>
            </w:pPr>
            <w:r>
              <w:rPr>
                <w:rFonts w:cs="Arial"/>
                <w:color w:val="000000"/>
                <w:szCs w:val="20"/>
              </w:rPr>
              <w:t>Same as Option 3</w:t>
            </w:r>
          </w:p>
        </w:tc>
        <w:tc>
          <w:tcPr>
            <w:tcW w:w="2335" w:type="dxa"/>
            <w:tcBorders>
              <w:top w:val="nil"/>
              <w:left w:val="nil"/>
              <w:bottom w:val="single" w:sz="4" w:space="0" w:color="auto"/>
              <w:right w:val="single" w:sz="4" w:space="0" w:color="auto"/>
            </w:tcBorders>
            <w:shd w:val="clear" w:color="auto" w:fill="auto"/>
            <w:hideMark/>
          </w:tcPr>
          <w:p w14:paraId="42A08622" w14:textId="0D0CCC13" w:rsidR="00032C1F" w:rsidRPr="00032C1F" w:rsidRDefault="00E47B03" w:rsidP="00E47B03">
            <w:pPr>
              <w:spacing w:before="0" w:after="0"/>
              <w:rPr>
                <w:rFonts w:cs="Arial"/>
                <w:color w:val="000000"/>
                <w:szCs w:val="20"/>
              </w:rPr>
            </w:pPr>
            <w:r>
              <w:rPr>
                <w:rFonts w:cs="Arial"/>
                <w:color w:val="000000"/>
                <w:szCs w:val="20"/>
              </w:rPr>
              <w:t xml:space="preserve">Physically removes the </w:t>
            </w:r>
            <w:r w:rsidR="005825B5" w:rsidRPr="00032C1F">
              <w:rPr>
                <w:rFonts w:cs="Arial"/>
                <w:color w:val="000000"/>
                <w:szCs w:val="20"/>
              </w:rPr>
              <w:t>manganese</w:t>
            </w:r>
            <w:r w:rsidR="00206630">
              <w:rPr>
                <w:rFonts w:cs="Arial"/>
                <w:color w:val="000000"/>
                <w:szCs w:val="20"/>
              </w:rPr>
              <w:t xml:space="preserve"> </w:t>
            </w:r>
            <w:r w:rsidR="006D09E3">
              <w:rPr>
                <w:rFonts w:cs="Arial"/>
                <w:color w:val="000000"/>
                <w:szCs w:val="20"/>
              </w:rPr>
              <w:t>and elimi</w:t>
            </w:r>
            <w:r>
              <w:rPr>
                <w:rFonts w:cs="Arial"/>
                <w:color w:val="000000"/>
                <w:szCs w:val="20"/>
              </w:rPr>
              <w:t>nate water discoloration issues year-round.</w:t>
            </w:r>
            <w:r w:rsidR="006D09E3">
              <w:rPr>
                <w:rFonts w:cs="Arial"/>
                <w:color w:val="000000"/>
                <w:szCs w:val="20"/>
              </w:rPr>
              <w:t xml:space="preserve"> </w:t>
            </w:r>
          </w:p>
        </w:tc>
        <w:tc>
          <w:tcPr>
            <w:tcW w:w="2335" w:type="dxa"/>
            <w:tcBorders>
              <w:top w:val="nil"/>
              <w:left w:val="nil"/>
              <w:bottom w:val="single" w:sz="4" w:space="0" w:color="auto"/>
              <w:right w:val="single" w:sz="4" w:space="0" w:color="auto"/>
            </w:tcBorders>
            <w:shd w:val="clear" w:color="auto" w:fill="auto"/>
            <w:hideMark/>
          </w:tcPr>
          <w:p w14:paraId="2346B134" w14:textId="0B7E1EF7" w:rsidR="00032C1F" w:rsidRPr="00032C1F" w:rsidRDefault="00032C1F">
            <w:pPr>
              <w:spacing w:before="0" w:after="0"/>
              <w:rPr>
                <w:rFonts w:cs="Arial"/>
                <w:color w:val="000000"/>
                <w:szCs w:val="20"/>
              </w:rPr>
            </w:pPr>
            <w:r w:rsidRPr="00032C1F">
              <w:rPr>
                <w:rFonts w:cs="Arial"/>
                <w:color w:val="000000"/>
                <w:szCs w:val="20"/>
              </w:rPr>
              <w:t xml:space="preserve">Reduce arsenic </w:t>
            </w:r>
            <w:r w:rsidR="006D09E3" w:rsidRPr="00032C1F">
              <w:rPr>
                <w:rFonts w:cs="Arial"/>
                <w:color w:val="000000"/>
                <w:szCs w:val="20"/>
              </w:rPr>
              <w:t>concentrations</w:t>
            </w:r>
            <w:r w:rsidR="006D09E3">
              <w:rPr>
                <w:rFonts w:cs="Arial"/>
                <w:color w:val="000000"/>
                <w:szCs w:val="20"/>
              </w:rPr>
              <w:t xml:space="preserve"> and increase the operating capacity of Well 14. </w:t>
            </w:r>
          </w:p>
        </w:tc>
      </w:tr>
    </w:tbl>
    <w:p w14:paraId="6E8B6586" w14:textId="01DB5E9C" w:rsidR="00C34D2C" w:rsidRDefault="00C34D2C" w:rsidP="00FD64DA">
      <w:pPr>
        <w:pStyle w:val="Heading5"/>
      </w:pPr>
    </w:p>
    <w:p w14:paraId="57C938B9" w14:textId="77777777" w:rsidR="00C34D2C" w:rsidRDefault="00C34D2C">
      <w:pPr>
        <w:spacing w:before="0" w:after="0"/>
        <w:rPr>
          <w:rFonts w:ascii="Tahoma" w:hAnsi="Tahoma"/>
          <w:b/>
          <w:bCs/>
          <w:i/>
          <w:kern w:val="32"/>
          <w:sz w:val="22"/>
          <w:szCs w:val="26"/>
        </w:rPr>
      </w:pPr>
      <w:r>
        <w:br w:type="page"/>
      </w:r>
    </w:p>
    <w:p w14:paraId="4544F798" w14:textId="77777777" w:rsidR="005825B5" w:rsidRDefault="005825B5" w:rsidP="00FD64DA">
      <w:pPr>
        <w:pStyle w:val="Heading5"/>
      </w:pPr>
    </w:p>
    <w:p w14:paraId="74C2C295" w14:textId="32B071C3" w:rsidR="005825B5" w:rsidRPr="005825B5" w:rsidRDefault="005825B5" w:rsidP="005825B5">
      <w:pPr>
        <w:pStyle w:val="Caption"/>
      </w:pPr>
      <w:bookmarkStart w:id="4" w:name="_Ref522879377"/>
      <w:r>
        <w:t xml:space="preserve">Table </w:t>
      </w:r>
      <w:r w:rsidR="00835F85">
        <w:rPr>
          <w:noProof/>
        </w:rPr>
        <w:fldChar w:fldCharType="begin"/>
      </w:r>
      <w:r w:rsidR="00835F85">
        <w:rPr>
          <w:noProof/>
        </w:rPr>
        <w:instrText xml:space="preserve"> SEQ Table \* ARABIC </w:instrText>
      </w:r>
      <w:r w:rsidR="00835F85">
        <w:rPr>
          <w:noProof/>
        </w:rPr>
        <w:fldChar w:fldCharType="separate"/>
      </w:r>
      <w:r>
        <w:rPr>
          <w:noProof/>
        </w:rPr>
        <w:t>2</w:t>
      </w:r>
      <w:r w:rsidR="00835F85">
        <w:rPr>
          <w:noProof/>
        </w:rPr>
        <w:fldChar w:fldCharType="end"/>
      </w:r>
      <w:bookmarkEnd w:id="4"/>
      <w:r w:rsidR="00D44186">
        <w:t xml:space="preserve">. </w:t>
      </w:r>
      <w:r>
        <w:t xml:space="preserve">Summary of </w:t>
      </w:r>
      <w:r w:rsidR="00FA0B1D">
        <w:t>Cost for Implementing Chlorination in Service Zone B</w:t>
      </w:r>
    </w:p>
    <w:tbl>
      <w:tblPr>
        <w:tblW w:w="10303" w:type="dxa"/>
        <w:tblLook w:val="04A0" w:firstRow="1" w:lastRow="0" w:firstColumn="1" w:lastColumn="0" w:noHBand="0" w:noVBand="1"/>
      </w:tblPr>
      <w:tblGrid>
        <w:gridCol w:w="1953"/>
        <w:gridCol w:w="1807"/>
        <w:gridCol w:w="1956"/>
        <w:gridCol w:w="1529"/>
        <w:gridCol w:w="1529"/>
        <w:gridCol w:w="1529"/>
      </w:tblGrid>
      <w:tr w:rsidR="006D09E3" w:rsidRPr="00032C1F" w14:paraId="29EB8254" w14:textId="77777777" w:rsidTr="002E2566">
        <w:trPr>
          <w:trHeight w:val="653"/>
        </w:trPr>
        <w:tc>
          <w:tcPr>
            <w:tcW w:w="1953" w:type="dxa"/>
            <w:tcBorders>
              <w:top w:val="single" w:sz="4" w:space="0" w:color="auto"/>
              <w:left w:val="single" w:sz="4" w:space="0" w:color="auto"/>
              <w:bottom w:val="single" w:sz="4" w:space="0" w:color="auto"/>
              <w:right w:val="single" w:sz="4" w:space="0" w:color="auto"/>
            </w:tcBorders>
            <w:shd w:val="clear" w:color="000000" w:fill="D0CECE"/>
            <w:noWrap/>
            <w:hideMark/>
          </w:tcPr>
          <w:p w14:paraId="6EAFC689" w14:textId="77777777" w:rsidR="006D09E3" w:rsidRPr="00032C1F" w:rsidRDefault="006D09E3" w:rsidP="00147EC9">
            <w:pPr>
              <w:spacing w:before="0" w:after="0"/>
              <w:rPr>
                <w:rFonts w:cs="Arial"/>
                <w:b/>
                <w:bCs/>
                <w:color w:val="000000"/>
                <w:szCs w:val="20"/>
              </w:rPr>
            </w:pPr>
            <w:r w:rsidRPr="00032C1F">
              <w:rPr>
                <w:rFonts w:cs="Arial"/>
                <w:b/>
                <w:bCs/>
                <w:color w:val="000000"/>
                <w:szCs w:val="20"/>
              </w:rPr>
              <w:t xml:space="preserve">Management Options </w:t>
            </w:r>
          </w:p>
        </w:tc>
        <w:tc>
          <w:tcPr>
            <w:tcW w:w="1807" w:type="dxa"/>
            <w:tcBorders>
              <w:top w:val="single" w:sz="4" w:space="0" w:color="auto"/>
              <w:left w:val="nil"/>
              <w:bottom w:val="single" w:sz="4" w:space="0" w:color="auto"/>
              <w:right w:val="single" w:sz="4" w:space="0" w:color="auto"/>
            </w:tcBorders>
            <w:shd w:val="clear" w:color="000000" w:fill="D0CECE"/>
            <w:hideMark/>
          </w:tcPr>
          <w:p w14:paraId="68607213" w14:textId="77777777" w:rsidR="006D09E3" w:rsidRPr="00032C1F" w:rsidRDefault="006D09E3" w:rsidP="00147EC9">
            <w:pPr>
              <w:spacing w:before="0" w:after="0"/>
              <w:rPr>
                <w:rFonts w:cs="Arial"/>
                <w:b/>
                <w:bCs/>
                <w:color w:val="000000"/>
                <w:szCs w:val="20"/>
              </w:rPr>
            </w:pPr>
            <w:r w:rsidRPr="00032C1F">
              <w:rPr>
                <w:rFonts w:cs="Arial"/>
                <w:b/>
                <w:bCs/>
                <w:color w:val="000000"/>
                <w:szCs w:val="20"/>
              </w:rPr>
              <w:t xml:space="preserve">Implementation Complexity </w:t>
            </w:r>
          </w:p>
        </w:tc>
        <w:tc>
          <w:tcPr>
            <w:tcW w:w="1956" w:type="dxa"/>
            <w:tcBorders>
              <w:top w:val="single" w:sz="4" w:space="0" w:color="auto"/>
              <w:left w:val="nil"/>
              <w:bottom w:val="single" w:sz="4" w:space="0" w:color="auto"/>
              <w:right w:val="single" w:sz="4" w:space="0" w:color="auto"/>
            </w:tcBorders>
            <w:shd w:val="clear" w:color="000000" w:fill="D0CECE"/>
            <w:hideMark/>
          </w:tcPr>
          <w:p w14:paraId="570529ED" w14:textId="77777777" w:rsidR="006D09E3" w:rsidRPr="00032C1F" w:rsidRDefault="006D09E3" w:rsidP="00147EC9">
            <w:pPr>
              <w:spacing w:before="0" w:after="0"/>
              <w:rPr>
                <w:rFonts w:cs="Arial"/>
                <w:b/>
                <w:bCs/>
                <w:color w:val="000000"/>
                <w:szCs w:val="20"/>
              </w:rPr>
            </w:pPr>
            <w:r w:rsidRPr="00032C1F">
              <w:rPr>
                <w:rFonts w:cs="Arial"/>
                <w:b/>
                <w:bCs/>
                <w:color w:val="000000"/>
                <w:szCs w:val="20"/>
              </w:rPr>
              <w:t xml:space="preserve">Ongoing Maintenance Complexity </w:t>
            </w:r>
          </w:p>
        </w:tc>
        <w:tc>
          <w:tcPr>
            <w:tcW w:w="1529" w:type="dxa"/>
            <w:tcBorders>
              <w:top w:val="single" w:sz="4" w:space="0" w:color="auto"/>
              <w:left w:val="nil"/>
              <w:bottom w:val="single" w:sz="4" w:space="0" w:color="auto"/>
              <w:right w:val="single" w:sz="4" w:space="0" w:color="auto"/>
            </w:tcBorders>
            <w:shd w:val="clear" w:color="000000" w:fill="D0CECE"/>
          </w:tcPr>
          <w:p w14:paraId="673B30CF" w14:textId="77777777" w:rsidR="006D09E3" w:rsidRPr="00032C1F" w:rsidRDefault="006D09E3" w:rsidP="00147EC9">
            <w:pPr>
              <w:spacing w:before="0" w:after="0"/>
              <w:rPr>
                <w:rFonts w:cs="Arial"/>
                <w:b/>
                <w:bCs/>
                <w:color w:val="000000"/>
                <w:szCs w:val="20"/>
              </w:rPr>
            </w:pPr>
            <w:r>
              <w:rPr>
                <w:rFonts w:cs="Arial"/>
                <w:b/>
                <w:bCs/>
                <w:color w:val="000000"/>
                <w:szCs w:val="20"/>
              </w:rPr>
              <w:t xml:space="preserve">Capital Cost to Implement  </w:t>
            </w:r>
          </w:p>
        </w:tc>
        <w:tc>
          <w:tcPr>
            <w:tcW w:w="1529" w:type="dxa"/>
            <w:tcBorders>
              <w:top w:val="single" w:sz="4" w:space="0" w:color="auto"/>
              <w:left w:val="nil"/>
              <w:bottom w:val="single" w:sz="4" w:space="0" w:color="auto"/>
              <w:right w:val="single" w:sz="4" w:space="0" w:color="auto"/>
            </w:tcBorders>
            <w:shd w:val="clear" w:color="000000" w:fill="D0CECE"/>
          </w:tcPr>
          <w:p w14:paraId="64CC5F12" w14:textId="77777777" w:rsidR="006D09E3" w:rsidRDefault="006D09E3" w:rsidP="00147EC9">
            <w:pPr>
              <w:spacing w:before="0" w:after="0"/>
              <w:rPr>
                <w:rFonts w:cs="Arial"/>
                <w:b/>
                <w:bCs/>
                <w:color w:val="000000"/>
                <w:szCs w:val="20"/>
              </w:rPr>
            </w:pPr>
            <w:r>
              <w:rPr>
                <w:rFonts w:cs="Arial"/>
                <w:b/>
                <w:bCs/>
                <w:color w:val="000000"/>
                <w:szCs w:val="20"/>
              </w:rPr>
              <w:t>Annual Operational Cost</w:t>
            </w:r>
          </w:p>
        </w:tc>
        <w:tc>
          <w:tcPr>
            <w:tcW w:w="1529" w:type="dxa"/>
            <w:tcBorders>
              <w:top w:val="single" w:sz="4" w:space="0" w:color="auto"/>
              <w:left w:val="nil"/>
              <w:bottom w:val="single" w:sz="4" w:space="0" w:color="auto"/>
              <w:right w:val="single" w:sz="4" w:space="0" w:color="auto"/>
            </w:tcBorders>
            <w:shd w:val="clear" w:color="000000" w:fill="D0CECE"/>
          </w:tcPr>
          <w:p w14:paraId="0F6828A2" w14:textId="77777777" w:rsidR="006D09E3" w:rsidRDefault="006D09E3">
            <w:pPr>
              <w:spacing w:before="0" w:after="0"/>
              <w:rPr>
                <w:rFonts w:cs="Arial"/>
                <w:b/>
                <w:bCs/>
                <w:color w:val="000000"/>
                <w:szCs w:val="20"/>
              </w:rPr>
            </w:pPr>
            <w:r>
              <w:rPr>
                <w:rFonts w:cs="Arial"/>
                <w:b/>
                <w:bCs/>
                <w:color w:val="000000"/>
                <w:szCs w:val="20"/>
              </w:rPr>
              <w:t>Additional 10-Year Net Present Cost</w:t>
            </w:r>
          </w:p>
        </w:tc>
      </w:tr>
      <w:tr w:rsidR="006D09E3" w:rsidRPr="00032C1F" w14:paraId="040316EC" w14:textId="77777777" w:rsidTr="002E2566">
        <w:trPr>
          <w:trHeight w:val="555"/>
        </w:trPr>
        <w:tc>
          <w:tcPr>
            <w:tcW w:w="1953" w:type="dxa"/>
            <w:tcBorders>
              <w:top w:val="nil"/>
              <w:left w:val="single" w:sz="4" w:space="0" w:color="auto"/>
              <w:bottom w:val="single" w:sz="4" w:space="0" w:color="auto"/>
              <w:right w:val="single" w:sz="4" w:space="0" w:color="auto"/>
            </w:tcBorders>
            <w:shd w:val="clear" w:color="auto" w:fill="auto"/>
            <w:noWrap/>
            <w:hideMark/>
          </w:tcPr>
          <w:p w14:paraId="4AF3A230" w14:textId="77777777" w:rsidR="006D09E3" w:rsidRPr="00032C1F" w:rsidRDefault="006D09E3" w:rsidP="00FD64DA">
            <w:pPr>
              <w:spacing w:before="0" w:after="0"/>
              <w:rPr>
                <w:rFonts w:cs="Arial"/>
                <w:color w:val="000000"/>
                <w:szCs w:val="20"/>
              </w:rPr>
            </w:pPr>
            <w:r w:rsidRPr="00032C1F">
              <w:rPr>
                <w:rFonts w:cs="Arial"/>
                <w:color w:val="000000"/>
                <w:szCs w:val="20"/>
              </w:rPr>
              <w:t xml:space="preserve">Maintain Current Operations </w:t>
            </w:r>
          </w:p>
        </w:tc>
        <w:tc>
          <w:tcPr>
            <w:tcW w:w="1807" w:type="dxa"/>
            <w:tcBorders>
              <w:top w:val="nil"/>
              <w:left w:val="nil"/>
              <w:bottom w:val="single" w:sz="4" w:space="0" w:color="auto"/>
              <w:right w:val="single" w:sz="4" w:space="0" w:color="auto"/>
            </w:tcBorders>
            <w:shd w:val="clear" w:color="auto" w:fill="auto"/>
            <w:noWrap/>
            <w:hideMark/>
          </w:tcPr>
          <w:p w14:paraId="7FA1E4D3" w14:textId="43FD3049" w:rsidR="006D09E3" w:rsidRPr="00032C1F" w:rsidRDefault="006D09E3" w:rsidP="00FD64DA">
            <w:pPr>
              <w:spacing w:before="0" w:after="0"/>
              <w:rPr>
                <w:rFonts w:cs="Arial"/>
                <w:color w:val="000000"/>
                <w:szCs w:val="20"/>
              </w:rPr>
            </w:pPr>
            <w:r>
              <w:rPr>
                <w:rFonts w:cs="Arial"/>
                <w:color w:val="000000"/>
                <w:szCs w:val="20"/>
              </w:rPr>
              <w:t>None as there is nothing to implement</w:t>
            </w:r>
          </w:p>
        </w:tc>
        <w:tc>
          <w:tcPr>
            <w:tcW w:w="1956" w:type="dxa"/>
            <w:tcBorders>
              <w:top w:val="nil"/>
              <w:left w:val="nil"/>
              <w:bottom w:val="single" w:sz="4" w:space="0" w:color="auto"/>
              <w:right w:val="single" w:sz="4" w:space="0" w:color="auto"/>
            </w:tcBorders>
            <w:shd w:val="clear" w:color="auto" w:fill="auto"/>
            <w:noWrap/>
            <w:hideMark/>
          </w:tcPr>
          <w:p w14:paraId="00D4673F" w14:textId="77777777" w:rsidR="006D09E3" w:rsidRPr="00032C1F" w:rsidRDefault="006D09E3" w:rsidP="00FD64DA">
            <w:pPr>
              <w:spacing w:before="0" w:after="0"/>
              <w:rPr>
                <w:rFonts w:cs="Arial"/>
                <w:color w:val="000000"/>
                <w:szCs w:val="20"/>
              </w:rPr>
            </w:pPr>
            <w:r>
              <w:rPr>
                <w:rFonts w:cs="Arial"/>
                <w:color w:val="000000"/>
                <w:szCs w:val="20"/>
              </w:rPr>
              <w:t>No change from current practices.</w:t>
            </w:r>
          </w:p>
        </w:tc>
        <w:tc>
          <w:tcPr>
            <w:tcW w:w="1529" w:type="dxa"/>
            <w:tcBorders>
              <w:top w:val="nil"/>
              <w:left w:val="nil"/>
              <w:bottom w:val="single" w:sz="4" w:space="0" w:color="auto"/>
              <w:right w:val="single" w:sz="4" w:space="0" w:color="auto"/>
            </w:tcBorders>
          </w:tcPr>
          <w:p w14:paraId="09314CC6" w14:textId="6332265A" w:rsidR="006D09E3" w:rsidRDefault="006D09E3" w:rsidP="005D0994">
            <w:pPr>
              <w:spacing w:before="0" w:after="0"/>
              <w:rPr>
                <w:rFonts w:cs="Arial"/>
                <w:color w:val="000000"/>
                <w:szCs w:val="20"/>
              </w:rPr>
            </w:pPr>
            <w:r>
              <w:rPr>
                <w:rFonts w:cs="Arial"/>
                <w:color w:val="000000"/>
                <w:szCs w:val="20"/>
              </w:rPr>
              <w:t>None</w:t>
            </w:r>
          </w:p>
          <w:p w14:paraId="435B0DFD" w14:textId="77777777" w:rsidR="006D09E3" w:rsidRDefault="006D09E3" w:rsidP="005D0994">
            <w:pPr>
              <w:spacing w:before="0" w:after="0"/>
              <w:rPr>
                <w:rFonts w:cs="Arial"/>
                <w:color w:val="000000"/>
                <w:szCs w:val="20"/>
              </w:rPr>
            </w:pPr>
          </w:p>
        </w:tc>
        <w:tc>
          <w:tcPr>
            <w:tcW w:w="1529" w:type="dxa"/>
            <w:tcBorders>
              <w:top w:val="nil"/>
              <w:left w:val="nil"/>
              <w:bottom w:val="single" w:sz="4" w:space="0" w:color="auto"/>
              <w:right w:val="single" w:sz="4" w:space="0" w:color="auto"/>
            </w:tcBorders>
          </w:tcPr>
          <w:p w14:paraId="17347662" w14:textId="77777777" w:rsidR="006D09E3" w:rsidRDefault="006D09E3">
            <w:pPr>
              <w:spacing w:before="0" w:after="0"/>
              <w:rPr>
                <w:rFonts w:cs="Arial"/>
                <w:color w:val="000000"/>
                <w:szCs w:val="20"/>
              </w:rPr>
            </w:pPr>
            <w:r>
              <w:rPr>
                <w:rFonts w:cs="Arial"/>
                <w:color w:val="000000"/>
                <w:szCs w:val="20"/>
              </w:rPr>
              <w:t>None – excluding labor expended to address potential future detections.</w:t>
            </w:r>
          </w:p>
        </w:tc>
        <w:tc>
          <w:tcPr>
            <w:tcW w:w="1529" w:type="dxa"/>
            <w:tcBorders>
              <w:top w:val="nil"/>
              <w:left w:val="nil"/>
              <w:bottom w:val="single" w:sz="4" w:space="0" w:color="auto"/>
              <w:right w:val="single" w:sz="4" w:space="0" w:color="auto"/>
            </w:tcBorders>
          </w:tcPr>
          <w:p w14:paraId="52AE4E6A" w14:textId="79B4413E" w:rsidR="006D09E3" w:rsidRDefault="002B17CF" w:rsidP="00293A79">
            <w:pPr>
              <w:spacing w:before="0" w:after="0"/>
              <w:rPr>
                <w:rFonts w:cs="Arial"/>
                <w:color w:val="000000"/>
                <w:szCs w:val="20"/>
              </w:rPr>
            </w:pPr>
            <w:r>
              <w:rPr>
                <w:rFonts w:cs="Arial"/>
                <w:color w:val="000000"/>
                <w:szCs w:val="20"/>
              </w:rPr>
              <w:t xml:space="preserve">None - excluding labor expended to address potential future detections. </w:t>
            </w:r>
          </w:p>
        </w:tc>
      </w:tr>
      <w:tr w:rsidR="006D09E3" w:rsidRPr="00032C1F" w14:paraId="0828FF70" w14:textId="77777777" w:rsidTr="002E2566">
        <w:trPr>
          <w:trHeight w:val="1171"/>
        </w:trPr>
        <w:tc>
          <w:tcPr>
            <w:tcW w:w="1953" w:type="dxa"/>
            <w:tcBorders>
              <w:top w:val="nil"/>
              <w:left w:val="single" w:sz="4" w:space="0" w:color="auto"/>
              <w:bottom w:val="single" w:sz="4" w:space="0" w:color="auto"/>
              <w:right w:val="single" w:sz="4" w:space="0" w:color="auto"/>
            </w:tcBorders>
            <w:shd w:val="clear" w:color="auto" w:fill="auto"/>
            <w:noWrap/>
            <w:hideMark/>
          </w:tcPr>
          <w:p w14:paraId="05930A1E" w14:textId="77777777" w:rsidR="006D09E3" w:rsidRPr="00032C1F" w:rsidRDefault="006D09E3" w:rsidP="00FD64DA">
            <w:pPr>
              <w:spacing w:before="0" w:after="0"/>
              <w:rPr>
                <w:rFonts w:cs="Arial"/>
                <w:color w:val="000000"/>
                <w:szCs w:val="20"/>
              </w:rPr>
            </w:pPr>
            <w:r w:rsidRPr="00032C1F">
              <w:rPr>
                <w:rFonts w:cs="Arial"/>
                <w:color w:val="000000"/>
                <w:szCs w:val="20"/>
              </w:rPr>
              <w:t xml:space="preserve">Intermittent Chlorination </w:t>
            </w:r>
          </w:p>
        </w:tc>
        <w:tc>
          <w:tcPr>
            <w:tcW w:w="1807" w:type="dxa"/>
            <w:tcBorders>
              <w:top w:val="nil"/>
              <w:left w:val="nil"/>
              <w:bottom w:val="single" w:sz="4" w:space="0" w:color="auto"/>
              <w:right w:val="single" w:sz="4" w:space="0" w:color="auto"/>
            </w:tcBorders>
            <w:shd w:val="clear" w:color="auto" w:fill="auto"/>
            <w:hideMark/>
          </w:tcPr>
          <w:p w14:paraId="74F7E515" w14:textId="77777777" w:rsidR="006D09E3" w:rsidRPr="00032C1F" w:rsidRDefault="006D09E3" w:rsidP="00D2483B">
            <w:pPr>
              <w:spacing w:before="0" w:after="0"/>
              <w:rPr>
                <w:rFonts w:cs="Arial"/>
                <w:color w:val="000000"/>
                <w:szCs w:val="20"/>
              </w:rPr>
            </w:pPr>
            <w:r w:rsidRPr="00032C1F">
              <w:rPr>
                <w:rFonts w:cs="Arial"/>
                <w:color w:val="000000"/>
                <w:szCs w:val="20"/>
              </w:rPr>
              <w:t>Would require</w:t>
            </w:r>
            <w:r>
              <w:rPr>
                <w:rFonts w:cs="Arial"/>
                <w:color w:val="000000"/>
                <w:szCs w:val="20"/>
              </w:rPr>
              <w:t xml:space="preserve"> installation of new chemical feed system in existing well house </w:t>
            </w:r>
            <w:r w:rsidRPr="00032C1F">
              <w:rPr>
                <w:rFonts w:cs="Arial"/>
                <w:color w:val="000000"/>
                <w:szCs w:val="20"/>
              </w:rPr>
              <w:t xml:space="preserve"> </w:t>
            </w:r>
          </w:p>
        </w:tc>
        <w:tc>
          <w:tcPr>
            <w:tcW w:w="1956" w:type="dxa"/>
            <w:tcBorders>
              <w:top w:val="nil"/>
              <w:left w:val="nil"/>
              <w:bottom w:val="single" w:sz="4" w:space="0" w:color="auto"/>
              <w:right w:val="single" w:sz="4" w:space="0" w:color="auto"/>
            </w:tcBorders>
            <w:shd w:val="clear" w:color="auto" w:fill="auto"/>
            <w:hideMark/>
          </w:tcPr>
          <w:p w14:paraId="651C3BB5" w14:textId="77777777" w:rsidR="006D09E3" w:rsidRPr="00032C1F" w:rsidRDefault="006D09E3" w:rsidP="00206630">
            <w:pPr>
              <w:spacing w:before="0" w:after="0"/>
              <w:rPr>
                <w:rFonts w:cs="Arial"/>
                <w:color w:val="000000"/>
                <w:szCs w:val="20"/>
              </w:rPr>
            </w:pPr>
            <w:r w:rsidRPr="00032C1F">
              <w:rPr>
                <w:rFonts w:cs="Arial"/>
                <w:color w:val="000000"/>
                <w:szCs w:val="20"/>
              </w:rPr>
              <w:t xml:space="preserve">Low. Chlorine system would only be operated infrequently and would require </w:t>
            </w:r>
            <w:r>
              <w:rPr>
                <w:rFonts w:cs="Arial"/>
                <w:color w:val="000000"/>
                <w:szCs w:val="20"/>
              </w:rPr>
              <w:t>chemical deliveries</w:t>
            </w:r>
          </w:p>
        </w:tc>
        <w:tc>
          <w:tcPr>
            <w:tcW w:w="1529" w:type="dxa"/>
            <w:tcBorders>
              <w:top w:val="nil"/>
              <w:left w:val="nil"/>
              <w:bottom w:val="single" w:sz="4" w:space="0" w:color="auto"/>
              <w:right w:val="single" w:sz="4" w:space="0" w:color="auto"/>
            </w:tcBorders>
          </w:tcPr>
          <w:p w14:paraId="278C1E91" w14:textId="15F62FA0" w:rsidR="006D09E3" w:rsidRDefault="002B17CF" w:rsidP="00FD64DA">
            <w:pPr>
              <w:spacing w:before="0" w:after="0"/>
              <w:rPr>
                <w:rFonts w:cs="Arial"/>
                <w:color w:val="000000"/>
                <w:szCs w:val="20"/>
              </w:rPr>
            </w:pPr>
            <w:r>
              <w:rPr>
                <w:rFonts w:cs="Arial"/>
                <w:color w:val="000000"/>
                <w:szCs w:val="20"/>
              </w:rPr>
              <w:t>$16,000</w:t>
            </w:r>
          </w:p>
        </w:tc>
        <w:tc>
          <w:tcPr>
            <w:tcW w:w="1529" w:type="dxa"/>
            <w:tcBorders>
              <w:top w:val="nil"/>
              <w:left w:val="nil"/>
              <w:bottom w:val="single" w:sz="4" w:space="0" w:color="auto"/>
              <w:right w:val="single" w:sz="4" w:space="0" w:color="auto"/>
            </w:tcBorders>
          </w:tcPr>
          <w:p w14:paraId="457D5640" w14:textId="0758CF1B" w:rsidR="006D09E3" w:rsidRDefault="002B17CF">
            <w:pPr>
              <w:spacing w:before="0" w:after="0"/>
              <w:rPr>
                <w:rFonts w:cs="Arial"/>
                <w:color w:val="000000"/>
                <w:szCs w:val="20"/>
              </w:rPr>
            </w:pPr>
            <w:r>
              <w:rPr>
                <w:rFonts w:cs="Arial"/>
                <w:color w:val="000000"/>
                <w:szCs w:val="20"/>
              </w:rPr>
              <w:t>$1</w:t>
            </w:r>
            <w:r w:rsidR="00213D5B">
              <w:rPr>
                <w:rFonts w:cs="Arial"/>
                <w:color w:val="000000"/>
                <w:szCs w:val="20"/>
              </w:rPr>
              <w:t>,900</w:t>
            </w:r>
          </w:p>
        </w:tc>
        <w:tc>
          <w:tcPr>
            <w:tcW w:w="1529" w:type="dxa"/>
            <w:tcBorders>
              <w:top w:val="nil"/>
              <w:left w:val="nil"/>
              <w:bottom w:val="single" w:sz="4" w:space="0" w:color="auto"/>
              <w:right w:val="single" w:sz="4" w:space="0" w:color="auto"/>
            </w:tcBorders>
          </w:tcPr>
          <w:p w14:paraId="7462AA37" w14:textId="0C39DEC3" w:rsidR="006D09E3" w:rsidRDefault="007C292B">
            <w:pPr>
              <w:spacing w:before="0" w:after="0"/>
              <w:rPr>
                <w:rFonts w:cs="Arial"/>
                <w:color w:val="000000"/>
                <w:szCs w:val="20"/>
              </w:rPr>
            </w:pPr>
            <w:r>
              <w:rPr>
                <w:rFonts w:cs="Arial"/>
                <w:color w:val="000000"/>
                <w:szCs w:val="20"/>
              </w:rPr>
              <w:t>$33</w:t>
            </w:r>
            <w:r w:rsidR="002B17CF">
              <w:rPr>
                <w:rFonts w:cs="Arial"/>
                <w:color w:val="000000"/>
                <w:szCs w:val="20"/>
              </w:rPr>
              <w:t>,</w:t>
            </w:r>
            <w:r>
              <w:rPr>
                <w:rFonts w:cs="Arial"/>
                <w:color w:val="000000"/>
                <w:szCs w:val="20"/>
              </w:rPr>
              <w:t>700</w:t>
            </w:r>
          </w:p>
        </w:tc>
      </w:tr>
      <w:tr w:rsidR="006D09E3" w:rsidRPr="00032C1F" w14:paraId="40C13CEE" w14:textId="77777777" w:rsidTr="002E2566">
        <w:trPr>
          <w:trHeight w:val="1562"/>
        </w:trPr>
        <w:tc>
          <w:tcPr>
            <w:tcW w:w="1953" w:type="dxa"/>
            <w:tcBorders>
              <w:top w:val="nil"/>
              <w:left w:val="single" w:sz="4" w:space="0" w:color="auto"/>
              <w:bottom w:val="single" w:sz="4" w:space="0" w:color="auto"/>
              <w:right w:val="single" w:sz="4" w:space="0" w:color="auto"/>
            </w:tcBorders>
            <w:shd w:val="clear" w:color="auto" w:fill="auto"/>
            <w:noWrap/>
            <w:hideMark/>
          </w:tcPr>
          <w:p w14:paraId="27DC1E1E" w14:textId="77777777" w:rsidR="006D09E3" w:rsidRPr="00032C1F" w:rsidRDefault="006D09E3" w:rsidP="00FD64DA">
            <w:pPr>
              <w:spacing w:before="0" w:after="0"/>
              <w:rPr>
                <w:rFonts w:cs="Arial"/>
                <w:color w:val="000000"/>
                <w:szCs w:val="20"/>
              </w:rPr>
            </w:pPr>
            <w:r w:rsidRPr="00032C1F">
              <w:rPr>
                <w:rFonts w:cs="Arial"/>
                <w:color w:val="000000"/>
                <w:szCs w:val="20"/>
              </w:rPr>
              <w:t xml:space="preserve">Constant Chlorination </w:t>
            </w:r>
          </w:p>
        </w:tc>
        <w:tc>
          <w:tcPr>
            <w:tcW w:w="1807" w:type="dxa"/>
            <w:tcBorders>
              <w:top w:val="nil"/>
              <w:left w:val="nil"/>
              <w:bottom w:val="single" w:sz="4" w:space="0" w:color="auto"/>
              <w:right w:val="single" w:sz="4" w:space="0" w:color="auto"/>
            </w:tcBorders>
            <w:shd w:val="clear" w:color="auto" w:fill="auto"/>
            <w:hideMark/>
          </w:tcPr>
          <w:p w14:paraId="427C21BE" w14:textId="77777777" w:rsidR="006D09E3" w:rsidRPr="00032C1F" w:rsidRDefault="006D09E3" w:rsidP="00FD64DA">
            <w:pPr>
              <w:spacing w:before="0" w:after="0"/>
              <w:rPr>
                <w:rFonts w:cs="Arial"/>
                <w:color w:val="000000"/>
                <w:szCs w:val="20"/>
              </w:rPr>
            </w:pPr>
            <w:r w:rsidRPr="00032C1F">
              <w:rPr>
                <w:rFonts w:cs="Arial"/>
                <w:color w:val="000000"/>
                <w:szCs w:val="20"/>
              </w:rPr>
              <w:t>Would require</w:t>
            </w:r>
            <w:r>
              <w:rPr>
                <w:rFonts w:cs="Arial"/>
                <w:color w:val="000000"/>
                <w:szCs w:val="20"/>
              </w:rPr>
              <w:t xml:space="preserve"> installation of new chemical feed system in existing well house </w:t>
            </w:r>
            <w:r w:rsidRPr="00032C1F">
              <w:rPr>
                <w:rFonts w:cs="Arial"/>
                <w:color w:val="000000"/>
                <w:szCs w:val="20"/>
              </w:rPr>
              <w:t xml:space="preserve"> </w:t>
            </w:r>
          </w:p>
        </w:tc>
        <w:tc>
          <w:tcPr>
            <w:tcW w:w="1956" w:type="dxa"/>
            <w:tcBorders>
              <w:top w:val="nil"/>
              <w:left w:val="nil"/>
              <w:bottom w:val="single" w:sz="4" w:space="0" w:color="auto"/>
              <w:right w:val="single" w:sz="4" w:space="0" w:color="auto"/>
            </w:tcBorders>
            <w:shd w:val="clear" w:color="auto" w:fill="auto"/>
            <w:hideMark/>
          </w:tcPr>
          <w:p w14:paraId="2F273C62" w14:textId="77777777" w:rsidR="006D09E3" w:rsidRPr="00032C1F" w:rsidRDefault="006D09E3" w:rsidP="00206630">
            <w:pPr>
              <w:spacing w:before="0" w:after="0"/>
              <w:rPr>
                <w:rFonts w:cs="Arial"/>
                <w:color w:val="000000"/>
                <w:szCs w:val="20"/>
              </w:rPr>
            </w:pPr>
            <w:r w:rsidRPr="00032C1F">
              <w:rPr>
                <w:rFonts w:cs="Arial"/>
                <w:color w:val="000000"/>
                <w:szCs w:val="20"/>
              </w:rPr>
              <w:t>M</w:t>
            </w:r>
            <w:r>
              <w:rPr>
                <w:rFonts w:cs="Arial"/>
                <w:color w:val="000000"/>
                <w:szCs w:val="20"/>
              </w:rPr>
              <w:t>oderate</w:t>
            </w:r>
            <w:r w:rsidRPr="00032C1F">
              <w:rPr>
                <w:rFonts w:cs="Arial"/>
                <w:color w:val="000000"/>
                <w:szCs w:val="20"/>
              </w:rPr>
              <w:t xml:space="preserve">. Chlorine system would be continuously operated and would require more frequent chemical deliveries. Chlorine residual monitoring </w:t>
            </w:r>
          </w:p>
        </w:tc>
        <w:tc>
          <w:tcPr>
            <w:tcW w:w="1529" w:type="dxa"/>
            <w:tcBorders>
              <w:top w:val="nil"/>
              <w:left w:val="nil"/>
              <w:bottom w:val="single" w:sz="4" w:space="0" w:color="auto"/>
              <w:right w:val="single" w:sz="4" w:space="0" w:color="auto"/>
            </w:tcBorders>
          </w:tcPr>
          <w:p w14:paraId="4907DED2" w14:textId="208DDA4E" w:rsidR="006D09E3" w:rsidRDefault="002B17CF" w:rsidP="00FD64DA">
            <w:pPr>
              <w:spacing w:before="0" w:after="0"/>
              <w:rPr>
                <w:rFonts w:cs="Arial"/>
                <w:color w:val="000000"/>
                <w:szCs w:val="20"/>
              </w:rPr>
            </w:pPr>
            <w:r>
              <w:rPr>
                <w:rFonts w:cs="Arial"/>
                <w:color w:val="000000"/>
                <w:szCs w:val="20"/>
              </w:rPr>
              <w:t>$111,000</w:t>
            </w:r>
          </w:p>
        </w:tc>
        <w:tc>
          <w:tcPr>
            <w:tcW w:w="1529" w:type="dxa"/>
            <w:tcBorders>
              <w:top w:val="nil"/>
              <w:left w:val="nil"/>
              <w:bottom w:val="single" w:sz="4" w:space="0" w:color="auto"/>
              <w:right w:val="single" w:sz="4" w:space="0" w:color="auto"/>
            </w:tcBorders>
          </w:tcPr>
          <w:p w14:paraId="4DFBFE32" w14:textId="15F41A1C" w:rsidR="006D09E3" w:rsidRDefault="00213D5B" w:rsidP="001E6FCC">
            <w:pPr>
              <w:spacing w:before="0" w:after="0"/>
              <w:rPr>
                <w:rFonts w:cs="Arial"/>
                <w:color w:val="000000"/>
                <w:szCs w:val="20"/>
              </w:rPr>
            </w:pPr>
            <w:r>
              <w:rPr>
                <w:rFonts w:cs="Arial"/>
                <w:color w:val="000000"/>
                <w:szCs w:val="20"/>
              </w:rPr>
              <w:t>$44</w:t>
            </w:r>
            <w:r w:rsidR="002B17CF">
              <w:rPr>
                <w:rFonts w:cs="Arial"/>
                <w:color w:val="000000"/>
                <w:szCs w:val="20"/>
              </w:rPr>
              <w:t>,</w:t>
            </w:r>
            <w:r>
              <w:rPr>
                <w:rFonts w:cs="Arial"/>
                <w:color w:val="000000"/>
                <w:szCs w:val="20"/>
              </w:rPr>
              <w:t>400</w:t>
            </w:r>
            <w:r w:rsidR="00635D85">
              <w:rPr>
                <w:rFonts w:cs="Arial"/>
                <w:color w:val="000000"/>
                <w:szCs w:val="20"/>
              </w:rPr>
              <w:t xml:space="preserve"> – </w:t>
            </w:r>
            <w:r w:rsidR="001E6FCC">
              <w:rPr>
                <w:rFonts w:cs="Arial"/>
                <w:color w:val="000000"/>
                <w:szCs w:val="20"/>
              </w:rPr>
              <w:t xml:space="preserve">disregards any </w:t>
            </w:r>
            <w:r w:rsidR="00635D85">
              <w:rPr>
                <w:rFonts w:cs="Arial"/>
                <w:color w:val="000000"/>
                <w:szCs w:val="20"/>
              </w:rPr>
              <w:t xml:space="preserve">costs incurred for </w:t>
            </w:r>
            <w:r w:rsidR="001E6FCC">
              <w:rPr>
                <w:rFonts w:cs="Arial"/>
                <w:color w:val="000000"/>
                <w:szCs w:val="20"/>
              </w:rPr>
              <w:t xml:space="preserve">damaged laundry </w:t>
            </w:r>
            <w:r w:rsidR="00635D85">
              <w:rPr>
                <w:rFonts w:cs="Arial"/>
                <w:color w:val="000000"/>
                <w:szCs w:val="20"/>
              </w:rPr>
              <w:t xml:space="preserve">and </w:t>
            </w:r>
            <w:r w:rsidR="001E6FCC">
              <w:rPr>
                <w:rFonts w:cs="Arial"/>
                <w:color w:val="000000"/>
                <w:szCs w:val="20"/>
              </w:rPr>
              <w:t>fixture staining</w:t>
            </w:r>
          </w:p>
        </w:tc>
        <w:tc>
          <w:tcPr>
            <w:tcW w:w="1529" w:type="dxa"/>
            <w:tcBorders>
              <w:top w:val="nil"/>
              <w:left w:val="nil"/>
              <w:bottom w:val="single" w:sz="4" w:space="0" w:color="auto"/>
              <w:right w:val="single" w:sz="4" w:space="0" w:color="auto"/>
            </w:tcBorders>
          </w:tcPr>
          <w:p w14:paraId="5753B12F" w14:textId="57A8C11B" w:rsidR="006D09E3" w:rsidRDefault="002B17CF" w:rsidP="001E6FCC">
            <w:pPr>
              <w:spacing w:before="0" w:after="0"/>
              <w:rPr>
                <w:rFonts w:cs="Arial"/>
                <w:color w:val="000000"/>
                <w:szCs w:val="20"/>
              </w:rPr>
            </w:pPr>
            <w:r>
              <w:rPr>
                <w:rFonts w:cs="Arial"/>
                <w:color w:val="000000"/>
                <w:szCs w:val="20"/>
              </w:rPr>
              <w:t>$</w:t>
            </w:r>
            <w:r w:rsidR="00213D5B">
              <w:rPr>
                <w:rFonts w:cs="Arial"/>
                <w:color w:val="000000"/>
                <w:szCs w:val="20"/>
              </w:rPr>
              <w:t>594,500</w:t>
            </w:r>
            <w:r w:rsidR="001E6FCC">
              <w:rPr>
                <w:rFonts w:cs="Arial"/>
                <w:color w:val="000000"/>
                <w:szCs w:val="20"/>
              </w:rPr>
              <w:t xml:space="preserve"> – disregards any costs incurred for damaged laundry and fixture staining</w:t>
            </w:r>
          </w:p>
        </w:tc>
      </w:tr>
      <w:tr w:rsidR="006D09E3" w:rsidRPr="00032C1F" w14:paraId="5DFB643D" w14:textId="77777777" w:rsidTr="002E2566">
        <w:trPr>
          <w:trHeight w:val="1988"/>
        </w:trPr>
        <w:tc>
          <w:tcPr>
            <w:tcW w:w="1953" w:type="dxa"/>
            <w:tcBorders>
              <w:top w:val="nil"/>
              <w:left w:val="single" w:sz="4" w:space="0" w:color="auto"/>
              <w:bottom w:val="single" w:sz="4" w:space="0" w:color="auto"/>
              <w:right w:val="single" w:sz="4" w:space="0" w:color="auto"/>
            </w:tcBorders>
            <w:shd w:val="clear" w:color="auto" w:fill="auto"/>
            <w:noWrap/>
            <w:hideMark/>
          </w:tcPr>
          <w:p w14:paraId="504B3CAB" w14:textId="77777777" w:rsidR="006D09E3" w:rsidRPr="00032C1F" w:rsidRDefault="006D09E3" w:rsidP="00FD64DA">
            <w:pPr>
              <w:spacing w:before="0" w:after="0"/>
              <w:rPr>
                <w:rFonts w:cs="Arial"/>
                <w:color w:val="000000"/>
                <w:szCs w:val="20"/>
              </w:rPr>
            </w:pPr>
            <w:r w:rsidRPr="00032C1F">
              <w:rPr>
                <w:rFonts w:cs="Arial"/>
                <w:color w:val="000000"/>
                <w:szCs w:val="20"/>
              </w:rPr>
              <w:t xml:space="preserve">Constant Chlorination with Sequestrant </w:t>
            </w:r>
          </w:p>
        </w:tc>
        <w:tc>
          <w:tcPr>
            <w:tcW w:w="1807" w:type="dxa"/>
            <w:tcBorders>
              <w:top w:val="nil"/>
              <w:left w:val="nil"/>
              <w:bottom w:val="single" w:sz="4" w:space="0" w:color="auto"/>
              <w:right w:val="single" w:sz="4" w:space="0" w:color="auto"/>
            </w:tcBorders>
            <w:shd w:val="clear" w:color="auto" w:fill="auto"/>
            <w:hideMark/>
          </w:tcPr>
          <w:p w14:paraId="71634D86" w14:textId="7CFC9941" w:rsidR="006D09E3" w:rsidRPr="00032C1F" w:rsidRDefault="006D09E3">
            <w:pPr>
              <w:spacing w:before="0" w:after="0"/>
              <w:rPr>
                <w:rFonts w:cs="Arial"/>
                <w:color w:val="000000"/>
                <w:szCs w:val="20"/>
              </w:rPr>
            </w:pPr>
            <w:r w:rsidRPr="00032C1F">
              <w:rPr>
                <w:rFonts w:cs="Arial"/>
                <w:color w:val="000000"/>
                <w:szCs w:val="20"/>
              </w:rPr>
              <w:t>Would require</w:t>
            </w:r>
            <w:r>
              <w:rPr>
                <w:rFonts w:cs="Arial"/>
                <w:color w:val="000000"/>
                <w:szCs w:val="20"/>
              </w:rPr>
              <w:t xml:space="preserve"> installation of two new chemical feed systems in </w:t>
            </w:r>
            <w:r w:rsidR="007C292B">
              <w:rPr>
                <w:rFonts w:cs="Arial"/>
                <w:color w:val="000000"/>
                <w:szCs w:val="20"/>
              </w:rPr>
              <w:t>a new chemical building</w:t>
            </w:r>
            <w:r>
              <w:rPr>
                <w:rFonts w:cs="Arial"/>
                <w:color w:val="000000"/>
                <w:szCs w:val="20"/>
              </w:rPr>
              <w:t xml:space="preserve"> </w:t>
            </w:r>
            <w:r w:rsidRPr="00032C1F">
              <w:rPr>
                <w:rFonts w:cs="Arial"/>
                <w:color w:val="000000"/>
                <w:szCs w:val="20"/>
              </w:rPr>
              <w:t xml:space="preserve"> </w:t>
            </w:r>
          </w:p>
        </w:tc>
        <w:tc>
          <w:tcPr>
            <w:tcW w:w="1956" w:type="dxa"/>
            <w:tcBorders>
              <w:top w:val="nil"/>
              <w:left w:val="nil"/>
              <w:bottom w:val="single" w:sz="4" w:space="0" w:color="auto"/>
              <w:right w:val="single" w:sz="4" w:space="0" w:color="auto"/>
            </w:tcBorders>
            <w:shd w:val="clear" w:color="auto" w:fill="auto"/>
            <w:hideMark/>
          </w:tcPr>
          <w:p w14:paraId="09A212FB" w14:textId="77777777" w:rsidR="006D09E3" w:rsidRPr="00032C1F" w:rsidRDefault="006D09E3" w:rsidP="00FD64DA">
            <w:pPr>
              <w:spacing w:before="0" w:after="0"/>
              <w:rPr>
                <w:rFonts w:cs="Arial"/>
                <w:color w:val="000000"/>
                <w:szCs w:val="20"/>
              </w:rPr>
            </w:pPr>
            <w:r>
              <w:rPr>
                <w:rFonts w:cs="Arial"/>
                <w:color w:val="000000"/>
                <w:szCs w:val="20"/>
              </w:rPr>
              <w:t xml:space="preserve">Moderate. </w:t>
            </w:r>
            <w:r w:rsidRPr="00032C1F">
              <w:rPr>
                <w:rFonts w:cs="Arial"/>
                <w:color w:val="000000"/>
                <w:szCs w:val="20"/>
              </w:rPr>
              <w:t>Chlorine system would be continuously operated and would require more frequent chemical deliveries</w:t>
            </w:r>
            <w:r>
              <w:rPr>
                <w:rFonts w:cs="Arial"/>
                <w:color w:val="000000"/>
                <w:szCs w:val="20"/>
              </w:rPr>
              <w:t>. Chlorine residual monitoring</w:t>
            </w:r>
          </w:p>
        </w:tc>
        <w:tc>
          <w:tcPr>
            <w:tcW w:w="1529" w:type="dxa"/>
            <w:tcBorders>
              <w:top w:val="nil"/>
              <w:left w:val="nil"/>
              <w:bottom w:val="single" w:sz="4" w:space="0" w:color="auto"/>
              <w:right w:val="single" w:sz="4" w:space="0" w:color="auto"/>
            </w:tcBorders>
          </w:tcPr>
          <w:p w14:paraId="1AA64DC2" w14:textId="0190584A" w:rsidR="006D09E3" w:rsidRDefault="00213D5B">
            <w:pPr>
              <w:spacing w:before="0" w:after="0"/>
              <w:rPr>
                <w:rFonts w:cs="Arial"/>
                <w:color w:val="000000"/>
                <w:szCs w:val="20"/>
              </w:rPr>
            </w:pPr>
            <w:r>
              <w:rPr>
                <w:rFonts w:cs="Arial"/>
                <w:color w:val="000000"/>
                <w:szCs w:val="20"/>
              </w:rPr>
              <w:t>$</w:t>
            </w:r>
            <w:r w:rsidR="007C292B">
              <w:rPr>
                <w:rFonts w:cs="Arial"/>
                <w:color w:val="000000"/>
                <w:szCs w:val="20"/>
              </w:rPr>
              <w:t>257,300</w:t>
            </w:r>
          </w:p>
        </w:tc>
        <w:tc>
          <w:tcPr>
            <w:tcW w:w="1529" w:type="dxa"/>
            <w:tcBorders>
              <w:top w:val="nil"/>
              <w:left w:val="nil"/>
              <w:bottom w:val="single" w:sz="4" w:space="0" w:color="auto"/>
              <w:right w:val="single" w:sz="4" w:space="0" w:color="auto"/>
            </w:tcBorders>
          </w:tcPr>
          <w:p w14:paraId="7901C8B1" w14:textId="198ABE42" w:rsidR="006D09E3" w:rsidRDefault="002B17CF" w:rsidP="001E6FCC">
            <w:pPr>
              <w:spacing w:before="0" w:after="0"/>
              <w:rPr>
                <w:rFonts w:cs="Arial"/>
                <w:color w:val="000000"/>
                <w:szCs w:val="20"/>
              </w:rPr>
            </w:pPr>
            <w:r>
              <w:rPr>
                <w:rFonts w:cs="Arial"/>
                <w:color w:val="000000"/>
                <w:szCs w:val="20"/>
              </w:rPr>
              <w:t>$</w:t>
            </w:r>
            <w:r w:rsidR="007C292B">
              <w:rPr>
                <w:rFonts w:cs="Arial"/>
                <w:color w:val="000000"/>
                <w:szCs w:val="20"/>
              </w:rPr>
              <w:t>63,300</w:t>
            </w:r>
            <w:r w:rsidR="001E6FCC">
              <w:rPr>
                <w:rFonts w:cs="Arial"/>
                <w:color w:val="000000"/>
                <w:szCs w:val="20"/>
              </w:rPr>
              <w:t xml:space="preserve"> – disregards any costs incurred for damaged laundry and fixture staining</w:t>
            </w:r>
          </w:p>
        </w:tc>
        <w:tc>
          <w:tcPr>
            <w:tcW w:w="1529" w:type="dxa"/>
            <w:tcBorders>
              <w:top w:val="nil"/>
              <w:left w:val="nil"/>
              <w:bottom w:val="single" w:sz="4" w:space="0" w:color="auto"/>
              <w:right w:val="single" w:sz="4" w:space="0" w:color="auto"/>
            </w:tcBorders>
          </w:tcPr>
          <w:p w14:paraId="547D1780" w14:textId="79A58D5E" w:rsidR="006D09E3" w:rsidRDefault="002B17CF">
            <w:pPr>
              <w:spacing w:before="0" w:after="0"/>
              <w:rPr>
                <w:rFonts w:cs="Arial"/>
                <w:color w:val="000000"/>
                <w:szCs w:val="20"/>
              </w:rPr>
            </w:pPr>
            <w:r>
              <w:rPr>
                <w:rFonts w:cs="Arial"/>
                <w:color w:val="000000"/>
                <w:szCs w:val="20"/>
              </w:rPr>
              <w:t>$</w:t>
            </w:r>
            <w:r w:rsidR="007C292B">
              <w:rPr>
                <w:rFonts w:cs="Arial"/>
                <w:color w:val="000000"/>
                <w:szCs w:val="20"/>
              </w:rPr>
              <w:t>946,700</w:t>
            </w:r>
            <w:r w:rsidR="001E6FCC">
              <w:rPr>
                <w:rFonts w:cs="Arial"/>
                <w:color w:val="000000"/>
                <w:szCs w:val="20"/>
              </w:rPr>
              <w:t xml:space="preserve"> – disregards any costs incurred for damaged laundry and fixture staining</w:t>
            </w:r>
          </w:p>
        </w:tc>
      </w:tr>
      <w:tr w:rsidR="006D09E3" w:rsidRPr="00032C1F" w14:paraId="5B924B95" w14:textId="77777777" w:rsidTr="002C1C59">
        <w:trPr>
          <w:trHeight w:val="975"/>
        </w:trPr>
        <w:tc>
          <w:tcPr>
            <w:tcW w:w="1953" w:type="dxa"/>
            <w:tcBorders>
              <w:top w:val="nil"/>
              <w:left w:val="single" w:sz="4" w:space="0" w:color="auto"/>
              <w:bottom w:val="single" w:sz="4" w:space="0" w:color="auto"/>
              <w:right w:val="single" w:sz="4" w:space="0" w:color="auto"/>
            </w:tcBorders>
            <w:shd w:val="clear" w:color="auto" w:fill="auto"/>
            <w:noWrap/>
            <w:hideMark/>
          </w:tcPr>
          <w:p w14:paraId="104150BB" w14:textId="6FD3EA85" w:rsidR="006D09E3" w:rsidRPr="00032C1F" w:rsidRDefault="004B422C" w:rsidP="00FD64DA">
            <w:pPr>
              <w:spacing w:before="0" w:after="0"/>
              <w:rPr>
                <w:rFonts w:cs="Arial"/>
                <w:color w:val="000000"/>
                <w:szCs w:val="20"/>
              </w:rPr>
            </w:pPr>
            <w:r>
              <w:rPr>
                <w:rFonts w:cs="Arial"/>
                <w:color w:val="000000"/>
                <w:szCs w:val="20"/>
              </w:rPr>
              <w:t>Constant Chlorination with G</w:t>
            </w:r>
            <w:r w:rsidRPr="00E47C64">
              <w:rPr>
                <w:rFonts w:cs="Arial"/>
                <w:color w:val="000000"/>
                <w:szCs w:val="20"/>
              </w:rPr>
              <w:t>reensand</w:t>
            </w:r>
            <w:r>
              <w:rPr>
                <w:rFonts w:cs="Arial"/>
                <w:color w:val="000000"/>
                <w:szCs w:val="20"/>
              </w:rPr>
              <w:t xml:space="preserve"> or Pyrolusite F</w:t>
            </w:r>
            <w:r w:rsidRPr="00E47C64">
              <w:rPr>
                <w:rFonts w:cs="Arial"/>
                <w:color w:val="000000"/>
                <w:szCs w:val="20"/>
              </w:rPr>
              <w:t>ilters</w:t>
            </w:r>
          </w:p>
        </w:tc>
        <w:tc>
          <w:tcPr>
            <w:tcW w:w="1807" w:type="dxa"/>
            <w:tcBorders>
              <w:top w:val="nil"/>
              <w:left w:val="nil"/>
              <w:bottom w:val="single" w:sz="4" w:space="0" w:color="auto"/>
              <w:right w:val="single" w:sz="4" w:space="0" w:color="auto"/>
            </w:tcBorders>
            <w:shd w:val="clear" w:color="auto" w:fill="auto"/>
            <w:hideMark/>
          </w:tcPr>
          <w:p w14:paraId="34C2BDDF" w14:textId="77777777" w:rsidR="006D09E3" w:rsidRPr="00032C1F" w:rsidRDefault="006D09E3" w:rsidP="00FD64DA">
            <w:pPr>
              <w:spacing w:before="0" w:after="0"/>
              <w:rPr>
                <w:rFonts w:cs="Arial"/>
                <w:color w:val="000000"/>
                <w:szCs w:val="20"/>
              </w:rPr>
            </w:pPr>
            <w:r w:rsidRPr="00032C1F">
              <w:rPr>
                <w:rFonts w:cs="Arial"/>
                <w:color w:val="000000"/>
                <w:szCs w:val="20"/>
              </w:rPr>
              <w:t>Would require a new filtration building to be ins</w:t>
            </w:r>
            <w:r>
              <w:rPr>
                <w:rFonts w:cs="Arial"/>
                <w:color w:val="000000"/>
                <w:szCs w:val="20"/>
              </w:rPr>
              <w:t>talled with a larger footprint</w:t>
            </w:r>
          </w:p>
        </w:tc>
        <w:tc>
          <w:tcPr>
            <w:tcW w:w="1956" w:type="dxa"/>
            <w:tcBorders>
              <w:top w:val="nil"/>
              <w:left w:val="nil"/>
              <w:bottom w:val="single" w:sz="4" w:space="0" w:color="auto"/>
              <w:right w:val="single" w:sz="4" w:space="0" w:color="auto"/>
            </w:tcBorders>
            <w:shd w:val="clear" w:color="auto" w:fill="auto"/>
            <w:hideMark/>
          </w:tcPr>
          <w:p w14:paraId="2DFAE6BC" w14:textId="77777777" w:rsidR="006D09E3" w:rsidRPr="00032C1F" w:rsidRDefault="006D09E3" w:rsidP="00206630">
            <w:pPr>
              <w:spacing w:before="0" w:after="0"/>
              <w:rPr>
                <w:rFonts w:cs="Arial"/>
                <w:color w:val="000000"/>
                <w:szCs w:val="20"/>
              </w:rPr>
            </w:pPr>
            <w:r w:rsidRPr="00032C1F">
              <w:rPr>
                <w:rFonts w:cs="Arial"/>
                <w:color w:val="000000"/>
                <w:szCs w:val="20"/>
              </w:rPr>
              <w:t>M</w:t>
            </w:r>
            <w:r>
              <w:rPr>
                <w:rFonts w:cs="Arial"/>
                <w:color w:val="000000"/>
                <w:szCs w:val="20"/>
              </w:rPr>
              <w:t>oderate</w:t>
            </w:r>
            <w:r w:rsidRPr="00032C1F">
              <w:rPr>
                <w:rFonts w:cs="Arial"/>
                <w:color w:val="000000"/>
                <w:szCs w:val="20"/>
              </w:rPr>
              <w:t>. Requir</w:t>
            </w:r>
            <w:r>
              <w:rPr>
                <w:rFonts w:cs="Arial"/>
                <w:color w:val="000000"/>
                <w:szCs w:val="20"/>
              </w:rPr>
              <w:t>es chlorine system. M</w:t>
            </w:r>
            <w:r w:rsidRPr="00032C1F">
              <w:rPr>
                <w:rFonts w:cs="Arial"/>
                <w:color w:val="000000"/>
                <w:szCs w:val="20"/>
              </w:rPr>
              <w:t>edia repl</w:t>
            </w:r>
            <w:r>
              <w:rPr>
                <w:rFonts w:cs="Arial"/>
                <w:color w:val="000000"/>
                <w:szCs w:val="20"/>
              </w:rPr>
              <w:t>acement and routine maintenance</w:t>
            </w:r>
            <w:r w:rsidRPr="00032C1F">
              <w:rPr>
                <w:rFonts w:cs="Arial"/>
                <w:color w:val="000000"/>
                <w:szCs w:val="20"/>
              </w:rPr>
              <w:t xml:space="preserve"> </w:t>
            </w:r>
          </w:p>
        </w:tc>
        <w:tc>
          <w:tcPr>
            <w:tcW w:w="1529" w:type="dxa"/>
            <w:tcBorders>
              <w:top w:val="nil"/>
              <w:left w:val="nil"/>
              <w:bottom w:val="single" w:sz="4" w:space="0" w:color="auto"/>
              <w:right w:val="single" w:sz="4" w:space="0" w:color="auto"/>
            </w:tcBorders>
          </w:tcPr>
          <w:p w14:paraId="7CF7F36C" w14:textId="1997C429" w:rsidR="006D09E3" w:rsidRPr="00032C1F" w:rsidRDefault="006D09E3">
            <w:pPr>
              <w:spacing w:before="0" w:after="0"/>
              <w:rPr>
                <w:rFonts w:cs="Arial"/>
                <w:color w:val="000000"/>
                <w:szCs w:val="20"/>
              </w:rPr>
            </w:pPr>
            <w:r>
              <w:rPr>
                <w:rFonts w:cs="Arial"/>
                <w:color w:val="000000"/>
                <w:szCs w:val="20"/>
              </w:rPr>
              <w:t xml:space="preserve"> </w:t>
            </w:r>
            <w:r w:rsidR="002B17CF">
              <w:rPr>
                <w:rFonts w:cs="Arial"/>
                <w:color w:val="000000"/>
                <w:szCs w:val="20"/>
              </w:rPr>
              <w:t>$1,667,800</w:t>
            </w:r>
          </w:p>
        </w:tc>
        <w:tc>
          <w:tcPr>
            <w:tcW w:w="1529" w:type="dxa"/>
            <w:tcBorders>
              <w:top w:val="nil"/>
              <w:left w:val="nil"/>
              <w:bottom w:val="single" w:sz="4" w:space="0" w:color="auto"/>
              <w:right w:val="single" w:sz="4" w:space="0" w:color="auto"/>
            </w:tcBorders>
          </w:tcPr>
          <w:p w14:paraId="4F426D98" w14:textId="19429B4D" w:rsidR="006D09E3" w:rsidRDefault="00213D5B">
            <w:pPr>
              <w:spacing w:before="0" w:after="0"/>
              <w:rPr>
                <w:rFonts w:cs="Arial"/>
                <w:color w:val="000000"/>
                <w:szCs w:val="20"/>
              </w:rPr>
            </w:pPr>
            <w:r>
              <w:rPr>
                <w:rFonts w:cs="Arial"/>
                <w:color w:val="000000"/>
                <w:szCs w:val="20"/>
              </w:rPr>
              <w:t>$112</w:t>
            </w:r>
            <w:r w:rsidR="002B17CF">
              <w:rPr>
                <w:rFonts w:cs="Arial"/>
                <w:color w:val="000000"/>
                <w:szCs w:val="20"/>
              </w:rPr>
              <w:t>,</w:t>
            </w:r>
            <w:r>
              <w:rPr>
                <w:rFonts w:cs="Arial"/>
                <w:color w:val="000000"/>
                <w:szCs w:val="20"/>
              </w:rPr>
              <w:t>600</w:t>
            </w:r>
          </w:p>
        </w:tc>
        <w:tc>
          <w:tcPr>
            <w:tcW w:w="1529" w:type="dxa"/>
            <w:tcBorders>
              <w:top w:val="nil"/>
              <w:left w:val="nil"/>
              <w:bottom w:val="single" w:sz="4" w:space="0" w:color="auto"/>
              <w:right w:val="single" w:sz="4" w:space="0" w:color="auto"/>
            </w:tcBorders>
          </w:tcPr>
          <w:p w14:paraId="427347B2" w14:textId="10F1706E" w:rsidR="006D09E3" w:rsidRDefault="002B17CF">
            <w:pPr>
              <w:spacing w:before="0" w:after="0"/>
              <w:rPr>
                <w:rFonts w:cs="Arial"/>
                <w:color w:val="000000"/>
                <w:szCs w:val="20"/>
              </w:rPr>
            </w:pPr>
            <w:r>
              <w:rPr>
                <w:rFonts w:cs="Arial"/>
                <w:color w:val="000000"/>
                <w:szCs w:val="20"/>
              </w:rPr>
              <w:t>$</w:t>
            </w:r>
            <w:r w:rsidR="00213D5B">
              <w:rPr>
                <w:rFonts w:cs="Arial"/>
                <w:color w:val="000000"/>
                <w:szCs w:val="20"/>
              </w:rPr>
              <w:t>2</w:t>
            </w:r>
            <w:r>
              <w:rPr>
                <w:rFonts w:cs="Arial"/>
                <w:color w:val="000000"/>
                <w:szCs w:val="20"/>
              </w:rPr>
              <w:t>,</w:t>
            </w:r>
            <w:r w:rsidR="00213D5B">
              <w:rPr>
                <w:rFonts w:cs="Arial"/>
                <w:color w:val="000000"/>
                <w:szCs w:val="20"/>
              </w:rPr>
              <w:t>893</w:t>
            </w:r>
            <w:r>
              <w:rPr>
                <w:rFonts w:cs="Arial"/>
                <w:color w:val="000000"/>
                <w:szCs w:val="20"/>
              </w:rPr>
              <w:t>,</w:t>
            </w:r>
            <w:r w:rsidR="00213D5B">
              <w:rPr>
                <w:rFonts w:cs="Arial"/>
                <w:color w:val="000000"/>
                <w:szCs w:val="20"/>
              </w:rPr>
              <w:t>9</w:t>
            </w:r>
            <w:r>
              <w:rPr>
                <w:rFonts w:cs="Arial"/>
                <w:color w:val="000000"/>
                <w:szCs w:val="20"/>
              </w:rPr>
              <w:t>00</w:t>
            </w:r>
          </w:p>
        </w:tc>
      </w:tr>
      <w:tr w:rsidR="002C1C59" w:rsidRPr="00032C1F" w14:paraId="30588DEC" w14:textId="77777777" w:rsidTr="00AB522E">
        <w:trPr>
          <w:trHeight w:val="975"/>
        </w:trPr>
        <w:tc>
          <w:tcPr>
            <w:tcW w:w="10303" w:type="dxa"/>
            <w:gridSpan w:val="6"/>
            <w:tcBorders>
              <w:top w:val="single" w:sz="4" w:space="0" w:color="auto"/>
            </w:tcBorders>
            <w:shd w:val="clear" w:color="auto" w:fill="auto"/>
            <w:noWrap/>
          </w:tcPr>
          <w:p w14:paraId="1A88812D" w14:textId="77777777" w:rsidR="002C1C59" w:rsidRDefault="002C1C59" w:rsidP="00FD64DA">
            <w:pPr>
              <w:spacing w:before="0" w:after="0"/>
              <w:rPr>
                <w:rFonts w:cs="Arial"/>
                <w:color w:val="000000"/>
                <w:szCs w:val="20"/>
              </w:rPr>
            </w:pPr>
          </w:p>
          <w:p w14:paraId="3C4EA68F" w14:textId="77777777" w:rsidR="002C1C59" w:rsidRDefault="002C1C59">
            <w:pPr>
              <w:spacing w:before="0" w:after="0"/>
              <w:rPr>
                <w:rFonts w:cs="Arial"/>
                <w:color w:val="000000"/>
                <w:szCs w:val="20"/>
              </w:rPr>
            </w:pPr>
          </w:p>
        </w:tc>
      </w:tr>
    </w:tbl>
    <w:p w14:paraId="0345712C" w14:textId="7BB3CB7D" w:rsidR="00604202" w:rsidRDefault="00B527B5" w:rsidP="00B527B5">
      <w:pPr>
        <w:pStyle w:val="BlankPage"/>
        <w:numPr>
          <w:ilvl w:val="0"/>
          <w:numId w:val="0"/>
        </w:numPr>
        <w:contextualSpacing/>
        <w:jc w:val="left"/>
      </w:pPr>
      <w:r>
        <w:lastRenderedPageBreak/>
        <w:t xml:space="preserve">All treatment options discussed above, with the exception of the Option 1, will reduce the occurrence of </w:t>
      </w:r>
      <w:r w:rsidR="00A752EB">
        <w:t>coliform hits thr</w:t>
      </w:r>
      <w:r w:rsidR="00E97A90">
        <w:t>oughout the distribution system</w:t>
      </w:r>
      <w:r w:rsidR="00A752EB">
        <w:t>. Option 2 does not provide a long-term solution for preventing coliform occurrences in the distribution system</w:t>
      </w:r>
      <w:r w:rsidR="00FF4F74">
        <w:t xml:space="preserve">, but will provide a short-term solution that will </w:t>
      </w:r>
      <w:r w:rsidR="00D1132A">
        <w:t xml:space="preserve">temporarily </w:t>
      </w:r>
      <w:r w:rsidR="00FF4F74">
        <w:t>kill off bacteria each time the system is chlorinated</w:t>
      </w:r>
      <w:r w:rsidR="00A752EB">
        <w:t xml:space="preserve">. </w:t>
      </w:r>
      <w:r w:rsidR="00E97A90">
        <w:t xml:space="preserve">Both Option 1 and Option 2 have a very high risk associated with them. </w:t>
      </w:r>
    </w:p>
    <w:p w14:paraId="711ED098" w14:textId="77777777" w:rsidR="00604202" w:rsidRDefault="00604202" w:rsidP="00B527B5">
      <w:pPr>
        <w:pStyle w:val="BlankPage"/>
        <w:numPr>
          <w:ilvl w:val="0"/>
          <w:numId w:val="0"/>
        </w:numPr>
        <w:contextualSpacing/>
        <w:jc w:val="left"/>
      </w:pPr>
    </w:p>
    <w:p w14:paraId="5DC3C830" w14:textId="650F29A6" w:rsidR="001F2211" w:rsidRDefault="00A752EB" w:rsidP="00B527B5">
      <w:pPr>
        <w:pStyle w:val="BlankPage"/>
        <w:numPr>
          <w:ilvl w:val="0"/>
          <w:numId w:val="0"/>
        </w:numPr>
        <w:contextualSpacing/>
        <w:jc w:val="left"/>
      </w:pPr>
      <w:r>
        <w:t>Option 3</w:t>
      </w:r>
      <w:r w:rsidR="00BB6702">
        <w:t xml:space="preserve"> provides a long-term treatment solution and</w:t>
      </w:r>
      <w:r>
        <w:t xml:space="preserve"> will prevent coliform occurrences in the distribution system, however, due to high manganese concentrations in Well 14 and 16, there is a </w:t>
      </w:r>
      <w:r w:rsidR="00BB6702">
        <w:t>strong</w:t>
      </w:r>
      <w:r>
        <w:t xml:space="preserve"> likelihood that water discoloration will occur</w:t>
      </w:r>
      <w:r w:rsidR="00FF4F74">
        <w:t xml:space="preserve"> in the distribution system</w:t>
      </w:r>
      <w:r>
        <w:t>, which may lead to increase</w:t>
      </w:r>
      <w:r w:rsidR="00BE2F10">
        <w:t>d</w:t>
      </w:r>
      <w:r>
        <w:t xml:space="preserve"> customer complaints</w:t>
      </w:r>
      <w:r w:rsidR="00D1132A">
        <w:t xml:space="preserve"> and damages</w:t>
      </w:r>
      <w:r>
        <w:t>. Option 4 provide</w:t>
      </w:r>
      <w:r w:rsidR="001F2211">
        <w:t>s</w:t>
      </w:r>
      <w:r>
        <w:t xml:space="preserve"> long-term treatment to prevent the growth and re-growth of coliform in the distribution</w:t>
      </w:r>
      <w:r w:rsidR="00BB6702">
        <w:t xml:space="preserve"> system. However, </w:t>
      </w:r>
      <w:r w:rsidR="001F2211">
        <w:t>due to</w:t>
      </w:r>
      <w:r w:rsidR="00BE2F10">
        <w:t xml:space="preserve"> limitations with sequestrant</w:t>
      </w:r>
      <w:r w:rsidR="001F2211">
        <w:t xml:space="preserve"> </w:t>
      </w:r>
      <w:r w:rsidR="00BE2F10">
        <w:t xml:space="preserve">and </w:t>
      </w:r>
      <w:r w:rsidR="001F2211">
        <w:t xml:space="preserve">long water age </w:t>
      </w:r>
      <w:r w:rsidR="00E97A90">
        <w:t xml:space="preserve">throughout the </w:t>
      </w:r>
      <w:r w:rsidR="001F2211">
        <w:t>system, wate</w:t>
      </w:r>
      <w:r w:rsidR="00BE2F10">
        <w:t>r discoloration issues</w:t>
      </w:r>
      <w:r w:rsidR="00D1132A">
        <w:t xml:space="preserve"> and risk of complaints and damages will still exist</w:t>
      </w:r>
      <w:r w:rsidR="00BE2F10">
        <w:t>. When water usage is higher during summer months, water age will not</w:t>
      </w:r>
      <w:r w:rsidR="00890B45">
        <w:t xml:space="preserve"> pose as much of an issue as it would in </w:t>
      </w:r>
      <w:r w:rsidR="00BE2F10">
        <w:t>the winter</w:t>
      </w:r>
      <w:r w:rsidR="002E2566">
        <w:t xml:space="preserve"> season</w:t>
      </w:r>
      <w:r w:rsidR="00BE2F10">
        <w:t xml:space="preserve"> when water age is much longer causing the sequestrant to become </w:t>
      </w:r>
      <w:r w:rsidR="00D1132A">
        <w:t xml:space="preserve">effectively useless for </w:t>
      </w:r>
      <w:r w:rsidR="00BE2F10">
        <w:t xml:space="preserve">much of the distribution system. </w:t>
      </w:r>
      <w:r w:rsidR="00604202">
        <w:t xml:space="preserve">There is a high risk associated with Options 3 and 4 due </w:t>
      </w:r>
      <w:r w:rsidR="00E97A90">
        <w:t>to water discoloration events that could impact a large number of</w:t>
      </w:r>
      <w:r w:rsidR="00604202">
        <w:t xml:space="preserve"> customers throughout the service area. </w:t>
      </w:r>
    </w:p>
    <w:p w14:paraId="50440FB8" w14:textId="77777777" w:rsidR="001F2211" w:rsidRDefault="001F2211" w:rsidP="00B527B5">
      <w:pPr>
        <w:pStyle w:val="BlankPage"/>
        <w:numPr>
          <w:ilvl w:val="0"/>
          <w:numId w:val="0"/>
        </w:numPr>
        <w:contextualSpacing/>
        <w:jc w:val="left"/>
      </w:pPr>
    </w:p>
    <w:p w14:paraId="28AC81B9" w14:textId="63431E94" w:rsidR="00FA0B1D" w:rsidRDefault="00BE2F10" w:rsidP="00B527B5">
      <w:pPr>
        <w:pStyle w:val="BlankPage"/>
        <w:numPr>
          <w:ilvl w:val="0"/>
          <w:numId w:val="0"/>
        </w:numPr>
        <w:contextualSpacing/>
        <w:jc w:val="left"/>
      </w:pPr>
      <w:r>
        <w:t>Option 5 would be the most effective long-term treatment option to prevent growth and prevent aesthetic water quality issues throughout the distribution system as it would significantly decrease manganese c</w:t>
      </w:r>
      <w:r w:rsidR="004B422C">
        <w:t>oncentration</w:t>
      </w:r>
      <w:r w:rsidR="00890B45">
        <w:t>s</w:t>
      </w:r>
      <w:r w:rsidR="004B422C">
        <w:t xml:space="preserve"> in Well 14 and 16.</w:t>
      </w:r>
      <w:r w:rsidR="00322E49">
        <w:t xml:space="preserve"> </w:t>
      </w:r>
      <w:r w:rsidR="002E2566">
        <w:t xml:space="preserve"> An ancillary benefit to the manganese filtration system is that it will also be capable of reducing arsenic concentrations, which would allow the operating capacity of Well 14 to be increased. Further, the system could be designed to be expanded to treat any additional water supplies in the future. </w:t>
      </w:r>
      <w:r w:rsidR="00322E49">
        <w:t>OWSI has been preparing to install a treatment system for manganese removal as part of the water system improvements required to address the deficiencies identified in their</w:t>
      </w:r>
      <w:r w:rsidR="00BF669B">
        <w:t xml:space="preserve"> Water System Plan</w:t>
      </w:r>
      <w:r w:rsidR="00322E49">
        <w:t xml:space="preserve">.  </w:t>
      </w:r>
    </w:p>
    <w:p w14:paraId="65C8A7A4" w14:textId="77777777" w:rsidR="00B85E5A" w:rsidRDefault="00B85E5A" w:rsidP="00B527B5">
      <w:pPr>
        <w:pStyle w:val="BlankPage"/>
        <w:numPr>
          <w:ilvl w:val="0"/>
          <w:numId w:val="0"/>
        </w:numPr>
        <w:contextualSpacing/>
        <w:jc w:val="left"/>
      </w:pPr>
    </w:p>
    <w:p w14:paraId="00D196FC" w14:textId="77777777" w:rsidR="00B85E5A" w:rsidRDefault="00B85E5A" w:rsidP="00B85E5A">
      <w:pPr>
        <w:pStyle w:val="Heading1"/>
      </w:pPr>
      <w:r>
        <w:t>Treatment for Service Zone A</w:t>
      </w:r>
    </w:p>
    <w:p w14:paraId="0399FC85" w14:textId="68B0E847" w:rsidR="00B85E5A" w:rsidRPr="00FA0B1D" w:rsidRDefault="00B85E5A" w:rsidP="00B85E5A">
      <w:pPr>
        <w:pStyle w:val="BodyText"/>
      </w:pPr>
      <w:r>
        <w:t xml:space="preserve">The well sites in Service Zone A </w:t>
      </w:r>
      <w:r w:rsidR="00AB522E">
        <w:t>will need</w:t>
      </w:r>
      <w:r>
        <w:t xml:space="preserve"> to be modified to incorporate chlorination</w:t>
      </w:r>
      <w:r w:rsidR="00AB522E">
        <w:t xml:space="preserve"> if Zone B becomes chlorinated</w:t>
      </w:r>
      <w:r>
        <w:t>. Currently, Well 2 and Well 3 are treated to remove iron and manganese using greensand filters. Due to the existing treatment at each of the wells in Service Zone A, there is no additional treatment that w</w:t>
      </w:r>
      <w:r w:rsidR="00D44186">
        <w:t>ill</w:t>
      </w:r>
      <w:r>
        <w:t xml:space="preserve"> be required in addition to chlorination. Each of the three we</w:t>
      </w:r>
      <w:r w:rsidR="00896011">
        <w:t>ll houses in Service Zone A w</w:t>
      </w:r>
      <w:r w:rsidR="00D44186">
        <w:t>ill</w:t>
      </w:r>
      <w:r>
        <w:t xml:space="preserve"> require a new chemical feed system that will be installed in the existing buildings</w:t>
      </w:r>
      <w:r w:rsidR="00896011">
        <w:t xml:space="preserve">. The chemical feed system </w:t>
      </w:r>
      <w:r w:rsidR="00D44186">
        <w:t>will</w:t>
      </w:r>
      <w:r w:rsidR="00896011">
        <w:t xml:space="preserve"> </w:t>
      </w:r>
      <w:r>
        <w:t xml:space="preserve">consist of two chemical feed pumps, chemical storage drums, and a chlorine analyzer along with the associated controls. </w:t>
      </w:r>
      <w:r>
        <w:fldChar w:fldCharType="begin"/>
      </w:r>
      <w:r>
        <w:instrText xml:space="preserve"> REF _Ref2943272 \h </w:instrText>
      </w:r>
      <w:r>
        <w:fldChar w:fldCharType="separate"/>
      </w:r>
      <w:r w:rsidR="00032D31">
        <w:t xml:space="preserve">Table </w:t>
      </w:r>
      <w:r w:rsidR="00032D31">
        <w:rPr>
          <w:noProof/>
        </w:rPr>
        <w:t>3</w:t>
      </w:r>
      <w:r>
        <w:fldChar w:fldCharType="end"/>
      </w:r>
      <w:r>
        <w:t xml:space="preserve"> presents the associated costs for each of the chlorination systems</w:t>
      </w:r>
      <w:r w:rsidR="00203B62">
        <w:t>.</w:t>
      </w:r>
      <w:r>
        <w:t xml:space="preserve"> </w:t>
      </w:r>
    </w:p>
    <w:p w14:paraId="45792BEC" w14:textId="3794F612" w:rsidR="00B85E5A" w:rsidRPr="005825B5" w:rsidRDefault="00B85E5A" w:rsidP="00B85E5A">
      <w:pPr>
        <w:pStyle w:val="Caption"/>
      </w:pPr>
      <w:bookmarkStart w:id="5" w:name="_Ref2943272"/>
      <w:r>
        <w:t xml:space="preserve">Table </w:t>
      </w:r>
      <w:r>
        <w:rPr>
          <w:noProof/>
        </w:rPr>
        <w:fldChar w:fldCharType="begin"/>
      </w:r>
      <w:r>
        <w:rPr>
          <w:noProof/>
        </w:rPr>
        <w:instrText xml:space="preserve"> SEQ Table \* ARABIC </w:instrText>
      </w:r>
      <w:r>
        <w:rPr>
          <w:noProof/>
        </w:rPr>
        <w:fldChar w:fldCharType="separate"/>
      </w:r>
      <w:r w:rsidR="00032D31">
        <w:rPr>
          <w:noProof/>
        </w:rPr>
        <w:t>3</w:t>
      </w:r>
      <w:r>
        <w:rPr>
          <w:noProof/>
        </w:rPr>
        <w:fldChar w:fldCharType="end"/>
      </w:r>
      <w:bookmarkEnd w:id="5"/>
      <w:r w:rsidR="00203B62">
        <w:t xml:space="preserve">. </w:t>
      </w:r>
      <w:r>
        <w:t>Summary of Options Implementation in Service Zone A</w:t>
      </w:r>
    </w:p>
    <w:tbl>
      <w:tblPr>
        <w:tblW w:w="7502" w:type="dxa"/>
        <w:jc w:val="center"/>
        <w:tblLook w:val="04A0" w:firstRow="1" w:lastRow="0" w:firstColumn="1" w:lastColumn="0" w:noHBand="0" w:noVBand="1"/>
      </w:tblPr>
      <w:tblGrid>
        <w:gridCol w:w="2563"/>
        <w:gridCol w:w="2372"/>
        <w:gridCol w:w="2567"/>
      </w:tblGrid>
      <w:tr w:rsidR="00B85E5A" w:rsidRPr="00032C1F" w14:paraId="0F5DA969" w14:textId="77777777" w:rsidTr="00203B62">
        <w:trPr>
          <w:trHeight w:val="478"/>
          <w:jc w:val="center"/>
        </w:trPr>
        <w:tc>
          <w:tcPr>
            <w:tcW w:w="2563" w:type="dxa"/>
            <w:tcBorders>
              <w:top w:val="single" w:sz="4" w:space="0" w:color="auto"/>
              <w:left w:val="single" w:sz="4" w:space="0" w:color="auto"/>
              <w:bottom w:val="single" w:sz="4" w:space="0" w:color="auto"/>
              <w:right w:val="single" w:sz="4" w:space="0" w:color="auto"/>
            </w:tcBorders>
            <w:shd w:val="clear" w:color="000000" w:fill="D0CECE"/>
            <w:noWrap/>
          </w:tcPr>
          <w:p w14:paraId="5496C526" w14:textId="77777777" w:rsidR="00B85E5A" w:rsidRPr="00032C1F" w:rsidRDefault="00B85E5A" w:rsidP="00AB522E">
            <w:pPr>
              <w:spacing w:before="0" w:after="0"/>
              <w:rPr>
                <w:rFonts w:cs="Arial"/>
                <w:b/>
                <w:bCs/>
                <w:color w:val="000000"/>
                <w:szCs w:val="20"/>
              </w:rPr>
            </w:pPr>
            <w:r>
              <w:rPr>
                <w:rFonts w:cs="Arial"/>
                <w:b/>
                <w:bCs/>
                <w:color w:val="000000"/>
                <w:szCs w:val="20"/>
              </w:rPr>
              <w:t xml:space="preserve">Groundwater Source </w:t>
            </w:r>
          </w:p>
        </w:tc>
        <w:tc>
          <w:tcPr>
            <w:tcW w:w="2372" w:type="dxa"/>
            <w:tcBorders>
              <w:top w:val="single" w:sz="4" w:space="0" w:color="auto"/>
              <w:left w:val="nil"/>
              <w:bottom w:val="single" w:sz="4" w:space="0" w:color="auto"/>
              <w:right w:val="single" w:sz="4" w:space="0" w:color="auto"/>
            </w:tcBorders>
            <w:shd w:val="clear" w:color="000000" w:fill="D0CECE"/>
          </w:tcPr>
          <w:p w14:paraId="3716172D" w14:textId="77777777" w:rsidR="00B85E5A" w:rsidRPr="00032C1F" w:rsidRDefault="00B85E5A" w:rsidP="00AB522E">
            <w:pPr>
              <w:spacing w:before="0" w:after="0"/>
              <w:rPr>
                <w:rFonts w:cs="Arial"/>
                <w:b/>
                <w:bCs/>
                <w:color w:val="000000"/>
                <w:szCs w:val="20"/>
              </w:rPr>
            </w:pPr>
            <w:r>
              <w:rPr>
                <w:rFonts w:cs="Arial"/>
                <w:b/>
                <w:bCs/>
                <w:color w:val="000000"/>
                <w:szCs w:val="20"/>
              </w:rPr>
              <w:t xml:space="preserve">Capital Cost to Implement </w:t>
            </w:r>
          </w:p>
        </w:tc>
        <w:tc>
          <w:tcPr>
            <w:tcW w:w="2567" w:type="dxa"/>
            <w:tcBorders>
              <w:top w:val="single" w:sz="4" w:space="0" w:color="auto"/>
              <w:left w:val="nil"/>
              <w:bottom w:val="single" w:sz="4" w:space="0" w:color="auto"/>
              <w:right w:val="single" w:sz="4" w:space="0" w:color="auto"/>
            </w:tcBorders>
            <w:shd w:val="clear" w:color="000000" w:fill="D0CECE"/>
          </w:tcPr>
          <w:p w14:paraId="6583E10D" w14:textId="77777777" w:rsidR="00B85E5A" w:rsidRPr="00032C1F" w:rsidRDefault="00B85E5A" w:rsidP="00AB522E">
            <w:pPr>
              <w:spacing w:before="0" w:after="0"/>
              <w:rPr>
                <w:rFonts w:cs="Arial"/>
                <w:b/>
                <w:bCs/>
                <w:color w:val="000000"/>
                <w:szCs w:val="20"/>
              </w:rPr>
            </w:pPr>
            <w:r>
              <w:rPr>
                <w:rFonts w:cs="Arial"/>
                <w:b/>
                <w:bCs/>
                <w:color w:val="000000"/>
                <w:szCs w:val="20"/>
              </w:rPr>
              <w:t xml:space="preserve">Annual Operational Cost </w:t>
            </w:r>
          </w:p>
        </w:tc>
      </w:tr>
      <w:tr w:rsidR="00B85E5A" w:rsidRPr="00032C1F" w14:paraId="49101928" w14:textId="77777777" w:rsidTr="00203B62">
        <w:trPr>
          <w:trHeight w:val="406"/>
          <w:jc w:val="center"/>
        </w:trPr>
        <w:tc>
          <w:tcPr>
            <w:tcW w:w="2563" w:type="dxa"/>
            <w:tcBorders>
              <w:top w:val="nil"/>
              <w:left w:val="single" w:sz="4" w:space="0" w:color="auto"/>
              <w:bottom w:val="single" w:sz="4" w:space="0" w:color="auto"/>
              <w:right w:val="single" w:sz="4" w:space="0" w:color="auto"/>
            </w:tcBorders>
            <w:shd w:val="clear" w:color="auto" w:fill="auto"/>
            <w:noWrap/>
          </w:tcPr>
          <w:p w14:paraId="1738D406" w14:textId="77777777" w:rsidR="00B85E5A" w:rsidRPr="00032C1F" w:rsidRDefault="00B85E5A" w:rsidP="00AB522E">
            <w:pPr>
              <w:spacing w:before="0" w:after="0"/>
              <w:rPr>
                <w:rFonts w:cs="Arial"/>
                <w:color w:val="000000"/>
                <w:szCs w:val="20"/>
              </w:rPr>
            </w:pPr>
            <w:r>
              <w:rPr>
                <w:rFonts w:cs="Arial"/>
                <w:color w:val="000000"/>
                <w:szCs w:val="20"/>
              </w:rPr>
              <w:t xml:space="preserve">Well 2 </w:t>
            </w:r>
          </w:p>
        </w:tc>
        <w:tc>
          <w:tcPr>
            <w:tcW w:w="2372" w:type="dxa"/>
            <w:tcBorders>
              <w:top w:val="nil"/>
              <w:left w:val="nil"/>
              <w:bottom w:val="single" w:sz="4" w:space="0" w:color="auto"/>
              <w:right w:val="single" w:sz="4" w:space="0" w:color="auto"/>
            </w:tcBorders>
            <w:shd w:val="clear" w:color="auto" w:fill="auto"/>
            <w:noWrap/>
          </w:tcPr>
          <w:p w14:paraId="7A2AAA77" w14:textId="77777777" w:rsidR="00B85E5A" w:rsidRPr="00032C1F" w:rsidRDefault="00B85E5A" w:rsidP="00AB522E">
            <w:pPr>
              <w:spacing w:before="0" w:after="0"/>
              <w:rPr>
                <w:rFonts w:cs="Arial"/>
                <w:color w:val="000000"/>
                <w:szCs w:val="20"/>
              </w:rPr>
            </w:pPr>
            <w:r>
              <w:rPr>
                <w:rFonts w:cs="Arial"/>
                <w:color w:val="000000"/>
                <w:szCs w:val="20"/>
              </w:rPr>
              <w:t xml:space="preserve">$62,000 </w:t>
            </w:r>
          </w:p>
        </w:tc>
        <w:tc>
          <w:tcPr>
            <w:tcW w:w="2567" w:type="dxa"/>
            <w:tcBorders>
              <w:top w:val="nil"/>
              <w:left w:val="nil"/>
              <w:bottom w:val="single" w:sz="4" w:space="0" w:color="auto"/>
              <w:right w:val="single" w:sz="4" w:space="0" w:color="auto"/>
            </w:tcBorders>
            <w:shd w:val="clear" w:color="auto" w:fill="auto"/>
            <w:noWrap/>
          </w:tcPr>
          <w:p w14:paraId="51DA9196" w14:textId="45050E27" w:rsidR="00B85E5A" w:rsidRPr="00032C1F" w:rsidRDefault="00D44186" w:rsidP="00AB522E">
            <w:pPr>
              <w:spacing w:before="0" w:after="0"/>
              <w:rPr>
                <w:rFonts w:cs="Arial"/>
                <w:color w:val="000000"/>
                <w:szCs w:val="20"/>
              </w:rPr>
            </w:pPr>
            <w:r>
              <w:rPr>
                <w:rFonts w:cs="Arial"/>
                <w:color w:val="000000"/>
                <w:szCs w:val="20"/>
              </w:rPr>
              <w:t>$38</w:t>
            </w:r>
            <w:r w:rsidR="00B85E5A">
              <w:rPr>
                <w:rFonts w:cs="Arial"/>
                <w:color w:val="000000"/>
                <w:szCs w:val="20"/>
              </w:rPr>
              <w:t xml:space="preserve">,000 </w:t>
            </w:r>
          </w:p>
        </w:tc>
      </w:tr>
      <w:tr w:rsidR="00B85E5A" w:rsidRPr="00032C1F" w14:paraId="3FDA1F6F" w14:textId="77777777" w:rsidTr="00203B62">
        <w:trPr>
          <w:trHeight w:val="858"/>
          <w:jc w:val="center"/>
        </w:trPr>
        <w:tc>
          <w:tcPr>
            <w:tcW w:w="2563" w:type="dxa"/>
            <w:tcBorders>
              <w:top w:val="single" w:sz="4" w:space="0" w:color="auto"/>
              <w:left w:val="single" w:sz="4" w:space="0" w:color="auto"/>
              <w:bottom w:val="single" w:sz="4" w:space="0" w:color="auto"/>
              <w:right w:val="single" w:sz="4" w:space="0" w:color="auto"/>
            </w:tcBorders>
            <w:shd w:val="clear" w:color="auto" w:fill="auto"/>
            <w:noWrap/>
          </w:tcPr>
          <w:p w14:paraId="09A2026E" w14:textId="77777777" w:rsidR="00B85E5A" w:rsidRPr="00032C1F" w:rsidRDefault="00B85E5A" w:rsidP="00AB522E">
            <w:pPr>
              <w:spacing w:before="0" w:after="0"/>
              <w:rPr>
                <w:rFonts w:cs="Arial"/>
                <w:color w:val="000000"/>
                <w:szCs w:val="20"/>
              </w:rPr>
            </w:pPr>
            <w:r>
              <w:rPr>
                <w:rFonts w:cs="Arial"/>
                <w:color w:val="000000"/>
                <w:szCs w:val="20"/>
              </w:rPr>
              <w:t xml:space="preserve">Well 3 </w:t>
            </w:r>
          </w:p>
        </w:tc>
        <w:tc>
          <w:tcPr>
            <w:tcW w:w="2372" w:type="dxa"/>
            <w:tcBorders>
              <w:top w:val="single" w:sz="4" w:space="0" w:color="auto"/>
              <w:left w:val="nil"/>
              <w:bottom w:val="single" w:sz="4" w:space="0" w:color="auto"/>
              <w:right w:val="single" w:sz="4" w:space="0" w:color="auto"/>
            </w:tcBorders>
            <w:shd w:val="clear" w:color="auto" w:fill="auto"/>
          </w:tcPr>
          <w:p w14:paraId="2743E2D8" w14:textId="77777777" w:rsidR="00B85E5A" w:rsidRPr="00032C1F" w:rsidRDefault="00B85E5A" w:rsidP="00AB522E">
            <w:pPr>
              <w:spacing w:before="0" w:after="0"/>
              <w:rPr>
                <w:rFonts w:cs="Arial"/>
                <w:color w:val="000000"/>
                <w:szCs w:val="20"/>
              </w:rPr>
            </w:pPr>
            <w:r>
              <w:rPr>
                <w:rFonts w:cs="Arial"/>
                <w:color w:val="000000"/>
                <w:szCs w:val="20"/>
              </w:rPr>
              <w:t>$62,000</w:t>
            </w:r>
          </w:p>
        </w:tc>
        <w:tc>
          <w:tcPr>
            <w:tcW w:w="2567" w:type="dxa"/>
            <w:tcBorders>
              <w:top w:val="single" w:sz="4" w:space="0" w:color="auto"/>
              <w:left w:val="nil"/>
              <w:bottom w:val="single" w:sz="4" w:space="0" w:color="auto"/>
              <w:right w:val="single" w:sz="4" w:space="0" w:color="auto"/>
            </w:tcBorders>
            <w:shd w:val="clear" w:color="auto" w:fill="auto"/>
          </w:tcPr>
          <w:p w14:paraId="72624ABD" w14:textId="137DFE54" w:rsidR="00B85E5A" w:rsidRPr="00032C1F" w:rsidRDefault="00D44186" w:rsidP="00AB522E">
            <w:pPr>
              <w:spacing w:before="0" w:after="0"/>
              <w:rPr>
                <w:rFonts w:cs="Arial"/>
                <w:color w:val="000000"/>
                <w:szCs w:val="20"/>
              </w:rPr>
            </w:pPr>
            <w:r>
              <w:rPr>
                <w:rFonts w:cs="Arial"/>
                <w:color w:val="000000"/>
                <w:szCs w:val="20"/>
              </w:rPr>
              <w:t>$38</w:t>
            </w:r>
            <w:r w:rsidR="00B85E5A">
              <w:rPr>
                <w:rFonts w:cs="Arial"/>
                <w:color w:val="000000"/>
                <w:szCs w:val="20"/>
              </w:rPr>
              <w:t>,000</w:t>
            </w:r>
          </w:p>
        </w:tc>
      </w:tr>
      <w:tr w:rsidR="00B85E5A" w:rsidRPr="00032C1F" w14:paraId="6A7A16CB" w14:textId="77777777" w:rsidTr="00203B62">
        <w:trPr>
          <w:trHeight w:val="858"/>
          <w:jc w:val="center"/>
        </w:trPr>
        <w:tc>
          <w:tcPr>
            <w:tcW w:w="2563" w:type="dxa"/>
            <w:tcBorders>
              <w:top w:val="single" w:sz="4" w:space="0" w:color="auto"/>
              <w:left w:val="single" w:sz="4" w:space="0" w:color="auto"/>
              <w:bottom w:val="single" w:sz="4" w:space="0" w:color="auto"/>
              <w:right w:val="single" w:sz="4" w:space="0" w:color="auto"/>
            </w:tcBorders>
            <w:shd w:val="clear" w:color="auto" w:fill="auto"/>
            <w:noWrap/>
          </w:tcPr>
          <w:p w14:paraId="2DF4B905" w14:textId="77777777" w:rsidR="00B85E5A" w:rsidRPr="00032C1F" w:rsidRDefault="00B85E5A" w:rsidP="00AB522E">
            <w:pPr>
              <w:spacing w:before="0" w:after="0"/>
              <w:rPr>
                <w:rFonts w:cs="Arial"/>
                <w:color w:val="000000"/>
                <w:szCs w:val="20"/>
              </w:rPr>
            </w:pPr>
            <w:r>
              <w:rPr>
                <w:rFonts w:cs="Arial"/>
                <w:color w:val="000000"/>
                <w:szCs w:val="20"/>
              </w:rPr>
              <w:t xml:space="preserve">Well 4N </w:t>
            </w:r>
          </w:p>
        </w:tc>
        <w:tc>
          <w:tcPr>
            <w:tcW w:w="2372" w:type="dxa"/>
            <w:tcBorders>
              <w:top w:val="single" w:sz="4" w:space="0" w:color="auto"/>
              <w:left w:val="nil"/>
              <w:bottom w:val="single" w:sz="4" w:space="0" w:color="auto"/>
              <w:right w:val="single" w:sz="4" w:space="0" w:color="auto"/>
            </w:tcBorders>
            <w:shd w:val="clear" w:color="auto" w:fill="auto"/>
          </w:tcPr>
          <w:p w14:paraId="206ACA89" w14:textId="77777777" w:rsidR="00B85E5A" w:rsidRPr="00032C1F" w:rsidRDefault="00B85E5A" w:rsidP="00AB522E">
            <w:pPr>
              <w:spacing w:before="0" w:after="0"/>
              <w:rPr>
                <w:rFonts w:cs="Arial"/>
                <w:color w:val="000000"/>
                <w:szCs w:val="20"/>
              </w:rPr>
            </w:pPr>
            <w:r>
              <w:rPr>
                <w:rFonts w:cs="Arial"/>
                <w:color w:val="000000"/>
                <w:szCs w:val="20"/>
              </w:rPr>
              <w:t>$62,000</w:t>
            </w:r>
          </w:p>
        </w:tc>
        <w:tc>
          <w:tcPr>
            <w:tcW w:w="2567" w:type="dxa"/>
            <w:tcBorders>
              <w:top w:val="single" w:sz="4" w:space="0" w:color="auto"/>
              <w:left w:val="nil"/>
              <w:bottom w:val="single" w:sz="4" w:space="0" w:color="auto"/>
              <w:right w:val="single" w:sz="4" w:space="0" w:color="auto"/>
            </w:tcBorders>
            <w:shd w:val="clear" w:color="auto" w:fill="auto"/>
          </w:tcPr>
          <w:p w14:paraId="3BE8BBD1" w14:textId="07E19E00" w:rsidR="00B85E5A" w:rsidRPr="00032C1F" w:rsidRDefault="00D44186" w:rsidP="00AB522E">
            <w:pPr>
              <w:spacing w:before="0" w:after="0"/>
              <w:rPr>
                <w:rFonts w:cs="Arial"/>
                <w:color w:val="000000"/>
                <w:szCs w:val="20"/>
              </w:rPr>
            </w:pPr>
            <w:r>
              <w:rPr>
                <w:rFonts w:cs="Arial"/>
                <w:color w:val="000000"/>
                <w:szCs w:val="20"/>
              </w:rPr>
              <w:t>$38</w:t>
            </w:r>
            <w:r w:rsidR="00B85E5A">
              <w:rPr>
                <w:rFonts w:cs="Arial"/>
                <w:color w:val="000000"/>
                <w:szCs w:val="20"/>
              </w:rPr>
              <w:t>,000</w:t>
            </w:r>
          </w:p>
        </w:tc>
      </w:tr>
    </w:tbl>
    <w:p w14:paraId="37B48511" w14:textId="63431E94" w:rsidR="00FA0B1D" w:rsidRDefault="00FA0B1D" w:rsidP="00B527B5">
      <w:pPr>
        <w:pStyle w:val="BlankPage"/>
        <w:numPr>
          <w:ilvl w:val="0"/>
          <w:numId w:val="0"/>
        </w:numPr>
        <w:contextualSpacing/>
        <w:jc w:val="left"/>
      </w:pPr>
    </w:p>
    <w:p w14:paraId="47F7B7C0" w14:textId="218AE971" w:rsidR="00FA0B1D" w:rsidRDefault="00FA0B1D" w:rsidP="001E5AFA">
      <w:pPr>
        <w:pStyle w:val="Heading1"/>
      </w:pPr>
      <w:r>
        <w:t xml:space="preserve">Recommendations </w:t>
      </w:r>
    </w:p>
    <w:p w14:paraId="77634F72" w14:textId="561D0144" w:rsidR="00FA0B1D" w:rsidRDefault="00FA0B1D" w:rsidP="0042490E">
      <w:pPr>
        <w:pStyle w:val="Heading1"/>
        <w:keepNext w:val="0"/>
        <w:numPr>
          <w:ilvl w:val="0"/>
          <w:numId w:val="0"/>
        </w:numPr>
      </w:pPr>
      <w:r w:rsidRPr="00FA0B1D">
        <w:rPr>
          <w:rFonts w:ascii="Arial" w:hAnsi="Arial"/>
          <w:b w:val="0"/>
          <w:bCs w:val="0"/>
          <w:color w:val="auto"/>
          <w:kern w:val="0"/>
          <w:sz w:val="20"/>
          <w:szCs w:val="22"/>
        </w:rPr>
        <w:t>HDR recommends that Option 5</w:t>
      </w:r>
      <w:r w:rsidR="000C45A3">
        <w:rPr>
          <w:rFonts w:ascii="Arial" w:hAnsi="Arial"/>
          <w:b w:val="0"/>
          <w:bCs w:val="0"/>
          <w:color w:val="auto"/>
          <w:kern w:val="0"/>
          <w:sz w:val="20"/>
          <w:szCs w:val="22"/>
        </w:rPr>
        <w:t xml:space="preserve"> be implemented in Service Zone B</w:t>
      </w:r>
      <w:r w:rsidRPr="00FA0B1D">
        <w:rPr>
          <w:rFonts w:ascii="Arial" w:hAnsi="Arial"/>
          <w:b w:val="0"/>
          <w:bCs w:val="0"/>
          <w:color w:val="auto"/>
          <w:kern w:val="0"/>
          <w:sz w:val="20"/>
          <w:szCs w:val="22"/>
        </w:rPr>
        <w:t>, constant chlorination with greensand or pyrolusite filters be implemented in Zone B</w:t>
      </w:r>
      <w:r w:rsidR="006807EA">
        <w:rPr>
          <w:rFonts w:ascii="Arial" w:hAnsi="Arial"/>
          <w:b w:val="0"/>
          <w:bCs w:val="0"/>
          <w:color w:val="auto"/>
          <w:kern w:val="0"/>
          <w:sz w:val="20"/>
          <w:szCs w:val="22"/>
        </w:rPr>
        <w:t xml:space="preserve"> alo</w:t>
      </w:r>
      <w:r w:rsidR="009959B2">
        <w:rPr>
          <w:rFonts w:ascii="Arial" w:hAnsi="Arial"/>
          <w:b w:val="0"/>
          <w:bCs w:val="0"/>
          <w:color w:val="auto"/>
          <w:kern w:val="0"/>
          <w:sz w:val="20"/>
          <w:szCs w:val="22"/>
        </w:rPr>
        <w:t>ng with constant chlorination of</w:t>
      </w:r>
      <w:r w:rsidR="006807EA">
        <w:rPr>
          <w:rFonts w:ascii="Arial" w:hAnsi="Arial"/>
          <w:b w:val="0"/>
          <w:bCs w:val="0"/>
          <w:color w:val="auto"/>
          <w:kern w:val="0"/>
          <w:sz w:val="20"/>
          <w:szCs w:val="22"/>
        </w:rPr>
        <w:t xml:space="preserve"> Service Zone A</w:t>
      </w:r>
      <w:r w:rsidRPr="00FA0B1D">
        <w:rPr>
          <w:rFonts w:ascii="Arial" w:hAnsi="Arial"/>
          <w:b w:val="0"/>
          <w:bCs w:val="0"/>
          <w:color w:val="auto"/>
          <w:kern w:val="0"/>
          <w:sz w:val="20"/>
          <w:szCs w:val="22"/>
        </w:rPr>
        <w:t xml:space="preserve">. This option provides the most effective long-term solution to </w:t>
      </w:r>
      <w:r w:rsidR="00277012">
        <w:rPr>
          <w:rFonts w:ascii="Arial" w:hAnsi="Arial"/>
          <w:b w:val="0"/>
          <w:bCs w:val="0"/>
          <w:color w:val="auto"/>
          <w:kern w:val="0"/>
          <w:sz w:val="20"/>
          <w:szCs w:val="22"/>
        </w:rPr>
        <w:t>prev</w:t>
      </w:r>
      <w:r w:rsidR="000C45A3" w:rsidRPr="000C45A3">
        <w:rPr>
          <w:rFonts w:ascii="Arial" w:hAnsi="Arial"/>
          <w:b w:val="0"/>
          <w:bCs w:val="0"/>
          <w:color w:val="auto"/>
          <w:kern w:val="0"/>
          <w:sz w:val="20"/>
          <w:szCs w:val="22"/>
        </w:rPr>
        <w:t>ent</w:t>
      </w:r>
      <w:r w:rsidRPr="00FA0B1D">
        <w:rPr>
          <w:rFonts w:ascii="Arial" w:hAnsi="Arial"/>
          <w:b w:val="0"/>
          <w:bCs w:val="0"/>
          <w:color w:val="auto"/>
          <w:kern w:val="0"/>
          <w:sz w:val="20"/>
          <w:szCs w:val="22"/>
        </w:rPr>
        <w:t xml:space="preserve"> coliform occurrences in the distribution system while eliminating aesthetic issues, allowing an increase in</w:t>
      </w:r>
      <w:r w:rsidR="0042490E">
        <w:rPr>
          <w:rFonts w:ascii="Arial" w:hAnsi="Arial"/>
          <w:b w:val="0"/>
          <w:bCs w:val="0"/>
          <w:color w:val="auto"/>
          <w:kern w:val="0"/>
          <w:sz w:val="20"/>
          <w:szCs w:val="22"/>
        </w:rPr>
        <w:t xml:space="preserve"> </w:t>
      </w:r>
      <w:r w:rsidRPr="00FA0B1D">
        <w:rPr>
          <w:rFonts w:ascii="Arial" w:hAnsi="Arial"/>
          <w:b w:val="0"/>
          <w:bCs w:val="0"/>
          <w:color w:val="auto"/>
          <w:kern w:val="0"/>
          <w:sz w:val="20"/>
          <w:szCs w:val="22"/>
        </w:rPr>
        <w:t>operating capacity and providing the ability to be expanded to treat additional water supplies.</w:t>
      </w:r>
      <w:r>
        <w:t xml:space="preserve"> </w:t>
      </w:r>
    </w:p>
    <w:p w14:paraId="0E2E1A4B" w14:textId="77777777" w:rsidR="00896011" w:rsidRPr="00896011" w:rsidRDefault="00896011" w:rsidP="001E5AFA">
      <w:pPr>
        <w:pStyle w:val="BodyText"/>
      </w:pPr>
    </w:p>
    <w:p w14:paraId="3BF6A1FC" w14:textId="77777777" w:rsidR="00AB522E" w:rsidRPr="00AB522E" w:rsidRDefault="00AB522E" w:rsidP="001E5AFA">
      <w:pPr>
        <w:pStyle w:val="Heading5"/>
      </w:pPr>
    </w:p>
    <w:p w14:paraId="247BDB1A" w14:textId="77777777" w:rsidR="009A24E7" w:rsidRDefault="009A24E7" w:rsidP="000635F7">
      <w:pPr>
        <w:pStyle w:val="BlankPage"/>
      </w:pPr>
    </w:p>
    <w:p w14:paraId="3E9149DD" w14:textId="77777777" w:rsidR="00B05787" w:rsidRPr="00B05787" w:rsidRDefault="00B05787" w:rsidP="009A24E7">
      <w:pPr>
        <w:pStyle w:val="BlankPage"/>
      </w:pPr>
      <w:r>
        <w:lastRenderedPageBreak/>
        <w:t>This page left intentionally blank.</w:t>
      </w:r>
    </w:p>
    <w:p w14:paraId="66CB7FD2" w14:textId="77777777" w:rsidR="0075328B" w:rsidRDefault="0075328B" w:rsidP="0032138B">
      <w:pPr>
        <w:pStyle w:val="BodyText"/>
        <w:numPr>
          <w:ilvl w:val="0"/>
          <w:numId w:val="0"/>
        </w:numPr>
      </w:pPr>
    </w:p>
    <w:sectPr w:rsidR="0075328B" w:rsidSect="00B05787">
      <w:headerReference w:type="default" r:id="rId14"/>
      <w:footerReference w:type="default" r:id="rId15"/>
      <w:footerReference w:type="first" r:id="rId16"/>
      <w:pgSz w:w="12240" w:h="15840" w:code="1"/>
      <w:pgMar w:top="1440" w:right="1440" w:bottom="1440" w:left="1440"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C4CC52" w14:textId="77777777" w:rsidR="00006905" w:rsidRDefault="00006905" w:rsidP="002D2261">
      <w:r>
        <w:separator/>
      </w:r>
    </w:p>
  </w:endnote>
  <w:endnote w:type="continuationSeparator" w:id="0">
    <w:p w14:paraId="64661C8C" w14:textId="77777777" w:rsidR="00006905" w:rsidRDefault="00006905" w:rsidP="002D2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50A792" w14:textId="77777777" w:rsidR="00AB522E" w:rsidRDefault="00AB522E" w:rsidP="00B05787">
    <w:pPr>
      <w:pStyle w:val="Footer"/>
      <w:pBdr>
        <w:top w:val="single" w:sz="8" w:space="1" w:color="auto"/>
      </w:pBdr>
      <w:rPr>
        <w:noProof/>
      </w:rPr>
    </w:pPr>
    <w:r>
      <w:t xml:space="preserve">Olympic Water and Sewer Inc. Distribution Coliform Investigation </w:t>
    </w:r>
    <w:r>
      <w:tab/>
    </w:r>
    <w:r>
      <w:fldChar w:fldCharType="begin"/>
    </w:r>
    <w:r>
      <w:instrText xml:space="preserve"> PAGE   \* MERGEFORMAT </w:instrText>
    </w:r>
    <w:r>
      <w:fldChar w:fldCharType="separate"/>
    </w:r>
    <w:r w:rsidR="00711E2A">
      <w:rPr>
        <w:noProof/>
      </w:rPr>
      <w:t>2</w:t>
    </w:r>
    <w:r>
      <w:rPr>
        <w:noProof/>
      </w:rPr>
      <w:fldChar w:fldCharType="end"/>
    </w:r>
  </w:p>
  <w:p w14:paraId="3B39340D" w14:textId="77777777" w:rsidR="00AB522E" w:rsidRPr="00B05787" w:rsidRDefault="00AB522E" w:rsidP="00B05787">
    <w:pPr>
      <w:pStyle w:val="Footer"/>
      <w:pBdr>
        <w:top w:val="single" w:sz="8" w:space="1" w:color="auto"/>
      </w:pBdr>
      <w:rPr>
        <w:rStyle w:val="PageNumber"/>
      </w:rPr>
    </w:pPr>
    <w:r>
      <w:t xml:space="preserve">Well Treatment Options </w:t>
    </w:r>
    <w:r>
      <w:fldChar w:fldCharType="begin"/>
    </w:r>
    <w:r>
      <w:instrText xml:space="preserve"> DOCPROPERTY  Subject  \* MERGEFORMAT </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12963F" w14:textId="77777777" w:rsidR="00AB522E" w:rsidRDefault="00AB522E" w:rsidP="00B05787">
    <w:pPr>
      <w:pStyle w:val="Footer"/>
      <w:pBdr>
        <w:top w:val="single" w:sz="8" w:space="1" w:color="auto"/>
      </w:pBdr>
      <w:rPr>
        <w:noProof/>
      </w:rPr>
    </w:pPr>
    <w:r>
      <w:t xml:space="preserve">Olympic Water and Sewer Inc. Distribution Coliform Investigation  </w:t>
    </w:r>
    <w:r>
      <w:tab/>
    </w:r>
    <w:r>
      <w:fldChar w:fldCharType="begin"/>
    </w:r>
    <w:r>
      <w:instrText xml:space="preserve"> PAGE   \* MERGEFORMAT </w:instrText>
    </w:r>
    <w:r>
      <w:fldChar w:fldCharType="separate"/>
    </w:r>
    <w:r w:rsidR="00711E2A">
      <w:rPr>
        <w:noProof/>
      </w:rPr>
      <w:t>1</w:t>
    </w:r>
    <w:r>
      <w:rPr>
        <w:noProof/>
      </w:rPr>
      <w:fldChar w:fldCharType="end"/>
    </w:r>
  </w:p>
  <w:p w14:paraId="491AAA28" w14:textId="77777777" w:rsidR="00AB522E" w:rsidRDefault="00AB522E" w:rsidP="00B05787">
    <w:pPr>
      <w:pStyle w:val="Footer"/>
      <w:pBdr>
        <w:top w:val="single" w:sz="8" w:space="1" w:color="auto"/>
      </w:pBdr>
    </w:pPr>
    <w:r>
      <w:t xml:space="preserve">Well Treatment Options </w:t>
    </w:r>
    <w:r>
      <w:fldChar w:fldCharType="begin"/>
    </w:r>
    <w:r>
      <w:instrText xml:space="preserve"> DOCPROPERTY  Subject  \* MERGEFORMAT </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EA79BC" w14:textId="77777777" w:rsidR="00006905" w:rsidRDefault="00006905" w:rsidP="002D2261">
      <w:r>
        <w:separator/>
      </w:r>
    </w:p>
  </w:footnote>
  <w:footnote w:type="continuationSeparator" w:id="0">
    <w:p w14:paraId="363CB486" w14:textId="77777777" w:rsidR="00006905" w:rsidRDefault="00006905" w:rsidP="002D22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04E494" w14:textId="77777777" w:rsidR="00AB522E" w:rsidRDefault="00AB522E">
    <w:pPr>
      <w:pStyle w:val="Header"/>
    </w:pPr>
    <w:r>
      <w:tab/>
    </w:r>
    <w:r>
      <w:rPr>
        <w:noProof/>
      </w:rPr>
      <w:drawing>
        <wp:inline distT="0" distB="0" distL="0" distR="0" wp14:anchorId="1832A482" wp14:editId="69DDC5FF">
          <wp:extent cx="365760" cy="20189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HDR Logo_Gra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5760" cy="20189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5BE364A"/>
    <w:lvl w:ilvl="0">
      <w:start w:val="1"/>
      <w:numFmt w:val="decimal"/>
      <w:lvlText w:val="%1."/>
      <w:lvlJc w:val="left"/>
      <w:pPr>
        <w:tabs>
          <w:tab w:val="num" w:pos="1800"/>
        </w:tabs>
        <w:ind w:left="1800" w:hanging="360"/>
      </w:pPr>
    </w:lvl>
  </w:abstractNum>
  <w:abstractNum w:abstractNumId="1">
    <w:nsid w:val="FFFFFF7D"/>
    <w:multiLevelType w:val="singleLevel"/>
    <w:tmpl w:val="BAE43986"/>
    <w:lvl w:ilvl="0">
      <w:start w:val="1"/>
      <w:numFmt w:val="decimal"/>
      <w:lvlText w:val="%1."/>
      <w:lvlJc w:val="left"/>
      <w:pPr>
        <w:tabs>
          <w:tab w:val="num" w:pos="1440"/>
        </w:tabs>
        <w:ind w:left="1440" w:hanging="360"/>
      </w:pPr>
    </w:lvl>
  </w:abstractNum>
  <w:abstractNum w:abstractNumId="2">
    <w:nsid w:val="FFFFFF7E"/>
    <w:multiLevelType w:val="singleLevel"/>
    <w:tmpl w:val="2AC4EE98"/>
    <w:lvl w:ilvl="0">
      <w:start w:val="1"/>
      <w:numFmt w:val="decimal"/>
      <w:lvlText w:val="%1."/>
      <w:lvlJc w:val="left"/>
      <w:pPr>
        <w:tabs>
          <w:tab w:val="num" w:pos="1080"/>
        </w:tabs>
        <w:ind w:left="1080" w:hanging="360"/>
      </w:pPr>
    </w:lvl>
  </w:abstractNum>
  <w:abstractNum w:abstractNumId="3">
    <w:nsid w:val="FFFFFF7F"/>
    <w:multiLevelType w:val="singleLevel"/>
    <w:tmpl w:val="C26429D8"/>
    <w:lvl w:ilvl="0">
      <w:start w:val="1"/>
      <w:numFmt w:val="lowerLetter"/>
      <w:pStyle w:val="ListNumber2"/>
      <w:lvlText w:val="%1."/>
      <w:lvlJc w:val="left"/>
      <w:pPr>
        <w:tabs>
          <w:tab w:val="num" w:pos="1440"/>
        </w:tabs>
        <w:ind w:left="1440" w:hanging="432"/>
      </w:pPr>
      <w:rPr>
        <w:rFonts w:hint="default"/>
      </w:rPr>
    </w:lvl>
  </w:abstractNum>
  <w:abstractNum w:abstractNumId="4">
    <w:nsid w:val="FFFFFF80"/>
    <w:multiLevelType w:val="singleLevel"/>
    <w:tmpl w:val="DE2A98E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984F3C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7E68FC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34E4036"/>
    <w:lvl w:ilvl="0">
      <w:start w:val="1"/>
      <w:numFmt w:val="bullet"/>
      <w:pStyle w:val="ListBullet2"/>
      <w:lvlText w:val="o"/>
      <w:lvlJc w:val="left"/>
      <w:pPr>
        <w:ind w:left="1368" w:hanging="360"/>
      </w:pPr>
      <w:rPr>
        <w:rFonts w:ascii="Courier New" w:hAnsi="Courier New" w:cs="Courier New" w:hint="default"/>
      </w:rPr>
    </w:lvl>
  </w:abstractNum>
  <w:abstractNum w:abstractNumId="8">
    <w:nsid w:val="FFFFFF88"/>
    <w:multiLevelType w:val="singleLevel"/>
    <w:tmpl w:val="7FEE595A"/>
    <w:lvl w:ilvl="0">
      <w:start w:val="1"/>
      <w:numFmt w:val="decimal"/>
      <w:pStyle w:val="ListNumber"/>
      <w:lvlText w:val="%1."/>
      <w:lvlJc w:val="left"/>
      <w:pPr>
        <w:tabs>
          <w:tab w:val="num" w:pos="1008"/>
        </w:tabs>
        <w:ind w:left="1008" w:hanging="432"/>
      </w:pPr>
      <w:rPr>
        <w:rFonts w:hint="default"/>
      </w:rPr>
    </w:lvl>
  </w:abstractNum>
  <w:abstractNum w:abstractNumId="9">
    <w:nsid w:val="FFFFFF89"/>
    <w:multiLevelType w:val="singleLevel"/>
    <w:tmpl w:val="5BE84FC0"/>
    <w:lvl w:ilvl="0">
      <w:start w:val="1"/>
      <w:numFmt w:val="bullet"/>
      <w:pStyle w:val="LastListBullet"/>
      <w:lvlText w:val=""/>
      <w:lvlJc w:val="left"/>
      <w:pPr>
        <w:tabs>
          <w:tab w:val="num" w:pos="1008"/>
        </w:tabs>
        <w:ind w:left="1008" w:hanging="432"/>
      </w:pPr>
      <w:rPr>
        <w:rFonts w:ascii="Symbol" w:hAnsi="Symbol" w:hint="default"/>
        <w:sz w:val="22"/>
      </w:rPr>
    </w:lvl>
  </w:abstractNum>
  <w:abstractNum w:abstractNumId="10">
    <w:nsid w:val="0E3C4B9A"/>
    <w:multiLevelType w:val="hybridMultilevel"/>
    <w:tmpl w:val="4A7CF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CF7090"/>
    <w:multiLevelType w:val="hybridMultilevel"/>
    <w:tmpl w:val="AC665922"/>
    <w:lvl w:ilvl="0" w:tplc="242AAB60">
      <w:start w:val="1"/>
      <w:numFmt w:val="bullet"/>
      <w:lvlText w:val=""/>
      <w:lvlJc w:val="left"/>
      <w:pPr>
        <w:tabs>
          <w:tab w:val="num" w:pos="1008"/>
        </w:tabs>
        <w:ind w:left="1008" w:hanging="432"/>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47C6C7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9CC2CBE"/>
    <w:multiLevelType w:val="hybridMultilevel"/>
    <w:tmpl w:val="3C168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D47353"/>
    <w:multiLevelType w:val="multilevel"/>
    <w:tmpl w:val="C1D24E3C"/>
    <w:lvl w:ilvl="0">
      <w:start w:val="1"/>
      <w:numFmt w:val="decimal"/>
      <w:lvlText w:val="%1.0"/>
      <w:lvlJc w:val="left"/>
      <w:pPr>
        <w:tabs>
          <w:tab w:val="num" w:pos="1440"/>
        </w:tabs>
        <w:ind w:left="144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ascii="Arial" w:hAnsi="Arial" w:hint="default"/>
        <w:b/>
        <w:i w:val="0"/>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5">
    <w:nsid w:val="2A7D4AF2"/>
    <w:multiLevelType w:val="hybridMultilevel"/>
    <w:tmpl w:val="DEAE3D4A"/>
    <w:lvl w:ilvl="0" w:tplc="E3667AE0">
      <w:start w:val="1"/>
      <w:numFmt w:val="decimal"/>
      <w:pStyle w:val="LastListNumber"/>
      <w:lvlText w:val="%1."/>
      <w:lvlJc w:val="left"/>
      <w:pPr>
        <w:tabs>
          <w:tab w:val="num" w:pos="1008"/>
        </w:tabs>
        <w:ind w:left="1008"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F3E2598"/>
    <w:multiLevelType w:val="multilevel"/>
    <w:tmpl w:val="DEAE3D4A"/>
    <w:lvl w:ilvl="0">
      <w:start w:val="1"/>
      <w:numFmt w:val="decimal"/>
      <w:lvlText w:val="%1."/>
      <w:lvlJc w:val="left"/>
      <w:pPr>
        <w:tabs>
          <w:tab w:val="num" w:pos="1008"/>
        </w:tabs>
        <w:ind w:left="1008"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80C52DA"/>
    <w:multiLevelType w:val="multilevel"/>
    <w:tmpl w:val="4D869B44"/>
    <w:lvl w:ilvl="0">
      <w:start w:val="1"/>
      <w:numFmt w:val="decimal"/>
      <w:pStyle w:val="Heading1"/>
      <w:lvlText w:val="%1.0"/>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1440"/>
        </w:tabs>
        <w:ind w:left="1440" w:hanging="1440"/>
      </w:pPr>
      <w:rPr>
        <w:rFonts w:ascii="Tahoma" w:hAnsi="Tahoma" w:hint="default"/>
        <w:b/>
        <w:i w:val="0"/>
        <w:sz w:val="24"/>
        <w:szCs w:val="24"/>
      </w:rPr>
    </w:lvl>
    <w:lvl w:ilvl="3">
      <w:start w:val="1"/>
      <w:numFmt w:val="decimal"/>
      <w:lvlText w:val="%1.%2.%3.%4"/>
      <w:lvlJc w:val="left"/>
      <w:pPr>
        <w:tabs>
          <w:tab w:val="num" w:pos="1440"/>
        </w:tabs>
        <w:ind w:left="1440" w:hanging="1440"/>
      </w:pPr>
      <w:rPr>
        <w:rFonts w:hint="default"/>
      </w:rPr>
    </w:lvl>
    <w:lvl w:ilvl="4">
      <w:start w:val="1"/>
      <w:numFmt w:val="none"/>
      <w:pStyle w:val="Heading5"/>
      <w:suff w:val="nothing"/>
      <w:lvlText w:val=""/>
      <w:lvlJc w:val="left"/>
      <w:pPr>
        <w:ind w:left="0" w:firstLine="0"/>
      </w:pPr>
      <w:rPr>
        <w:rFonts w:hint="default"/>
      </w:rPr>
    </w:lvl>
    <w:lvl w:ilvl="5">
      <w:start w:val="1"/>
      <w:numFmt w:val="none"/>
      <w:pStyle w:val="BodyText"/>
      <w:suff w:val="nothing"/>
      <w:lvlText w:val=""/>
      <w:lvlJc w:val="left"/>
      <w:pPr>
        <w:ind w:left="0" w:firstLine="0"/>
      </w:pPr>
      <w:rPr>
        <w:rFonts w:hint="default"/>
      </w:rPr>
    </w:lvl>
    <w:lvl w:ilvl="6">
      <w:start w:val="1"/>
      <w:numFmt w:val="none"/>
      <w:pStyle w:val="BodyText2"/>
      <w:suff w:val="nothing"/>
      <w:lvlText w:val=""/>
      <w:lvlJc w:val="left"/>
      <w:pPr>
        <w:ind w:left="360" w:firstLine="0"/>
      </w:pPr>
      <w:rPr>
        <w:rFonts w:hint="default"/>
      </w:rPr>
    </w:lvl>
    <w:lvl w:ilvl="7">
      <w:start w:val="1"/>
      <w:numFmt w:val="bullet"/>
      <w:pStyle w:val="ListBullet"/>
      <w:lvlText w:val="●"/>
      <w:lvlJc w:val="left"/>
      <w:pPr>
        <w:tabs>
          <w:tab w:val="num" w:pos="720"/>
        </w:tabs>
        <w:ind w:left="720" w:hanging="360"/>
      </w:pPr>
      <w:rPr>
        <w:rFonts w:ascii="Arial" w:hAnsi="Arial" w:hint="default"/>
      </w:rPr>
    </w:lvl>
    <w:lvl w:ilvl="8">
      <w:start w:val="1"/>
      <w:numFmt w:val="bullet"/>
      <w:lvlText w:val="o"/>
      <w:lvlJc w:val="left"/>
      <w:pPr>
        <w:tabs>
          <w:tab w:val="num" w:pos="1080"/>
        </w:tabs>
        <w:ind w:left="1080" w:hanging="360"/>
      </w:pPr>
      <w:rPr>
        <w:rFonts w:ascii="Courier New" w:hAnsi="Courier New" w:hint="default"/>
      </w:rPr>
    </w:lvl>
  </w:abstractNum>
  <w:abstractNum w:abstractNumId="18">
    <w:nsid w:val="449A1DE0"/>
    <w:multiLevelType w:val="hybridMultilevel"/>
    <w:tmpl w:val="FB1A9A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4F0332D"/>
    <w:multiLevelType w:val="multilevel"/>
    <w:tmpl w:val="04A44DE6"/>
    <w:lvl w:ilvl="0">
      <w:start w:val="1"/>
      <w:numFmt w:val="decimal"/>
      <w:lvlText w:val="%1.0"/>
      <w:lvlJc w:val="left"/>
      <w:pPr>
        <w:tabs>
          <w:tab w:val="num" w:pos="1152"/>
        </w:tabs>
        <w:ind w:left="1152" w:hanging="720"/>
      </w:pPr>
      <w:rPr>
        <w:rFonts w:hint="default"/>
      </w:rPr>
    </w:lvl>
    <w:lvl w:ilvl="1">
      <w:start w:val="1"/>
      <w:numFmt w:val="decimal"/>
      <w:lvlText w:val="%1.%2"/>
      <w:lvlJc w:val="left"/>
      <w:pPr>
        <w:tabs>
          <w:tab w:val="num" w:pos="1152"/>
        </w:tabs>
        <w:ind w:left="1152" w:hanging="720"/>
      </w:pPr>
      <w:rPr>
        <w:rFonts w:hint="default"/>
      </w:rPr>
    </w:lvl>
    <w:lvl w:ilvl="2">
      <w:start w:val="1"/>
      <w:numFmt w:val="decimal"/>
      <w:lvlText w:val="%1.%2.%3"/>
      <w:lvlJc w:val="left"/>
      <w:pPr>
        <w:tabs>
          <w:tab w:val="num" w:pos="1152"/>
        </w:tabs>
        <w:ind w:left="1152" w:hanging="720"/>
      </w:pPr>
      <w:rPr>
        <w:rFonts w:ascii="Tahoma" w:hAnsi="Tahoma" w:hint="default"/>
        <w:b/>
        <w:i w:val="0"/>
        <w:sz w:val="24"/>
        <w:szCs w:val="24"/>
      </w:rPr>
    </w:lvl>
    <w:lvl w:ilvl="3">
      <w:start w:val="1"/>
      <w:numFmt w:val="decimal"/>
      <w:lvlText w:val="%1.%2.%3.%4"/>
      <w:lvlJc w:val="left"/>
      <w:pPr>
        <w:tabs>
          <w:tab w:val="num" w:pos="576"/>
        </w:tabs>
        <w:ind w:left="576" w:hanging="864"/>
      </w:pPr>
      <w:rPr>
        <w:rFonts w:hint="default"/>
      </w:rPr>
    </w:lvl>
    <w:lvl w:ilvl="4">
      <w:start w:val="1"/>
      <w:numFmt w:val="decimal"/>
      <w:lvlText w:val="%1.%2.%3.%4.%5"/>
      <w:lvlJc w:val="left"/>
      <w:pPr>
        <w:tabs>
          <w:tab w:val="num" w:pos="1440"/>
        </w:tabs>
        <w:ind w:left="1440" w:hanging="1008"/>
      </w:pPr>
      <w:rPr>
        <w:rFonts w:hint="default"/>
      </w:rPr>
    </w:lvl>
    <w:lvl w:ilvl="5">
      <w:start w:val="1"/>
      <w:numFmt w:val="decimal"/>
      <w:lvlText w:val="%1.%2.%3.%4.%5.%6"/>
      <w:lvlJc w:val="left"/>
      <w:pPr>
        <w:tabs>
          <w:tab w:val="num" w:pos="1584"/>
        </w:tabs>
        <w:ind w:left="1584" w:hanging="1152"/>
      </w:pPr>
      <w:rPr>
        <w:rFonts w:hint="default"/>
      </w:rPr>
    </w:lvl>
    <w:lvl w:ilvl="6">
      <w:start w:val="1"/>
      <w:numFmt w:val="decimal"/>
      <w:lvlText w:val="%1.%2.%3.%4.%5.%6.%7"/>
      <w:lvlJc w:val="left"/>
      <w:pPr>
        <w:tabs>
          <w:tab w:val="num" w:pos="1728"/>
        </w:tabs>
        <w:ind w:left="1728" w:hanging="1296"/>
      </w:pPr>
      <w:rPr>
        <w:rFonts w:hint="default"/>
      </w:rPr>
    </w:lvl>
    <w:lvl w:ilvl="7">
      <w:start w:val="1"/>
      <w:numFmt w:val="decimal"/>
      <w:lvlText w:val="%1.%2.%3.%4.%5.%6.%7.%8"/>
      <w:lvlJc w:val="left"/>
      <w:pPr>
        <w:tabs>
          <w:tab w:val="num" w:pos="1872"/>
        </w:tabs>
        <w:ind w:left="1872" w:hanging="1440"/>
      </w:pPr>
      <w:rPr>
        <w:rFonts w:hint="default"/>
      </w:rPr>
    </w:lvl>
    <w:lvl w:ilvl="8">
      <w:start w:val="1"/>
      <w:numFmt w:val="decimal"/>
      <w:lvlText w:val="%1.%2.%3.%4.%5.%6.%7.%8.%9"/>
      <w:lvlJc w:val="left"/>
      <w:pPr>
        <w:tabs>
          <w:tab w:val="num" w:pos="2016"/>
        </w:tabs>
        <w:ind w:left="2016" w:hanging="1584"/>
      </w:pPr>
      <w:rPr>
        <w:rFonts w:hint="default"/>
      </w:rPr>
    </w:lvl>
  </w:abstractNum>
  <w:abstractNum w:abstractNumId="20">
    <w:nsid w:val="66B1594B"/>
    <w:multiLevelType w:val="hybridMultilevel"/>
    <w:tmpl w:val="A9C80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2C37E93"/>
    <w:multiLevelType w:val="multilevel"/>
    <w:tmpl w:val="FEA83586"/>
    <w:lvl w:ilvl="0">
      <w:start w:val="1"/>
      <w:numFmt w:val="bullet"/>
      <w:lvlText w:val=""/>
      <w:lvlJc w:val="left"/>
      <w:pPr>
        <w:tabs>
          <w:tab w:val="num" w:pos="1080"/>
        </w:tabs>
        <w:ind w:left="108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7E0F58BF"/>
    <w:multiLevelType w:val="multilevel"/>
    <w:tmpl w:val="B75837A8"/>
    <w:lvl w:ilvl="0">
      <w:start w:val="1"/>
      <w:numFmt w:val="decimal"/>
      <w:lvlText w:val="%1."/>
      <w:lvlJc w:val="left"/>
      <w:pPr>
        <w:tabs>
          <w:tab w:val="num" w:pos="1008"/>
        </w:tabs>
        <w:ind w:left="1008"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7F175B2E"/>
    <w:multiLevelType w:val="multilevel"/>
    <w:tmpl w:val="41801C2C"/>
    <w:lvl w:ilvl="0">
      <w:start w:val="1"/>
      <w:numFmt w:val="bullet"/>
      <w:lvlText w:val=""/>
      <w:lvlJc w:val="left"/>
      <w:pPr>
        <w:tabs>
          <w:tab w:val="num" w:pos="36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7"/>
  </w:num>
  <w:num w:numId="3">
    <w:abstractNumId w:val="9"/>
  </w:num>
  <w:num w:numId="4">
    <w:abstractNumId w:val="8"/>
  </w:num>
  <w:num w:numId="5">
    <w:abstractNumId w:val="7"/>
  </w:num>
  <w:num w:numId="6">
    <w:abstractNumId w:val="3"/>
  </w:num>
  <w:num w:numId="7">
    <w:abstractNumId w:val="11"/>
  </w:num>
  <w:num w:numId="8">
    <w:abstractNumId w:val="6"/>
  </w:num>
  <w:num w:numId="9">
    <w:abstractNumId w:val="5"/>
  </w:num>
  <w:num w:numId="10">
    <w:abstractNumId w:val="4"/>
  </w:num>
  <w:num w:numId="11">
    <w:abstractNumId w:val="2"/>
  </w:num>
  <w:num w:numId="12">
    <w:abstractNumId w:val="1"/>
  </w:num>
  <w:num w:numId="13">
    <w:abstractNumId w:val="0"/>
  </w:num>
  <w:num w:numId="14">
    <w:abstractNumId w:val="14"/>
  </w:num>
  <w:num w:numId="15">
    <w:abstractNumId w:val="23"/>
  </w:num>
  <w:num w:numId="16">
    <w:abstractNumId w:val="19"/>
  </w:num>
  <w:num w:numId="17">
    <w:abstractNumId w:val="21"/>
  </w:num>
  <w:num w:numId="18">
    <w:abstractNumId w:val="12"/>
  </w:num>
  <w:num w:numId="19">
    <w:abstractNumId w:val="15"/>
  </w:num>
  <w:num w:numId="20">
    <w:abstractNumId w:val="15"/>
    <w:lvlOverride w:ilvl="0">
      <w:startOverride w:val="1"/>
    </w:lvlOverride>
  </w:num>
  <w:num w:numId="21">
    <w:abstractNumId w:val="22"/>
  </w:num>
  <w:num w:numId="22">
    <w:abstractNumId w:val="15"/>
    <w:lvlOverride w:ilvl="0">
      <w:startOverride w:val="1"/>
    </w:lvlOverride>
  </w:num>
  <w:num w:numId="23">
    <w:abstractNumId w:val="16"/>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25">
    <w:abstractNumId w:val="20"/>
  </w:num>
  <w:num w:numId="26">
    <w:abstractNumId w:val="13"/>
  </w:num>
  <w:num w:numId="27">
    <w:abstractNumId w:val="10"/>
  </w:num>
  <w:num w:numId="28">
    <w:abstractNumId w:val="18"/>
  </w:num>
  <w:num w:numId="29">
    <w:abstractNumId w:val="17"/>
  </w:num>
  <w:num w:numId="30">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E08"/>
    <w:rsid w:val="00003C2C"/>
    <w:rsid w:val="00006905"/>
    <w:rsid w:val="0001260F"/>
    <w:rsid w:val="0001521C"/>
    <w:rsid w:val="000156FC"/>
    <w:rsid w:val="00020729"/>
    <w:rsid w:val="00021C42"/>
    <w:rsid w:val="00030481"/>
    <w:rsid w:val="00032C1F"/>
    <w:rsid w:val="00032D31"/>
    <w:rsid w:val="00045696"/>
    <w:rsid w:val="00047C1D"/>
    <w:rsid w:val="00051936"/>
    <w:rsid w:val="000635F7"/>
    <w:rsid w:val="0006634E"/>
    <w:rsid w:val="00067B27"/>
    <w:rsid w:val="00074C6F"/>
    <w:rsid w:val="000810DF"/>
    <w:rsid w:val="00082327"/>
    <w:rsid w:val="0009143A"/>
    <w:rsid w:val="000A0ADE"/>
    <w:rsid w:val="000C45A3"/>
    <w:rsid w:val="000C64EF"/>
    <w:rsid w:val="000D2966"/>
    <w:rsid w:val="000D3E1A"/>
    <w:rsid w:val="000F5E14"/>
    <w:rsid w:val="00112775"/>
    <w:rsid w:val="001213B5"/>
    <w:rsid w:val="00124CFB"/>
    <w:rsid w:val="001317B4"/>
    <w:rsid w:val="00147EC9"/>
    <w:rsid w:val="00166CF0"/>
    <w:rsid w:val="00167235"/>
    <w:rsid w:val="00171C62"/>
    <w:rsid w:val="001974E5"/>
    <w:rsid w:val="001A21C1"/>
    <w:rsid w:val="001B2646"/>
    <w:rsid w:val="001C6802"/>
    <w:rsid w:val="001D51ED"/>
    <w:rsid w:val="001E0E95"/>
    <w:rsid w:val="001E5AFA"/>
    <w:rsid w:val="001E6FCC"/>
    <w:rsid w:val="001F2211"/>
    <w:rsid w:val="001F2CB6"/>
    <w:rsid w:val="00201630"/>
    <w:rsid w:val="00203B62"/>
    <w:rsid w:val="00206630"/>
    <w:rsid w:val="00213D5B"/>
    <w:rsid w:val="00225CFB"/>
    <w:rsid w:val="002360CD"/>
    <w:rsid w:val="0023739D"/>
    <w:rsid w:val="002379A5"/>
    <w:rsid w:val="00240A0B"/>
    <w:rsid w:val="0024248D"/>
    <w:rsid w:val="00246E49"/>
    <w:rsid w:val="002603C6"/>
    <w:rsid w:val="0026397E"/>
    <w:rsid w:val="00277012"/>
    <w:rsid w:val="00293A79"/>
    <w:rsid w:val="002952DB"/>
    <w:rsid w:val="002B17CF"/>
    <w:rsid w:val="002C0F9D"/>
    <w:rsid w:val="002C12EE"/>
    <w:rsid w:val="002C1C59"/>
    <w:rsid w:val="002D2261"/>
    <w:rsid w:val="002E2566"/>
    <w:rsid w:val="002E74DA"/>
    <w:rsid w:val="002F2C28"/>
    <w:rsid w:val="002F5EDF"/>
    <w:rsid w:val="003068CF"/>
    <w:rsid w:val="00311519"/>
    <w:rsid w:val="00316302"/>
    <w:rsid w:val="0032138B"/>
    <w:rsid w:val="00322E49"/>
    <w:rsid w:val="0032634E"/>
    <w:rsid w:val="003338C9"/>
    <w:rsid w:val="003343DA"/>
    <w:rsid w:val="00340734"/>
    <w:rsid w:val="00346259"/>
    <w:rsid w:val="00355445"/>
    <w:rsid w:val="00377B89"/>
    <w:rsid w:val="00377DCC"/>
    <w:rsid w:val="003B00D2"/>
    <w:rsid w:val="003C173E"/>
    <w:rsid w:val="003F28CD"/>
    <w:rsid w:val="003F4FE2"/>
    <w:rsid w:val="004029F1"/>
    <w:rsid w:val="00404E26"/>
    <w:rsid w:val="00405901"/>
    <w:rsid w:val="00415198"/>
    <w:rsid w:val="00417B4D"/>
    <w:rsid w:val="0042490E"/>
    <w:rsid w:val="0043794E"/>
    <w:rsid w:val="0044420A"/>
    <w:rsid w:val="004462CA"/>
    <w:rsid w:val="004470A0"/>
    <w:rsid w:val="004544FC"/>
    <w:rsid w:val="00463387"/>
    <w:rsid w:val="00467A84"/>
    <w:rsid w:val="00486148"/>
    <w:rsid w:val="004B3233"/>
    <w:rsid w:val="004B422C"/>
    <w:rsid w:val="004E01B0"/>
    <w:rsid w:val="004E1B3B"/>
    <w:rsid w:val="004E287F"/>
    <w:rsid w:val="004F14D7"/>
    <w:rsid w:val="004F72A9"/>
    <w:rsid w:val="005043B2"/>
    <w:rsid w:val="00504DA2"/>
    <w:rsid w:val="00510FD9"/>
    <w:rsid w:val="005129B4"/>
    <w:rsid w:val="00516ADB"/>
    <w:rsid w:val="00517DEA"/>
    <w:rsid w:val="005320E4"/>
    <w:rsid w:val="0053343A"/>
    <w:rsid w:val="005409D4"/>
    <w:rsid w:val="00544299"/>
    <w:rsid w:val="00547012"/>
    <w:rsid w:val="0057168E"/>
    <w:rsid w:val="00572065"/>
    <w:rsid w:val="005730D4"/>
    <w:rsid w:val="00580ED7"/>
    <w:rsid w:val="005825B5"/>
    <w:rsid w:val="00585C68"/>
    <w:rsid w:val="00585D76"/>
    <w:rsid w:val="005B352F"/>
    <w:rsid w:val="005B40CD"/>
    <w:rsid w:val="005C111C"/>
    <w:rsid w:val="005D0994"/>
    <w:rsid w:val="005D20AE"/>
    <w:rsid w:val="005F76CB"/>
    <w:rsid w:val="005F7E98"/>
    <w:rsid w:val="00604202"/>
    <w:rsid w:val="00635D85"/>
    <w:rsid w:val="00645DB6"/>
    <w:rsid w:val="00675693"/>
    <w:rsid w:val="006804A7"/>
    <w:rsid w:val="006807EA"/>
    <w:rsid w:val="00680AC2"/>
    <w:rsid w:val="0069242F"/>
    <w:rsid w:val="006B4E32"/>
    <w:rsid w:val="006B525B"/>
    <w:rsid w:val="006C128A"/>
    <w:rsid w:val="006D09E3"/>
    <w:rsid w:val="006D55C6"/>
    <w:rsid w:val="006E0D26"/>
    <w:rsid w:val="006E4B28"/>
    <w:rsid w:val="006F1F7B"/>
    <w:rsid w:val="00706C80"/>
    <w:rsid w:val="00711E2A"/>
    <w:rsid w:val="007124F2"/>
    <w:rsid w:val="007238B0"/>
    <w:rsid w:val="0074032F"/>
    <w:rsid w:val="007405DB"/>
    <w:rsid w:val="00743DD1"/>
    <w:rsid w:val="00750636"/>
    <w:rsid w:val="00751F65"/>
    <w:rsid w:val="0075328B"/>
    <w:rsid w:val="00770E6F"/>
    <w:rsid w:val="007809FB"/>
    <w:rsid w:val="00796127"/>
    <w:rsid w:val="007976CB"/>
    <w:rsid w:val="00797A1E"/>
    <w:rsid w:val="007A4F3E"/>
    <w:rsid w:val="007C15C4"/>
    <w:rsid w:val="007C292B"/>
    <w:rsid w:val="007E4EF1"/>
    <w:rsid w:val="007E644F"/>
    <w:rsid w:val="007F38E3"/>
    <w:rsid w:val="008129BD"/>
    <w:rsid w:val="008152A6"/>
    <w:rsid w:val="0082313E"/>
    <w:rsid w:val="00832DE3"/>
    <w:rsid w:val="00835F85"/>
    <w:rsid w:val="00846EF9"/>
    <w:rsid w:val="008556D7"/>
    <w:rsid w:val="00867136"/>
    <w:rsid w:val="00885577"/>
    <w:rsid w:val="00885AF4"/>
    <w:rsid w:val="00890B45"/>
    <w:rsid w:val="00896011"/>
    <w:rsid w:val="008A343B"/>
    <w:rsid w:val="008A3988"/>
    <w:rsid w:val="008A7E08"/>
    <w:rsid w:val="008B247B"/>
    <w:rsid w:val="008C310A"/>
    <w:rsid w:val="008D6FF0"/>
    <w:rsid w:val="008E7E6F"/>
    <w:rsid w:val="008F126B"/>
    <w:rsid w:val="008F3F70"/>
    <w:rsid w:val="00912E69"/>
    <w:rsid w:val="00922700"/>
    <w:rsid w:val="009315D1"/>
    <w:rsid w:val="00936BDD"/>
    <w:rsid w:val="009450F1"/>
    <w:rsid w:val="0095525C"/>
    <w:rsid w:val="00956F4D"/>
    <w:rsid w:val="0095763E"/>
    <w:rsid w:val="009730B4"/>
    <w:rsid w:val="009807FB"/>
    <w:rsid w:val="00985910"/>
    <w:rsid w:val="00991646"/>
    <w:rsid w:val="00993B77"/>
    <w:rsid w:val="009959B2"/>
    <w:rsid w:val="009A24E7"/>
    <w:rsid w:val="009A45D7"/>
    <w:rsid w:val="009B4E2E"/>
    <w:rsid w:val="009B6694"/>
    <w:rsid w:val="009C3335"/>
    <w:rsid w:val="009C399A"/>
    <w:rsid w:val="009D1847"/>
    <w:rsid w:val="009D7F73"/>
    <w:rsid w:val="009F6F5D"/>
    <w:rsid w:val="009F7E82"/>
    <w:rsid w:val="00A06C24"/>
    <w:rsid w:val="00A15943"/>
    <w:rsid w:val="00A26E63"/>
    <w:rsid w:val="00A276DB"/>
    <w:rsid w:val="00A317AD"/>
    <w:rsid w:val="00A31835"/>
    <w:rsid w:val="00A32B78"/>
    <w:rsid w:val="00A40292"/>
    <w:rsid w:val="00A552AA"/>
    <w:rsid w:val="00A570A7"/>
    <w:rsid w:val="00A60E0B"/>
    <w:rsid w:val="00A752EB"/>
    <w:rsid w:val="00A75B83"/>
    <w:rsid w:val="00A8180A"/>
    <w:rsid w:val="00A876C6"/>
    <w:rsid w:val="00A960FD"/>
    <w:rsid w:val="00AA225C"/>
    <w:rsid w:val="00AB522E"/>
    <w:rsid w:val="00AD0B2E"/>
    <w:rsid w:val="00AD156D"/>
    <w:rsid w:val="00AE1F79"/>
    <w:rsid w:val="00AF0571"/>
    <w:rsid w:val="00AF0C45"/>
    <w:rsid w:val="00B0282A"/>
    <w:rsid w:val="00B05787"/>
    <w:rsid w:val="00B20DB8"/>
    <w:rsid w:val="00B2264E"/>
    <w:rsid w:val="00B3126A"/>
    <w:rsid w:val="00B3216A"/>
    <w:rsid w:val="00B33FDD"/>
    <w:rsid w:val="00B35DA4"/>
    <w:rsid w:val="00B45266"/>
    <w:rsid w:val="00B527B5"/>
    <w:rsid w:val="00B52B35"/>
    <w:rsid w:val="00B608F3"/>
    <w:rsid w:val="00B854EA"/>
    <w:rsid w:val="00B85E5A"/>
    <w:rsid w:val="00B86936"/>
    <w:rsid w:val="00B91DEA"/>
    <w:rsid w:val="00BA43FE"/>
    <w:rsid w:val="00BA62F2"/>
    <w:rsid w:val="00BB666C"/>
    <w:rsid w:val="00BB6702"/>
    <w:rsid w:val="00BD133D"/>
    <w:rsid w:val="00BE2F10"/>
    <w:rsid w:val="00BE5C79"/>
    <w:rsid w:val="00BF669B"/>
    <w:rsid w:val="00C03737"/>
    <w:rsid w:val="00C07D28"/>
    <w:rsid w:val="00C125DF"/>
    <w:rsid w:val="00C12E34"/>
    <w:rsid w:val="00C16766"/>
    <w:rsid w:val="00C34D2C"/>
    <w:rsid w:val="00C40ACA"/>
    <w:rsid w:val="00C52F6D"/>
    <w:rsid w:val="00C5365F"/>
    <w:rsid w:val="00C61FE3"/>
    <w:rsid w:val="00C63974"/>
    <w:rsid w:val="00CA4AC1"/>
    <w:rsid w:val="00CB75BB"/>
    <w:rsid w:val="00CC7693"/>
    <w:rsid w:val="00CD6C2A"/>
    <w:rsid w:val="00CE277D"/>
    <w:rsid w:val="00CE56A8"/>
    <w:rsid w:val="00CE7AB2"/>
    <w:rsid w:val="00CF5F50"/>
    <w:rsid w:val="00CF6EB4"/>
    <w:rsid w:val="00D1132A"/>
    <w:rsid w:val="00D1420D"/>
    <w:rsid w:val="00D2483B"/>
    <w:rsid w:val="00D26878"/>
    <w:rsid w:val="00D3247E"/>
    <w:rsid w:val="00D366F1"/>
    <w:rsid w:val="00D44186"/>
    <w:rsid w:val="00D4436C"/>
    <w:rsid w:val="00D45893"/>
    <w:rsid w:val="00D45FEA"/>
    <w:rsid w:val="00D47EE1"/>
    <w:rsid w:val="00D678F9"/>
    <w:rsid w:val="00D74C72"/>
    <w:rsid w:val="00D975DB"/>
    <w:rsid w:val="00DA07BF"/>
    <w:rsid w:val="00DA2D01"/>
    <w:rsid w:val="00DB2B33"/>
    <w:rsid w:val="00DC2919"/>
    <w:rsid w:val="00DC3ECA"/>
    <w:rsid w:val="00DD7DE3"/>
    <w:rsid w:val="00DE3A74"/>
    <w:rsid w:val="00DE6BAA"/>
    <w:rsid w:val="00DF3E97"/>
    <w:rsid w:val="00DF6181"/>
    <w:rsid w:val="00E0154A"/>
    <w:rsid w:val="00E031E1"/>
    <w:rsid w:val="00E204AE"/>
    <w:rsid w:val="00E27AE1"/>
    <w:rsid w:val="00E34EE2"/>
    <w:rsid w:val="00E46918"/>
    <w:rsid w:val="00E47B03"/>
    <w:rsid w:val="00E47C64"/>
    <w:rsid w:val="00E51E3B"/>
    <w:rsid w:val="00E5778F"/>
    <w:rsid w:val="00E814D1"/>
    <w:rsid w:val="00E97A90"/>
    <w:rsid w:val="00EA5770"/>
    <w:rsid w:val="00EC4635"/>
    <w:rsid w:val="00ED46E5"/>
    <w:rsid w:val="00F028FC"/>
    <w:rsid w:val="00F063D4"/>
    <w:rsid w:val="00F113C1"/>
    <w:rsid w:val="00F140FB"/>
    <w:rsid w:val="00F14783"/>
    <w:rsid w:val="00F22CB4"/>
    <w:rsid w:val="00F32AE1"/>
    <w:rsid w:val="00F41E8D"/>
    <w:rsid w:val="00F4361E"/>
    <w:rsid w:val="00F619CF"/>
    <w:rsid w:val="00F65A17"/>
    <w:rsid w:val="00F72294"/>
    <w:rsid w:val="00F74035"/>
    <w:rsid w:val="00F845E3"/>
    <w:rsid w:val="00F935A9"/>
    <w:rsid w:val="00FA0AC6"/>
    <w:rsid w:val="00FA0B1D"/>
    <w:rsid w:val="00FA2536"/>
    <w:rsid w:val="00FA5E7E"/>
    <w:rsid w:val="00FB699E"/>
    <w:rsid w:val="00FD64DA"/>
    <w:rsid w:val="00FE0DAB"/>
    <w:rsid w:val="00FF4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D74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AE1"/>
    <w:pPr>
      <w:spacing w:before="60" w:after="60"/>
    </w:pPr>
    <w:rPr>
      <w:rFonts w:ascii="Arial" w:hAnsi="Arial"/>
      <w:szCs w:val="24"/>
    </w:rPr>
  </w:style>
  <w:style w:type="paragraph" w:styleId="Heading1">
    <w:name w:val="heading 1"/>
    <w:basedOn w:val="Normal"/>
    <w:next w:val="BodyText"/>
    <w:link w:val="Heading1Char"/>
    <w:qFormat/>
    <w:rsid w:val="00021C42"/>
    <w:pPr>
      <w:keepNext/>
      <w:numPr>
        <w:numId w:val="2"/>
      </w:numPr>
      <w:spacing w:before="120" w:after="120"/>
      <w:outlineLvl w:val="0"/>
    </w:pPr>
    <w:rPr>
      <w:rFonts w:ascii="Tahoma" w:hAnsi="Tahoma" w:cs="Arial"/>
      <w:b/>
      <w:bCs/>
      <w:color w:val="3095B4"/>
      <w:kern w:val="32"/>
      <w:sz w:val="32"/>
      <w:szCs w:val="32"/>
    </w:rPr>
  </w:style>
  <w:style w:type="paragraph" w:styleId="Heading2">
    <w:name w:val="heading 2"/>
    <w:basedOn w:val="Heading1"/>
    <w:next w:val="BodyText"/>
    <w:link w:val="Heading2Char"/>
    <w:qFormat/>
    <w:rsid w:val="00FA5E7E"/>
    <w:pPr>
      <w:numPr>
        <w:ilvl w:val="1"/>
      </w:numPr>
      <w:spacing w:before="0"/>
      <w:outlineLvl w:val="1"/>
    </w:pPr>
    <w:rPr>
      <w:bCs w:val="0"/>
      <w:iCs/>
      <w:color w:val="auto"/>
      <w:sz w:val="28"/>
      <w:szCs w:val="28"/>
    </w:rPr>
  </w:style>
  <w:style w:type="paragraph" w:styleId="Heading3">
    <w:name w:val="heading 3"/>
    <w:basedOn w:val="Heading2"/>
    <w:next w:val="BodyText"/>
    <w:link w:val="Heading3Char"/>
    <w:qFormat/>
    <w:rsid w:val="005B352F"/>
    <w:pPr>
      <w:numPr>
        <w:ilvl w:val="2"/>
      </w:numPr>
      <w:tabs>
        <w:tab w:val="left" w:pos="1296"/>
      </w:tabs>
      <w:outlineLvl w:val="2"/>
    </w:pPr>
    <w:rPr>
      <w:bCs/>
      <w:sz w:val="24"/>
      <w:szCs w:val="26"/>
    </w:rPr>
  </w:style>
  <w:style w:type="paragraph" w:styleId="Heading4">
    <w:name w:val="heading 4"/>
    <w:basedOn w:val="Heading3"/>
    <w:next w:val="BodyText"/>
    <w:link w:val="Heading4Char"/>
    <w:qFormat/>
    <w:rsid w:val="002603C6"/>
    <w:pPr>
      <w:numPr>
        <w:ilvl w:val="0"/>
        <w:numId w:val="0"/>
      </w:numPr>
      <w:tabs>
        <w:tab w:val="clear" w:pos="1296"/>
        <w:tab w:val="left" w:pos="1728"/>
      </w:tabs>
      <w:outlineLvl w:val="3"/>
    </w:pPr>
    <w:rPr>
      <w:rFonts w:cs="Times New Roman"/>
      <w:bCs w:val="0"/>
      <w:sz w:val="22"/>
      <w:szCs w:val="28"/>
    </w:rPr>
  </w:style>
  <w:style w:type="paragraph" w:styleId="Heading5">
    <w:name w:val="heading 5"/>
    <w:basedOn w:val="Heading4"/>
    <w:next w:val="BodyText"/>
    <w:link w:val="Heading5Char"/>
    <w:qFormat/>
    <w:rsid w:val="002603C6"/>
    <w:pPr>
      <w:numPr>
        <w:ilvl w:val="4"/>
        <w:numId w:val="2"/>
      </w:numPr>
      <w:tabs>
        <w:tab w:val="clear" w:pos="1728"/>
      </w:tabs>
      <w:outlineLvl w:val="4"/>
    </w:pPr>
    <w:rPr>
      <w:bCs/>
      <w:i/>
      <w:iCs w:val="0"/>
      <w:szCs w:val="26"/>
    </w:rPr>
  </w:style>
  <w:style w:type="paragraph" w:styleId="Heading6">
    <w:name w:val="heading 6"/>
    <w:basedOn w:val="Normal"/>
    <w:next w:val="Normal"/>
    <w:rsid w:val="00FA5E7E"/>
    <w:pPr>
      <w:spacing w:after="240"/>
      <w:outlineLvl w:val="5"/>
    </w:pPr>
    <w:rPr>
      <w:b/>
      <w:bCs/>
      <w:sz w:val="24"/>
      <w:szCs w:val="22"/>
    </w:rPr>
  </w:style>
  <w:style w:type="paragraph" w:styleId="Heading7">
    <w:name w:val="heading 7"/>
    <w:basedOn w:val="Normal"/>
    <w:next w:val="Normal"/>
    <w:semiHidden/>
    <w:unhideWhenUsed/>
    <w:rsid w:val="00FA5E7E"/>
    <w:pPr>
      <w:spacing w:before="240"/>
      <w:outlineLvl w:val="6"/>
    </w:pPr>
    <w:rPr>
      <w:rFonts w:ascii="Times New Roman" w:hAnsi="Times New Roman"/>
      <w:sz w:val="24"/>
    </w:rPr>
  </w:style>
  <w:style w:type="paragraph" w:styleId="Heading8">
    <w:name w:val="heading 8"/>
    <w:basedOn w:val="Normal"/>
    <w:next w:val="Normal"/>
    <w:semiHidden/>
    <w:unhideWhenUsed/>
    <w:rsid w:val="00FA5E7E"/>
    <w:pPr>
      <w:spacing w:before="240"/>
      <w:outlineLvl w:val="7"/>
    </w:pPr>
    <w:rPr>
      <w:rFonts w:ascii="Times New Roman" w:hAnsi="Times New Roman"/>
      <w:i/>
      <w:iCs/>
      <w:sz w:val="24"/>
    </w:rPr>
  </w:style>
  <w:style w:type="paragraph" w:styleId="Heading9">
    <w:name w:val="heading 9"/>
    <w:basedOn w:val="Normal"/>
    <w:next w:val="Normal"/>
    <w:semiHidden/>
    <w:rsid w:val="00FA5E7E"/>
    <w:pPr>
      <w:spacing w:before="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B78"/>
    <w:pPr>
      <w:numPr>
        <w:ilvl w:val="5"/>
        <w:numId w:val="2"/>
      </w:numPr>
      <w:spacing w:before="120" w:after="120"/>
    </w:pPr>
    <w:rPr>
      <w:rFonts w:cs="Arial"/>
      <w:szCs w:val="22"/>
    </w:rPr>
  </w:style>
  <w:style w:type="paragraph" w:styleId="Title">
    <w:name w:val="Title"/>
    <w:basedOn w:val="Normal"/>
    <w:next w:val="BodyText"/>
    <w:qFormat/>
    <w:rsid w:val="00E27AE1"/>
    <w:pPr>
      <w:pBdr>
        <w:bottom w:val="single" w:sz="8" w:space="1" w:color="auto"/>
      </w:pBdr>
      <w:tabs>
        <w:tab w:val="right" w:pos="9360"/>
      </w:tabs>
      <w:spacing w:after="240"/>
    </w:pPr>
    <w:rPr>
      <w:rFonts w:ascii="Tahoma" w:hAnsi="Tahoma"/>
      <w:b/>
      <w:color w:val="595959" w:themeColor="text1" w:themeTint="A6"/>
      <w:sz w:val="36"/>
    </w:rPr>
  </w:style>
  <w:style w:type="paragraph" w:styleId="Header">
    <w:name w:val="header"/>
    <w:basedOn w:val="Normal"/>
    <w:link w:val="HeaderChar"/>
    <w:rsid w:val="005F76CB"/>
    <w:pPr>
      <w:pBdr>
        <w:bottom w:val="single" w:sz="8" w:space="1" w:color="auto"/>
      </w:pBdr>
      <w:tabs>
        <w:tab w:val="right" w:pos="9360"/>
      </w:tabs>
    </w:pPr>
    <w:rPr>
      <w:b/>
      <w:szCs w:val="18"/>
    </w:rPr>
  </w:style>
  <w:style w:type="paragraph" w:styleId="Footer">
    <w:name w:val="footer"/>
    <w:basedOn w:val="Normal"/>
    <w:rsid w:val="00B05787"/>
    <w:pPr>
      <w:pBdr>
        <w:top w:val="single" w:sz="12" w:space="1" w:color="auto"/>
      </w:pBdr>
      <w:tabs>
        <w:tab w:val="right" w:pos="9360"/>
      </w:tabs>
      <w:contextualSpacing/>
    </w:pPr>
    <w:rPr>
      <w:b/>
      <w:sz w:val="18"/>
    </w:rPr>
  </w:style>
  <w:style w:type="paragraph" w:customStyle="1" w:styleId="endnote">
    <w:name w:val="endnote"/>
    <w:basedOn w:val="EndnoteText"/>
    <w:semiHidden/>
    <w:rsid w:val="0009143A"/>
    <w:pPr>
      <w:ind w:left="144" w:hanging="144"/>
    </w:pPr>
    <w:rPr>
      <w:sz w:val="18"/>
      <w:szCs w:val="18"/>
    </w:rPr>
  </w:style>
  <w:style w:type="paragraph" w:styleId="EndnoteText">
    <w:name w:val="endnote text"/>
    <w:basedOn w:val="Normal"/>
    <w:semiHidden/>
    <w:rsid w:val="0009143A"/>
  </w:style>
  <w:style w:type="paragraph" w:customStyle="1" w:styleId="figure">
    <w:name w:val="figure"/>
    <w:basedOn w:val="Normal"/>
    <w:next w:val="Normal"/>
    <w:semiHidden/>
    <w:rsid w:val="0009143A"/>
    <w:pPr>
      <w:jc w:val="center"/>
    </w:pPr>
  </w:style>
  <w:style w:type="paragraph" w:customStyle="1" w:styleId="FigureTitle">
    <w:name w:val="Figure Title"/>
    <w:basedOn w:val="Normal"/>
    <w:next w:val="BodyText"/>
    <w:rsid w:val="001B2646"/>
    <w:pPr>
      <w:spacing w:before="240"/>
      <w:jc w:val="center"/>
    </w:pPr>
    <w:rPr>
      <w:rFonts w:ascii="Arial Bold" w:hAnsi="Arial Bold"/>
      <w:b/>
      <w:szCs w:val="22"/>
    </w:rPr>
  </w:style>
  <w:style w:type="paragraph" w:customStyle="1" w:styleId="ListBullet21">
    <w:name w:val="List Bullet 21"/>
    <w:basedOn w:val="ListBullet"/>
    <w:semiHidden/>
    <w:rsid w:val="0009143A"/>
    <w:pPr>
      <w:numPr>
        <w:ilvl w:val="0"/>
        <w:numId w:val="0"/>
      </w:numPr>
      <w:tabs>
        <w:tab w:val="num" w:pos="1008"/>
      </w:tabs>
      <w:ind w:left="1008" w:hanging="432"/>
    </w:pPr>
  </w:style>
  <w:style w:type="paragraph" w:styleId="ListBullet">
    <w:name w:val="List Bullet"/>
    <w:basedOn w:val="Normal"/>
    <w:rsid w:val="00A32B78"/>
    <w:pPr>
      <w:numPr>
        <w:ilvl w:val="7"/>
        <w:numId w:val="2"/>
      </w:numPr>
      <w:spacing w:before="120" w:after="120"/>
      <w:contextualSpacing/>
    </w:pPr>
    <w:rPr>
      <w:rFonts w:cs="Arial"/>
      <w:szCs w:val="22"/>
    </w:rPr>
  </w:style>
  <w:style w:type="paragraph" w:customStyle="1" w:styleId="TableText">
    <w:name w:val="Table Text"/>
    <w:basedOn w:val="Normal"/>
    <w:rsid w:val="003338C9"/>
    <w:rPr>
      <w:szCs w:val="20"/>
    </w:rPr>
  </w:style>
  <w:style w:type="paragraph" w:customStyle="1" w:styleId="TableHeading">
    <w:name w:val="Table Heading"/>
    <w:basedOn w:val="TableText"/>
    <w:rsid w:val="003338C9"/>
    <w:pPr>
      <w:jc w:val="center"/>
    </w:pPr>
    <w:rPr>
      <w:rFonts w:ascii="Arial Bold" w:hAnsi="Arial Bold"/>
      <w:b/>
      <w:szCs w:val="22"/>
    </w:rPr>
  </w:style>
  <w:style w:type="paragraph" w:customStyle="1" w:styleId="TableTitle">
    <w:name w:val="Table Title"/>
    <w:basedOn w:val="Normal"/>
    <w:rsid w:val="001B2646"/>
    <w:pPr>
      <w:keepNext/>
      <w:spacing w:before="240" w:after="120"/>
      <w:jc w:val="center"/>
    </w:pPr>
    <w:rPr>
      <w:rFonts w:ascii="Arial Bold" w:hAnsi="Arial Bold"/>
      <w:b/>
      <w:szCs w:val="22"/>
    </w:rPr>
  </w:style>
  <w:style w:type="paragraph" w:styleId="DocumentMap">
    <w:name w:val="Document Map"/>
    <w:basedOn w:val="Normal"/>
    <w:semiHidden/>
    <w:rsid w:val="000810DF"/>
    <w:pPr>
      <w:shd w:val="clear" w:color="auto" w:fill="000080"/>
    </w:pPr>
    <w:rPr>
      <w:rFonts w:ascii="Tahoma" w:hAnsi="Tahoma"/>
    </w:rPr>
  </w:style>
  <w:style w:type="character" w:styleId="PageNumber">
    <w:name w:val="page number"/>
    <w:basedOn w:val="DefaultParagraphFont"/>
    <w:rsid w:val="005129B4"/>
    <w:rPr>
      <w:rFonts w:ascii="Arial" w:hAnsi="Arial"/>
      <w:sz w:val="18"/>
    </w:rPr>
  </w:style>
  <w:style w:type="paragraph" w:customStyle="1" w:styleId="Style1">
    <w:name w:val="Style1"/>
    <w:basedOn w:val="Footer"/>
    <w:semiHidden/>
    <w:rsid w:val="00C61FE3"/>
    <w:rPr>
      <w:i/>
    </w:rPr>
  </w:style>
  <w:style w:type="character" w:customStyle="1" w:styleId="Heading1Char">
    <w:name w:val="Heading 1 Char"/>
    <w:basedOn w:val="DefaultParagraphFont"/>
    <w:link w:val="Heading1"/>
    <w:rsid w:val="00021C42"/>
    <w:rPr>
      <w:rFonts w:ascii="Tahoma" w:hAnsi="Tahoma" w:cs="Arial"/>
      <w:b/>
      <w:bCs/>
      <w:color w:val="3095B4"/>
      <w:kern w:val="32"/>
      <w:sz w:val="32"/>
      <w:szCs w:val="32"/>
    </w:rPr>
  </w:style>
  <w:style w:type="character" w:customStyle="1" w:styleId="BodyTextChar">
    <w:name w:val="Body Text Char"/>
    <w:basedOn w:val="DefaultParagraphFont"/>
    <w:link w:val="BodyText"/>
    <w:rsid w:val="00A32B78"/>
    <w:rPr>
      <w:rFonts w:ascii="Arial" w:hAnsi="Arial" w:cs="Arial"/>
      <w:szCs w:val="22"/>
    </w:rPr>
  </w:style>
  <w:style w:type="paragraph" w:styleId="BalloonText">
    <w:name w:val="Balloon Text"/>
    <w:basedOn w:val="Normal"/>
    <w:semiHidden/>
    <w:rsid w:val="00377B89"/>
    <w:rPr>
      <w:rFonts w:ascii="Tahoma" w:hAnsi="Tahoma" w:cs="Tahoma"/>
      <w:sz w:val="16"/>
      <w:szCs w:val="16"/>
    </w:rPr>
  </w:style>
  <w:style w:type="character" w:customStyle="1" w:styleId="HeaderChar">
    <w:name w:val="Header Char"/>
    <w:basedOn w:val="DefaultParagraphFont"/>
    <w:link w:val="Header"/>
    <w:rsid w:val="005F76CB"/>
    <w:rPr>
      <w:rFonts w:ascii="Arial" w:hAnsi="Arial"/>
      <w:b/>
      <w:sz w:val="22"/>
      <w:szCs w:val="18"/>
      <w:lang w:val="en-US" w:eastAsia="en-US" w:bidi="ar-SA"/>
    </w:rPr>
  </w:style>
  <w:style w:type="paragraph" w:customStyle="1" w:styleId="LastListBullet">
    <w:name w:val="Last List Bullet"/>
    <w:basedOn w:val="ListBullet"/>
    <w:next w:val="BodyText"/>
    <w:rsid w:val="00F845E3"/>
    <w:pPr>
      <w:numPr>
        <w:ilvl w:val="0"/>
        <w:numId w:val="3"/>
      </w:numPr>
      <w:spacing w:after="240"/>
    </w:pPr>
  </w:style>
  <w:style w:type="paragraph" w:styleId="ListNumber">
    <w:name w:val="List Number"/>
    <w:basedOn w:val="Normal"/>
    <w:rsid w:val="00A32B78"/>
    <w:pPr>
      <w:numPr>
        <w:numId w:val="4"/>
      </w:numPr>
      <w:spacing w:before="120" w:after="120"/>
      <w:ind w:left="720" w:hanging="360"/>
      <w:contextualSpacing/>
    </w:pPr>
    <w:rPr>
      <w:rFonts w:cs="Arial"/>
      <w:szCs w:val="22"/>
    </w:rPr>
  </w:style>
  <w:style w:type="paragraph" w:customStyle="1" w:styleId="LastListNumber">
    <w:name w:val="Last List Number"/>
    <w:basedOn w:val="ListNumber"/>
    <w:rsid w:val="009B6694"/>
    <w:pPr>
      <w:numPr>
        <w:numId w:val="19"/>
      </w:numPr>
      <w:spacing w:after="240"/>
    </w:pPr>
  </w:style>
  <w:style w:type="paragraph" w:styleId="ListBullet2">
    <w:name w:val="List Bullet 2"/>
    <w:basedOn w:val="ListBullet"/>
    <w:rsid w:val="00A32B78"/>
    <w:pPr>
      <w:numPr>
        <w:ilvl w:val="0"/>
        <w:numId w:val="5"/>
      </w:numPr>
      <w:ind w:left="1080"/>
    </w:pPr>
  </w:style>
  <w:style w:type="paragraph" w:styleId="ListNumber2">
    <w:name w:val="List Number 2"/>
    <w:basedOn w:val="Normal"/>
    <w:rsid w:val="00A32B78"/>
    <w:pPr>
      <w:numPr>
        <w:numId w:val="6"/>
      </w:numPr>
      <w:spacing w:before="120" w:after="120"/>
      <w:ind w:left="1080" w:hanging="360"/>
      <w:contextualSpacing/>
    </w:pPr>
    <w:rPr>
      <w:rFonts w:cs="Arial"/>
      <w:szCs w:val="22"/>
    </w:rPr>
  </w:style>
  <w:style w:type="paragraph" w:customStyle="1" w:styleId="TableNotes">
    <w:name w:val="Table Notes"/>
    <w:basedOn w:val="TableText"/>
    <w:rsid w:val="00B05787"/>
    <w:pPr>
      <w:spacing w:after="240"/>
    </w:pPr>
    <w:rPr>
      <w:sz w:val="18"/>
    </w:rPr>
  </w:style>
  <w:style w:type="paragraph" w:styleId="BodyText2">
    <w:name w:val="Body Text 2"/>
    <w:basedOn w:val="BodyText"/>
    <w:link w:val="BodyText2Char"/>
    <w:semiHidden/>
    <w:rsid w:val="00A32B78"/>
    <w:pPr>
      <w:numPr>
        <w:ilvl w:val="6"/>
      </w:numPr>
    </w:pPr>
  </w:style>
  <w:style w:type="paragraph" w:styleId="TOC1">
    <w:name w:val="toc 1"/>
    <w:basedOn w:val="Normal"/>
    <w:next w:val="Normal"/>
    <w:autoRedefine/>
    <w:uiPriority w:val="39"/>
    <w:rsid w:val="005B40CD"/>
    <w:pPr>
      <w:spacing w:before="120" w:after="120"/>
    </w:pPr>
    <w:rPr>
      <w:rFonts w:ascii="Tahoma" w:hAnsi="Tahoma"/>
      <w:b/>
      <w:sz w:val="24"/>
    </w:rPr>
  </w:style>
  <w:style w:type="paragraph" w:styleId="TOC2">
    <w:name w:val="toc 2"/>
    <w:basedOn w:val="Normal"/>
    <w:next w:val="Normal"/>
    <w:autoRedefine/>
    <w:uiPriority w:val="39"/>
    <w:rsid w:val="005B40CD"/>
    <w:pPr>
      <w:ind w:left="720"/>
    </w:pPr>
  </w:style>
  <w:style w:type="paragraph" w:styleId="TOC3">
    <w:name w:val="toc 3"/>
    <w:basedOn w:val="Normal"/>
    <w:next w:val="Normal"/>
    <w:autoRedefine/>
    <w:uiPriority w:val="39"/>
    <w:rsid w:val="005B40CD"/>
    <w:pPr>
      <w:ind w:left="1440"/>
    </w:pPr>
  </w:style>
  <w:style w:type="character" w:styleId="Hyperlink">
    <w:name w:val="Hyperlink"/>
    <w:basedOn w:val="DefaultParagraphFont"/>
    <w:uiPriority w:val="99"/>
    <w:rsid w:val="00311519"/>
    <w:rPr>
      <w:color w:val="0000FF"/>
      <w:u w:val="single"/>
    </w:rPr>
  </w:style>
  <w:style w:type="paragraph" w:styleId="Subtitle">
    <w:name w:val="Subtitle"/>
    <w:basedOn w:val="Normal"/>
    <w:qFormat/>
    <w:rsid w:val="00C40ACA"/>
    <w:pPr>
      <w:jc w:val="center"/>
      <w:outlineLvl w:val="1"/>
    </w:pPr>
    <w:rPr>
      <w:rFonts w:ascii="Tahoma" w:hAnsi="Tahoma" w:cs="Arial"/>
      <w:b/>
      <w:sz w:val="32"/>
    </w:rPr>
  </w:style>
  <w:style w:type="paragraph" w:customStyle="1" w:styleId="Addresstext">
    <w:name w:val="Address text"/>
    <w:basedOn w:val="Normal"/>
    <w:rsid w:val="00C40ACA"/>
    <w:pPr>
      <w:tabs>
        <w:tab w:val="left" w:pos="3600"/>
      </w:tabs>
      <w:ind w:left="3600"/>
    </w:pPr>
    <w:rPr>
      <w:b/>
      <w:szCs w:val="22"/>
    </w:rPr>
  </w:style>
  <w:style w:type="paragraph" w:styleId="Date">
    <w:name w:val="Date"/>
    <w:basedOn w:val="Normal"/>
    <w:next w:val="Normal"/>
    <w:rsid w:val="00C40ACA"/>
    <w:pPr>
      <w:jc w:val="center"/>
    </w:pPr>
    <w:rPr>
      <w:rFonts w:ascii="Tahoma" w:hAnsi="Tahoma"/>
      <w:b/>
      <w:sz w:val="24"/>
      <w:szCs w:val="22"/>
    </w:rPr>
  </w:style>
  <w:style w:type="paragraph" w:customStyle="1" w:styleId="ReportTitle">
    <w:name w:val="Report Title"/>
    <w:basedOn w:val="Normal"/>
    <w:rsid w:val="008C310A"/>
    <w:pPr>
      <w:jc w:val="center"/>
    </w:pPr>
    <w:rPr>
      <w:rFonts w:ascii="Tahoma" w:hAnsi="Tahoma"/>
      <w:b/>
      <w:color w:val="595959" w:themeColor="text1" w:themeTint="A6"/>
      <w:sz w:val="44"/>
    </w:rPr>
  </w:style>
  <w:style w:type="paragraph" w:styleId="TOCHeading">
    <w:name w:val="TOC Heading"/>
    <w:basedOn w:val="Normal"/>
    <w:next w:val="BodyText"/>
    <w:qFormat/>
    <w:rsid w:val="008C310A"/>
    <w:pPr>
      <w:spacing w:before="240" w:after="240"/>
      <w:jc w:val="center"/>
    </w:pPr>
    <w:rPr>
      <w:rFonts w:ascii="Tahoma" w:hAnsi="Tahoma"/>
      <w:b/>
      <w:color w:val="595959" w:themeColor="text1" w:themeTint="A6"/>
      <w:sz w:val="24"/>
    </w:rPr>
  </w:style>
  <w:style w:type="paragraph" w:styleId="Caption">
    <w:name w:val="caption"/>
    <w:basedOn w:val="Normal"/>
    <w:next w:val="Normal"/>
    <w:qFormat/>
    <w:rsid w:val="00A32B78"/>
    <w:pPr>
      <w:spacing w:before="240" w:after="240"/>
      <w:jc w:val="center"/>
    </w:pPr>
    <w:rPr>
      <w:b/>
      <w:bCs/>
      <w:szCs w:val="20"/>
    </w:rPr>
  </w:style>
  <w:style w:type="paragraph" w:styleId="TableofFigures">
    <w:name w:val="table of figures"/>
    <w:basedOn w:val="Normal"/>
    <w:next w:val="Normal"/>
    <w:semiHidden/>
    <w:rsid w:val="004F14D7"/>
  </w:style>
  <w:style w:type="paragraph" w:customStyle="1" w:styleId="AppendixTitle">
    <w:name w:val="Appendix Title"/>
    <w:basedOn w:val="Title"/>
    <w:rsid w:val="0043794E"/>
    <w:pPr>
      <w:spacing w:before="1440" w:after="0"/>
    </w:pPr>
  </w:style>
  <w:style w:type="paragraph" w:styleId="BodyText3">
    <w:name w:val="Body Text 3"/>
    <w:basedOn w:val="BodyText2"/>
    <w:link w:val="BodyText3Char"/>
    <w:rsid w:val="00912E69"/>
    <w:pPr>
      <w:ind w:left="720"/>
    </w:pPr>
  </w:style>
  <w:style w:type="character" w:customStyle="1" w:styleId="BodyText3Char">
    <w:name w:val="Body Text 3 Char"/>
    <w:basedOn w:val="DefaultParagraphFont"/>
    <w:link w:val="BodyText3"/>
    <w:rsid w:val="00912E69"/>
    <w:rPr>
      <w:rFonts w:ascii="Arial" w:hAnsi="Arial" w:cs="Arial"/>
      <w:sz w:val="22"/>
      <w:szCs w:val="22"/>
      <w:lang w:eastAsia="en-US"/>
    </w:rPr>
  </w:style>
  <w:style w:type="character" w:customStyle="1" w:styleId="Heading2Char">
    <w:name w:val="Heading 2 Char"/>
    <w:basedOn w:val="DefaultParagraphFont"/>
    <w:link w:val="Heading2"/>
    <w:rsid w:val="00DB2B33"/>
    <w:rPr>
      <w:rFonts w:ascii="Tahoma" w:hAnsi="Tahoma" w:cs="Arial"/>
      <w:b/>
      <w:iCs/>
      <w:kern w:val="32"/>
      <w:sz w:val="28"/>
      <w:szCs w:val="28"/>
      <w:lang w:eastAsia="en-US"/>
    </w:rPr>
  </w:style>
  <w:style w:type="character" w:customStyle="1" w:styleId="Heading3Char">
    <w:name w:val="Heading 3 Char"/>
    <w:basedOn w:val="DefaultParagraphFont"/>
    <w:link w:val="Heading3"/>
    <w:rsid w:val="00DB2B33"/>
    <w:rPr>
      <w:rFonts w:ascii="Tahoma" w:hAnsi="Tahoma" w:cs="Arial"/>
      <w:b/>
      <w:bCs/>
      <w:iCs/>
      <w:kern w:val="32"/>
      <w:sz w:val="24"/>
      <w:szCs w:val="26"/>
      <w:lang w:eastAsia="en-US"/>
    </w:rPr>
  </w:style>
  <w:style w:type="character" w:customStyle="1" w:styleId="Heading4Char">
    <w:name w:val="Heading 4 Char"/>
    <w:basedOn w:val="DefaultParagraphFont"/>
    <w:link w:val="Heading4"/>
    <w:rsid w:val="00DB2B33"/>
    <w:rPr>
      <w:rFonts w:ascii="Tahoma" w:hAnsi="Tahoma"/>
      <w:b/>
      <w:iCs/>
      <w:kern w:val="32"/>
      <w:sz w:val="22"/>
      <w:szCs w:val="28"/>
      <w:lang w:eastAsia="en-US"/>
    </w:rPr>
  </w:style>
  <w:style w:type="character" w:customStyle="1" w:styleId="Heading5Char">
    <w:name w:val="Heading 5 Char"/>
    <w:basedOn w:val="DefaultParagraphFont"/>
    <w:link w:val="Heading5"/>
    <w:rsid w:val="002603C6"/>
    <w:rPr>
      <w:rFonts w:ascii="Tahoma" w:hAnsi="Tahoma"/>
      <w:b/>
      <w:bCs/>
      <w:i/>
      <w:kern w:val="32"/>
      <w:sz w:val="22"/>
      <w:szCs w:val="26"/>
    </w:rPr>
  </w:style>
  <w:style w:type="character" w:customStyle="1" w:styleId="BodyText2Char">
    <w:name w:val="Body Text 2 Char"/>
    <w:basedOn w:val="DefaultParagraphFont"/>
    <w:link w:val="BodyText2"/>
    <w:semiHidden/>
    <w:rsid w:val="00A32B78"/>
    <w:rPr>
      <w:rFonts w:ascii="Arial" w:hAnsi="Arial" w:cs="Arial"/>
      <w:szCs w:val="22"/>
    </w:rPr>
  </w:style>
  <w:style w:type="table" w:styleId="TableGrid">
    <w:name w:val="Table Grid"/>
    <w:basedOn w:val="TableNormal"/>
    <w:rsid w:val="008C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nkPage">
    <w:name w:val="Blank Page"/>
    <w:basedOn w:val="BodyText"/>
    <w:qFormat/>
    <w:rsid w:val="008C310A"/>
    <w:pPr>
      <w:spacing w:before="5000"/>
      <w:jc w:val="center"/>
    </w:pPr>
  </w:style>
  <w:style w:type="character" w:styleId="CommentReference">
    <w:name w:val="annotation reference"/>
    <w:basedOn w:val="DefaultParagraphFont"/>
    <w:semiHidden/>
    <w:unhideWhenUsed/>
    <w:rsid w:val="00240A0B"/>
    <w:rPr>
      <w:sz w:val="16"/>
      <w:szCs w:val="16"/>
    </w:rPr>
  </w:style>
  <w:style w:type="paragraph" w:styleId="CommentText">
    <w:name w:val="annotation text"/>
    <w:basedOn w:val="Normal"/>
    <w:link w:val="CommentTextChar"/>
    <w:semiHidden/>
    <w:unhideWhenUsed/>
    <w:rsid w:val="00240A0B"/>
    <w:rPr>
      <w:szCs w:val="20"/>
    </w:rPr>
  </w:style>
  <w:style w:type="character" w:customStyle="1" w:styleId="CommentTextChar">
    <w:name w:val="Comment Text Char"/>
    <w:basedOn w:val="DefaultParagraphFont"/>
    <w:link w:val="CommentText"/>
    <w:semiHidden/>
    <w:rsid w:val="00240A0B"/>
    <w:rPr>
      <w:rFonts w:ascii="Arial" w:hAnsi="Arial"/>
    </w:rPr>
  </w:style>
  <w:style w:type="paragraph" w:styleId="CommentSubject">
    <w:name w:val="annotation subject"/>
    <w:basedOn w:val="CommentText"/>
    <w:next w:val="CommentText"/>
    <w:link w:val="CommentSubjectChar"/>
    <w:semiHidden/>
    <w:unhideWhenUsed/>
    <w:rsid w:val="00240A0B"/>
    <w:rPr>
      <w:b/>
      <w:bCs/>
    </w:rPr>
  </w:style>
  <w:style w:type="character" w:customStyle="1" w:styleId="CommentSubjectChar">
    <w:name w:val="Comment Subject Char"/>
    <w:basedOn w:val="CommentTextChar"/>
    <w:link w:val="CommentSubject"/>
    <w:semiHidden/>
    <w:rsid w:val="00240A0B"/>
    <w:rPr>
      <w:rFonts w:ascii="Arial" w:hAnsi="Arial"/>
      <w:b/>
      <w:bCs/>
    </w:rPr>
  </w:style>
  <w:style w:type="paragraph" w:styleId="ListParagraph">
    <w:name w:val="List Paragraph"/>
    <w:basedOn w:val="Normal"/>
    <w:uiPriority w:val="34"/>
    <w:qFormat/>
    <w:rsid w:val="00C03737"/>
    <w:pPr>
      <w:ind w:left="720"/>
      <w:contextualSpacing/>
    </w:pPr>
  </w:style>
  <w:style w:type="paragraph" w:styleId="Revision">
    <w:name w:val="Revision"/>
    <w:hidden/>
    <w:uiPriority w:val="99"/>
    <w:semiHidden/>
    <w:rsid w:val="00FA0B1D"/>
    <w:rPr>
      <w:rFonts w:ascii="Arial" w:hAnsi="Arial"/>
      <w:szCs w:val="24"/>
    </w:rPr>
  </w:style>
  <w:style w:type="character" w:styleId="Emphasis">
    <w:name w:val="Emphasis"/>
    <w:basedOn w:val="DefaultParagraphFont"/>
    <w:qFormat/>
    <w:rsid w:val="00FA0B1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AE1"/>
    <w:pPr>
      <w:spacing w:before="60" w:after="60"/>
    </w:pPr>
    <w:rPr>
      <w:rFonts w:ascii="Arial" w:hAnsi="Arial"/>
      <w:szCs w:val="24"/>
    </w:rPr>
  </w:style>
  <w:style w:type="paragraph" w:styleId="Heading1">
    <w:name w:val="heading 1"/>
    <w:basedOn w:val="Normal"/>
    <w:next w:val="BodyText"/>
    <w:link w:val="Heading1Char"/>
    <w:qFormat/>
    <w:rsid w:val="00021C42"/>
    <w:pPr>
      <w:keepNext/>
      <w:numPr>
        <w:numId w:val="2"/>
      </w:numPr>
      <w:spacing w:before="120" w:after="120"/>
      <w:outlineLvl w:val="0"/>
    </w:pPr>
    <w:rPr>
      <w:rFonts w:ascii="Tahoma" w:hAnsi="Tahoma" w:cs="Arial"/>
      <w:b/>
      <w:bCs/>
      <w:color w:val="3095B4"/>
      <w:kern w:val="32"/>
      <w:sz w:val="32"/>
      <w:szCs w:val="32"/>
    </w:rPr>
  </w:style>
  <w:style w:type="paragraph" w:styleId="Heading2">
    <w:name w:val="heading 2"/>
    <w:basedOn w:val="Heading1"/>
    <w:next w:val="BodyText"/>
    <w:link w:val="Heading2Char"/>
    <w:qFormat/>
    <w:rsid w:val="00FA5E7E"/>
    <w:pPr>
      <w:numPr>
        <w:ilvl w:val="1"/>
      </w:numPr>
      <w:spacing w:before="0"/>
      <w:outlineLvl w:val="1"/>
    </w:pPr>
    <w:rPr>
      <w:bCs w:val="0"/>
      <w:iCs/>
      <w:color w:val="auto"/>
      <w:sz w:val="28"/>
      <w:szCs w:val="28"/>
    </w:rPr>
  </w:style>
  <w:style w:type="paragraph" w:styleId="Heading3">
    <w:name w:val="heading 3"/>
    <w:basedOn w:val="Heading2"/>
    <w:next w:val="BodyText"/>
    <w:link w:val="Heading3Char"/>
    <w:qFormat/>
    <w:rsid w:val="005B352F"/>
    <w:pPr>
      <w:numPr>
        <w:ilvl w:val="2"/>
      </w:numPr>
      <w:tabs>
        <w:tab w:val="left" w:pos="1296"/>
      </w:tabs>
      <w:outlineLvl w:val="2"/>
    </w:pPr>
    <w:rPr>
      <w:bCs/>
      <w:sz w:val="24"/>
      <w:szCs w:val="26"/>
    </w:rPr>
  </w:style>
  <w:style w:type="paragraph" w:styleId="Heading4">
    <w:name w:val="heading 4"/>
    <w:basedOn w:val="Heading3"/>
    <w:next w:val="BodyText"/>
    <w:link w:val="Heading4Char"/>
    <w:qFormat/>
    <w:rsid w:val="002603C6"/>
    <w:pPr>
      <w:numPr>
        <w:ilvl w:val="0"/>
        <w:numId w:val="0"/>
      </w:numPr>
      <w:tabs>
        <w:tab w:val="clear" w:pos="1296"/>
        <w:tab w:val="left" w:pos="1728"/>
      </w:tabs>
      <w:outlineLvl w:val="3"/>
    </w:pPr>
    <w:rPr>
      <w:rFonts w:cs="Times New Roman"/>
      <w:bCs w:val="0"/>
      <w:sz w:val="22"/>
      <w:szCs w:val="28"/>
    </w:rPr>
  </w:style>
  <w:style w:type="paragraph" w:styleId="Heading5">
    <w:name w:val="heading 5"/>
    <w:basedOn w:val="Heading4"/>
    <w:next w:val="BodyText"/>
    <w:link w:val="Heading5Char"/>
    <w:qFormat/>
    <w:rsid w:val="002603C6"/>
    <w:pPr>
      <w:numPr>
        <w:ilvl w:val="4"/>
        <w:numId w:val="2"/>
      </w:numPr>
      <w:tabs>
        <w:tab w:val="clear" w:pos="1728"/>
      </w:tabs>
      <w:outlineLvl w:val="4"/>
    </w:pPr>
    <w:rPr>
      <w:bCs/>
      <w:i/>
      <w:iCs w:val="0"/>
      <w:szCs w:val="26"/>
    </w:rPr>
  </w:style>
  <w:style w:type="paragraph" w:styleId="Heading6">
    <w:name w:val="heading 6"/>
    <w:basedOn w:val="Normal"/>
    <w:next w:val="Normal"/>
    <w:rsid w:val="00FA5E7E"/>
    <w:pPr>
      <w:spacing w:after="240"/>
      <w:outlineLvl w:val="5"/>
    </w:pPr>
    <w:rPr>
      <w:b/>
      <w:bCs/>
      <w:sz w:val="24"/>
      <w:szCs w:val="22"/>
    </w:rPr>
  </w:style>
  <w:style w:type="paragraph" w:styleId="Heading7">
    <w:name w:val="heading 7"/>
    <w:basedOn w:val="Normal"/>
    <w:next w:val="Normal"/>
    <w:semiHidden/>
    <w:unhideWhenUsed/>
    <w:rsid w:val="00FA5E7E"/>
    <w:pPr>
      <w:spacing w:before="240"/>
      <w:outlineLvl w:val="6"/>
    </w:pPr>
    <w:rPr>
      <w:rFonts w:ascii="Times New Roman" w:hAnsi="Times New Roman"/>
      <w:sz w:val="24"/>
    </w:rPr>
  </w:style>
  <w:style w:type="paragraph" w:styleId="Heading8">
    <w:name w:val="heading 8"/>
    <w:basedOn w:val="Normal"/>
    <w:next w:val="Normal"/>
    <w:semiHidden/>
    <w:unhideWhenUsed/>
    <w:rsid w:val="00FA5E7E"/>
    <w:pPr>
      <w:spacing w:before="240"/>
      <w:outlineLvl w:val="7"/>
    </w:pPr>
    <w:rPr>
      <w:rFonts w:ascii="Times New Roman" w:hAnsi="Times New Roman"/>
      <w:i/>
      <w:iCs/>
      <w:sz w:val="24"/>
    </w:rPr>
  </w:style>
  <w:style w:type="paragraph" w:styleId="Heading9">
    <w:name w:val="heading 9"/>
    <w:basedOn w:val="Normal"/>
    <w:next w:val="Normal"/>
    <w:semiHidden/>
    <w:rsid w:val="00FA5E7E"/>
    <w:pPr>
      <w:spacing w:before="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32B78"/>
    <w:pPr>
      <w:numPr>
        <w:ilvl w:val="5"/>
        <w:numId w:val="2"/>
      </w:numPr>
      <w:spacing w:before="120" w:after="120"/>
    </w:pPr>
    <w:rPr>
      <w:rFonts w:cs="Arial"/>
      <w:szCs w:val="22"/>
    </w:rPr>
  </w:style>
  <w:style w:type="paragraph" w:styleId="Title">
    <w:name w:val="Title"/>
    <w:basedOn w:val="Normal"/>
    <w:next w:val="BodyText"/>
    <w:qFormat/>
    <w:rsid w:val="00E27AE1"/>
    <w:pPr>
      <w:pBdr>
        <w:bottom w:val="single" w:sz="8" w:space="1" w:color="auto"/>
      </w:pBdr>
      <w:tabs>
        <w:tab w:val="right" w:pos="9360"/>
      </w:tabs>
      <w:spacing w:after="240"/>
    </w:pPr>
    <w:rPr>
      <w:rFonts w:ascii="Tahoma" w:hAnsi="Tahoma"/>
      <w:b/>
      <w:color w:val="595959" w:themeColor="text1" w:themeTint="A6"/>
      <w:sz w:val="36"/>
    </w:rPr>
  </w:style>
  <w:style w:type="paragraph" w:styleId="Header">
    <w:name w:val="header"/>
    <w:basedOn w:val="Normal"/>
    <w:link w:val="HeaderChar"/>
    <w:rsid w:val="005F76CB"/>
    <w:pPr>
      <w:pBdr>
        <w:bottom w:val="single" w:sz="8" w:space="1" w:color="auto"/>
      </w:pBdr>
      <w:tabs>
        <w:tab w:val="right" w:pos="9360"/>
      </w:tabs>
    </w:pPr>
    <w:rPr>
      <w:b/>
      <w:szCs w:val="18"/>
    </w:rPr>
  </w:style>
  <w:style w:type="paragraph" w:styleId="Footer">
    <w:name w:val="footer"/>
    <w:basedOn w:val="Normal"/>
    <w:rsid w:val="00B05787"/>
    <w:pPr>
      <w:pBdr>
        <w:top w:val="single" w:sz="12" w:space="1" w:color="auto"/>
      </w:pBdr>
      <w:tabs>
        <w:tab w:val="right" w:pos="9360"/>
      </w:tabs>
      <w:contextualSpacing/>
    </w:pPr>
    <w:rPr>
      <w:b/>
      <w:sz w:val="18"/>
    </w:rPr>
  </w:style>
  <w:style w:type="paragraph" w:customStyle="1" w:styleId="endnote">
    <w:name w:val="endnote"/>
    <w:basedOn w:val="EndnoteText"/>
    <w:semiHidden/>
    <w:rsid w:val="0009143A"/>
    <w:pPr>
      <w:ind w:left="144" w:hanging="144"/>
    </w:pPr>
    <w:rPr>
      <w:sz w:val="18"/>
      <w:szCs w:val="18"/>
    </w:rPr>
  </w:style>
  <w:style w:type="paragraph" w:styleId="EndnoteText">
    <w:name w:val="endnote text"/>
    <w:basedOn w:val="Normal"/>
    <w:semiHidden/>
    <w:rsid w:val="0009143A"/>
  </w:style>
  <w:style w:type="paragraph" w:customStyle="1" w:styleId="figure">
    <w:name w:val="figure"/>
    <w:basedOn w:val="Normal"/>
    <w:next w:val="Normal"/>
    <w:semiHidden/>
    <w:rsid w:val="0009143A"/>
    <w:pPr>
      <w:jc w:val="center"/>
    </w:pPr>
  </w:style>
  <w:style w:type="paragraph" w:customStyle="1" w:styleId="FigureTitle">
    <w:name w:val="Figure Title"/>
    <w:basedOn w:val="Normal"/>
    <w:next w:val="BodyText"/>
    <w:rsid w:val="001B2646"/>
    <w:pPr>
      <w:spacing w:before="240"/>
      <w:jc w:val="center"/>
    </w:pPr>
    <w:rPr>
      <w:rFonts w:ascii="Arial Bold" w:hAnsi="Arial Bold"/>
      <w:b/>
      <w:szCs w:val="22"/>
    </w:rPr>
  </w:style>
  <w:style w:type="paragraph" w:customStyle="1" w:styleId="ListBullet21">
    <w:name w:val="List Bullet 21"/>
    <w:basedOn w:val="ListBullet"/>
    <w:semiHidden/>
    <w:rsid w:val="0009143A"/>
    <w:pPr>
      <w:numPr>
        <w:ilvl w:val="0"/>
        <w:numId w:val="0"/>
      </w:numPr>
      <w:tabs>
        <w:tab w:val="num" w:pos="1008"/>
      </w:tabs>
      <w:ind w:left="1008" w:hanging="432"/>
    </w:pPr>
  </w:style>
  <w:style w:type="paragraph" w:styleId="ListBullet">
    <w:name w:val="List Bullet"/>
    <w:basedOn w:val="Normal"/>
    <w:rsid w:val="00A32B78"/>
    <w:pPr>
      <w:numPr>
        <w:ilvl w:val="7"/>
        <w:numId w:val="2"/>
      </w:numPr>
      <w:spacing w:before="120" w:after="120"/>
      <w:contextualSpacing/>
    </w:pPr>
    <w:rPr>
      <w:rFonts w:cs="Arial"/>
      <w:szCs w:val="22"/>
    </w:rPr>
  </w:style>
  <w:style w:type="paragraph" w:customStyle="1" w:styleId="TableText">
    <w:name w:val="Table Text"/>
    <w:basedOn w:val="Normal"/>
    <w:rsid w:val="003338C9"/>
    <w:rPr>
      <w:szCs w:val="20"/>
    </w:rPr>
  </w:style>
  <w:style w:type="paragraph" w:customStyle="1" w:styleId="TableHeading">
    <w:name w:val="Table Heading"/>
    <w:basedOn w:val="TableText"/>
    <w:rsid w:val="003338C9"/>
    <w:pPr>
      <w:jc w:val="center"/>
    </w:pPr>
    <w:rPr>
      <w:rFonts w:ascii="Arial Bold" w:hAnsi="Arial Bold"/>
      <w:b/>
      <w:szCs w:val="22"/>
    </w:rPr>
  </w:style>
  <w:style w:type="paragraph" w:customStyle="1" w:styleId="TableTitle">
    <w:name w:val="Table Title"/>
    <w:basedOn w:val="Normal"/>
    <w:rsid w:val="001B2646"/>
    <w:pPr>
      <w:keepNext/>
      <w:spacing w:before="240" w:after="120"/>
      <w:jc w:val="center"/>
    </w:pPr>
    <w:rPr>
      <w:rFonts w:ascii="Arial Bold" w:hAnsi="Arial Bold"/>
      <w:b/>
      <w:szCs w:val="22"/>
    </w:rPr>
  </w:style>
  <w:style w:type="paragraph" w:styleId="DocumentMap">
    <w:name w:val="Document Map"/>
    <w:basedOn w:val="Normal"/>
    <w:semiHidden/>
    <w:rsid w:val="000810DF"/>
    <w:pPr>
      <w:shd w:val="clear" w:color="auto" w:fill="000080"/>
    </w:pPr>
    <w:rPr>
      <w:rFonts w:ascii="Tahoma" w:hAnsi="Tahoma"/>
    </w:rPr>
  </w:style>
  <w:style w:type="character" w:styleId="PageNumber">
    <w:name w:val="page number"/>
    <w:basedOn w:val="DefaultParagraphFont"/>
    <w:rsid w:val="005129B4"/>
    <w:rPr>
      <w:rFonts w:ascii="Arial" w:hAnsi="Arial"/>
      <w:sz w:val="18"/>
    </w:rPr>
  </w:style>
  <w:style w:type="paragraph" w:customStyle="1" w:styleId="Style1">
    <w:name w:val="Style1"/>
    <w:basedOn w:val="Footer"/>
    <w:semiHidden/>
    <w:rsid w:val="00C61FE3"/>
    <w:rPr>
      <w:i/>
    </w:rPr>
  </w:style>
  <w:style w:type="character" w:customStyle="1" w:styleId="Heading1Char">
    <w:name w:val="Heading 1 Char"/>
    <w:basedOn w:val="DefaultParagraphFont"/>
    <w:link w:val="Heading1"/>
    <w:rsid w:val="00021C42"/>
    <w:rPr>
      <w:rFonts w:ascii="Tahoma" w:hAnsi="Tahoma" w:cs="Arial"/>
      <w:b/>
      <w:bCs/>
      <w:color w:val="3095B4"/>
      <w:kern w:val="32"/>
      <w:sz w:val="32"/>
      <w:szCs w:val="32"/>
    </w:rPr>
  </w:style>
  <w:style w:type="character" w:customStyle="1" w:styleId="BodyTextChar">
    <w:name w:val="Body Text Char"/>
    <w:basedOn w:val="DefaultParagraphFont"/>
    <w:link w:val="BodyText"/>
    <w:rsid w:val="00A32B78"/>
    <w:rPr>
      <w:rFonts w:ascii="Arial" w:hAnsi="Arial" w:cs="Arial"/>
      <w:szCs w:val="22"/>
    </w:rPr>
  </w:style>
  <w:style w:type="paragraph" w:styleId="BalloonText">
    <w:name w:val="Balloon Text"/>
    <w:basedOn w:val="Normal"/>
    <w:semiHidden/>
    <w:rsid w:val="00377B89"/>
    <w:rPr>
      <w:rFonts w:ascii="Tahoma" w:hAnsi="Tahoma" w:cs="Tahoma"/>
      <w:sz w:val="16"/>
      <w:szCs w:val="16"/>
    </w:rPr>
  </w:style>
  <w:style w:type="character" w:customStyle="1" w:styleId="HeaderChar">
    <w:name w:val="Header Char"/>
    <w:basedOn w:val="DefaultParagraphFont"/>
    <w:link w:val="Header"/>
    <w:rsid w:val="005F76CB"/>
    <w:rPr>
      <w:rFonts w:ascii="Arial" w:hAnsi="Arial"/>
      <w:b/>
      <w:sz w:val="22"/>
      <w:szCs w:val="18"/>
      <w:lang w:val="en-US" w:eastAsia="en-US" w:bidi="ar-SA"/>
    </w:rPr>
  </w:style>
  <w:style w:type="paragraph" w:customStyle="1" w:styleId="LastListBullet">
    <w:name w:val="Last List Bullet"/>
    <w:basedOn w:val="ListBullet"/>
    <w:next w:val="BodyText"/>
    <w:rsid w:val="00F845E3"/>
    <w:pPr>
      <w:numPr>
        <w:ilvl w:val="0"/>
        <w:numId w:val="3"/>
      </w:numPr>
      <w:spacing w:after="240"/>
    </w:pPr>
  </w:style>
  <w:style w:type="paragraph" w:styleId="ListNumber">
    <w:name w:val="List Number"/>
    <w:basedOn w:val="Normal"/>
    <w:rsid w:val="00A32B78"/>
    <w:pPr>
      <w:numPr>
        <w:numId w:val="4"/>
      </w:numPr>
      <w:spacing w:before="120" w:after="120"/>
      <w:ind w:left="720" w:hanging="360"/>
      <w:contextualSpacing/>
    </w:pPr>
    <w:rPr>
      <w:rFonts w:cs="Arial"/>
      <w:szCs w:val="22"/>
    </w:rPr>
  </w:style>
  <w:style w:type="paragraph" w:customStyle="1" w:styleId="LastListNumber">
    <w:name w:val="Last List Number"/>
    <w:basedOn w:val="ListNumber"/>
    <w:rsid w:val="009B6694"/>
    <w:pPr>
      <w:numPr>
        <w:numId w:val="19"/>
      </w:numPr>
      <w:spacing w:after="240"/>
    </w:pPr>
  </w:style>
  <w:style w:type="paragraph" w:styleId="ListBullet2">
    <w:name w:val="List Bullet 2"/>
    <w:basedOn w:val="ListBullet"/>
    <w:rsid w:val="00A32B78"/>
    <w:pPr>
      <w:numPr>
        <w:ilvl w:val="0"/>
        <w:numId w:val="5"/>
      </w:numPr>
      <w:ind w:left="1080"/>
    </w:pPr>
  </w:style>
  <w:style w:type="paragraph" w:styleId="ListNumber2">
    <w:name w:val="List Number 2"/>
    <w:basedOn w:val="Normal"/>
    <w:rsid w:val="00A32B78"/>
    <w:pPr>
      <w:numPr>
        <w:numId w:val="6"/>
      </w:numPr>
      <w:spacing w:before="120" w:after="120"/>
      <w:ind w:left="1080" w:hanging="360"/>
      <w:contextualSpacing/>
    </w:pPr>
    <w:rPr>
      <w:rFonts w:cs="Arial"/>
      <w:szCs w:val="22"/>
    </w:rPr>
  </w:style>
  <w:style w:type="paragraph" w:customStyle="1" w:styleId="TableNotes">
    <w:name w:val="Table Notes"/>
    <w:basedOn w:val="TableText"/>
    <w:rsid w:val="00B05787"/>
    <w:pPr>
      <w:spacing w:after="240"/>
    </w:pPr>
    <w:rPr>
      <w:sz w:val="18"/>
    </w:rPr>
  </w:style>
  <w:style w:type="paragraph" w:styleId="BodyText2">
    <w:name w:val="Body Text 2"/>
    <w:basedOn w:val="BodyText"/>
    <w:link w:val="BodyText2Char"/>
    <w:semiHidden/>
    <w:rsid w:val="00A32B78"/>
    <w:pPr>
      <w:numPr>
        <w:ilvl w:val="6"/>
      </w:numPr>
    </w:pPr>
  </w:style>
  <w:style w:type="paragraph" w:styleId="TOC1">
    <w:name w:val="toc 1"/>
    <w:basedOn w:val="Normal"/>
    <w:next w:val="Normal"/>
    <w:autoRedefine/>
    <w:uiPriority w:val="39"/>
    <w:rsid w:val="005B40CD"/>
    <w:pPr>
      <w:spacing w:before="120" w:after="120"/>
    </w:pPr>
    <w:rPr>
      <w:rFonts w:ascii="Tahoma" w:hAnsi="Tahoma"/>
      <w:b/>
      <w:sz w:val="24"/>
    </w:rPr>
  </w:style>
  <w:style w:type="paragraph" w:styleId="TOC2">
    <w:name w:val="toc 2"/>
    <w:basedOn w:val="Normal"/>
    <w:next w:val="Normal"/>
    <w:autoRedefine/>
    <w:uiPriority w:val="39"/>
    <w:rsid w:val="005B40CD"/>
    <w:pPr>
      <w:ind w:left="720"/>
    </w:pPr>
  </w:style>
  <w:style w:type="paragraph" w:styleId="TOC3">
    <w:name w:val="toc 3"/>
    <w:basedOn w:val="Normal"/>
    <w:next w:val="Normal"/>
    <w:autoRedefine/>
    <w:uiPriority w:val="39"/>
    <w:rsid w:val="005B40CD"/>
    <w:pPr>
      <w:ind w:left="1440"/>
    </w:pPr>
  </w:style>
  <w:style w:type="character" w:styleId="Hyperlink">
    <w:name w:val="Hyperlink"/>
    <w:basedOn w:val="DefaultParagraphFont"/>
    <w:uiPriority w:val="99"/>
    <w:rsid w:val="00311519"/>
    <w:rPr>
      <w:color w:val="0000FF"/>
      <w:u w:val="single"/>
    </w:rPr>
  </w:style>
  <w:style w:type="paragraph" w:styleId="Subtitle">
    <w:name w:val="Subtitle"/>
    <w:basedOn w:val="Normal"/>
    <w:qFormat/>
    <w:rsid w:val="00C40ACA"/>
    <w:pPr>
      <w:jc w:val="center"/>
      <w:outlineLvl w:val="1"/>
    </w:pPr>
    <w:rPr>
      <w:rFonts w:ascii="Tahoma" w:hAnsi="Tahoma" w:cs="Arial"/>
      <w:b/>
      <w:sz w:val="32"/>
    </w:rPr>
  </w:style>
  <w:style w:type="paragraph" w:customStyle="1" w:styleId="Addresstext">
    <w:name w:val="Address text"/>
    <w:basedOn w:val="Normal"/>
    <w:rsid w:val="00C40ACA"/>
    <w:pPr>
      <w:tabs>
        <w:tab w:val="left" w:pos="3600"/>
      </w:tabs>
      <w:ind w:left="3600"/>
    </w:pPr>
    <w:rPr>
      <w:b/>
      <w:szCs w:val="22"/>
    </w:rPr>
  </w:style>
  <w:style w:type="paragraph" w:styleId="Date">
    <w:name w:val="Date"/>
    <w:basedOn w:val="Normal"/>
    <w:next w:val="Normal"/>
    <w:rsid w:val="00C40ACA"/>
    <w:pPr>
      <w:jc w:val="center"/>
    </w:pPr>
    <w:rPr>
      <w:rFonts w:ascii="Tahoma" w:hAnsi="Tahoma"/>
      <w:b/>
      <w:sz w:val="24"/>
      <w:szCs w:val="22"/>
    </w:rPr>
  </w:style>
  <w:style w:type="paragraph" w:customStyle="1" w:styleId="ReportTitle">
    <w:name w:val="Report Title"/>
    <w:basedOn w:val="Normal"/>
    <w:rsid w:val="008C310A"/>
    <w:pPr>
      <w:jc w:val="center"/>
    </w:pPr>
    <w:rPr>
      <w:rFonts w:ascii="Tahoma" w:hAnsi="Tahoma"/>
      <w:b/>
      <w:color w:val="595959" w:themeColor="text1" w:themeTint="A6"/>
      <w:sz w:val="44"/>
    </w:rPr>
  </w:style>
  <w:style w:type="paragraph" w:styleId="TOCHeading">
    <w:name w:val="TOC Heading"/>
    <w:basedOn w:val="Normal"/>
    <w:next w:val="BodyText"/>
    <w:qFormat/>
    <w:rsid w:val="008C310A"/>
    <w:pPr>
      <w:spacing w:before="240" w:after="240"/>
      <w:jc w:val="center"/>
    </w:pPr>
    <w:rPr>
      <w:rFonts w:ascii="Tahoma" w:hAnsi="Tahoma"/>
      <w:b/>
      <w:color w:val="595959" w:themeColor="text1" w:themeTint="A6"/>
      <w:sz w:val="24"/>
    </w:rPr>
  </w:style>
  <w:style w:type="paragraph" w:styleId="Caption">
    <w:name w:val="caption"/>
    <w:basedOn w:val="Normal"/>
    <w:next w:val="Normal"/>
    <w:qFormat/>
    <w:rsid w:val="00A32B78"/>
    <w:pPr>
      <w:spacing w:before="240" w:after="240"/>
      <w:jc w:val="center"/>
    </w:pPr>
    <w:rPr>
      <w:b/>
      <w:bCs/>
      <w:szCs w:val="20"/>
    </w:rPr>
  </w:style>
  <w:style w:type="paragraph" w:styleId="TableofFigures">
    <w:name w:val="table of figures"/>
    <w:basedOn w:val="Normal"/>
    <w:next w:val="Normal"/>
    <w:semiHidden/>
    <w:rsid w:val="004F14D7"/>
  </w:style>
  <w:style w:type="paragraph" w:customStyle="1" w:styleId="AppendixTitle">
    <w:name w:val="Appendix Title"/>
    <w:basedOn w:val="Title"/>
    <w:rsid w:val="0043794E"/>
    <w:pPr>
      <w:spacing w:before="1440" w:after="0"/>
    </w:pPr>
  </w:style>
  <w:style w:type="paragraph" w:styleId="BodyText3">
    <w:name w:val="Body Text 3"/>
    <w:basedOn w:val="BodyText2"/>
    <w:link w:val="BodyText3Char"/>
    <w:rsid w:val="00912E69"/>
    <w:pPr>
      <w:ind w:left="720"/>
    </w:pPr>
  </w:style>
  <w:style w:type="character" w:customStyle="1" w:styleId="BodyText3Char">
    <w:name w:val="Body Text 3 Char"/>
    <w:basedOn w:val="DefaultParagraphFont"/>
    <w:link w:val="BodyText3"/>
    <w:rsid w:val="00912E69"/>
    <w:rPr>
      <w:rFonts w:ascii="Arial" w:hAnsi="Arial" w:cs="Arial"/>
      <w:sz w:val="22"/>
      <w:szCs w:val="22"/>
      <w:lang w:eastAsia="en-US"/>
    </w:rPr>
  </w:style>
  <w:style w:type="character" w:customStyle="1" w:styleId="Heading2Char">
    <w:name w:val="Heading 2 Char"/>
    <w:basedOn w:val="DefaultParagraphFont"/>
    <w:link w:val="Heading2"/>
    <w:rsid w:val="00DB2B33"/>
    <w:rPr>
      <w:rFonts w:ascii="Tahoma" w:hAnsi="Tahoma" w:cs="Arial"/>
      <w:b/>
      <w:iCs/>
      <w:kern w:val="32"/>
      <w:sz w:val="28"/>
      <w:szCs w:val="28"/>
      <w:lang w:eastAsia="en-US"/>
    </w:rPr>
  </w:style>
  <w:style w:type="character" w:customStyle="1" w:styleId="Heading3Char">
    <w:name w:val="Heading 3 Char"/>
    <w:basedOn w:val="DefaultParagraphFont"/>
    <w:link w:val="Heading3"/>
    <w:rsid w:val="00DB2B33"/>
    <w:rPr>
      <w:rFonts w:ascii="Tahoma" w:hAnsi="Tahoma" w:cs="Arial"/>
      <w:b/>
      <w:bCs/>
      <w:iCs/>
      <w:kern w:val="32"/>
      <w:sz w:val="24"/>
      <w:szCs w:val="26"/>
      <w:lang w:eastAsia="en-US"/>
    </w:rPr>
  </w:style>
  <w:style w:type="character" w:customStyle="1" w:styleId="Heading4Char">
    <w:name w:val="Heading 4 Char"/>
    <w:basedOn w:val="DefaultParagraphFont"/>
    <w:link w:val="Heading4"/>
    <w:rsid w:val="00DB2B33"/>
    <w:rPr>
      <w:rFonts w:ascii="Tahoma" w:hAnsi="Tahoma"/>
      <w:b/>
      <w:iCs/>
      <w:kern w:val="32"/>
      <w:sz w:val="22"/>
      <w:szCs w:val="28"/>
      <w:lang w:eastAsia="en-US"/>
    </w:rPr>
  </w:style>
  <w:style w:type="character" w:customStyle="1" w:styleId="Heading5Char">
    <w:name w:val="Heading 5 Char"/>
    <w:basedOn w:val="DefaultParagraphFont"/>
    <w:link w:val="Heading5"/>
    <w:rsid w:val="002603C6"/>
    <w:rPr>
      <w:rFonts w:ascii="Tahoma" w:hAnsi="Tahoma"/>
      <w:b/>
      <w:bCs/>
      <w:i/>
      <w:kern w:val="32"/>
      <w:sz w:val="22"/>
      <w:szCs w:val="26"/>
    </w:rPr>
  </w:style>
  <w:style w:type="character" w:customStyle="1" w:styleId="BodyText2Char">
    <w:name w:val="Body Text 2 Char"/>
    <w:basedOn w:val="DefaultParagraphFont"/>
    <w:link w:val="BodyText2"/>
    <w:semiHidden/>
    <w:rsid w:val="00A32B78"/>
    <w:rPr>
      <w:rFonts w:ascii="Arial" w:hAnsi="Arial" w:cs="Arial"/>
      <w:szCs w:val="22"/>
    </w:rPr>
  </w:style>
  <w:style w:type="table" w:styleId="TableGrid">
    <w:name w:val="Table Grid"/>
    <w:basedOn w:val="TableNormal"/>
    <w:rsid w:val="008C3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ankPage">
    <w:name w:val="Blank Page"/>
    <w:basedOn w:val="BodyText"/>
    <w:qFormat/>
    <w:rsid w:val="008C310A"/>
    <w:pPr>
      <w:spacing w:before="5000"/>
      <w:jc w:val="center"/>
    </w:pPr>
  </w:style>
  <w:style w:type="character" w:styleId="CommentReference">
    <w:name w:val="annotation reference"/>
    <w:basedOn w:val="DefaultParagraphFont"/>
    <w:semiHidden/>
    <w:unhideWhenUsed/>
    <w:rsid w:val="00240A0B"/>
    <w:rPr>
      <w:sz w:val="16"/>
      <w:szCs w:val="16"/>
    </w:rPr>
  </w:style>
  <w:style w:type="paragraph" w:styleId="CommentText">
    <w:name w:val="annotation text"/>
    <w:basedOn w:val="Normal"/>
    <w:link w:val="CommentTextChar"/>
    <w:semiHidden/>
    <w:unhideWhenUsed/>
    <w:rsid w:val="00240A0B"/>
    <w:rPr>
      <w:szCs w:val="20"/>
    </w:rPr>
  </w:style>
  <w:style w:type="character" w:customStyle="1" w:styleId="CommentTextChar">
    <w:name w:val="Comment Text Char"/>
    <w:basedOn w:val="DefaultParagraphFont"/>
    <w:link w:val="CommentText"/>
    <w:semiHidden/>
    <w:rsid w:val="00240A0B"/>
    <w:rPr>
      <w:rFonts w:ascii="Arial" w:hAnsi="Arial"/>
    </w:rPr>
  </w:style>
  <w:style w:type="paragraph" w:styleId="CommentSubject">
    <w:name w:val="annotation subject"/>
    <w:basedOn w:val="CommentText"/>
    <w:next w:val="CommentText"/>
    <w:link w:val="CommentSubjectChar"/>
    <w:semiHidden/>
    <w:unhideWhenUsed/>
    <w:rsid w:val="00240A0B"/>
    <w:rPr>
      <w:b/>
      <w:bCs/>
    </w:rPr>
  </w:style>
  <w:style w:type="character" w:customStyle="1" w:styleId="CommentSubjectChar">
    <w:name w:val="Comment Subject Char"/>
    <w:basedOn w:val="CommentTextChar"/>
    <w:link w:val="CommentSubject"/>
    <w:semiHidden/>
    <w:rsid w:val="00240A0B"/>
    <w:rPr>
      <w:rFonts w:ascii="Arial" w:hAnsi="Arial"/>
      <w:b/>
      <w:bCs/>
    </w:rPr>
  </w:style>
  <w:style w:type="paragraph" w:styleId="ListParagraph">
    <w:name w:val="List Paragraph"/>
    <w:basedOn w:val="Normal"/>
    <w:uiPriority w:val="34"/>
    <w:qFormat/>
    <w:rsid w:val="00C03737"/>
    <w:pPr>
      <w:ind w:left="720"/>
      <w:contextualSpacing/>
    </w:pPr>
  </w:style>
  <w:style w:type="paragraph" w:styleId="Revision">
    <w:name w:val="Revision"/>
    <w:hidden/>
    <w:uiPriority w:val="99"/>
    <w:semiHidden/>
    <w:rsid w:val="00FA0B1D"/>
    <w:rPr>
      <w:rFonts w:ascii="Arial" w:hAnsi="Arial"/>
      <w:szCs w:val="24"/>
    </w:rPr>
  </w:style>
  <w:style w:type="character" w:styleId="Emphasis">
    <w:name w:val="Emphasis"/>
    <w:basedOn w:val="DefaultParagraphFont"/>
    <w:qFormat/>
    <w:rsid w:val="00FA0B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76219">
      <w:bodyDiv w:val="1"/>
      <w:marLeft w:val="0"/>
      <w:marRight w:val="0"/>
      <w:marTop w:val="0"/>
      <w:marBottom w:val="0"/>
      <w:divBdr>
        <w:top w:val="none" w:sz="0" w:space="0" w:color="auto"/>
        <w:left w:val="none" w:sz="0" w:space="0" w:color="auto"/>
        <w:bottom w:val="none" w:sz="0" w:space="0" w:color="auto"/>
        <w:right w:val="none" w:sz="0" w:space="0" w:color="auto"/>
      </w:divBdr>
    </w:div>
    <w:div w:id="251276466">
      <w:bodyDiv w:val="1"/>
      <w:marLeft w:val="0"/>
      <w:marRight w:val="0"/>
      <w:marTop w:val="0"/>
      <w:marBottom w:val="0"/>
      <w:divBdr>
        <w:top w:val="none" w:sz="0" w:space="0" w:color="auto"/>
        <w:left w:val="none" w:sz="0" w:space="0" w:color="auto"/>
        <w:bottom w:val="none" w:sz="0" w:space="0" w:color="auto"/>
        <w:right w:val="none" w:sz="0" w:space="0" w:color="auto"/>
      </w:divBdr>
    </w:div>
    <w:div w:id="33318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customXml" Target="../customXml/item6.xml"/><Relationship Id="rId14" Type="http://schemas.openxmlformats.org/officeDocument/2006/relationships/header" Target="header1.xm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ende\Documents\Resources\T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F6F8E7468A9E646823084CAEE56D44C" ma:contentTypeVersion="56" ma:contentTypeDescription="" ma:contentTypeScope="" ma:versionID="4046ce7242a9ae0e0ba3a0f2f6cf9b2c">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f2abde1a0b6371d480e25bd0fb5d73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UW</Prefix>
    <DocumentSetType xmlns="dc463f71-b30c-4ab2-9473-d307f9d35888">Initial Filing</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160</IndustryCode>
    <CaseStatus xmlns="dc463f71-b30c-4ab2-9473-d307f9d35888">Closed</CaseStatus>
    <OpenedDate xmlns="dc463f71-b30c-4ab2-9473-d307f9d35888">2019-03-06T08:00:00+00:00</OpenedDate>
    <SignificantOrder xmlns="dc463f71-b30c-4ab2-9473-d307f9d35888">false</SignificantOrder>
    <Date1 xmlns="dc463f71-b30c-4ab2-9473-d307f9d35888">2019-03-25T07:00:00+00:00</Date1>
    <IsDocumentOrder xmlns="dc463f71-b30c-4ab2-9473-d307f9d35888">false</IsDocumentOrder>
    <IsHighlyConfidential xmlns="dc463f71-b30c-4ab2-9473-d307f9d35888">false</IsHighlyConfidential>
    <CaseCompanyNames xmlns="dc463f71-b30c-4ab2-9473-d307f9d35888">Olympic Water and Sewer, Inc.</CaseCompanyNames>
    <Nickname xmlns="http://schemas.microsoft.com/sharepoint/v3" xsi:nil="true"/>
    <DocketNumber xmlns="dc463f71-b30c-4ab2-9473-d307f9d35888">190160</DocketNumber>
    <DelegatedOrder xmlns="dc463f71-b30c-4ab2-9473-d307f9d35888">false</Delegated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F453992F-4714-462F-80E0-1C29B35C28BB}"/>
</file>

<file path=customXml/itemProps2.xml><?xml version="1.0" encoding="utf-8"?>
<ds:datastoreItem xmlns:ds="http://schemas.openxmlformats.org/officeDocument/2006/customXml" ds:itemID="{9613B638-A7D4-407E-AF0E-22F39F323B5A}">
  <ds:schemaRef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20c43cd4-2709-40da-9f96-f4f7fa07d321"/>
    <ds:schemaRef ds:uri="http://www.w3.org/XML/1998/namespace"/>
  </ds:schemaRefs>
</ds:datastoreItem>
</file>

<file path=customXml/itemProps3.xml><?xml version="1.0" encoding="utf-8"?>
<ds:datastoreItem xmlns:ds="http://schemas.openxmlformats.org/officeDocument/2006/customXml" ds:itemID="{FEF850B5-763F-4958-A457-7F86070DBFCA}">
  <ds:schemaRefs>
    <ds:schemaRef ds:uri="http://schemas.microsoft.com/sharepoint/v3/contenttype/forms"/>
  </ds:schemaRefs>
</ds:datastoreItem>
</file>

<file path=customXml/itemProps4.xml><?xml version="1.0" encoding="utf-8"?>
<ds:datastoreItem xmlns:ds="http://schemas.openxmlformats.org/officeDocument/2006/customXml" ds:itemID="{85CBC4B3-8A8A-428A-B36A-F8A197A6CB3C}">
  <ds:schemaRefs>
    <ds:schemaRef ds:uri="http://schemas.microsoft.com/sharepoint/events"/>
  </ds:schemaRefs>
</ds:datastoreItem>
</file>

<file path=customXml/itemProps5.xml><?xml version="1.0" encoding="utf-8"?>
<ds:datastoreItem xmlns:ds="http://schemas.openxmlformats.org/officeDocument/2006/customXml" ds:itemID="{903CEBEF-3B75-424E-B53F-A54ED7B439E1}">
  <ds:schemaRefs>
    <ds:schemaRef ds:uri="http://schemas.openxmlformats.org/officeDocument/2006/bibliography"/>
  </ds:schemaRefs>
</ds:datastoreItem>
</file>

<file path=customXml/itemProps6.xml><?xml version="1.0" encoding="utf-8"?>
<ds:datastoreItem xmlns:ds="http://schemas.openxmlformats.org/officeDocument/2006/customXml" ds:itemID="{35EF8AF0-9108-469A-B995-012EF51A4D71}"/>
</file>

<file path=docProps/app.xml><?xml version="1.0" encoding="utf-8"?>
<Properties xmlns="http://schemas.openxmlformats.org/officeDocument/2006/extended-properties" xmlns:vt="http://schemas.openxmlformats.org/officeDocument/2006/docPropsVTypes">
  <Template>TM Template</Template>
  <TotalTime>0</TotalTime>
  <Pages>7</Pages>
  <Words>2422</Words>
  <Characters>13399</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Tech Memo Template</vt:lpstr>
    </vt:vector>
  </TitlesOfParts>
  <Company>HDR, Inc.</Company>
  <LinksUpToDate>false</LinksUpToDate>
  <CharactersWithSpaces>15790</CharactersWithSpaces>
  <SharedDoc>false</SharedDoc>
  <HLinks>
    <vt:vector size="36" baseType="variant">
      <vt:variant>
        <vt:i4>1441853</vt:i4>
      </vt:variant>
      <vt:variant>
        <vt:i4>44</vt:i4>
      </vt:variant>
      <vt:variant>
        <vt:i4>0</vt:i4>
      </vt:variant>
      <vt:variant>
        <vt:i4>5</vt:i4>
      </vt:variant>
      <vt:variant>
        <vt:lpwstr/>
      </vt:variant>
      <vt:variant>
        <vt:lpwstr>_Toc95526771</vt:lpwstr>
      </vt:variant>
      <vt:variant>
        <vt:i4>1310771</vt:i4>
      </vt:variant>
      <vt:variant>
        <vt:i4>35</vt:i4>
      </vt:variant>
      <vt:variant>
        <vt:i4>0</vt:i4>
      </vt:variant>
      <vt:variant>
        <vt:i4>5</vt:i4>
      </vt:variant>
      <vt:variant>
        <vt:lpwstr/>
      </vt:variant>
      <vt:variant>
        <vt:lpwstr>_Toc95526397</vt:lpwstr>
      </vt:variant>
      <vt:variant>
        <vt:i4>1441851</vt:i4>
      </vt:variant>
      <vt:variant>
        <vt:i4>26</vt:i4>
      </vt:variant>
      <vt:variant>
        <vt:i4>0</vt:i4>
      </vt:variant>
      <vt:variant>
        <vt:i4>5</vt:i4>
      </vt:variant>
      <vt:variant>
        <vt:lpwstr/>
      </vt:variant>
      <vt:variant>
        <vt:lpwstr>_Toc95271211</vt:lpwstr>
      </vt:variant>
      <vt:variant>
        <vt:i4>1507387</vt:i4>
      </vt:variant>
      <vt:variant>
        <vt:i4>20</vt:i4>
      </vt:variant>
      <vt:variant>
        <vt:i4>0</vt:i4>
      </vt:variant>
      <vt:variant>
        <vt:i4>5</vt:i4>
      </vt:variant>
      <vt:variant>
        <vt:lpwstr/>
      </vt:variant>
      <vt:variant>
        <vt:lpwstr>_Toc95271210</vt:lpwstr>
      </vt:variant>
      <vt:variant>
        <vt:i4>1966138</vt:i4>
      </vt:variant>
      <vt:variant>
        <vt:i4>14</vt:i4>
      </vt:variant>
      <vt:variant>
        <vt:i4>0</vt:i4>
      </vt:variant>
      <vt:variant>
        <vt:i4>5</vt:i4>
      </vt:variant>
      <vt:variant>
        <vt:lpwstr/>
      </vt:variant>
      <vt:variant>
        <vt:lpwstr>_Toc95271209</vt:lpwstr>
      </vt:variant>
      <vt:variant>
        <vt:i4>2031674</vt:i4>
      </vt:variant>
      <vt:variant>
        <vt:i4>8</vt:i4>
      </vt:variant>
      <vt:variant>
        <vt:i4>0</vt:i4>
      </vt:variant>
      <vt:variant>
        <vt:i4>5</vt:i4>
      </vt:variant>
      <vt:variant>
        <vt:lpwstr/>
      </vt:variant>
      <vt:variant>
        <vt:lpwstr>_Toc95271208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 Memo Template</dc:title>
  <dc:subject>TM Subject</dc:subject>
  <dc:creator>Mende, Elizabeth</dc:creator>
  <cp:lastModifiedBy>Greg Rae</cp:lastModifiedBy>
  <cp:revision>2</cp:revision>
  <cp:lastPrinted>2005-02-02T16:24:00Z</cp:lastPrinted>
  <dcterms:created xsi:type="dcterms:W3CDTF">2019-03-20T14:58:00Z</dcterms:created>
  <dcterms:modified xsi:type="dcterms:W3CDTF">2019-03-20T14:58:00Z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0x0101006E56B4D1795A2E4DB2F0B01679ED314A00EF6F8E7468A9E646823084CAEE56D44C</vt:lpwstr>
  </property>
  <property fmtid="{D5CDD505-2E9C-101B-9397-08002B2CF9AE}" pid="3" name="_dlc_DocIdItemGuid">
    <vt:lpwstr>8d4fba22-d74e-469d-b731-2ada41a81a40</vt:lpwstr>
  </property>
  <property fmtid="{D5CDD505-2E9C-101B-9397-08002B2CF9AE}" pid="4" name="_docset_NoMedatataSyncRequired">
    <vt:lpwstr>False</vt:lpwstr>
  </property>
  <property fmtid="{D5CDD505-2E9C-101B-9397-08002B2CF9AE}" pid="5" name="IsEFSEC">
    <vt:bool>false</vt:bool>
  </property>
</Properties>
</file>