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036" w:tblpY="1066"/>
        <w:tblW w:w="110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5807"/>
      </w:tblGrid>
      <w:tr w:rsidR="008C0D1D" w:rsidTr="008C0D1D">
        <w:trPr>
          <w:cantSplit/>
          <w:trHeight w:hRule="exact" w:val="1982"/>
        </w:trPr>
        <w:tc>
          <w:tcPr>
            <w:tcW w:w="5256" w:type="dxa"/>
          </w:tcPr>
          <w:p w:rsidR="008C0D1D" w:rsidRDefault="008C0D1D" w:rsidP="008C0D1D">
            <w:pPr>
              <w:pStyle w:val="Header"/>
              <w:ind w:left="-3"/>
              <w:rPr>
                <w:sz w:val="32"/>
              </w:rPr>
            </w:pPr>
            <w:r>
              <w:rPr>
                <w:noProof/>
                <w:sz w:val="32"/>
              </w:rPr>
              <w:drawing>
                <wp:anchor distT="0" distB="274320" distL="114300" distR="114300" simplePos="0" relativeHeight="251660288" behindDoc="0" locked="0" layoutInCell="1" allowOverlap="1" wp14:anchorId="49538075" wp14:editId="2373E15F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85725</wp:posOffset>
                  </wp:positionV>
                  <wp:extent cx="2679700" cy="933450"/>
                  <wp:effectExtent l="19050" t="0" r="6350" b="0"/>
                  <wp:wrapTopAndBottom/>
                  <wp:docPr id="1" name="Picture 1" descr="CNG-Color-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NG-Color-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15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07" w:type="dxa"/>
          </w:tcPr>
          <w:p w:rsidR="008C0D1D" w:rsidRDefault="008C0D1D" w:rsidP="008C0D1D">
            <w:pPr>
              <w:pStyle w:val="Header"/>
              <w:tabs>
                <w:tab w:val="clear" w:pos="4320"/>
              </w:tabs>
              <w:spacing w:line="6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8C0D1D" w:rsidRDefault="008C0D1D" w:rsidP="008C0D1D">
            <w:pPr>
              <w:pStyle w:val="Header"/>
              <w:tabs>
                <w:tab w:val="clear" w:pos="4320"/>
              </w:tabs>
              <w:spacing w:line="12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8C0D1D" w:rsidRDefault="008C0D1D" w:rsidP="008C0D1D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position w:val="-96"/>
                <w:sz w:val="12"/>
              </w:rPr>
              <w:t>8113 W. GRANDRIDGE BLVD.,  KENNEWICK, WASHINGTON  99336-7166</w:t>
            </w:r>
            <w:r>
              <w:rPr>
                <w:rFonts w:ascii="Century Gothic" w:hAnsi="Century Gothic"/>
                <w:position w:val="-80"/>
                <w:sz w:val="12"/>
              </w:rPr>
              <w:br/>
            </w:r>
            <w:r>
              <w:rPr>
                <w:rFonts w:ascii="Century Gothic" w:hAnsi="Century Gothic"/>
                <w:sz w:val="12"/>
              </w:rPr>
              <w:t>TELEPHONE 509-734-4500  FACSIMILE  509-737-7166</w:t>
            </w:r>
          </w:p>
          <w:p w:rsidR="008C0D1D" w:rsidRDefault="008C0D1D" w:rsidP="008C0D1D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position w:val="-80"/>
                <w:sz w:val="12"/>
              </w:rPr>
            </w:pPr>
            <w:r>
              <w:rPr>
                <w:rFonts w:ascii="Century Gothic" w:hAnsi="Century Gothic"/>
                <w:sz w:val="12"/>
              </w:rPr>
              <w:t>www.cngc.com</w:t>
            </w:r>
          </w:p>
        </w:tc>
      </w:tr>
    </w:tbl>
    <w:p w:rsidR="00563BEC" w:rsidRDefault="00563BEC" w:rsidP="008C0D1D">
      <w:pPr>
        <w:rPr>
          <w:rFonts w:asciiTheme="minorHAnsi" w:hAnsiTheme="minorHAnsi"/>
          <w:sz w:val="24"/>
          <w:szCs w:val="24"/>
          <w:u w:val="single"/>
        </w:rPr>
      </w:pPr>
    </w:p>
    <w:p w:rsidR="008C44C7" w:rsidRDefault="008C44C7" w:rsidP="008C0D1D">
      <w:pPr>
        <w:rPr>
          <w:rFonts w:asciiTheme="minorHAnsi" w:hAnsiTheme="minorHAnsi"/>
          <w:sz w:val="24"/>
          <w:szCs w:val="24"/>
          <w:u w:val="single"/>
        </w:rPr>
      </w:pPr>
    </w:p>
    <w:p w:rsidR="00685D0A" w:rsidRDefault="00685D0A" w:rsidP="008C0D1D">
      <w:pPr>
        <w:rPr>
          <w:rFonts w:asciiTheme="minorHAnsi" w:hAnsiTheme="minorHAnsi"/>
          <w:sz w:val="24"/>
          <w:szCs w:val="24"/>
          <w:u w:val="single"/>
        </w:rPr>
      </w:pPr>
    </w:p>
    <w:p w:rsidR="00685D0A" w:rsidRDefault="00685D0A" w:rsidP="008C0D1D">
      <w:pPr>
        <w:rPr>
          <w:rFonts w:asciiTheme="minorHAnsi" w:hAnsiTheme="minorHAnsi"/>
          <w:sz w:val="24"/>
          <w:szCs w:val="24"/>
          <w:u w:val="single"/>
        </w:rPr>
      </w:pPr>
    </w:p>
    <w:p w:rsidR="008C0D1D" w:rsidRPr="009C2AAA" w:rsidRDefault="008C0D1D" w:rsidP="008C0D1D">
      <w:pPr>
        <w:rPr>
          <w:rFonts w:asciiTheme="minorHAnsi" w:hAnsiTheme="minorHAnsi"/>
          <w:sz w:val="24"/>
          <w:szCs w:val="24"/>
          <w:u w:val="single"/>
        </w:rPr>
      </w:pPr>
      <w:r w:rsidRPr="009C2AAA">
        <w:rPr>
          <w:rFonts w:asciiTheme="minorHAnsi" w:hAnsiTheme="minorHAnsi"/>
          <w:sz w:val="24"/>
          <w:szCs w:val="24"/>
          <w:u w:val="single"/>
        </w:rPr>
        <w:t>VIA ELECTRONIC MAIL</w:t>
      </w:r>
    </w:p>
    <w:p w:rsidR="008C0D1D" w:rsidRPr="009C2AAA" w:rsidRDefault="000C0FAC" w:rsidP="008C0D1D">
      <w:pPr>
        <w:rPr>
          <w:rFonts w:asciiTheme="minorHAnsi" w:hAnsiTheme="minorHAnsi"/>
          <w:sz w:val="24"/>
          <w:szCs w:val="24"/>
        </w:rPr>
      </w:pPr>
      <w:hyperlink r:id="rId9" w:history="1">
        <w:r w:rsidR="008C0D1D" w:rsidRPr="009C2AAA">
          <w:rPr>
            <w:rStyle w:val="Hyperlink"/>
            <w:rFonts w:asciiTheme="minorHAnsi" w:hAnsiTheme="minorHAnsi"/>
            <w:sz w:val="24"/>
            <w:szCs w:val="24"/>
          </w:rPr>
          <w:t>records@utc.wa.gov</w:t>
        </w:r>
      </w:hyperlink>
    </w:p>
    <w:p w:rsid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FA5951" w:rsidRDefault="00FA5951" w:rsidP="008C0D1D">
      <w:pPr>
        <w:rPr>
          <w:rFonts w:asciiTheme="minorHAnsi" w:hAnsiTheme="minorHAnsi"/>
          <w:sz w:val="24"/>
          <w:szCs w:val="24"/>
        </w:rPr>
      </w:pPr>
    </w:p>
    <w:p w:rsidR="00563BEC" w:rsidRDefault="00563BEC" w:rsidP="008C0D1D">
      <w:pPr>
        <w:rPr>
          <w:rFonts w:asciiTheme="minorHAnsi" w:hAnsiTheme="minorHAnsi"/>
          <w:sz w:val="24"/>
          <w:szCs w:val="24"/>
        </w:rPr>
      </w:pPr>
    </w:p>
    <w:p w:rsidR="008C0D1D" w:rsidRPr="009C2AAA" w:rsidRDefault="000D7CE6" w:rsidP="008C0D1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January 20</w:t>
      </w:r>
      <w:r w:rsidR="00857CFB">
        <w:rPr>
          <w:rFonts w:asciiTheme="minorHAnsi" w:hAnsiTheme="minorHAnsi"/>
          <w:sz w:val="24"/>
          <w:szCs w:val="24"/>
        </w:rPr>
        <w:t>, 20</w:t>
      </w:r>
      <w:r>
        <w:rPr>
          <w:rFonts w:asciiTheme="minorHAnsi" w:hAnsiTheme="minorHAnsi"/>
          <w:sz w:val="24"/>
          <w:szCs w:val="24"/>
        </w:rPr>
        <w:t>17</w:t>
      </w:r>
    </w:p>
    <w:p w:rsid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8C0D1D" w:rsidRPr="009C2AAA" w:rsidRDefault="008C0D1D" w:rsidP="008C0D1D">
      <w:pPr>
        <w:rPr>
          <w:rFonts w:asciiTheme="minorHAnsi" w:hAnsiTheme="minorHAnsi"/>
          <w:sz w:val="24"/>
          <w:szCs w:val="24"/>
        </w:rPr>
      </w:pPr>
      <w:r w:rsidRPr="009C2AAA">
        <w:rPr>
          <w:rFonts w:asciiTheme="minorHAnsi" w:hAnsiTheme="minorHAnsi"/>
          <w:sz w:val="24"/>
          <w:szCs w:val="24"/>
        </w:rPr>
        <w:t>Records Center</w:t>
      </w:r>
    </w:p>
    <w:p w:rsidR="008C0D1D" w:rsidRPr="009C2AAA" w:rsidRDefault="008C0D1D" w:rsidP="008C0D1D">
      <w:pPr>
        <w:rPr>
          <w:rFonts w:asciiTheme="minorHAnsi" w:hAnsiTheme="minorHAnsi"/>
          <w:sz w:val="24"/>
          <w:szCs w:val="24"/>
        </w:rPr>
      </w:pPr>
      <w:r w:rsidRPr="009C2AAA">
        <w:rPr>
          <w:rFonts w:asciiTheme="minorHAnsi" w:hAnsiTheme="minorHAnsi"/>
          <w:sz w:val="24"/>
          <w:szCs w:val="24"/>
        </w:rPr>
        <w:t>Washington Utilities and Transportation Commission</w:t>
      </w:r>
    </w:p>
    <w:p w:rsidR="008C0D1D" w:rsidRPr="009C2AAA" w:rsidRDefault="008C0D1D" w:rsidP="008C0D1D">
      <w:pPr>
        <w:rPr>
          <w:rFonts w:asciiTheme="minorHAnsi" w:hAnsiTheme="minorHAnsi"/>
          <w:sz w:val="24"/>
          <w:szCs w:val="24"/>
        </w:rPr>
      </w:pPr>
      <w:r w:rsidRPr="009C2AAA">
        <w:rPr>
          <w:rFonts w:asciiTheme="minorHAnsi" w:hAnsiTheme="minorHAnsi"/>
          <w:sz w:val="24"/>
          <w:szCs w:val="24"/>
        </w:rPr>
        <w:t>1300 S. Evergreen Park Drive SW</w:t>
      </w:r>
    </w:p>
    <w:p w:rsidR="008C0D1D" w:rsidRPr="009C2AAA" w:rsidRDefault="008C0D1D" w:rsidP="008C0D1D">
      <w:pPr>
        <w:rPr>
          <w:rFonts w:asciiTheme="minorHAnsi" w:hAnsiTheme="minorHAnsi"/>
          <w:sz w:val="24"/>
          <w:szCs w:val="24"/>
        </w:rPr>
      </w:pPr>
      <w:r w:rsidRPr="009C2AAA">
        <w:rPr>
          <w:rFonts w:asciiTheme="minorHAnsi" w:hAnsiTheme="minorHAnsi"/>
          <w:sz w:val="24"/>
          <w:szCs w:val="24"/>
        </w:rPr>
        <w:t>Olympia, WA  98504</w:t>
      </w:r>
    </w:p>
    <w:p w:rsid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AC311A" w:rsidRDefault="008C0D1D" w:rsidP="005B5D07">
      <w:pPr>
        <w:rPr>
          <w:rFonts w:asciiTheme="minorHAnsi" w:hAnsiTheme="minorHAnsi"/>
          <w:b/>
          <w:sz w:val="24"/>
          <w:szCs w:val="24"/>
        </w:rPr>
      </w:pPr>
      <w:r w:rsidRPr="00AC311A">
        <w:rPr>
          <w:rFonts w:asciiTheme="minorHAnsi" w:hAnsiTheme="minorHAnsi"/>
          <w:b/>
          <w:sz w:val="24"/>
          <w:szCs w:val="24"/>
        </w:rPr>
        <w:t xml:space="preserve">Re:  </w:t>
      </w:r>
      <w:r w:rsidR="00C8501C" w:rsidRPr="00AC311A">
        <w:rPr>
          <w:rFonts w:asciiTheme="minorHAnsi" w:hAnsiTheme="minorHAnsi"/>
          <w:b/>
          <w:sz w:val="24"/>
          <w:szCs w:val="24"/>
        </w:rPr>
        <w:t xml:space="preserve"> </w:t>
      </w:r>
      <w:r w:rsidR="00AC311A" w:rsidRPr="00AC311A">
        <w:rPr>
          <w:rFonts w:asciiTheme="minorHAnsi" w:hAnsiTheme="minorHAnsi"/>
          <w:b/>
          <w:sz w:val="24"/>
          <w:szCs w:val="24"/>
        </w:rPr>
        <w:tab/>
        <w:t>UG-160967</w:t>
      </w:r>
      <w:r w:rsidR="005E36F7">
        <w:rPr>
          <w:rFonts w:asciiTheme="minorHAnsi" w:hAnsiTheme="minorHAnsi"/>
          <w:b/>
          <w:sz w:val="24"/>
          <w:szCs w:val="24"/>
        </w:rPr>
        <w:t xml:space="preserve">, </w:t>
      </w:r>
      <w:r w:rsidR="00857CFB">
        <w:rPr>
          <w:rFonts w:asciiTheme="minorHAnsi" w:hAnsiTheme="minorHAnsi"/>
          <w:b/>
          <w:sz w:val="24"/>
          <w:szCs w:val="24"/>
        </w:rPr>
        <w:t xml:space="preserve">Informational </w:t>
      </w:r>
      <w:r w:rsidR="005E36F7">
        <w:rPr>
          <w:rFonts w:asciiTheme="minorHAnsi" w:hAnsiTheme="minorHAnsi"/>
          <w:b/>
          <w:sz w:val="24"/>
          <w:szCs w:val="24"/>
        </w:rPr>
        <w:t>Filing</w:t>
      </w:r>
    </w:p>
    <w:p w:rsidR="00857CFB" w:rsidRPr="00AC311A" w:rsidRDefault="00857CFB" w:rsidP="005B5D07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0D7CE6">
        <w:rPr>
          <w:rFonts w:asciiTheme="minorHAnsi" w:hAnsiTheme="minorHAnsi"/>
          <w:b/>
          <w:sz w:val="24"/>
          <w:szCs w:val="24"/>
        </w:rPr>
        <w:t xml:space="preserve">January 2017 </w:t>
      </w:r>
      <w:r>
        <w:rPr>
          <w:rFonts w:asciiTheme="minorHAnsi" w:hAnsiTheme="minorHAnsi"/>
          <w:b/>
          <w:sz w:val="24"/>
          <w:szCs w:val="24"/>
        </w:rPr>
        <w:t>Line Extension Data</w:t>
      </w:r>
    </w:p>
    <w:p w:rsidR="0033029D" w:rsidRDefault="0033029D" w:rsidP="008C0D1D">
      <w:pPr>
        <w:rPr>
          <w:rFonts w:asciiTheme="minorHAnsi" w:hAnsiTheme="minorHAnsi"/>
          <w:sz w:val="24"/>
          <w:szCs w:val="24"/>
        </w:rPr>
      </w:pPr>
    </w:p>
    <w:p w:rsidR="0067522F" w:rsidRDefault="00B02FC1" w:rsidP="00857CFB">
      <w:pPr>
        <w:rPr>
          <w:rFonts w:asciiTheme="minorHAnsi" w:hAnsiTheme="minorHAnsi"/>
          <w:spacing w:val="-2"/>
          <w:sz w:val="24"/>
        </w:rPr>
      </w:pPr>
      <w:r>
        <w:rPr>
          <w:rFonts w:asciiTheme="minorHAnsi" w:hAnsiTheme="minorHAnsi"/>
          <w:sz w:val="24"/>
          <w:szCs w:val="24"/>
        </w:rPr>
        <w:t xml:space="preserve">On </w:t>
      </w:r>
      <w:r w:rsidR="00146482">
        <w:rPr>
          <w:rFonts w:asciiTheme="minorHAnsi" w:hAnsiTheme="minorHAnsi"/>
          <w:spacing w:val="-2"/>
          <w:sz w:val="24"/>
        </w:rPr>
        <w:t>July 29</w:t>
      </w:r>
      <w:r>
        <w:rPr>
          <w:rFonts w:asciiTheme="minorHAnsi" w:hAnsiTheme="minorHAnsi"/>
          <w:spacing w:val="-2"/>
          <w:sz w:val="24"/>
        </w:rPr>
        <w:t xml:space="preserve">, 2016, </w:t>
      </w:r>
      <w:r w:rsidRPr="004277F1">
        <w:rPr>
          <w:rFonts w:asciiTheme="minorHAnsi" w:hAnsiTheme="minorHAnsi"/>
          <w:sz w:val="24"/>
          <w:szCs w:val="24"/>
        </w:rPr>
        <w:t>Casc</w:t>
      </w:r>
      <w:r>
        <w:rPr>
          <w:rFonts w:asciiTheme="minorHAnsi" w:hAnsiTheme="minorHAnsi"/>
          <w:sz w:val="24"/>
          <w:szCs w:val="24"/>
        </w:rPr>
        <w:t>ade Natural Gas Corporation’s (</w:t>
      </w:r>
      <w:r w:rsidRPr="004277F1">
        <w:rPr>
          <w:rFonts w:asciiTheme="minorHAnsi" w:hAnsiTheme="minorHAnsi"/>
          <w:sz w:val="24"/>
          <w:szCs w:val="24"/>
        </w:rPr>
        <w:t>Cascade</w:t>
      </w:r>
      <w:r>
        <w:rPr>
          <w:rFonts w:asciiTheme="minorHAnsi" w:hAnsiTheme="minorHAnsi"/>
          <w:sz w:val="24"/>
          <w:szCs w:val="24"/>
        </w:rPr>
        <w:t xml:space="preserve"> or </w:t>
      </w:r>
      <w:r w:rsidRPr="004277F1">
        <w:rPr>
          <w:rFonts w:asciiTheme="minorHAnsi" w:hAnsiTheme="minorHAnsi"/>
          <w:sz w:val="24"/>
          <w:szCs w:val="24"/>
        </w:rPr>
        <w:t xml:space="preserve">Company) </w:t>
      </w:r>
      <w:r>
        <w:rPr>
          <w:rFonts w:asciiTheme="minorHAnsi" w:hAnsiTheme="minorHAnsi"/>
          <w:sz w:val="24"/>
          <w:szCs w:val="24"/>
        </w:rPr>
        <w:t>submi</w:t>
      </w:r>
      <w:r w:rsidRPr="00E2407F">
        <w:rPr>
          <w:rFonts w:asciiTheme="minorHAnsi" w:hAnsiTheme="minorHAnsi"/>
          <w:sz w:val="24"/>
          <w:szCs w:val="24"/>
        </w:rPr>
        <w:t xml:space="preserve">tted </w:t>
      </w:r>
      <w:r w:rsidR="005E36F7">
        <w:rPr>
          <w:rFonts w:asciiTheme="minorHAnsi" w:hAnsiTheme="minorHAnsi"/>
          <w:spacing w:val="-2"/>
          <w:sz w:val="24"/>
        </w:rPr>
        <w:t>Advice No. W16-07-01</w:t>
      </w:r>
      <w:r w:rsidR="00857CFB">
        <w:rPr>
          <w:rFonts w:asciiTheme="minorHAnsi" w:hAnsiTheme="minorHAnsi"/>
          <w:spacing w:val="-2"/>
          <w:sz w:val="24"/>
        </w:rPr>
        <w:t>, docketed as UG-160967</w:t>
      </w:r>
      <w:r w:rsidR="0067522F">
        <w:rPr>
          <w:rFonts w:asciiTheme="minorHAnsi" w:hAnsiTheme="minorHAnsi"/>
          <w:spacing w:val="-2"/>
          <w:sz w:val="24"/>
        </w:rPr>
        <w:t xml:space="preserve">, which the </w:t>
      </w:r>
      <w:r w:rsidR="00F821E0">
        <w:rPr>
          <w:rFonts w:asciiTheme="minorHAnsi" w:hAnsiTheme="minorHAnsi"/>
          <w:spacing w:val="-2"/>
          <w:sz w:val="24"/>
        </w:rPr>
        <w:t>Commission</w:t>
      </w:r>
      <w:r w:rsidR="0067522F">
        <w:rPr>
          <w:rFonts w:asciiTheme="minorHAnsi" w:hAnsiTheme="minorHAnsi"/>
          <w:spacing w:val="-2"/>
          <w:sz w:val="24"/>
        </w:rPr>
        <w:t xml:space="preserve"> </w:t>
      </w:r>
      <w:r w:rsidR="00D60D75">
        <w:rPr>
          <w:rFonts w:asciiTheme="minorHAnsi" w:hAnsiTheme="minorHAnsi"/>
          <w:spacing w:val="-2"/>
          <w:sz w:val="24"/>
        </w:rPr>
        <w:t xml:space="preserve">approved </w:t>
      </w:r>
      <w:r w:rsidR="0067522F">
        <w:rPr>
          <w:rFonts w:asciiTheme="minorHAnsi" w:hAnsiTheme="minorHAnsi"/>
          <w:spacing w:val="-2"/>
          <w:sz w:val="24"/>
        </w:rPr>
        <w:t xml:space="preserve">with an effective date of </w:t>
      </w:r>
      <w:r w:rsidR="00F821E0">
        <w:rPr>
          <w:rFonts w:asciiTheme="minorHAnsi" w:hAnsiTheme="minorHAnsi"/>
          <w:spacing w:val="-2"/>
          <w:sz w:val="24"/>
        </w:rPr>
        <w:t>September</w:t>
      </w:r>
      <w:r w:rsidR="0067522F">
        <w:rPr>
          <w:rFonts w:asciiTheme="minorHAnsi" w:hAnsiTheme="minorHAnsi"/>
          <w:spacing w:val="-2"/>
          <w:sz w:val="24"/>
        </w:rPr>
        <w:t xml:space="preserve"> 1, 2016.</w:t>
      </w:r>
    </w:p>
    <w:p w:rsidR="0067522F" w:rsidRDefault="0067522F" w:rsidP="00857CFB">
      <w:pPr>
        <w:rPr>
          <w:rFonts w:asciiTheme="minorHAnsi" w:hAnsiTheme="minorHAnsi"/>
          <w:spacing w:val="-2"/>
          <w:sz w:val="24"/>
        </w:rPr>
      </w:pPr>
    </w:p>
    <w:p w:rsidR="0067522F" w:rsidRDefault="00857CFB" w:rsidP="0067522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pacing w:val="-2"/>
          <w:sz w:val="24"/>
        </w:rPr>
        <w:t>Th</w:t>
      </w:r>
      <w:r w:rsidR="0067522F">
        <w:rPr>
          <w:rFonts w:asciiTheme="minorHAnsi" w:hAnsiTheme="minorHAnsi"/>
          <w:spacing w:val="-2"/>
          <w:sz w:val="24"/>
        </w:rPr>
        <w:t>e</w:t>
      </w:r>
      <w:r>
        <w:rPr>
          <w:rFonts w:asciiTheme="minorHAnsi" w:hAnsiTheme="minorHAnsi"/>
          <w:spacing w:val="-2"/>
          <w:sz w:val="24"/>
        </w:rPr>
        <w:t xml:space="preserve"> filing revised the Company’s line extension policy</w:t>
      </w:r>
      <w:r w:rsidR="0067522F">
        <w:rPr>
          <w:rFonts w:asciiTheme="minorHAnsi" w:hAnsiTheme="minorHAnsi"/>
          <w:spacing w:val="-2"/>
          <w:sz w:val="24"/>
        </w:rPr>
        <w:t xml:space="preserve"> </w:t>
      </w:r>
      <w:r w:rsidR="0067522F">
        <w:rPr>
          <w:rFonts w:asciiTheme="minorHAnsi" w:hAnsiTheme="minorHAnsi"/>
          <w:sz w:val="24"/>
          <w:szCs w:val="24"/>
        </w:rPr>
        <w:t>to off</w:t>
      </w:r>
      <w:r w:rsidR="00F821E0">
        <w:rPr>
          <w:rFonts w:asciiTheme="minorHAnsi" w:hAnsiTheme="minorHAnsi"/>
          <w:sz w:val="24"/>
          <w:szCs w:val="24"/>
        </w:rPr>
        <w:t>er</w:t>
      </w:r>
      <w:r w:rsidR="0067522F">
        <w:rPr>
          <w:rFonts w:asciiTheme="minorHAnsi" w:hAnsiTheme="minorHAnsi"/>
          <w:sz w:val="24"/>
          <w:szCs w:val="24"/>
        </w:rPr>
        <w:t xml:space="preserve"> an upfront allowance based on the perpetual net present value (PNPV) of the revenues generated from that customer.</w:t>
      </w:r>
    </w:p>
    <w:p w:rsidR="0067522F" w:rsidRDefault="0067522F" w:rsidP="0067522F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</w:p>
    <w:p w:rsidR="0067522F" w:rsidRDefault="0067522F" w:rsidP="0067522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PNPV allowance is the annual basic service charge and distribution revenue for the average residential or average commercial customers, as applicable, divided by 7.35%, </w:t>
      </w:r>
      <w:r w:rsidR="003B26C6">
        <w:rPr>
          <w:rFonts w:asciiTheme="minorHAnsi" w:hAnsiTheme="minorHAnsi"/>
          <w:sz w:val="24"/>
          <w:szCs w:val="24"/>
        </w:rPr>
        <w:t xml:space="preserve">which is the Company’s rate of </w:t>
      </w:r>
      <w:r>
        <w:rPr>
          <w:rFonts w:asciiTheme="minorHAnsi" w:hAnsiTheme="minorHAnsi"/>
          <w:sz w:val="24"/>
          <w:szCs w:val="24"/>
        </w:rPr>
        <w:t xml:space="preserve">return as approved in Commission Order No. 04 issued in UG-152286.  This methodology </w:t>
      </w:r>
      <w:r w:rsidR="00D60D75">
        <w:rPr>
          <w:rFonts w:asciiTheme="minorHAnsi" w:hAnsiTheme="minorHAnsi"/>
          <w:sz w:val="24"/>
          <w:szCs w:val="24"/>
        </w:rPr>
        <w:t>provides</w:t>
      </w:r>
      <w:r>
        <w:rPr>
          <w:rFonts w:asciiTheme="minorHAnsi" w:hAnsiTheme="minorHAnsi"/>
          <w:sz w:val="24"/>
          <w:szCs w:val="24"/>
        </w:rPr>
        <w:t xml:space="preserve"> an upfront allowance for residential customers not to </w:t>
      </w:r>
      <w:r w:rsidRPr="00366891">
        <w:rPr>
          <w:rFonts w:asciiTheme="minorHAnsi" w:hAnsiTheme="minorHAnsi"/>
          <w:sz w:val="24"/>
          <w:szCs w:val="24"/>
        </w:rPr>
        <w:t>exceed $3</w:t>
      </w:r>
      <w:r w:rsidR="00915EAC">
        <w:rPr>
          <w:rFonts w:asciiTheme="minorHAnsi" w:hAnsiTheme="minorHAnsi"/>
          <w:sz w:val="24"/>
          <w:szCs w:val="24"/>
        </w:rPr>
        <w:t>,</w:t>
      </w:r>
      <w:r w:rsidRPr="00366891">
        <w:rPr>
          <w:rFonts w:asciiTheme="minorHAnsi" w:hAnsiTheme="minorHAnsi"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 xml:space="preserve">55 and an allowance of no more than $12,350 for commercial customers.  </w:t>
      </w:r>
    </w:p>
    <w:p w:rsidR="0067522F" w:rsidRDefault="0067522F" w:rsidP="0067522F">
      <w:pPr>
        <w:rPr>
          <w:rFonts w:asciiTheme="minorHAnsi" w:hAnsiTheme="minorHAnsi"/>
          <w:sz w:val="24"/>
          <w:szCs w:val="24"/>
        </w:rPr>
      </w:pPr>
    </w:p>
    <w:p w:rsidR="00D60D75" w:rsidRDefault="0067522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When the Commission approved the Company’s filing, they expressed an interest in receiving line extension data in order to track the impact of the policy changes.  </w:t>
      </w:r>
      <w:r w:rsidR="00F821E0">
        <w:rPr>
          <w:rFonts w:asciiTheme="minorHAnsi" w:hAnsiTheme="minorHAnsi"/>
          <w:sz w:val="24"/>
          <w:szCs w:val="24"/>
        </w:rPr>
        <w:t xml:space="preserve">The table below </w:t>
      </w:r>
      <w:r w:rsidR="00D60D75">
        <w:rPr>
          <w:rFonts w:asciiTheme="minorHAnsi" w:hAnsiTheme="minorHAnsi"/>
          <w:sz w:val="24"/>
          <w:szCs w:val="24"/>
        </w:rPr>
        <w:t xml:space="preserve">provides a history of </w:t>
      </w:r>
      <w:r w:rsidR="00F821E0">
        <w:rPr>
          <w:rFonts w:asciiTheme="minorHAnsi" w:hAnsiTheme="minorHAnsi"/>
          <w:sz w:val="24"/>
          <w:szCs w:val="24"/>
        </w:rPr>
        <w:t>the number of new services</w:t>
      </w:r>
      <w:r w:rsidR="00F66154">
        <w:rPr>
          <w:rFonts w:asciiTheme="minorHAnsi" w:hAnsiTheme="minorHAnsi"/>
          <w:sz w:val="24"/>
          <w:szCs w:val="24"/>
        </w:rPr>
        <w:t xml:space="preserve"> </w:t>
      </w:r>
      <w:r w:rsidR="00B1221C">
        <w:rPr>
          <w:rFonts w:asciiTheme="minorHAnsi" w:hAnsiTheme="minorHAnsi"/>
          <w:sz w:val="24"/>
          <w:szCs w:val="24"/>
        </w:rPr>
        <w:t>added per</w:t>
      </w:r>
      <w:r w:rsidR="00F821E0">
        <w:rPr>
          <w:rFonts w:asciiTheme="minorHAnsi" w:hAnsiTheme="minorHAnsi"/>
          <w:sz w:val="24"/>
          <w:szCs w:val="24"/>
        </w:rPr>
        <w:t xml:space="preserve"> quarter, the total length of new service line</w:t>
      </w:r>
      <w:r w:rsidR="00F66154">
        <w:rPr>
          <w:rFonts w:asciiTheme="minorHAnsi" w:hAnsiTheme="minorHAnsi"/>
          <w:sz w:val="24"/>
          <w:szCs w:val="24"/>
        </w:rPr>
        <w:t xml:space="preserve">s and mains installed, the overall cost, </w:t>
      </w:r>
      <w:r w:rsidR="00F821E0">
        <w:rPr>
          <w:rFonts w:asciiTheme="minorHAnsi" w:hAnsiTheme="minorHAnsi"/>
          <w:sz w:val="24"/>
          <w:szCs w:val="24"/>
        </w:rPr>
        <w:t xml:space="preserve">and the </w:t>
      </w:r>
      <w:r w:rsidR="00F66154">
        <w:rPr>
          <w:rFonts w:asciiTheme="minorHAnsi" w:hAnsiTheme="minorHAnsi"/>
          <w:sz w:val="24"/>
          <w:szCs w:val="24"/>
        </w:rPr>
        <w:t xml:space="preserve">average cost per foot of pipe.  </w:t>
      </w:r>
    </w:p>
    <w:p w:rsidR="00D60D75" w:rsidRDefault="00D60D7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F821E0" w:rsidRDefault="00F821E0">
      <w:pPr>
        <w:rPr>
          <w:rFonts w:asciiTheme="minorHAnsi" w:hAnsiTheme="minorHAnsi"/>
          <w:sz w:val="24"/>
          <w:szCs w:val="24"/>
        </w:rPr>
      </w:pPr>
    </w:p>
    <w:tbl>
      <w:tblPr>
        <w:tblW w:w="9733" w:type="dxa"/>
        <w:tblInd w:w="18" w:type="dxa"/>
        <w:tblLook w:val="04A0" w:firstRow="1" w:lastRow="0" w:firstColumn="1" w:lastColumn="0" w:noHBand="0" w:noVBand="1"/>
      </w:tblPr>
      <w:tblGrid>
        <w:gridCol w:w="3075"/>
        <w:gridCol w:w="990"/>
        <w:gridCol w:w="1260"/>
        <w:gridCol w:w="1080"/>
        <w:gridCol w:w="940"/>
        <w:gridCol w:w="1468"/>
        <w:gridCol w:w="920"/>
      </w:tblGrid>
      <w:tr w:rsidR="00F821E0" w:rsidRPr="00F821E0" w:rsidTr="00A63E8B">
        <w:trPr>
          <w:trHeight w:val="64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1E0" w:rsidRPr="00F821E0" w:rsidRDefault="00F821E0" w:rsidP="00F821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RANGE!C1:R1048"/>
            <w:r w:rsidRPr="00F821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Year-Quarter</w:t>
            </w:r>
            <w:bookmarkEnd w:id="0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1E0" w:rsidRPr="00F821E0" w:rsidRDefault="00F821E0" w:rsidP="00F821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Number of Services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1E0" w:rsidRPr="00F821E0" w:rsidRDefault="00F821E0" w:rsidP="00F821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Total Service Footage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1E0" w:rsidRPr="00F821E0" w:rsidRDefault="00F821E0" w:rsidP="00F821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Total Main Footage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1E0" w:rsidRPr="00F821E0" w:rsidRDefault="00F821E0" w:rsidP="00F821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Total Footage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1E0" w:rsidRPr="00F821E0" w:rsidRDefault="00F821E0" w:rsidP="00F821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Cost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1E0" w:rsidRPr="00F821E0" w:rsidRDefault="00F821E0" w:rsidP="00F821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Cost Per Foot </w:t>
            </w:r>
          </w:p>
        </w:tc>
      </w:tr>
      <w:tr w:rsidR="00F821E0" w:rsidRPr="00F821E0" w:rsidTr="00A63E8B">
        <w:trPr>
          <w:trHeight w:val="333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 Q3</w:t>
            </w:r>
            <w:r w:rsidR="00A63E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821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July thru September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26,821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35,754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62,575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F821E0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 xml:space="preserve">573,663.87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F821E0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9.17</w:t>
            </w:r>
          </w:p>
        </w:tc>
      </w:tr>
      <w:tr w:rsidR="00F821E0" w:rsidRPr="00F821E0" w:rsidTr="00A63E8B">
        <w:trPr>
          <w:trHeight w:val="288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 Q4</w:t>
            </w:r>
            <w:r w:rsidR="00A63E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821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October thru December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34,805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40,937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75,742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F821E0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 xml:space="preserve">946,773.45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F821E0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12.50</w:t>
            </w:r>
          </w:p>
        </w:tc>
      </w:tr>
      <w:tr w:rsidR="00F821E0" w:rsidRPr="00F821E0" w:rsidTr="00A63E8B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2015 Q1 January thru March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32,106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32,051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64,157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F821E0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 xml:space="preserve">818,538.39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F821E0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12.76</w:t>
            </w:r>
          </w:p>
        </w:tc>
      </w:tr>
      <w:tr w:rsidR="00F821E0" w:rsidRPr="00F821E0" w:rsidTr="00A63E8B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 Q2</w:t>
            </w:r>
            <w:r w:rsidR="00A63E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821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April thru June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30,706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56,432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87,138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F821E0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 xml:space="preserve">1,594,264.57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F821E0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18.30</w:t>
            </w:r>
          </w:p>
        </w:tc>
      </w:tr>
      <w:tr w:rsidR="00F821E0" w:rsidRPr="00F821E0" w:rsidTr="00A63E8B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 Q3</w:t>
            </w:r>
            <w:r w:rsidR="00A63E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July thru September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27,913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40,772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68,685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F821E0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 xml:space="preserve">977,336.95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F821E0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14.23</w:t>
            </w:r>
          </w:p>
        </w:tc>
      </w:tr>
      <w:tr w:rsidR="00F821E0" w:rsidRPr="00F821E0" w:rsidTr="00A63E8B">
        <w:trPr>
          <w:trHeight w:val="333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 Q4</w:t>
            </w:r>
            <w:r w:rsidR="00A63E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821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October thru December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43,354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45,809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89,163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F821E0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 xml:space="preserve">1,441,120.47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F821E0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16.16</w:t>
            </w:r>
          </w:p>
        </w:tc>
      </w:tr>
      <w:tr w:rsidR="00F821E0" w:rsidRPr="00F821E0" w:rsidTr="00A63E8B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 Q1</w:t>
            </w:r>
            <w:r w:rsidR="00A63E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January thru March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32,314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41,385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73,699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F821E0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 xml:space="preserve">1,034,005.55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F821E0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14.03</w:t>
            </w:r>
          </w:p>
        </w:tc>
      </w:tr>
      <w:tr w:rsidR="00F821E0" w:rsidRPr="00F821E0" w:rsidTr="00A63E8B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 Q2</w:t>
            </w:r>
            <w:r w:rsidR="00A63E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821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April thru June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36,056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26,084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62,140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F821E0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 xml:space="preserve">913,930.95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1E0" w:rsidRPr="00F821E0" w:rsidRDefault="00F821E0" w:rsidP="00F821E0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F821E0">
              <w:rPr>
                <w:rFonts w:ascii="Arial" w:hAnsi="Arial" w:cs="Arial"/>
                <w:color w:val="000000"/>
                <w:sz w:val="18"/>
                <w:szCs w:val="18"/>
              </w:rPr>
              <w:t>14.71</w:t>
            </w:r>
          </w:p>
        </w:tc>
      </w:tr>
      <w:tr w:rsidR="00A63E8B" w:rsidRPr="00A63E8B" w:rsidTr="00A63E8B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8B" w:rsidRDefault="00A63E8B" w:rsidP="00A63E8B">
            <w:pPr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63E8B" w:rsidRPr="00F821E0" w:rsidRDefault="00A63E8B" w:rsidP="00A63E8B">
            <w:pPr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 Q3 July thru September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8B" w:rsidRPr="00A63E8B" w:rsidRDefault="00A63E8B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E8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647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8B" w:rsidRPr="00A63E8B" w:rsidRDefault="00A63E8B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E8B">
              <w:rPr>
                <w:rFonts w:ascii="Arial" w:hAnsi="Arial" w:cs="Arial"/>
                <w:color w:val="000000"/>
                <w:sz w:val="18"/>
                <w:szCs w:val="18"/>
              </w:rPr>
              <w:t>34,350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8B" w:rsidRPr="00A63E8B" w:rsidRDefault="00A63E8B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E8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27,431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8B" w:rsidRPr="00A63E8B" w:rsidRDefault="00A63E8B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E8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61,781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8B" w:rsidRPr="00A63E8B" w:rsidRDefault="00A63E8B" w:rsidP="00A63E8B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E8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A63E8B">
              <w:rPr>
                <w:rFonts w:ascii="Arial" w:hAnsi="Arial" w:cs="Arial"/>
                <w:color w:val="000000"/>
                <w:sz w:val="18"/>
                <w:szCs w:val="18"/>
              </w:rPr>
              <w:t xml:space="preserve">986,557.67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8B" w:rsidRPr="00A63E8B" w:rsidRDefault="00A63E8B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E8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A63E8B">
              <w:rPr>
                <w:rFonts w:ascii="Arial" w:hAnsi="Arial" w:cs="Arial"/>
                <w:color w:val="000000"/>
                <w:sz w:val="18"/>
                <w:szCs w:val="18"/>
              </w:rPr>
              <w:t xml:space="preserve">15.97 </w:t>
            </w:r>
          </w:p>
        </w:tc>
      </w:tr>
      <w:tr w:rsidR="00A63E8B" w:rsidRPr="00A63E8B" w:rsidTr="00A63E8B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8B" w:rsidRDefault="00A63E8B" w:rsidP="00A63E8B">
            <w:pPr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63E8B" w:rsidRPr="00F821E0" w:rsidRDefault="00A63E8B" w:rsidP="00A63E8B">
            <w:pPr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 Q4 October thru December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8B" w:rsidRPr="00A63E8B" w:rsidRDefault="00A63E8B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E8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745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8B" w:rsidRPr="00A63E8B" w:rsidRDefault="00A63E8B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E8B">
              <w:rPr>
                <w:rFonts w:ascii="Arial" w:hAnsi="Arial" w:cs="Arial"/>
                <w:color w:val="000000"/>
                <w:sz w:val="18"/>
                <w:szCs w:val="18"/>
              </w:rPr>
              <w:t>41,415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8B" w:rsidRPr="00A63E8B" w:rsidRDefault="00A63E8B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E8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18,508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8B" w:rsidRPr="00A63E8B" w:rsidRDefault="00A63E8B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E8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59,923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8B" w:rsidRPr="00A63E8B" w:rsidRDefault="00A63E8B" w:rsidP="00A63E8B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E8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A63E8B">
              <w:rPr>
                <w:rFonts w:ascii="Arial" w:hAnsi="Arial" w:cs="Arial"/>
                <w:color w:val="000000"/>
                <w:sz w:val="18"/>
                <w:szCs w:val="18"/>
              </w:rPr>
              <w:t xml:space="preserve">843,103.54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8B" w:rsidRPr="00A63E8B" w:rsidRDefault="00A63E8B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E8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A63E8B">
              <w:rPr>
                <w:rFonts w:ascii="Arial" w:hAnsi="Arial" w:cs="Arial"/>
                <w:color w:val="000000"/>
                <w:sz w:val="18"/>
                <w:szCs w:val="18"/>
              </w:rPr>
              <w:t xml:space="preserve">14.07 </w:t>
            </w:r>
          </w:p>
        </w:tc>
      </w:tr>
      <w:tr w:rsidR="00A63E8B" w:rsidRPr="00A63E8B" w:rsidTr="00A63E8B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8B" w:rsidRPr="00F821E0" w:rsidRDefault="00A63E8B" w:rsidP="00A63E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21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8B" w:rsidRPr="00A63E8B" w:rsidRDefault="00A63E8B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E8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6,144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8B" w:rsidRPr="00A63E8B" w:rsidRDefault="00A63E8B" w:rsidP="00A63E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E8B">
              <w:rPr>
                <w:rFonts w:ascii="Arial" w:hAnsi="Arial" w:cs="Arial"/>
                <w:color w:val="000000"/>
                <w:sz w:val="18"/>
                <w:szCs w:val="18"/>
              </w:rPr>
              <w:t>339,840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8B" w:rsidRPr="00A63E8B" w:rsidRDefault="00A63E8B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E8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365,163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8B" w:rsidRPr="00A63E8B" w:rsidRDefault="00A63E8B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E8B">
              <w:rPr>
                <w:rFonts w:ascii="Arial" w:hAnsi="Arial" w:cs="Arial"/>
                <w:color w:val="000000"/>
                <w:sz w:val="18"/>
                <w:szCs w:val="18"/>
              </w:rPr>
              <w:t xml:space="preserve">  705,003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8B" w:rsidRPr="00A63E8B" w:rsidRDefault="00A63E8B" w:rsidP="00A63E8B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E8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A63E8B">
              <w:rPr>
                <w:rFonts w:ascii="Arial" w:hAnsi="Arial" w:cs="Arial"/>
                <w:color w:val="000000"/>
                <w:sz w:val="18"/>
                <w:szCs w:val="18"/>
              </w:rPr>
              <w:t xml:space="preserve">10,129,295.41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8B" w:rsidRPr="00A63E8B" w:rsidRDefault="00A63E8B" w:rsidP="00A63E8B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E8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A63E8B">
              <w:rPr>
                <w:rFonts w:ascii="Arial" w:hAnsi="Arial" w:cs="Arial"/>
                <w:color w:val="000000"/>
                <w:sz w:val="18"/>
                <w:szCs w:val="18"/>
              </w:rPr>
              <w:t xml:space="preserve">14.37 </w:t>
            </w:r>
          </w:p>
        </w:tc>
      </w:tr>
      <w:tr w:rsidR="00A63E8B" w:rsidRPr="00F821E0" w:rsidTr="00A63E8B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8B" w:rsidRPr="00F821E0" w:rsidRDefault="00A63E8B" w:rsidP="00F821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8B" w:rsidRPr="00F821E0" w:rsidRDefault="00A63E8B" w:rsidP="00F821E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8B" w:rsidRPr="00F821E0" w:rsidRDefault="00A63E8B" w:rsidP="00F821E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8B" w:rsidRPr="00F821E0" w:rsidRDefault="00A63E8B" w:rsidP="00F821E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8B" w:rsidRPr="00F821E0" w:rsidRDefault="00A63E8B" w:rsidP="00F821E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8B" w:rsidRPr="00F821E0" w:rsidRDefault="00A63E8B" w:rsidP="00F821E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8B" w:rsidRDefault="00A63E8B" w:rsidP="00F821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7522F" w:rsidRDefault="0067522F" w:rsidP="0067522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F67CA7" w:rsidRDefault="001F0555" w:rsidP="008C0D1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As stated in Cascade’s initial informational filing of October 13, 2016, t</w:t>
      </w:r>
      <w:r w:rsidR="00F67CA7">
        <w:rPr>
          <w:rFonts w:asciiTheme="minorHAnsi" w:hAnsiTheme="minorHAnsi"/>
          <w:sz w:val="24"/>
          <w:szCs w:val="24"/>
        </w:rPr>
        <w:t xml:space="preserve">he Company will submit semi-annual informational filings by the end of January and July of each year.  </w:t>
      </w:r>
      <w:r>
        <w:rPr>
          <w:rFonts w:asciiTheme="minorHAnsi" w:hAnsiTheme="minorHAnsi"/>
          <w:sz w:val="24"/>
          <w:szCs w:val="24"/>
        </w:rPr>
        <w:t xml:space="preserve">Each filing will provide an additional two quarters of </w:t>
      </w:r>
      <w:r w:rsidR="00F67CA7">
        <w:rPr>
          <w:rFonts w:asciiTheme="minorHAnsi" w:hAnsiTheme="minorHAnsi"/>
          <w:sz w:val="24"/>
          <w:szCs w:val="24"/>
        </w:rPr>
        <w:t>line extension information.</w:t>
      </w:r>
    </w:p>
    <w:p w:rsidR="001F0555" w:rsidRDefault="001F0555" w:rsidP="008C0D1D">
      <w:pPr>
        <w:rPr>
          <w:rFonts w:asciiTheme="minorHAnsi" w:hAnsiTheme="minorHAnsi"/>
          <w:sz w:val="24"/>
          <w:szCs w:val="24"/>
        </w:rPr>
      </w:pPr>
    </w:p>
    <w:p w:rsidR="0006788E" w:rsidRPr="009C2AAA" w:rsidRDefault="0006788E" w:rsidP="00F83817">
      <w:pPr>
        <w:rPr>
          <w:rFonts w:asciiTheme="minorHAnsi" w:eastAsia="Calibri" w:hAnsiTheme="minorHAnsi"/>
          <w:sz w:val="24"/>
          <w:szCs w:val="24"/>
        </w:rPr>
      </w:pPr>
      <w:r w:rsidRPr="009C2AAA">
        <w:rPr>
          <w:rFonts w:asciiTheme="minorHAnsi" w:eastAsia="Calibri" w:hAnsiTheme="minorHAnsi"/>
          <w:sz w:val="24"/>
          <w:szCs w:val="24"/>
        </w:rPr>
        <w:t xml:space="preserve">If you have any questions regarding this report, please contact </w:t>
      </w:r>
      <w:r w:rsidR="00D90737">
        <w:rPr>
          <w:rFonts w:asciiTheme="minorHAnsi" w:eastAsia="Calibri" w:hAnsiTheme="minorHAnsi"/>
          <w:sz w:val="24"/>
          <w:szCs w:val="24"/>
        </w:rPr>
        <w:t>Jennifer Gross</w:t>
      </w:r>
      <w:r w:rsidRPr="009C2AAA">
        <w:rPr>
          <w:rFonts w:asciiTheme="minorHAnsi" w:eastAsia="Calibri" w:hAnsiTheme="minorHAnsi"/>
          <w:sz w:val="24"/>
          <w:szCs w:val="24"/>
        </w:rPr>
        <w:t xml:space="preserve"> at (509) 734-</w:t>
      </w:r>
      <w:r w:rsidR="00D90737">
        <w:rPr>
          <w:rFonts w:asciiTheme="minorHAnsi" w:eastAsia="Calibri" w:hAnsiTheme="minorHAnsi"/>
          <w:sz w:val="24"/>
          <w:szCs w:val="24"/>
        </w:rPr>
        <w:t>4635</w:t>
      </w:r>
      <w:r w:rsidRPr="009C2AAA">
        <w:rPr>
          <w:rFonts w:asciiTheme="minorHAnsi" w:eastAsia="Calibri" w:hAnsiTheme="minorHAnsi"/>
          <w:sz w:val="24"/>
          <w:szCs w:val="24"/>
        </w:rPr>
        <w:t>.</w:t>
      </w:r>
    </w:p>
    <w:p w:rsidR="0006788E" w:rsidRPr="009C2AAA" w:rsidRDefault="0006788E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142338" w:rsidRPr="009C2AAA" w:rsidRDefault="00142338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  <w:r w:rsidRPr="009C2AAA">
        <w:rPr>
          <w:rFonts w:asciiTheme="minorHAnsi" w:eastAsia="Calibri" w:hAnsiTheme="minorHAnsi"/>
          <w:sz w:val="24"/>
          <w:szCs w:val="24"/>
        </w:rPr>
        <w:t>Sincerely,</w:t>
      </w:r>
      <w:r w:rsidR="001F2747" w:rsidRPr="009C2AAA">
        <w:rPr>
          <w:rFonts w:asciiTheme="minorHAnsi" w:eastAsia="Calibri" w:hAnsiTheme="minorHAnsi"/>
          <w:sz w:val="24"/>
          <w:szCs w:val="24"/>
        </w:rPr>
        <w:tab/>
      </w:r>
    </w:p>
    <w:p w:rsidR="00142338" w:rsidRDefault="00142338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D60D75" w:rsidRPr="000C0FAC" w:rsidRDefault="000C0FAC" w:rsidP="00142338">
      <w:pPr>
        <w:tabs>
          <w:tab w:val="left" w:pos="450"/>
        </w:tabs>
        <w:rPr>
          <w:rFonts w:asciiTheme="minorHAnsi" w:eastAsia="Calibri" w:hAnsiTheme="minorHAnsi"/>
          <w:i/>
          <w:sz w:val="24"/>
          <w:szCs w:val="24"/>
        </w:rPr>
      </w:pPr>
      <w:bookmarkStart w:id="1" w:name="_GoBack"/>
      <w:r w:rsidRPr="000C0FAC">
        <w:rPr>
          <w:rFonts w:asciiTheme="minorHAnsi" w:eastAsia="Calibri" w:hAnsiTheme="minorHAnsi"/>
          <w:i/>
          <w:sz w:val="24"/>
          <w:szCs w:val="24"/>
        </w:rPr>
        <w:t>/s/ Michael Parvinen</w:t>
      </w:r>
    </w:p>
    <w:bookmarkEnd w:id="1"/>
    <w:p w:rsidR="00D60D75" w:rsidRPr="009C2AAA" w:rsidRDefault="00D60D75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D60D75" w:rsidRDefault="0075226E" w:rsidP="0033300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  <w:r w:rsidRPr="009C2AAA">
        <w:rPr>
          <w:rFonts w:asciiTheme="minorHAnsi" w:eastAsia="Calibri" w:hAnsiTheme="minorHAnsi"/>
          <w:sz w:val="24"/>
          <w:szCs w:val="24"/>
        </w:rPr>
        <w:t>Michael Parvinen</w:t>
      </w:r>
    </w:p>
    <w:p w:rsidR="00CC5594" w:rsidRDefault="0075226E" w:rsidP="0033300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  <w:r w:rsidRPr="009C2AAA">
        <w:rPr>
          <w:rFonts w:asciiTheme="minorHAnsi" w:eastAsia="Calibri" w:hAnsiTheme="minorHAnsi"/>
          <w:sz w:val="24"/>
          <w:szCs w:val="24"/>
        </w:rPr>
        <w:t>Director, Regulatory Affairs</w:t>
      </w:r>
    </w:p>
    <w:sectPr w:rsidR="00CC5594" w:rsidSect="00E90B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260" w:right="1440" w:bottom="1008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F14" w:rsidRDefault="00412F14" w:rsidP="00261259">
      <w:r>
        <w:separator/>
      </w:r>
    </w:p>
  </w:endnote>
  <w:endnote w:type="continuationSeparator" w:id="0">
    <w:p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6C4" w:rsidRDefault="003906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D1D" w:rsidRDefault="008C0D1D">
    <w:pPr>
      <w:pStyle w:val="Footer"/>
    </w:pPr>
  </w:p>
  <w:p w:rsidR="008C0D1D" w:rsidRDefault="008C0D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95B" w:rsidRDefault="007B495B">
    <w:pPr>
      <w:pStyle w:val="Footer"/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6482CA0" wp14:editId="29E4CD6B">
          <wp:simplePos x="0" y="0"/>
          <wp:positionH relativeFrom="column">
            <wp:posOffset>1901825</wp:posOffset>
          </wp:positionH>
          <wp:positionV relativeFrom="paragraph">
            <wp:posOffset>24130</wp:posOffset>
          </wp:positionV>
          <wp:extent cx="2441575" cy="243840"/>
          <wp:effectExtent l="0" t="0" r="0" b="3810"/>
          <wp:wrapNone/>
          <wp:docPr id="3" name="Picture 3" descr="CNG-Color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NG-Color-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757"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F14" w:rsidRDefault="00412F14" w:rsidP="00261259">
      <w:r>
        <w:separator/>
      </w:r>
    </w:p>
  </w:footnote>
  <w:footnote w:type="continuationSeparator" w:id="0">
    <w:p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6C4" w:rsidRDefault="003906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6C4" w:rsidRDefault="003906C4">
    <w:pPr>
      <w:pStyle w:val="Head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>UG-160967</w:t>
    </w:r>
  </w:p>
  <w:p w:rsidR="003906C4" w:rsidRPr="00473FCA" w:rsidRDefault="003906C4">
    <w:pPr>
      <w:pStyle w:val="Head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>Line Extension Data</w:t>
    </w:r>
  </w:p>
  <w:p w:rsidR="00473FCA" w:rsidRPr="00473FCA" w:rsidRDefault="00473FCA">
    <w:pPr>
      <w:pStyle w:val="Header"/>
      <w:rPr>
        <w:rFonts w:asciiTheme="minorHAnsi" w:hAnsiTheme="minorHAnsi"/>
        <w:noProof/>
        <w:sz w:val="24"/>
        <w:szCs w:val="24"/>
      </w:rPr>
    </w:pPr>
    <w:r w:rsidRPr="00473FCA">
      <w:rPr>
        <w:rFonts w:asciiTheme="minorHAnsi" w:hAnsiTheme="minorHAnsi"/>
        <w:sz w:val="24"/>
        <w:szCs w:val="24"/>
      </w:rPr>
      <w:t xml:space="preserve">Page </w:t>
    </w:r>
    <w:r w:rsidRPr="00473FCA">
      <w:rPr>
        <w:rFonts w:asciiTheme="minorHAnsi" w:hAnsiTheme="minorHAnsi"/>
        <w:sz w:val="24"/>
        <w:szCs w:val="24"/>
      </w:rPr>
      <w:fldChar w:fldCharType="begin"/>
    </w:r>
    <w:r w:rsidRPr="00473FCA">
      <w:rPr>
        <w:rFonts w:asciiTheme="minorHAnsi" w:hAnsiTheme="minorHAnsi"/>
        <w:sz w:val="24"/>
        <w:szCs w:val="24"/>
      </w:rPr>
      <w:instrText xml:space="preserve"> PAGE   \* MERGEFORMAT </w:instrText>
    </w:r>
    <w:r w:rsidRPr="00473FCA">
      <w:rPr>
        <w:rFonts w:asciiTheme="minorHAnsi" w:hAnsiTheme="minorHAnsi"/>
        <w:sz w:val="24"/>
        <w:szCs w:val="24"/>
      </w:rPr>
      <w:fldChar w:fldCharType="separate"/>
    </w:r>
    <w:r w:rsidR="000C0FAC">
      <w:rPr>
        <w:rFonts w:asciiTheme="minorHAnsi" w:hAnsiTheme="minorHAnsi"/>
        <w:noProof/>
        <w:sz w:val="24"/>
        <w:szCs w:val="24"/>
      </w:rPr>
      <w:t>2</w:t>
    </w:r>
    <w:r w:rsidRPr="00473FCA">
      <w:rPr>
        <w:rFonts w:asciiTheme="minorHAnsi" w:hAnsiTheme="minorHAnsi"/>
        <w:noProof/>
        <w:sz w:val="24"/>
        <w:szCs w:val="24"/>
      </w:rPr>
      <w:fldChar w:fldCharType="end"/>
    </w:r>
  </w:p>
  <w:p w:rsidR="00473FCA" w:rsidRDefault="00473FCA">
    <w:pPr>
      <w:pStyle w:val="Header"/>
      <w:rPr>
        <w:noProof/>
      </w:rPr>
    </w:pPr>
  </w:p>
  <w:p w:rsidR="00473FCA" w:rsidRDefault="00473F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6C4" w:rsidRDefault="003906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2D5F"/>
    <w:multiLevelType w:val="hybridMultilevel"/>
    <w:tmpl w:val="D710F964"/>
    <w:lvl w:ilvl="0" w:tplc="F6BE9DD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A7E7D"/>
    <w:multiLevelType w:val="hybridMultilevel"/>
    <w:tmpl w:val="B4FC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2F7C"/>
    <w:multiLevelType w:val="hybridMultilevel"/>
    <w:tmpl w:val="F47E2218"/>
    <w:lvl w:ilvl="0" w:tplc="1B5CFF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02DDF"/>
    <w:multiLevelType w:val="hybridMultilevel"/>
    <w:tmpl w:val="E1784B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9"/>
    <w:rsid w:val="000012F5"/>
    <w:rsid w:val="00001A93"/>
    <w:rsid w:val="00020A73"/>
    <w:rsid w:val="00030FF1"/>
    <w:rsid w:val="000357AB"/>
    <w:rsid w:val="0006788E"/>
    <w:rsid w:val="000839B6"/>
    <w:rsid w:val="0009107B"/>
    <w:rsid w:val="00095DE4"/>
    <w:rsid w:val="000A798E"/>
    <w:rsid w:val="000B1B36"/>
    <w:rsid w:val="000C0FAC"/>
    <w:rsid w:val="000C677F"/>
    <w:rsid w:val="000D0622"/>
    <w:rsid w:val="000D7CE6"/>
    <w:rsid w:val="0011684B"/>
    <w:rsid w:val="001306BF"/>
    <w:rsid w:val="00142338"/>
    <w:rsid w:val="00146482"/>
    <w:rsid w:val="001747CA"/>
    <w:rsid w:val="00184034"/>
    <w:rsid w:val="001857D8"/>
    <w:rsid w:val="001A6090"/>
    <w:rsid w:val="001C0532"/>
    <w:rsid w:val="001C2949"/>
    <w:rsid w:val="001D4C42"/>
    <w:rsid w:val="001E3D37"/>
    <w:rsid w:val="001E76D8"/>
    <w:rsid w:val="001F0555"/>
    <w:rsid w:val="001F2747"/>
    <w:rsid w:val="001F4634"/>
    <w:rsid w:val="002142C6"/>
    <w:rsid w:val="002170CC"/>
    <w:rsid w:val="0022142B"/>
    <w:rsid w:val="00224BAF"/>
    <w:rsid w:val="00225962"/>
    <w:rsid w:val="00241C69"/>
    <w:rsid w:val="00261259"/>
    <w:rsid w:val="002745E2"/>
    <w:rsid w:val="0028034B"/>
    <w:rsid w:val="00281273"/>
    <w:rsid w:val="002850C2"/>
    <w:rsid w:val="00290B62"/>
    <w:rsid w:val="00296C59"/>
    <w:rsid w:val="002B12F4"/>
    <w:rsid w:val="002B2D6A"/>
    <w:rsid w:val="002B733B"/>
    <w:rsid w:val="002C0ED0"/>
    <w:rsid w:val="002C5834"/>
    <w:rsid w:val="002D098F"/>
    <w:rsid w:val="002E6E6B"/>
    <w:rsid w:val="002F336B"/>
    <w:rsid w:val="002F47FD"/>
    <w:rsid w:val="002F745F"/>
    <w:rsid w:val="002F7B46"/>
    <w:rsid w:val="00301CFD"/>
    <w:rsid w:val="00302CF2"/>
    <w:rsid w:val="00320A33"/>
    <w:rsid w:val="00327305"/>
    <w:rsid w:val="0033029D"/>
    <w:rsid w:val="00333008"/>
    <w:rsid w:val="003533B3"/>
    <w:rsid w:val="00366891"/>
    <w:rsid w:val="003906C4"/>
    <w:rsid w:val="00394493"/>
    <w:rsid w:val="00397FF1"/>
    <w:rsid w:val="003A452B"/>
    <w:rsid w:val="003B26C6"/>
    <w:rsid w:val="003B3C99"/>
    <w:rsid w:val="003D6932"/>
    <w:rsid w:val="003E3A49"/>
    <w:rsid w:val="003F25D1"/>
    <w:rsid w:val="004000F2"/>
    <w:rsid w:val="004016C0"/>
    <w:rsid w:val="00412F14"/>
    <w:rsid w:val="00415473"/>
    <w:rsid w:val="00436CAD"/>
    <w:rsid w:val="00441C07"/>
    <w:rsid w:val="00456801"/>
    <w:rsid w:val="00457F63"/>
    <w:rsid w:val="00460398"/>
    <w:rsid w:val="00473FCA"/>
    <w:rsid w:val="00482484"/>
    <w:rsid w:val="00497470"/>
    <w:rsid w:val="004C7AFE"/>
    <w:rsid w:val="004D254F"/>
    <w:rsid w:val="004E2439"/>
    <w:rsid w:val="00501589"/>
    <w:rsid w:val="00503C10"/>
    <w:rsid w:val="00505720"/>
    <w:rsid w:val="005263D6"/>
    <w:rsid w:val="0053562D"/>
    <w:rsid w:val="005370B6"/>
    <w:rsid w:val="0055766E"/>
    <w:rsid w:val="00563BEC"/>
    <w:rsid w:val="00587006"/>
    <w:rsid w:val="005A1BB3"/>
    <w:rsid w:val="005B1BE9"/>
    <w:rsid w:val="005B44E0"/>
    <w:rsid w:val="005B5D07"/>
    <w:rsid w:val="005C5895"/>
    <w:rsid w:val="005C76D1"/>
    <w:rsid w:val="005D348C"/>
    <w:rsid w:val="005D3761"/>
    <w:rsid w:val="005E36F7"/>
    <w:rsid w:val="005F1FCF"/>
    <w:rsid w:val="005F31EA"/>
    <w:rsid w:val="006058C1"/>
    <w:rsid w:val="00612162"/>
    <w:rsid w:val="00627A7E"/>
    <w:rsid w:val="0063319A"/>
    <w:rsid w:val="00643504"/>
    <w:rsid w:val="006518A4"/>
    <w:rsid w:val="0065505C"/>
    <w:rsid w:val="006649F6"/>
    <w:rsid w:val="00672B57"/>
    <w:rsid w:val="00674C5D"/>
    <w:rsid w:val="0067522F"/>
    <w:rsid w:val="006808BE"/>
    <w:rsid w:val="00685D0A"/>
    <w:rsid w:val="00697A05"/>
    <w:rsid w:val="006C75DD"/>
    <w:rsid w:val="006E4E4B"/>
    <w:rsid w:val="006E537D"/>
    <w:rsid w:val="006F189C"/>
    <w:rsid w:val="006F1A4E"/>
    <w:rsid w:val="00713353"/>
    <w:rsid w:val="00715A87"/>
    <w:rsid w:val="0072158F"/>
    <w:rsid w:val="00723CC0"/>
    <w:rsid w:val="0075226E"/>
    <w:rsid w:val="00776E7C"/>
    <w:rsid w:val="00777453"/>
    <w:rsid w:val="007975E0"/>
    <w:rsid w:val="007B495B"/>
    <w:rsid w:val="007B648C"/>
    <w:rsid w:val="007D6517"/>
    <w:rsid w:val="007E785F"/>
    <w:rsid w:val="00800ECE"/>
    <w:rsid w:val="00825528"/>
    <w:rsid w:val="00834408"/>
    <w:rsid w:val="00857CFB"/>
    <w:rsid w:val="00860AE1"/>
    <w:rsid w:val="00871453"/>
    <w:rsid w:val="00873474"/>
    <w:rsid w:val="00880238"/>
    <w:rsid w:val="00884C0C"/>
    <w:rsid w:val="00895742"/>
    <w:rsid w:val="008A0B19"/>
    <w:rsid w:val="008B35BE"/>
    <w:rsid w:val="008B7DE1"/>
    <w:rsid w:val="008C0D1D"/>
    <w:rsid w:val="008C44C7"/>
    <w:rsid w:val="008D4958"/>
    <w:rsid w:val="008E3406"/>
    <w:rsid w:val="008F769B"/>
    <w:rsid w:val="00904B3A"/>
    <w:rsid w:val="00914341"/>
    <w:rsid w:val="00915EAC"/>
    <w:rsid w:val="00916E3A"/>
    <w:rsid w:val="00940F09"/>
    <w:rsid w:val="00952ADB"/>
    <w:rsid w:val="00964C01"/>
    <w:rsid w:val="00974BF1"/>
    <w:rsid w:val="009752C0"/>
    <w:rsid w:val="0097583D"/>
    <w:rsid w:val="009865C1"/>
    <w:rsid w:val="009965AE"/>
    <w:rsid w:val="009A2265"/>
    <w:rsid w:val="009B5735"/>
    <w:rsid w:val="009C2AAA"/>
    <w:rsid w:val="009D460E"/>
    <w:rsid w:val="009E65D4"/>
    <w:rsid w:val="009F2CE9"/>
    <w:rsid w:val="00A109B2"/>
    <w:rsid w:val="00A57E1D"/>
    <w:rsid w:val="00A607C0"/>
    <w:rsid w:val="00A63BFD"/>
    <w:rsid w:val="00A63E8B"/>
    <w:rsid w:val="00A663BB"/>
    <w:rsid w:val="00A66D5C"/>
    <w:rsid w:val="00A80CD6"/>
    <w:rsid w:val="00A877AE"/>
    <w:rsid w:val="00AA1588"/>
    <w:rsid w:val="00AA1F94"/>
    <w:rsid w:val="00AA6585"/>
    <w:rsid w:val="00AB5BD4"/>
    <w:rsid w:val="00AC009A"/>
    <w:rsid w:val="00AC311A"/>
    <w:rsid w:val="00AD1400"/>
    <w:rsid w:val="00AE066F"/>
    <w:rsid w:val="00AF653D"/>
    <w:rsid w:val="00B01693"/>
    <w:rsid w:val="00B02662"/>
    <w:rsid w:val="00B02FC1"/>
    <w:rsid w:val="00B1221C"/>
    <w:rsid w:val="00B15BF6"/>
    <w:rsid w:val="00B30269"/>
    <w:rsid w:val="00B5582E"/>
    <w:rsid w:val="00B625FC"/>
    <w:rsid w:val="00B638D8"/>
    <w:rsid w:val="00B75D9A"/>
    <w:rsid w:val="00B800F2"/>
    <w:rsid w:val="00B833D1"/>
    <w:rsid w:val="00BB4199"/>
    <w:rsid w:val="00BB47DE"/>
    <w:rsid w:val="00BB6A57"/>
    <w:rsid w:val="00C02DF4"/>
    <w:rsid w:val="00C46A29"/>
    <w:rsid w:val="00C74467"/>
    <w:rsid w:val="00C8501C"/>
    <w:rsid w:val="00C97D2B"/>
    <w:rsid w:val="00CC5594"/>
    <w:rsid w:val="00CC62E7"/>
    <w:rsid w:val="00CD126D"/>
    <w:rsid w:val="00CE0380"/>
    <w:rsid w:val="00D07E55"/>
    <w:rsid w:val="00D12589"/>
    <w:rsid w:val="00D250EE"/>
    <w:rsid w:val="00D46A46"/>
    <w:rsid w:val="00D46C5E"/>
    <w:rsid w:val="00D53F89"/>
    <w:rsid w:val="00D60D75"/>
    <w:rsid w:val="00D61689"/>
    <w:rsid w:val="00D64067"/>
    <w:rsid w:val="00D84ABF"/>
    <w:rsid w:val="00D87378"/>
    <w:rsid w:val="00D90737"/>
    <w:rsid w:val="00D9259A"/>
    <w:rsid w:val="00DA4C1C"/>
    <w:rsid w:val="00DB5F7D"/>
    <w:rsid w:val="00DC7968"/>
    <w:rsid w:val="00DF2B45"/>
    <w:rsid w:val="00E0715E"/>
    <w:rsid w:val="00E072DD"/>
    <w:rsid w:val="00E21A27"/>
    <w:rsid w:val="00E371C5"/>
    <w:rsid w:val="00E42F4D"/>
    <w:rsid w:val="00E4410C"/>
    <w:rsid w:val="00E50840"/>
    <w:rsid w:val="00E6396C"/>
    <w:rsid w:val="00E67BA4"/>
    <w:rsid w:val="00E90BAB"/>
    <w:rsid w:val="00E938C3"/>
    <w:rsid w:val="00EB30D4"/>
    <w:rsid w:val="00EB5565"/>
    <w:rsid w:val="00EC4B5A"/>
    <w:rsid w:val="00ED53C4"/>
    <w:rsid w:val="00EE2A65"/>
    <w:rsid w:val="00EF66E5"/>
    <w:rsid w:val="00F21D78"/>
    <w:rsid w:val="00F3166D"/>
    <w:rsid w:val="00F641BA"/>
    <w:rsid w:val="00F66154"/>
    <w:rsid w:val="00F67CA7"/>
    <w:rsid w:val="00F821E0"/>
    <w:rsid w:val="00F83817"/>
    <w:rsid w:val="00F924CC"/>
    <w:rsid w:val="00F9369C"/>
    <w:rsid w:val="00F9645E"/>
    <w:rsid w:val="00FA5951"/>
    <w:rsid w:val="00FB04AA"/>
    <w:rsid w:val="00FB1F8A"/>
    <w:rsid w:val="00FB4661"/>
    <w:rsid w:val="00FD014B"/>
    <w:rsid w:val="00FE67AB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,"/>
  <w15:docId w15:val="{CA5FA1E5-86E4-4E11-9273-75F8DC06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398"/>
  </w:style>
  <w:style w:type="paragraph" w:styleId="Heading1">
    <w:name w:val="heading 1"/>
    <w:basedOn w:val="Normal"/>
    <w:next w:val="Normal"/>
    <w:link w:val="Heading1Char"/>
    <w:qFormat/>
    <w:rsid w:val="00A109B2"/>
    <w:pPr>
      <w:keepNext/>
      <w:pBdr>
        <w:right w:val="single" w:sz="6" w:space="1" w:color="auto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25FC"/>
    <w:rPr>
      <w:rFonts w:eastAsia="Calibr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0D1D"/>
  </w:style>
  <w:style w:type="character" w:styleId="Hyperlink">
    <w:name w:val="Hyperlink"/>
    <w:basedOn w:val="DefaultParagraphFont"/>
    <w:uiPriority w:val="99"/>
    <w:unhideWhenUsed/>
    <w:rsid w:val="008C0D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7B4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B46"/>
  </w:style>
  <w:style w:type="character" w:styleId="FootnoteReference">
    <w:name w:val="footnote reference"/>
    <w:basedOn w:val="DefaultParagraphFont"/>
    <w:uiPriority w:val="99"/>
    <w:semiHidden/>
    <w:unhideWhenUsed/>
    <w:rsid w:val="002F7B46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A109B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records@utc.wa.gov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A567CC34A07D949BEF2699631763DA0" ma:contentTypeVersion="104" ma:contentTypeDescription="" ma:contentTypeScope="" ma:versionID="9ad99d0533e036310be53f048f44d0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2016-07-29T07:00:00+00:00</OpenedDate>
    <Date1 xmlns="dc463f71-b30c-4ab2-9473-d307f9d35888">2017-01-20T08:00:00+00:00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160967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AAF2C4E-C8DA-4A30-8662-7329B6080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D8F8E-6F1C-4793-B8D7-2173BA8A0A36}"/>
</file>

<file path=customXml/itemProps3.xml><?xml version="1.0" encoding="utf-8"?>
<ds:datastoreItem xmlns:ds="http://schemas.openxmlformats.org/officeDocument/2006/customXml" ds:itemID="{8AA3F853-B892-4C4A-9584-3F5672458575}"/>
</file>

<file path=customXml/itemProps4.xml><?xml version="1.0" encoding="utf-8"?>
<ds:datastoreItem xmlns:ds="http://schemas.openxmlformats.org/officeDocument/2006/customXml" ds:itemID="{88427FBB-B169-4D45-A324-D442D124B51B}"/>
</file>

<file path=customXml/itemProps5.xml><?xml version="1.0" encoding="utf-8"?>
<ds:datastoreItem xmlns:ds="http://schemas.openxmlformats.org/officeDocument/2006/customXml" ds:itemID="{E4B38F1C-56BF-498D-85EE-C481B6ABDA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3151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Gross, Jennifer</cp:lastModifiedBy>
  <cp:revision>25</cp:revision>
  <cp:lastPrinted>2017-01-20T18:20:00Z</cp:lastPrinted>
  <dcterms:created xsi:type="dcterms:W3CDTF">2016-07-29T18:24:00Z</dcterms:created>
  <dcterms:modified xsi:type="dcterms:W3CDTF">2017-01-20T18:25:00Z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0x0101006E56B4D1795A2E4DB2F0B01679ED314A004A567CC34A07D949BEF2699631763DA0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