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A5730" w14:textId="77777777" w:rsidR="005B3717" w:rsidRPr="00C923D6" w:rsidRDefault="005B3717">
      <w:pPr>
        <w:pStyle w:val="BodyText"/>
        <w:rPr>
          <w:b/>
          <w:bCs/>
        </w:rPr>
      </w:pPr>
      <w:bookmarkStart w:id="0" w:name="_GoBack"/>
      <w:bookmarkEnd w:id="0"/>
      <w:r w:rsidRPr="00C923D6">
        <w:rPr>
          <w:b/>
          <w:bCs/>
        </w:rPr>
        <w:t xml:space="preserve">BEFORE THE </w:t>
      </w:r>
      <w:smartTag w:uri="urn:schemas-microsoft-com:office:smarttags" w:element="City">
        <w:smartTag w:uri="urn:schemas-microsoft-com:office:smarttags" w:element="PlaceName">
          <w:r w:rsidRPr="00C923D6">
            <w:rPr>
              <w:b/>
              <w:bCs/>
            </w:rPr>
            <w:t>WASHINGTON</w:t>
          </w:r>
        </w:smartTag>
        <w:r w:rsidRPr="00C923D6">
          <w:rPr>
            <w:b/>
            <w:bCs/>
          </w:rPr>
          <w:t xml:space="preserve"> </w:t>
        </w:r>
        <w:smartTag w:uri="urn:schemas-microsoft-com:office:smarttags" w:element="PlaceType">
          <w:r w:rsidRPr="00C923D6">
            <w:rPr>
              <w:b/>
              <w:bCs/>
            </w:rPr>
            <w:t>STATE</w:t>
          </w:r>
        </w:smartTag>
      </w:smartTag>
    </w:p>
    <w:p w14:paraId="126F85D6" w14:textId="77777777" w:rsidR="005B3717" w:rsidRPr="00C923D6" w:rsidRDefault="005B3717">
      <w:pPr>
        <w:pStyle w:val="BodyText"/>
        <w:rPr>
          <w:b/>
          <w:bCs/>
        </w:rPr>
      </w:pPr>
      <w:r w:rsidRPr="00C923D6">
        <w:rPr>
          <w:b/>
          <w:bCs/>
        </w:rPr>
        <w:t>UTILITIES AND TRANSPORTATION COMMISSION</w:t>
      </w:r>
    </w:p>
    <w:p w14:paraId="5B6E1B76" w14:textId="77777777" w:rsidR="005B3717" w:rsidRPr="00C923D6" w:rsidRDefault="005B3717">
      <w:pPr>
        <w:jc w:val="center"/>
      </w:pPr>
    </w:p>
    <w:tbl>
      <w:tblPr>
        <w:tblW w:w="8672" w:type="dxa"/>
        <w:tblLook w:val="0000" w:firstRow="0" w:lastRow="0" w:firstColumn="0" w:lastColumn="0" w:noHBand="0" w:noVBand="0"/>
      </w:tblPr>
      <w:tblGrid>
        <w:gridCol w:w="4320"/>
        <w:gridCol w:w="270"/>
        <w:gridCol w:w="4082"/>
      </w:tblGrid>
      <w:tr w:rsidR="005B3717" w:rsidRPr="00C923D6" w14:paraId="2CCEF8F8" w14:textId="77777777" w:rsidTr="00C2789B">
        <w:tc>
          <w:tcPr>
            <w:tcW w:w="4320" w:type="dxa"/>
            <w:tcBorders>
              <w:bottom w:val="single" w:sz="4" w:space="0" w:color="auto"/>
              <w:right w:val="single" w:sz="4" w:space="0" w:color="auto"/>
            </w:tcBorders>
          </w:tcPr>
          <w:p w14:paraId="2A206AF7" w14:textId="77777777" w:rsidR="005B3717" w:rsidRPr="00C923D6" w:rsidRDefault="005B3717">
            <w:pPr>
              <w:pStyle w:val="Header"/>
              <w:tabs>
                <w:tab w:val="clear" w:pos="4320"/>
                <w:tab w:val="clear" w:pos="8640"/>
              </w:tabs>
            </w:pPr>
            <w:r w:rsidRPr="00C923D6">
              <w:t xml:space="preserve">In the Matter of the Petition of </w:t>
            </w:r>
          </w:p>
          <w:p w14:paraId="38B44B31" w14:textId="77777777" w:rsidR="005B3717" w:rsidRPr="00C923D6" w:rsidRDefault="005B3717"/>
          <w:p w14:paraId="77B558E2" w14:textId="77777777" w:rsidR="005B3717" w:rsidRDefault="005B3717" w:rsidP="00D75862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>
              <w:t>Company 1</w:t>
            </w:r>
            <w:bookmarkEnd w:id="1"/>
            <w:r>
              <w:fldChar w:fldCharType="end"/>
            </w:r>
            <w:r>
              <w:t>CASCADE NATURAL GAS CORPORATION</w:t>
            </w:r>
            <w:r w:rsidRPr="00C923D6">
              <w:t>,</w:t>
            </w:r>
          </w:p>
          <w:p w14:paraId="031FDE40" w14:textId="77777777" w:rsidR="005B3717" w:rsidRPr="00C923D6" w:rsidRDefault="005B3717">
            <w:r>
              <w:fldChar w:fldCharType="begin"/>
            </w:r>
            <w:r>
              <w:instrText xml:space="preserve"> ASK acronym1 "Enter company 1's Short Name" \* MERGEFORMAT </w:instrText>
            </w:r>
            <w:r>
              <w:fldChar w:fldCharType="separate"/>
            </w:r>
            <w:bookmarkStart w:id="2" w:name="acronym1"/>
            <w:r>
              <w:t>Co. 1</w:t>
            </w:r>
            <w:bookmarkEnd w:id="2"/>
            <w:r>
              <w:fldChar w:fldCharType="end"/>
            </w:r>
          </w:p>
          <w:p w14:paraId="789DF25F" w14:textId="77777777" w:rsidR="005B3717" w:rsidRPr="00C923D6" w:rsidRDefault="005B3717" w:rsidP="00057BB3">
            <w:pPr>
              <w:jc w:val="center"/>
            </w:pPr>
            <w:r w:rsidRPr="00C923D6">
              <w:t>Petitioner,</w:t>
            </w:r>
          </w:p>
          <w:p w14:paraId="5E681E66" w14:textId="77777777" w:rsidR="005B3717" w:rsidRPr="00C923D6" w:rsidRDefault="005B3717"/>
          <w:p w14:paraId="5B631196" w14:textId="39706068" w:rsidR="005B3717" w:rsidRPr="00C923D6" w:rsidRDefault="005B3717">
            <w:r w:rsidRPr="00C923D6">
              <w:t xml:space="preserve">For An Accounting Order </w:t>
            </w:r>
            <w:r>
              <w:t xml:space="preserve">Authorizing Deferred Accounting Treatment of Expenses Related to the </w:t>
            </w:r>
            <w:r w:rsidR="009622DD">
              <w:t>Maximum Allowable Operating Pressure Determination and Validation Plan</w:t>
            </w:r>
            <w:r>
              <w:t>.</w:t>
            </w:r>
          </w:p>
          <w:p w14:paraId="02A67BDE" w14:textId="34AEE9D9" w:rsidR="005B3717" w:rsidRPr="00C923D6" w:rsidRDefault="005B3717"/>
        </w:tc>
        <w:tc>
          <w:tcPr>
            <w:tcW w:w="270" w:type="dxa"/>
            <w:tcBorders>
              <w:left w:val="single" w:sz="4" w:space="0" w:color="auto"/>
            </w:tcBorders>
          </w:tcPr>
          <w:p w14:paraId="466BFB46" w14:textId="5623C0F9" w:rsidR="005B3717" w:rsidRPr="00C923D6" w:rsidRDefault="005B3717" w:rsidP="003F142E">
            <w:pPr>
              <w:jc w:val="center"/>
            </w:pPr>
          </w:p>
        </w:tc>
        <w:tc>
          <w:tcPr>
            <w:tcW w:w="4082" w:type="dxa"/>
          </w:tcPr>
          <w:p w14:paraId="37938811" w14:textId="77777777" w:rsidR="005B3717" w:rsidRPr="00C923D6" w:rsidRDefault="005B3717">
            <w:r>
              <w:t xml:space="preserve">DOCKET </w:t>
            </w:r>
            <w:r>
              <w:fldChar w:fldCharType="begin"/>
            </w:r>
            <w:r>
              <w:instrText xml:space="preserve"> ASK docket_no "Enter Docket Number using XX=XXXXXX Format</w:instrText>
            </w:r>
            <w:r>
              <w:fldChar w:fldCharType="separate"/>
            </w:r>
            <w:bookmarkStart w:id="3" w:name="docket_no"/>
            <w:r>
              <w:t>UG-090000</w:t>
            </w:r>
            <w:bookmarkEnd w:id="3"/>
            <w:r>
              <w:fldChar w:fldCharType="end"/>
            </w:r>
            <w:r>
              <w:t>UG-1</w:t>
            </w:r>
            <w:r w:rsidR="009622DD">
              <w:t>60787</w:t>
            </w:r>
          </w:p>
          <w:p w14:paraId="31D7D3A3" w14:textId="77777777" w:rsidR="005B3717" w:rsidRPr="00C923D6" w:rsidRDefault="005B3717"/>
          <w:p w14:paraId="3FDED76D" w14:textId="77777777" w:rsidR="005B3717" w:rsidRPr="00C923D6" w:rsidRDefault="005B3717">
            <w:r>
              <w:t>ORDER</w:t>
            </w:r>
            <w:r w:rsidRPr="00C923D6">
              <w:t xml:space="preserve"> </w:t>
            </w:r>
            <w:r>
              <w:fldChar w:fldCharType="begin"/>
            </w:r>
            <w:r>
              <w:instrText xml:space="preserve"> ASK order_no "Enter Order Number"</w:instrText>
            </w:r>
            <w:r>
              <w:fldChar w:fldCharType="separate"/>
            </w:r>
            <w:bookmarkStart w:id="4" w:name="order_no"/>
            <w:r>
              <w:t>01</w:t>
            </w:r>
            <w:bookmarkEnd w:id="4"/>
            <w:r>
              <w:fldChar w:fldCharType="end"/>
            </w:r>
            <w:r>
              <w:t>01</w:t>
            </w:r>
          </w:p>
          <w:p w14:paraId="62FB47D0" w14:textId="77777777" w:rsidR="005B3717" w:rsidRPr="00C923D6" w:rsidRDefault="005B3717">
            <w:pPr>
              <w:rPr>
                <w:b/>
                <w:bCs/>
              </w:rPr>
            </w:pPr>
          </w:p>
          <w:p w14:paraId="5CFEE0E2" w14:textId="77777777" w:rsidR="005B3717" w:rsidRPr="00C923D6" w:rsidRDefault="005B3717">
            <w:pPr>
              <w:rPr>
                <w:b/>
                <w:bCs/>
              </w:rPr>
            </w:pPr>
          </w:p>
          <w:p w14:paraId="2871B239" w14:textId="77777777" w:rsidR="005B3717" w:rsidRPr="00C923D6" w:rsidRDefault="005B3717">
            <w:pPr>
              <w:pStyle w:val="Header"/>
              <w:tabs>
                <w:tab w:val="clear" w:pos="4320"/>
                <w:tab w:val="clear" w:pos="8640"/>
              </w:tabs>
            </w:pPr>
            <w:r w:rsidRPr="00C923D6">
              <w:t xml:space="preserve">ORDER </w:t>
            </w:r>
            <w:r>
              <w:t>GRANTING</w:t>
            </w:r>
            <w:r w:rsidRPr="00C923D6">
              <w:t xml:space="preserve"> ACCOUNTING PETITION  </w:t>
            </w:r>
          </w:p>
        </w:tc>
      </w:tr>
    </w:tbl>
    <w:p w14:paraId="1B3207C8" w14:textId="77777777" w:rsidR="005B3717" w:rsidRDefault="005B3717">
      <w:pPr>
        <w:jc w:val="center"/>
      </w:pPr>
    </w:p>
    <w:p w14:paraId="3ABA0877" w14:textId="77777777" w:rsidR="00271DBE" w:rsidRPr="00C923D6" w:rsidRDefault="00271DBE">
      <w:pPr>
        <w:jc w:val="center"/>
      </w:pPr>
    </w:p>
    <w:p w14:paraId="69613448" w14:textId="77777777" w:rsidR="005B3717" w:rsidRPr="00C923D6" w:rsidRDefault="005B3717">
      <w:pPr>
        <w:pStyle w:val="Heading1"/>
        <w:spacing w:line="288" w:lineRule="auto"/>
      </w:pPr>
      <w:r w:rsidRPr="00C923D6">
        <w:t>BACKGROUND</w:t>
      </w:r>
    </w:p>
    <w:p w14:paraId="511FA9F0" w14:textId="77777777" w:rsidR="005B3717" w:rsidRPr="00C923D6" w:rsidRDefault="005B3717">
      <w:pPr>
        <w:spacing w:line="288" w:lineRule="auto"/>
        <w:jc w:val="center"/>
      </w:pPr>
    </w:p>
    <w:p w14:paraId="46C738B9" w14:textId="0F5E8DBE" w:rsidR="005B3717" w:rsidRDefault="005B3717" w:rsidP="006516BA">
      <w:pPr>
        <w:numPr>
          <w:ilvl w:val="0"/>
          <w:numId w:val="1"/>
        </w:numPr>
        <w:spacing w:line="288" w:lineRule="auto"/>
      </w:pPr>
      <w:r w:rsidRPr="00C923D6">
        <w:t>On</w:t>
      </w:r>
      <w:r>
        <w:t xml:space="preserve"> </w:t>
      </w:r>
      <w:r>
        <w:fldChar w:fldCharType="begin"/>
      </w:r>
      <w:r>
        <w:instrText xml:space="preserve"> ask filing_date "Enter Filing Date" </w:instrText>
      </w:r>
      <w:r>
        <w:fldChar w:fldCharType="separate"/>
      </w:r>
      <w:bookmarkStart w:id="5" w:name="filing_date"/>
      <w:r>
        <w:t>January 1, 2025</w:t>
      </w:r>
      <w:bookmarkEnd w:id="5"/>
      <w:r>
        <w:fldChar w:fldCharType="end"/>
      </w:r>
      <w:r w:rsidR="009622DD">
        <w:t xml:space="preserve">June 1, </w:t>
      </w:r>
      <w:r>
        <w:t>201</w:t>
      </w:r>
      <w:r w:rsidR="009622DD">
        <w:t>6</w:t>
      </w:r>
      <w:r w:rsidRPr="00C923D6">
        <w:t>,</w:t>
      </w:r>
      <w:r w:rsidRPr="00D93572">
        <w:rPr>
          <w:b/>
          <w:bCs/>
        </w:rPr>
        <w:t xml:space="preserve"> </w:t>
      </w:r>
      <w:r>
        <w:t>Cascade Natural Gas Corporation</w:t>
      </w:r>
      <w:r w:rsidRPr="00C923D6">
        <w:t xml:space="preserve"> (</w:t>
      </w:r>
      <w:r>
        <w:t>Cascade or Company</w:t>
      </w:r>
      <w:r w:rsidRPr="00C923D6">
        <w:t>)</w:t>
      </w:r>
      <w:r w:rsidRPr="00D93572">
        <w:rPr>
          <w:b/>
          <w:bCs/>
        </w:rPr>
        <w:t xml:space="preserve"> </w:t>
      </w:r>
      <w:r>
        <w:t xml:space="preserve">filed with the </w:t>
      </w:r>
      <w:r w:rsidRPr="00C923D6">
        <w:t xml:space="preserve">Washington Utilities and Transportation Commission </w:t>
      </w:r>
      <w:r>
        <w:t xml:space="preserve">(Commission) a petition </w:t>
      </w:r>
      <w:r w:rsidR="003B563D">
        <w:t xml:space="preserve">(Petition) </w:t>
      </w:r>
      <w:r w:rsidR="006E16BD">
        <w:t>pursuant to</w:t>
      </w:r>
      <w:r w:rsidR="002166CD" w:rsidRPr="00C923D6">
        <w:t xml:space="preserve"> </w:t>
      </w:r>
      <w:hyperlink r:id="rId11" w:history="1">
        <w:r w:rsidR="002166CD" w:rsidRPr="003B563D">
          <w:rPr>
            <w:rStyle w:val="Hyperlink"/>
            <w:color w:val="auto"/>
          </w:rPr>
          <w:t>WAC 480-07-370(1)(b)</w:t>
        </w:r>
      </w:hyperlink>
      <w:r w:rsidR="006E16BD">
        <w:t xml:space="preserve"> requesting an order authorizing </w:t>
      </w:r>
      <w:r>
        <w:t>defer</w:t>
      </w:r>
      <w:r w:rsidR="006E16BD">
        <w:t xml:space="preserve">red accounting treatment of incremental </w:t>
      </w:r>
      <w:r w:rsidR="00A7169C">
        <w:t xml:space="preserve">third-party </w:t>
      </w:r>
      <w:r w:rsidR="006E16BD">
        <w:t>costs incurred to</w:t>
      </w:r>
      <w:r w:rsidR="009622DD">
        <w:t xml:space="preserve"> implement the Maximum Allowable Operating Pressure </w:t>
      </w:r>
      <w:r w:rsidR="00D93572">
        <w:t>Determination and Validation P</w:t>
      </w:r>
      <w:r w:rsidR="009622DD">
        <w:t>lan</w:t>
      </w:r>
      <w:r w:rsidR="00A45F85">
        <w:t xml:space="preserve"> (MAOP Plan)</w:t>
      </w:r>
      <w:r w:rsidR="009622DD">
        <w:t xml:space="preserve">.  </w:t>
      </w:r>
    </w:p>
    <w:p w14:paraId="63D7F78F" w14:textId="77777777" w:rsidR="00D93572" w:rsidRDefault="00D93572" w:rsidP="00D93572">
      <w:pPr>
        <w:spacing w:line="288" w:lineRule="auto"/>
      </w:pPr>
    </w:p>
    <w:p w14:paraId="2EB88C45" w14:textId="79BD719E" w:rsidR="00C2789B" w:rsidRDefault="00B56776" w:rsidP="00463B67">
      <w:pPr>
        <w:numPr>
          <w:ilvl w:val="0"/>
          <w:numId w:val="1"/>
        </w:numPr>
        <w:spacing w:line="288" w:lineRule="auto"/>
      </w:pPr>
      <w:r>
        <w:rPr>
          <w:w w:val="105"/>
        </w:rPr>
        <w:t xml:space="preserve">On </w:t>
      </w:r>
      <w:r w:rsidR="009B16BA">
        <w:rPr>
          <w:w w:val="105"/>
        </w:rPr>
        <w:t>May 2</w:t>
      </w:r>
      <w:r>
        <w:rPr>
          <w:w w:val="105"/>
        </w:rPr>
        <w:t xml:space="preserve">, 2016, Cascade filed its </w:t>
      </w:r>
      <w:r w:rsidRPr="003A444D">
        <w:t>MAOP Plan</w:t>
      </w:r>
      <w:r>
        <w:t xml:space="preserve"> </w:t>
      </w:r>
      <w:r w:rsidR="00626AEE">
        <w:t xml:space="preserve">as </w:t>
      </w:r>
      <w:r>
        <w:t>required by</w:t>
      </w:r>
      <w:r w:rsidR="006C265D">
        <w:t xml:space="preserve"> </w:t>
      </w:r>
      <w:r w:rsidR="003B563D">
        <w:t>Order 01 in Docket PG-150120</w:t>
      </w:r>
      <w:r w:rsidR="00C2789B">
        <w:t>.</w:t>
      </w:r>
      <w:r w:rsidR="003B563D">
        <w:rPr>
          <w:rStyle w:val="FootnoteReference"/>
        </w:rPr>
        <w:footnoteReference w:id="1"/>
      </w:r>
      <w:r w:rsidR="00C2789B">
        <w:t xml:space="preserve"> </w:t>
      </w:r>
      <w:r w:rsidR="00463B67">
        <w:t>In its Petition</w:t>
      </w:r>
      <w:r w:rsidR="006D37F3">
        <w:t xml:space="preserve">, </w:t>
      </w:r>
      <w:r w:rsidR="00463B67">
        <w:t xml:space="preserve">Cascade asserts that </w:t>
      </w:r>
      <w:r w:rsidR="006D37F3">
        <w:t>t</w:t>
      </w:r>
      <w:r w:rsidR="00463B67">
        <w:t>he implementation of its</w:t>
      </w:r>
      <w:r>
        <w:t xml:space="preserve"> </w:t>
      </w:r>
      <w:r w:rsidR="00463B67" w:rsidRPr="003A444D">
        <w:t>MAOP Plan</w:t>
      </w:r>
      <w:r w:rsidR="00463B67">
        <w:t xml:space="preserve"> </w:t>
      </w:r>
      <w:r>
        <w:t xml:space="preserve">will result in significant incremental costs that were not </w:t>
      </w:r>
      <w:r w:rsidR="00463B67">
        <w:t>accounted for</w:t>
      </w:r>
      <w:r>
        <w:t xml:space="preserve"> in Cascade’s </w:t>
      </w:r>
      <w:r w:rsidR="00FB3EEC">
        <w:t>most recent</w:t>
      </w:r>
      <w:r>
        <w:t xml:space="preserve"> general rate case</w:t>
      </w:r>
      <w:r w:rsidR="00463B67">
        <w:t xml:space="preserve"> in Docket UG-152286. </w:t>
      </w:r>
      <w:r w:rsidR="00FB3EEC">
        <w:t xml:space="preserve">Cascade projects it will incur </w:t>
      </w:r>
      <w:r w:rsidR="00312C58">
        <w:t xml:space="preserve">a total of </w:t>
      </w:r>
      <w:r w:rsidR="00FB3EEC">
        <w:t>$</w:t>
      </w:r>
      <w:r w:rsidR="00312C58">
        <w:t>2.</w:t>
      </w:r>
      <w:r w:rsidR="00AE0C7F">
        <w:t>6</w:t>
      </w:r>
      <w:r w:rsidR="00FB3EEC">
        <w:t xml:space="preserve"> million in</w:t>
      </w:r>
      <w:r w:rsidR="00AE0C7F">
        <w:t xml:space="preserve"> 2016 and between $6 and $8 </w:t>
      </w:r>
      <w:r w:rsidR="00463B67">
        <w:t>million in 2017 in</w:t>
      </w:r>
      <w:r w:rsidR="00FB3EEC">
        <w:t xml:space="preserve"> incremental third-party costs to comply with its </w:t>
      </w:r>
      <w:r w:rsidR="00C2789B">
        <w:t xml:space="preserve">completion of </w:t>
      </w:r>
      <w:r w:rsidR="00463B67">
        <w:t xml:space="preserve">its </w:t>
      </w:r>
      <w:r w:rsidR="00C2789B">
        <w:t xml:space="preserve">MAOP Plan. </w:t>
      </w:r>
    </w:p>
    <w:p w14:paraId="4642EED9" w14:textId="77777777" w:rsidR="00C2789B" w:rsidRDefault="00C2789B" w:rsidP="008075B6">
      <w:pPr>
        <w:spacing w:line="288" w:lineRule="auto"/>
      </w:pPr>
    </w:p>
    <w:p w14:paraId="6AB284B2" w14:textId="3ACC528F" w:rsidR="002166CD" w:rsidRDefault="00463B67" w:rsidP="0044119F">
      <w:pPr>
        <w:numPr>
          <w:ilvl w:val="0"/>
          <w:numId w:val="1"/>
        </w:numPr>
        <w:spacing w:line="288" w:lineRule="auto"/>
      </w:pPr>
      <w:r>
        <w:t>In Docket PG-160293, Cascade filed its 2015 Pipe Replacement Program Plan.</w:t>
      </w:r>
      <w:r>
        <w:rPr>
          <w:rStyle w:val="FootnoteReference"/>
        </w:rPr>
        <w:footnoteReference w:id="2"/>
      </w:r>
      <w:r>
        <w:t xml:space="preserve"> The Company’s 2015 </w:t>
      </w:r>
      <w:r w:rsidR="00626AEE">
        <w:t>P</w:t>
      </w:r>
      <w:r>
        <w:t xml:space="preserve">lan included </w:t>
      </w:r>
      <w:r w:rsidR="00EB2499">
        <w:t xml:space="preserve">both </w:t>
      </w:r>
      <w:r>
        <w:t xml:space="preserve">a Master Plan </w:t>
      </w:r>
      <w:r w:rsidRPr="00AD369B">
        <w:t xml:space="preserve">for replacing all </w:t>
      </w:r>
      <w:r>
        <w:t>facilities</w:t>
      </w:r>
      <w:r w:rsidRPr="00AD369B">
        <w:t xml:space="preserve"> wi</w:t>
      </w:r>
      <w:r>
        <w:t xml:space="preserve">th an </w:t>
      </w:r>
      <w:r>
        <w:lastRenderedPageBreak/>
        <w:t xml:space="preserve">elevated risk of failure and a Two-Year plan that </w:t>
      </w:r>
      <w:r w:rsidRPr="00AD369B">
        <w:t>specifically identifie</w:t>
      </w:r>
      <w:r>
        <w:t>d</w:t>
      </w:r>
      <w:r w:rsidRPr="00AD369B">
        <w:t xml:space="preserve"> the pipe replacement pro</w:t>
      </w:r>
      <w:r w:rsidR="00626AEE">
        <w:t>gram goals for the upcoming two-</w:t>
      </w:r>
      <w:r w:rsidRPr="00AD369B">
        <w:t>year peri</w:t>
      </w:r>
      <w:r>
        <w:t xml:space="preserve">od. </w:t>
      </w:r>
      <w:r w:rsidR="006D37F3">
        <w:t>According to the Company</w:t>
      </w:r>
      <w:r>
        <w:t>’s Two-Year Plan</w:t>
      </w:r>
      <w:r w:rsidR="001B43E5">
        <w:t>, t</w:t>
      </w:r>
      <w:r w:rsidR="0091517B">
        <w:t>he work</w:t>
      </w:r>
      <w:r w:rsidR="00DE3429">
        <w:t xml:space="preserve"> related to </w:t>
      </w:r>
      <w:r>
        <w:t>its</w:t>
      </w:r>
      <w:r w:rsidR="00DE3429">
        <w:t xml:space="preserve"> MAOP Plan</w:t>
      </w:r>
      <w:r w:rsidR="0091517B">
        <w:t xml:space="preserve"> includes</w:t>
      </w:r>
      <w:r w:rsidR="00C2789B">
        <w:t>:</w:t>
      </w:r>
      <w:r w:rsidR="002166CD">
        <w:t xml:space="preserve"> </w:t>
      </w:r>
    </w:p>
    <w:p w14:paraId="5D99861E" w14:textId="77777777" w:rsidR="002166CD" w:rsidRDefault="002166CD" w:rsidP="00C2789B">
      <w:pPr>
        <w:pStyle w:val="ListParagraph"/>
        <w:ind w:left="1260" w:hanging="540"/>
      </w:pPr>
    </w:p>
    <w:p w14:paraId="65BB047D" w14:textId="05DE7D4E" w:rsidR="002166CD" w:rsidRDefault="00EB2499" w:rsidP="00C2789B">
      <w:pPr>
        <w:numPr>
          <w:ilvl w:val="1"/>
          <w:numId w:val="1"/>
        </w:numPr>
        <w:spacing w:line="288" w:lineRule="auto"/>
        <w:ind w:left="1260" w:hanging="540"/>
      </w:pPr>
      <w:r>
        <w:t>R</w:t>
      </w:r>
      <w:r w:rsidR="00312C58">
        <w:t xml:space="preserve">ecords review of all </w:t>
      </w:r>
      <w:r w:rsidR="003B563D">
        <w:t xml:space="preserve">of </w:t>
      </w:r>
      <w:r w:rsidR="00312C58">
        <w:t>Cascade’s high pressure pipeline segments operating above 60 psig</w:t>
      </w:r>
      <w:r w:rsidR="00E349ED">
        <w:t xml:space="preserve"> (pounds per square inch gauge)</w:t>
      </w:r>
      <w:r w:rsidR="00312C58">
        <w:t xml:space="preserve"> </w:t>
      </w:r>
    </w:p>
    <w:p w14:paraId="52A81636" w14:textId="4379D521" w:rsidR="002166CD" w:rsidRDefault="00EB2499" w:rsidP="00C2789B">
      <w:pPr>
        <w:numPr>
          <w:ilvl w:val="1"/>
          <w:numId w:val="1"/>
        </w:numPr>
        <w:spacing w:line="288" w:lineRule="auto"/>
        <w:ind w:left="1260" w:hanging="540"/>
      </w:pPr>
      <w:r>
        <w:t>I</w:t>
      </w:r>
      <w:r w:rsidR="00312C58">
        <w:t>n situ testing</w:t>
      </w:r>
      <w:r w:rsidR="006D37F3">
        <w:t xml:space="preserve"> (material </w:t>
      </w:r>
      <w:r w:rsidR="004372D1">
        <w:t>testing in place</w:t>
      </w:r>
      <w:r w:rsidR="006D37F3">
        <w:t>)</w:t>
      </w:r>
      <w:r w:rsidR="00312C58">
        <w:t xml:space="preserve"> </w:t>
      </w:r>
    </w:p>
    <w:p w14:paraId="1568F78D" w14:textId="33F22AE1" w:rsidR="002166CD" w:rsidRDefault="00EB2499" w:rsidP="00C2789B">
      <w:pPr>
        <w:numPr>
          <w:ilvl w:val="1"/>
          <w:numId w:val="1"/>
        </w:numPr>
        <w:spacing w:line="288" w:lineRule="auto"/>
        <w:ind w:left="1260" w:hanging="540"/>
      </w:pPr>
      <w:r>
        <w:t>P</w:t>
      </w:r>
      <w:r w:rsidR="00312C58">
        <w:t xml:space="preserve">ressure testing </w:t>
      </w:r>
    </w:p>
    <w:p w14:paraId="76ED9F35" w14:textId="6C63D60C" w:rsidR="002166CD" w:rsidRDefault="00EB2499" w:rsidP="00C2789B">
      <w:pPr>
        <w:numPr>
          <w:ilvl w:val="1"/>
          <w:numId w:val="1"/>
        </w:numPr>
        <w:spacing w:line="288" w:lineRule="auto"/>
        <w:ind w:left="1260" w:hanging="540"/>
      </w:pPr>
      <w:r>
        <w:t>M</w:t>
      </w:r>
      <w:r w:rsidR="0044119F">
        <w:t xml:space="preserve">apping/GIS work </w:t>
      </w:r>
    </w:p>
    <w:p w14:paraId="15019CEF" w14:textId="597F5B4D" w:rsidR="00531277" w:rsidRDefault="00EB2499" w:rsidP="00C2789B">
      <w:pPr>
        <w:numPr>
          <w:ilvl w:val="1"/>
          <w:numId w:val="1"/>
        </w:numPr>
        <w:spacing w:line="288" w:lineRule="auto"/>
        <w:ind w:left="1260" w:hanging="540"/>
      </w:pPr>
      <w:r>
        <w:t>B</w:t>
      </w:r>
      <w:r w:rsidR="0044119F">
        <w:t>aseline assessments for l</w:t>
      </w:r>
      <w:r w:rsidR="0044119F" w:rsidRPr="0044119F">
        <w:t>ine segments preliminaril</w:t>
      </w:r>
      <w:r w:rsidR="008075B6">
        <w:t>y calculated at greater than 20 percent</w:t>
      </w:r>
      <w:r w:rsidR="0044119F" w:rsidRPr="0044119F">
        <w:t xml:space="preserve"> </w:t>
      </w:r>
      <w:r w:rsidR="006D37F3">
        <w:t>Sp</w:t>
      </w:r>
      <w:r w:rsidR="00003E74">
        <w:t>ecified Minimum Yield Strength</w:t>
      </w:r>
      <w:r w:rsidR="0044119F" w:rsidRPr="0044119F">
        <w:t xml:space="preserve"> </w:t>
      </w:r>
      <w:r w:rsidR="0044119F">
        <w:t xml:space="preserve">that are </w:t>
      </w:r>
      <w:r w:rsidR="0044119F" w:rsidRPr="0044119F">
        <w:t xml:space="preserve">incorporated into </w:t>
      </w:r>
      <w:r w:rsidR="00A279D8">
        <w:t>Cascade</w:t>
      </w:r>
      <w:r w:rsidR="0044119F" w:rsidRPr="0044119F">
        <w:t>’s transmission int</w:t>
      </w:r>
      <w:r w:rsidR="008075B6">
        <w:t>egrity management program</w:t>
      </w:r>
      <w:r>
        <w:t>.</w:t>
      </w:r>
      <w:r w:rsidR="0044119F">
        <w:t xml:space="preserve"> </w:t>
      </w:r>
    </w:p>
    <w:p w14:paraId="40559BF1" w14:textId="77777777" w:rsidR="005B3717" w:rsidRDefault="005B3717" w:rsidP="00C2789B">
      <w:pPr>
        <w:pStyle w:val="ListParagraph"/>
        <w:ind w:left="1260" w:hanging="540"/>
      </w:pPr>
    </w:p>
    <w:p w14:paraId="1977DB8F" w14:textId="3E515BE6" w:rsidR="00EE29EA" w:rsidRPr="0085604F" w:rsidRDefault="005B3717" w:rsidP="006C55B6">
      <w:pPr>
        <w:numPr>
          <w:ilvl w:val="0"/>
          <w:numId w:val="1"/>
        </w:numPr>
        <w:spacing w:line="276" w:lineRule="auto"/>
      </w:pPr>
      <w:r>
        <w:t xml:space="preserve">The Company requests </w:t>
      </w:r>
      <w:r w:rsidR="00FC5F0D">
        <w:t xml:space="preserve">an accounting order authorizing </w:t>
      </w:r>
      <w:r>
        <w:t xml:space="preserve">deferral of </w:t>
      </w:r>
      <w:r w:rsidR="00FC5F0D">
        <w:t>incremental third-party</w:t>
      </w:r>
      <w:r w:rsidR="0044119F">
        <w:t xml:space="preserve"> </w:t>
      </w:r>
      <w:r w:rsidR="00EE29EA">
        <w:t xml:space="preserve">costs </w:t>
      </w:r>
      <w:r>
        <w:t xml:space="preserve">because </w:t>
      </w:r>
      <w:r w:rsidR="0090012B">
        <w:t xml:space="preserve">(a) the costs </w:t>
      </w:r>
      <w:r w:rsidR="0090012B" w:rsidRPr="0085604F">
        <w:rPr>
          <w:w w:val="105"/>
        </w:rPr>
        <w:t xml:space="preserve">are material; (b) the potential benefits to customers of the program could result in capital cost </w:t>
      </w:r>
      <w:r w:rsidR="00D923ED" w:rsidRPr="0085604F">
        <w:rPr>
          <w:w w:val="105"/>
        </w:rPr>
        <w:t>reductions</w:t>
      </w:r>
      <w:r w:rsidR="0090012B" w:rsidRPr="0085604F">
        <w:rPr>
          <w:w w:val="105"/>
        </w:rPr>
        <w:t xml:space="preserve">; (c) deferral treatment </w:t>
      </w:r>
      <w:r w:rsidR="00EB2499">
        <w:rPr>
          <w:w w:val="105"/>
        </w:rPr>
        <w:t>properly matches Cascade’s ability to embed these ongoing costs in general rates</w:t>
      </w:r>
      <w:r w:rsidR="0090012B" w:rsidRPr="0085604F">
        <w:rPr>
          <w:w w:val="105"/>
        </w:rPr>
        <w:t>.</w:t>
      </w:r>
      <w:r w:rsidR="0044119F" w:rsidRPr="0085604F">
        <w:rPr>
          <w:w w:val="105"/>
        </w:rPr>
        <w:t xml:space="preserve"> </w:t>
      </w:r>
      <w:r w:rsidR="00EB2499">
        <w:rPr>
          <w:w w:val="105"/>
        </w:rPr>
        <w:t>The Company requests to record the deferred costs in FERC Account 182.3, Other Regulatory Assets.</w:t>
      </w:r>
      <w:r w:rsidR="0044119F" w:rsidRPr="0085604F">
        <w:rPr>
          <w:w w:val="105"/>
        </w:rPr>
        <w:t xml:space="preserve"> </w:t>
      </w:r>
    </w:p>
    <w:p w14:paraId="64967381" w14:textId="77777777" w:rsidR="0085604F" w:rsidRDefault="0085604F" w:rsidP="0085604F">
      <w:pPr>
        <w:spacing w:line="288" w:lineRule="auto"/>
      </w:pPr>
    </w:p>
    <w:p w14:paraId="262EB812" w14:textId="4B213DE1" w:rsidR="005B3717" w:rsidRDefault="005B3717" w:rsidP="00967A47">
      <w:pPr>
        <w:numPr>
          <w:ilvl w:val="0"/>
          <w:numId w:val="1"/>
        </w:numPr>
        <w:spacing w:line="288" w:lineRule="auto"/>
      </w:pPr>
      <w:r>
        <w:t xml:space="preserve">Staff </w:t>
      </w:r>
      <w:r w:rsidR="00365F84">
        <w:t xml:space="preserve">has investigated the </w:t>
      </w:r>
      <w:r w:rsidR="00D923ED">
        <w:t xml:space="preserve">circumstances </w:t>
      </w:r>
      <w:r w:rsidR="00365F84">
        <w:t xml:space="preserve">underlying the Company’s request, and </w:t>
      </w:r>
      <w:r w:rsidR="00D923ED">
        <w:t>a</w:t>
      </w:r>
      <w:r w:rsidR="0075503A">
        <w:t>grees</w:t>
      </w:r>
      <w:r w:rsidR="00D923ED">
        <w:t xml:space="preserve"> </w:t>
      </w:r>
      <w:r w:rsidR="00EE29EA">
        <w:t xml:space="preserve">that </w:t>
      </w:r>
      <w:r w:rsidR="00D923ED">
        <w:t>deferr</w:t>
      </w:r>
      <w:r w:rsidR="002B5A61">
        <w:t>ed</w:t>
      </w:r>
      <w:r w:rsidR="00D923ED">
        <w:t xml:space="preserve"> accounting treatment is </w:t>
      </w:r>
      <w:r w:rsidR="00EE29EA">
        <w:t>appropriate</w:t>
      </w:r>
      <w:r w:rsidR="00575F08">
        <w:t xml:space="preserve"> </w:t>
      </w:r>
      <w:r w:rsidR="000B430E">
        <w:t>because the costs are currently unknown. In light</w:t>
      </w:r>
      <w:r w:rsidR="00EB2499">
        <w:t xml:space="preserve"> of the fact that </w:t>
      </w:r>
      <w:r w:rsidR="00575F08">
        <w:t>prudence</w:t>
      </w:r>
      <w:r w:rsidR="00D923ED">
        <w:t xml:space="preserve"> and </w:t>
      </w:r>
      <w:r w:rsidR="00626AEE">
        <w:t xml:space="preserve">cost </w:t>
      </w:r>
      <w:r w:rsidR="00D923ED">
        <w:t>recovery will be</w:t>
      </w:r>
      <w:r w:rsidR="00575F08">
        <w:t xml:space="preserve"> determin</w:t>
      </w:r>
      <w:r w:rsidR="00D923ED">
        <w:t>ed at a later date</w:t>
      </w:r>
      <w:r w:rsidR="000B430E">
        <w:t xml:space="preserve"> and the final disposition not yet known,</w:t>
      </w:r>
      <w:r w:rsidR="00EB2499">
        <w:t xml:space="preserve"> Staff recommends the Company record the deferred costs in FERC Account 186, Miscellaneous Deferred Debits. </w:t>
      </w:r>
      <w:r w:rsidR="006D4599">
        <w:t>Staff</w:t>
      </w:r>
      <w:r w:rsidR="00EE29EA">
        <w:t xml:space="preserve"> </w:t>
      </w:r>
      <w:r>
        <w:t>supports the accounting treatment subject to the following conditions:</w:t>
      </w:r>
    </w:p>
    <w:p w14:paraId="69584A13" w14:textId="77777777" w:rsidR="005B3717" w:rsidRDefault="005B3717" w:rsidP="00185CB6">
      <w:pPr>
        <w:pStyle w:val="ListParagraph"/>
        <w:ind w:left="360"/>
      </w:pPr>
    </w:p>
    <w:p w14:paraId="7B1EBC4D" w14:textId="77777777" w:rsidR="005B3717" w:rsidRPr="00D6427D" w:rsidRDefault="005B3717" w:rsidP="00185CB6">
      <w:pPr>
        <w:pStyle w:val="FootnoteText"/>
        <w:numPr>
          <w:ilvl w:val="0"/>
          <w:numId w:val="6"/>
        </w:numPr>
        <w:spacing w:line="288" w:lineRule="auto"/>
        <w:ind w:hanging="720"/>
        <w:rPr>
          <w:rFonts w:ascii="Times New Roman" w:hAnsi="Times New Roman"/>
          <w:sz w:val="24"/>
          <w:szCs w:val="22"/>
        </w:rPr>
      </w:pPr>
      <w:r w:rsidRPr="00D6427D">
        <w:rPr>
          <w:rFonts w:ascii="Times New Roman" w:hAnsi="Times New Roman"/>
          <w:sz w:val="24"/>
          <w:szCs w:val="22"/>
        </w:rPr>
        <w:t xml:space="preserve">The </w:t>
      </w:r>
      <w:r w:rsidR="002C3D26">
        <w:rPr>
          <w:rFonts w:ascii="Times New Roman" w:hAnsi="Times New Roman"/>
          <w:sz w:val="24"/>
          <w:szCs w:val="22"/>
        </w:rPr>
        <w:t>C</w:t>
      </w:r>
      <w:r>
        <w:rPr>
          <w:rFonts w:ascii="Times New Roman" w:hAnsi="Times New Roman"/>
          <w:sz w:val="24"/>
          <w:szCs w:val="22"/>
        </w:rPr>
        <w:t>ompany</w:t>
      </w:r>
      <w:r w:rsidRPr="00D6427D">
        <w:rPr>
          <w:rFonts w:ascii="Times New Roman" w:hAnsi="Times New Roman"/>
          <w:sz w:val="24"/>
          <w:szCs w:val="22"/>
        </w:rPr>
        <w:t xml:space="preserve"> will record the deferred costs in </w:t>
      </w:r>
      <w:r w:rsidR="00D93572">
        <w:rPr>
          <w:rFonts w:ascii="Times New Roman" w:hAnsi="Times New Roman"/>
          <w:sz w:val="24"/>
          <w:szCs w:val="22"/>
        </w:rPr>
        <w:t xml:space="preserve">FERC </w:t>
      </w:r>
      <w:r w:rsidRPr="00D6427D">
        <w:rPr>
          <w:rFonts w:ascii="Times New Roman" w:hAnsi="Times New Roman"/>
          <w:sz w:val="24"/>
          <w:szCs w:val="22"/>
        </w:rPr>
        <w:t>Account 18</w:t>
      </w:r>
      <w:r w:rsidR="00575F08">
        <w:rPr>
          <w:rFonts w:ascii="Times New Roman" w:hAnsi="Times New Roman"/>
          <w:sz w:val="24"/>
          <w:szCs w:val="22"/>
        </w:rPr>
        <w:t>6</w:t>
      </w:r>
      <w:r w:rsidRPr="00D6427D">
        <w:rPr>
          <w:rFonts w:ascii="Times New Roman" w:hAnsi="Times New Roman"/>
          <w:sz w:val="24"/>
          <w:szCs w:val="22"/>
        </w:rPr>
        <w:t xml:space="preserve">, </w:t>
      </w:r>
      <w:r w:rsidR="002B5A61">
        <w:rPr>
          <w:rFonts w:ascii="Times New Roman" w:hAnsi="Times New Roman"/>
          <w:sz w:val="24"/>
          <w:szCs w:val="22"/>
        </w:rPr>
        <w:t>Miscellaneous Deferred Debits</w:t>
      </w:r>
      <w:r w:rsidRPr="00D6427D">
        <w:rPr>
          <w:rFonts w:ascii="Times New Roman" w:hAnsi="Times New Roman"/>
          <w:sz w:val="24"/>
          <w:szCs w:val="22"/>
        </w:rPr>
        <w:t>.</w:t>
      </w:r>
    </w:p>
    <w:p w14:paraId="652ACA69" w14:textId="77777777" w:rsidR="005B3717" w:rsidRDefault="005B3717" w:rsidP="00185CB6">
      <w:pPr>
        <w:pStyle w:val="FootnoteText"/>
        <w:ind w:left="720" w:hanging="720"/>
        <w:rPr>
          <w:rFonts w:ascii="Times New Roman" w:hAnsi="Times New Roman"/>
          <w:sz w:val="24"/>
          <w:szCs w:val="22"/>
        </w:rPr>
      </w:pPr>
    </w:p>
    <w:p w14:paraId="35A40279" w14:textId="5713893D" w:rsidR="005B3717" w:rsidRPr="00D6427D" w:rsidRDefault="005B3717" w:rsidP="00185CB6">
      <w:pPr>
        <w:pStyle w:val="FootnoteText"/>
        <w:numPr>
          <w:ilvl w:val="0"/>
          <w:numId w:val="6"/>
        </w:numPr>
        <w:spacing w:line="288" w:lineRule="auto"/>
        <w:ind w:hanging="720"/>
        <w:rPr>
          <w:rFonts w:ascii="Times New Roman" w:hAnsi="Times New Roman"/>
          <w:sz w:val="24"/>
          <w:szCs w:val="22"/>
        </w:rPr>
      </w:pPr>
      <w:r w:rsidRPr="00D6427D">
        <w:rPr>
          <w:rFonts w:ascii="Times New Roman" w:hAnsi="Times New Roman"/>
          <w:sz w:val="24"/>
          <w:szCs w:val="22"/>
        </w:rPr>
        <w:t>Costs eligible for deferred accounting treatment will include only those amounts paid to outside vendors</w:t>
      </w:r>
      <w:r>
        <w:rPr>
          <w:rFonts w:ascii="Times New Roman" w:hAnsi="Times New Roman"/>
          <w:sz w:val="24"/>
          <w:szCs w:val="22"/>
        </w:rPr>
        <w:t>,</w:t>
      </w:r>
      <w:r w:rsidRPr="00D6427D">
        <w:rPr>
          <w:rFonts w:ascii="Times New Roman" w:hAnsi="Times New Roman"/>
          <w:sz w:val="24"/>
          <w:szCs w:val="22"/>
        </w:rPr>
        <w:t xml:space="preserve"> contractors, </w:t>
      </w:r>
      <w:r w:rsidR="0044119F">
        <w:rPr>
          <w:rFonts w:ascii="Times New Roman" w:hAnsi="Times New Roman"/>
          <w:sz w:val="24"/>
          <w:szCs w:val="22"/>
        </w:rPr>
        <w:t>and consultants,</w:t>
      </w:r>
      <w:r w:rsidRPr="00D6427D">
        <w:rPr>
          <w:rFonts w:ascii="Times New Roman" w:hAnsi="Times New Roman"/>
          <w:sz w:val="24"/>
          <w:szCs w:val="22"/>
        </w:rPr>
        <w:t xml:space="preserve"> and will not include internal employee salaries</w:t>
      </w:r>
      <w:r w:rsidR="00575F08">
        <w:rPr>
          <w:rFonts w:ascii="Times New Roman" w:hAnsi="Times New Roman"/>
          <w:sz w:val="24"/>
          <w:szCs w:val="22"/>
        </w:rPr>
        <w:t xml:space="preserve">, </w:t>
      </w:r>
      <w:r w:rsidR="002B5A61">
        <w:rPr>
          <w:rFonts w:ascii="Times New Roman" w:hAnsi="Times New Roman"/>
          <w:sz w:val="24"/>
          <w:szCs w:val="22"/>
        </w:rPr>
        <w:t xml:space="preserve">legal costs, </w:t>
      </w:r>
      <w:r w:rsidR="00E57807">
        <w:rPr>
          <w:rFonts w:ascii="Times New Roman" w:hAnsi="Times New Roman"/>
          <w:sz w:val="24"/>
          <w:szCs w:val="22"/>
        </w:rPr>
        <w:t>direct</w:t>
      </w:r>
      <w:r w:rsidR="002B5A61">
        <w:rPr>
          <w:rFonts w:ascii="Times New Roman" w:hAnsi="Times New Roman"/>
          <w:sz w:val="24"/>
          <w:szCs w:val="22"/>
        </w:rPr>
        <w:t>ly</w:t>
      </w:r>
      <w:r w:rsidR="00E57807">
        <w:rPr>
          <w:rFonts w:ascii="Times New Roman" w:hAnsi="Times New Roman"/>
          <w:sz w:val="24"/>
          <w:szCs w:val="22"/>
        </w:rPr>
        <w:t xml:space="preserve"> assigned </w:t>
      </w:r>
      <w:r w:rsidR="002B5A61">
        <w:rPr>
          <w:rFonts w:ascii="Times New Roman" w:hAnsi="Times New Roman"/>
          <w:sz w:val="24"/>
          <w:szCs w:val="22"/>
        </w:rPr>
        <w:t xml:space="preserve">or allocated </w:t>
      </w:r>
      <w:r w:rsidR="00E57807">
        <w:rPr>
          <w:rFonts w:ascii="Times New Roman" w:hAnsi="Times New Roman"/>
          <w:sz w:val="24"/>
          <w:szCs w:val="22"/>
        </w:rPr>
        <w:t>overhead</w:t>
      </w:r>
      <w:r w:rsidR="00575F08">
        <w:rPr>
          <w:rFonts w:ascii="Times New Roman" w:hAnsi="Times New Roman"/>
          <w:sz w:val="24"/>
          <w:szCs w:val="22"/>
        </w:rPr>
        <w:t>,</w:t>
      </w:r>
      <w:r w:rsidR="00E57807"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>or</w:t>
      </w:r>
      <w:r w:rsidRPr="00D6427D">
        <w:rPr>
          <w:rFonts w:ascii="Times New Roman" w:hAnsi="Times New Roman"/>
          <w:sz w:val="24"/>
          <w:szCs w:val="22"/>
        </w:rPr>
        <w:t xml:space="preserve"> other incidental </w:t>
      </w:r>
      <w:r w:rsidR="002B5A61" w:rsidRPr="00D6427D">
        <w:rPr>
          <w:rFonts w:ascii="Times New Roman" w:hAnsi="Times New Roman"/>
          <w:sz w:val="24"/>
          <w:szCs w:val="22"/>
        </w:rPr>
        <w:t xml:space="preserve">employee </w:t>
      </w:r>
      <w:r w:rsidRPr="00D6427D">
        <w:rPr>
          <w:rFonts w:ascii="Times New Roman" w:hAnsi="Times New Roman"/>
          <w:sz w:val="24"/>
          <w:szCs w:val="22"/>
        </w:rPr>
        <w:t>costs, such as hotel</w:t>
      </w:r>
      <w:r w:rsidR="0075503A">
        <w:rPr>
          <w:rFonts w:ascii="Times New Roman" w:hAnsi="Times New Roman"/>
          <w:sz w:val="24"/>
          <w:szCs w:val="22"/>
        </w:rPr>
        <w:t>s</w:t>
      </w:r>
      <w:r w:rsidRPr="00D6427D">
        <w:rPr>
          <w:rFonts w:ascii="Times New Roman" w:hAnsi="Times New Roman"/>
          <w:sz w:val="24"/>
          <w:szCs w:val="22"/>
        </w:rPr>
        <w:t>, meals, etc.</w:t>
      </w:r>
      <w:r w:rsidR="00C2789B">
        <w:rPr>
          <w:rFonts w:ascii="Times New Roman" w:hAnsi="Times New Roman"/>
          <w:sz w:val="24"/>
          <w:szCs w:val="22"/>
        </w:rPr>
        <w:t xml:space="preserve"> </w:t>
      </w:r>
    </w:p>
    <w:p w14:paraId="6FFFBE1C" w14:textId="77777777" w:rsidR="005B3717" w:rsidRPr="00D6427D" w:rsidRDefault="005B3717" w:rsidP="00185CB6">
      <w:pPr>
        <w:pStyle w:val="FootnoteText"/>
        <w:ind w:left="720" w:hanging="720"/>
        <w:rPr>
          <w:rFonts w:ascii="Times New Roman" w:hAnsi="Times New Roman"/>
          <w:sz w:val="24"/>
          <w:szCs w:val="22"/>
        </w:rPr>
      </w:pPr>
    </w:p>
    <w:p w14:paraId="412D366D" w14:textId="77777777" w:rsidR="005B3717" w:rsidRPr="00D6427D" w:rsidRDefault="005B3717" w:rsidP="00185CB6">
      <w:pPr>
        <w:pStyle w:val="FootnoteText"/>
        <w:numPr>
          <w:ilvl w:val="0"/>
          <w:numId w:val="6"/>
        </w:numPr>
        <w:spacing w:line="288" w:lineRule="auto"/>
        <w:ind w:hanging="72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The p</w:t>
      </w:r>
      <w:r w:rsidRPr="00D6427D">
        <w:rPr>
          <w:rFonts w:ascii="Times New Roman" w:hAnsi="Times New Roman"/>
          <w:sz w:val="24"/>
          <w:szCs w:val="22"/>
        </w:rPr>
        <w:t>rudenc</w:t>
      </w:r>
      <w:r>
        <w:rPr>
          <w:rFonts w:ascii="Times New Roman" w:hAnsi="Times New Roman"/>
          <w:sz w:val="24"/>
          <w:szCs w:val="22"/>
        </w:rPr>
        <w:t>e</w:t>
      </w:r>
      <w:r w:rsidRPr="00D6427D"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of the deferred costs </w:t>
      </w:r>
      <w:r w:rsidRPr="00D6427D">
        <w:rPr>
          <w:rFonts w:ascii="Times New Roman" w:hAnsi="Times New Roman"/>
          <w:sz w:val="24"/>
          <w:szCs w:val="22"/>
        </w:rPr>
        <w:t xml:space="preserve">will be determined in </w:t>
      </w:r>
      <w:r>
        <w:rPr>
          <w:rFonts w:ascii="Times New Roman" w:hAnsi="Times New Roman"/>
          <w:sz w:val="24"/>
          <w:szCs w:val="22"/>
        </w:rPr>
        <w:t>a</w:t>
      </w:r>
      <w:r w:rsidRPr="00D6427D">
        <w:rPr>
          <w:rFonts w:ascii="Times New Roman" w:hAnsi="Times New Roman"/>
          <w:sz w:val="24"/>
          <w:szCs w:val="22"/>
        </w:rPr>
        <w:t xml:space="preserve"> future </w:t>
      </w:r>
      <w:r>
        <w:rPr>
          <w:rFonts w:ascii="Times New Roman" w:hAnsi="Times New Roman"/>
          <w:sz w:val="24"/>
          <w:szCs w:val="22"/>
        </w:rPr>
        <w:t>rate proceeding.  D</w:t>
      </w:r>
      <w:r w:rsidRPr="00D6427D">
        <w:rPr>
          <w:rFonts w:ascii="Times New Roman" w:hAnsi="Times New Roman"/>
          <w:sz w:val="24"/>
          <w:szCs w:val="22"/>
        </w:rPr>
        <w:t>eferred costs shown to be imprudent or inappropriate will be subject to disallowance for rate recovery purposes.</w:t>
      </w:r>
    </w:p>
    <w:p w14:paraId="7E8DCFFB" w14:textId="77777777" w:rsidR="005B3717" w:rsidRPr="00D6427D" w:rsidRDefault="005B3717" w:rsidP="00185CB6">
      <w:pPr>
        <w:pStyle w:val="FootnoteText"/>
        <w:spacing w:line="288" w:lineRule="auto"/>
        <w:ind w:left="720" w:hanging="720"/>
        <w:rPr>
          <w:rFonts w:ascii="Times New Roman" w:hAnsi="Times New Roman"/>
          <w:sz w:val="24"/>
          <w:szCs w:val="22"/>
        </w:rPr>
      </w:pPr>
    </w:p>
    <w:p w14:paraId="2170CEF7" w14:textId="77CB8F9C" w:rsidR="005B3717" w:rsidRPr="00D6427D" w:rsidRDefault="005B3717" w:rsidP="00185CB6">
      <w:pPr>
        <w:pStyle w:val="FootnoteText"/>
        <w:numPr>
          <w:ilvl w:val="0"/>
          <w:numId w:val="6"/>
        </w:numPr>
        <w:spacing w:line="288" w:lineRule="auto"/>
        <w:ind w:hanging="72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The </w:t>
      </w:r>
      <w:r w:rsidR="00441633">
        <w:rPr>
          <w:rFonts w:ascii="Times New Roman" w:hAnsi="Times New Roman"/>
          <w:sz w:val="24"/>
          <w:szCs w:val="22"/>
        </w:rPr>
        <w:t>deferred costs, if approved for recovery in a general rate case, will be amortized over a period determined in that proceeding.</w:t>
      </w:r>
    </w:p>
    <w:p w14:paraId="7FC09A17" w14:textId="77777777" w:rsidR="005B3717" w:rsidRPr="00D6427D" w:rsidRDefault="005B3717" w:rsidP="00185CB6">
      <w:pPr>
        <w:pStyle w:val="FootnoteText"/>
        <w:spacing w:line="288" w:lineRule="auto"/>
        <w:ind w:left="720" w:hanging="720"/>
        <w:rPr>
          <w:rFonts w:ascii="Times New Roman" w:hAnsi="Times New Roman"/>
          <w:sz w:val="24"/>
          <w:szCs w:val="22"/>
        </w:rPr>
      </w:pPr>
    </w:p>
    <w:p w14:paraId="6762AB3F" w14:textId="426A6410" w:rsidR="003B563D" w:rsidRPr="003B563D" w:rsidRDefault="005B3717" w:rsidP="003B563D">
      <w:pPr>
        <w:pStyle w:val="FootnoteText"/>
        <w:numPr>
          <w:ilvl w:val="0"/>
          <w:numId w:val="6"/>
        </w:numPr>
        <w:spacing w:line="288" w:lineRule="auto"/>
        <w:ind w:hanging="720"/>
        <w:rPr>
          <w:rFonts w:ascii="Times New Roman" w:hAnsi="Times New Roman"/>
          <w:sz w:val="24"/>
          <w:szCs w:val="22"/>
        </w:rPr>
      </w:pPr>
      <w:r w:rsidRPr="00D6427D">
        <w:rPr>
          <w:rFonts w:ascii="Times New Roman" w:hAnsi="Times New Roman"/>
          <w:sz w:val="24"/>
          <w:szCs w:val="22"/>
        </w:rPr>
        <w:t xml:space="preserve">The </w:t>
      </w:r>
      <w:r>
        <w:rPr>
          <w:rFonts w:ascii="Times New Roman" w:hAnsi="Times New Roman"/>
          <w:sz w:val="24"/>
          <w:szCs w:val="22"/>
        </w:rPr>
        <w:t>Company</w:t>
      </w:r>
      <w:r w:rsidRPr="00D6427D">
        <w:rPr>
          <w:rFonts w:ascii="Times New Roman" w:hAnsi="Times New Roman"/>
          <w:sz w:val="24"/>
          <w:szCs w:val="22"/>
        </w:rPr>
        <w:t xml:space="preserve"> will not accrue interest </w:t>
      </w:r>
      <w:r>
        <w:rPr>
          <w:rFonts w:ascii="Times New Roman" w:hAnsi="Times New Roman"/>
          <w:sz w:val="24"/>
          <w:szCs w:val="22"/>
        </w:rPr>
        <w:t>on</w:t>
      </w:r>
      <w:r w:rsidRPr="00D6427D">
        <w:rPr>
          <w:rFonts w:ascii="Times New Roman" w:hAnsi="Times New Roman"/>
          <w:sz w:val="24"/>
          <w:szCs w:val="22"/>
        </w:rPr>
        <w:t xml:space="preserve"> the </w:t>
      </w:r>
      <w:r w:rsidR="002C3D26">
        <w:rPr>
          <w:rFonts w:ascii="Times New Roman" w:hAnsi="Times New Roman"/>
          <w:sz w:val="24"/>
          <w:szCs w:val="22"/>
        </w:rPr>
        <w:t>MAOP</w:t>
      </w:r>
      <w:r w:rsidR="003B7273">
        <w:rPr>
          <w:rFonts w:ascii="Times New Roman" w:hAnsi="Times New Roman"/>
          <w:sz w:val="24"/>
          <w:szCs w:val="22"/>
        </w:rPr>
        <w:t xml:space="preserve"> </w:t>
      </w:r>
      <w:r w:rsidR="00441633">
        <w:rPr>
          <w:rFonts w:ascii="Times New Roman" w:hAnsi="Times New Roman"/>
          <w:sz w:val="24"/>
          <w:szCs w:val="22"/>
        </w:rPr>
        <w:t xml:space="preserve">Plan </w:t>
      </w:r>
      <w:r w:rsidR="003B7273">
        <w:rPr>
          <w:rFonts w:ascii="Times New Roman" w:hAnsi="Times New Roman"/>
          <w:sz w:val="24"/>
          <w:szCs w:val="22"/>
        </w:rPr>
        <w:t>deferred costs</w:t>
      </w:r>
      <w:r w:rsidR="00BF4832">
        <w:rPr>
          <w:rFonts w:ascii="Times New Roman" w:hAnsi="Times New Roman"/>
          <w:sz w:val="24"/>
          <w:szCs w:val="22"/>
        </w:rPr>
        <w:t xml:space="preserve">. </w:t>
      </w:r>
    </w:p>
    <w:p w14:paraId="593C0840" w14:textId="77777777" w:rsidR="005B3717" w:rsidRPr="00C02D6D" w:rsidRDefault="005B3717" w:rsidP="00185CB6">
      <w:pPr>
        <w:ind w:left="360"/>
      </w:pPr>
    </w:p>
    <w:p w14:paraId="24A52F63" w14:textId="77777777" w:rsidR="005B3717" w:rsidRPr="00C923D6" w:rsidRDefault="005B3717" w:rsidP="003B563D">
      <w:pPr>
        <w:spacing w:line="288" w:lineRule="auto"/>
        <w:ind w:left="-1080"/>
        <w:jc w:val="center"/>
      </w:pPr>
    </w:p>
    <w:p w14:paraId="78F585D2" w14:textId="5B15D060" w:rsidR="003B563D" w:rsidRPr="003B563D" w:rsidRDefault="003B563D" w:rsidP="003B563D">
      <w:pPr>
        <w:spacing w:line="288" w:lineRule="auto"/>
        <w:ind w:left="720"/>
        <w:jc w:val="center"/>
        <w:rPr>
          <w:b/>
          <w:i/>
          <w:iCs/>
        </w:rPr>
      </w:pPr>
      <w:r w:rsidRPr="003B563D">
        <w:rPr>
          <w:b/>
          <w:iCs/>
        </w:rPr>
        <w:t>DISCUSSION</w:t>
      </w:r>
      <w:r>
        <w:rPr>
          <w:b/>
          <w:iCs/>
        </w:rPr>
        <w:br/>
      </w:r>
    </w:p>
    <w:p w14:paraId="0B3036F9" w14:textId="31F267BB" w:rsidR="003B563D" w:rsidRPr="001225BE" w:rsidRDefault="001225BE" w:rsidP="001225BE">
      <w:pPr>
        <w:numPr>
          <w:ilvl w:val="0"/>
          <w:numId w:val="1"/>
        </w:numPr>
        <w:tabs>
          <w:tab w:val="left" w:pos="0"/>
        </w:tabs>
        <w:spacing w:line="288" w:lineRule="auto"/>
        <w:rPr>
          <w:iCs/>
        </w:rPr>
      </w:pPr>
      <w:r>
        <w:rPr>
          <w:iCs/>
        </w:rPr>
        <w:t>W</w:t>
      </w:r>
      <w:r w:rsidR="006C55B6" w:rsidRPr="001225BE">
        <w:rPr>
          <w:iCs/>
        </w:rPr>
        <w:t>e approve the Petition subject to the conditions proposed by Staff. We agree with</w:t>
      </w:r>
      <w:r>
        <w:rPr>
          <w:iCs/>
        </w:rPr>
        <w:t xml:space="preserve"> </w:t>
      </w:r>
      <w:r w:rsidR="006C55B6" w:rsidRPr="001225BE">
        <w:rPr>
          <w:iCs/>
        </w:rPr>
        <w:t>Staff that the Company should record deferred costs in FERC Account 186, Miscellaneous Deferred Debits</w:t>
      </w:r>
      <w:r w:rsidR="000B430E" w:rsidRPr="001225BE">
        <w:rPr>
          <w:iCs/>
        </w:rPr>
        <w:t>,</w:t>
      </w:r>
      <w:r w:rsidR="006C55B6" w:rsidRPr="001225BE">
        <w:rPr>
          <w:iCs/>
        </w:rPr>
        <w:t xml:space="preserve"> because the </w:t>
      </w:r>
      <w:r w:rsidR="006C55B6">
        <w:t>incremental third-party costs for compliance with Cascade’s completion of its MAOP Plan</w:t>
      </w:r>
      <w:r w:rsidR="006C55B6" w:rsidRPr="001225BE">
        <w:rPr>
          <w:iCs/>
        </w:rPr>
        <w:t xml:space="preserve"> are currently unknown.</w:t>
      </w:r>
      <w:r w:rsidR="006C55B6" w:rsidRPr="001225BE">
        <w:rPr>
          <w:iCs/>
        </w:rPr>
        <w:br/>
      </w:r>
    </w:p>
    <w:p w14:paraId="6EE7DA6C" w14:textId="006882D4" w:rsidR="003B563D" w:rsidRPr="001225BE" w:rsidRDefault="006C55B6" w:rsidP="00443144">
      <w:pPr>
        <w:numPr>
          <w:ilvl w:val="0"/>
          <w:numId w:val="1"/>
        </w:numPr>
        <w:spacing w:line="288" w:lineRule="auto"/>
        <w:rPr>
          <w:i/>
          <w:iCs/>
        </w:rPr>
      </w:pPr>
      <w:r w:rsidRPr="001225BE">
        <w:rPr>
          <w:iCs/>
        </w:rPr>
        <w:t>Further, our decision in no way constitutes a preapproval of the Company’</w:t>
      </w:r>
      <w:r w:rsidR="00441633" w:rsidRPr="001225BE">
        <w:rPr>
          <w:iCs/>
        </w:rPr>
        <w:t>s incremental</w:t>
      </w:r>
      <w:r w:rsidR="001225BE">
        <w:rPr>
          <w:iCs/>
        </w:rPr>
        <w:t xml:space="preserve"> </w:t>
      </w:r>
      <w:r w:rsidRPr="001225BE">
        <w:rPr>
          <w:iCs/>
        </w:rPr>
        <w:t xml:space="preserve">third-party costs, and the Commission makes no finding </w:t>
      </w:r>
      <w:r w:rsidR="00441633" w:rsidRPr="001225BE">
        <w:rPr>
          <w:iCs/>
        </w:rPr>
        <w:t xml:space="preserve">regarding </w:t>
      </w:r>
      <w:r w:rsidRPr="001225BE">
        <w:rPr>
          <w:iCs/>
        </w:rPr>
        <w:t xml:space="preserve">the prudency of those costs, which will be addressed in a future regulatory proceeding. We do, however, recognize that these </w:t>
      </w:r>
      <w:r w:rsidR="00441633" w:rsidRPr="001225BE">
        <w:rPr>
          <w:iCs/>
        </w:rPr>
        <w:t>measures</w:t>
      </w:r>
      <w:r w:rsidRPr="001225BE">
        <w:rPr>
          <w:iCs/>
        </w:rPr>
        <w:t xml:space="preserve"> </w:t>
      </w:r>
      <w:r w:rsidR="00441633" w:rsidRPr="001225BE">
        <w:rPr>
          <w:iCs/>
        </w:rPr>
        <w:t xml:space="preserve">are critical to achieving and maintaining pipeline safety. </w:t>
      </w:r>
      <w:r w:rsidRPr="001225BE">
        <w:rPr>
          <w:iCs/>
        </w:rPr>
        <w:t>Accordingly, we grant Cascade’s Petition subject to the conditions set out above.</w:t>
      </w:r>
      <w:r w:rsidR="003B563D" w:rsidRPr="001225BE">
        <w:rPr>
          <w:i/>
          <w:iCs/>
        </w:rPr>
        <w:br/>
      </w:r>
    </w:p>
    <w:p w14:paraId="3AA806B3" w14:textId="163B5141" w:rsidR="003B563D" w:rsidRPr="003B563D" w:rsidRDefault="003B563D" w:rsidP="003B563D">
      <w:pPr>
        <w:pStyle w:val="Heading1"/>
        <w:spacing w:line="288" w:lineRule="auto"/>
      </w:pPr>
      <w:r w:rsidRPr="00C923D6">
        <w:t>FINDINGS AND CONCLUSIONS</w:t>
      </w:r>
      <w:r>
        <w:rPr>
          <w:i/>
          <w:iCs/>
        </w:rPr>
        <w:br/>
      </w:r>
    </w:p>
    <w:p w14:paraId="7017ABB9" w14:textId="6C11D853" w:rsidR="005B3717" w:rsidRPr="00C923D6" w:rsidRDefault="005B3717">
      <w:pPr>
        <w:numPr>
          <w:ilvl w:val="0"/>
          <w:numId w:val="1"/>
        </w:numPr>
        <w:spacing w:line="288" w:lineRule="auto"/>
        <w:ind w:left="720" w:hanging="1440"/>
        <w:rPr>
          <w:i/>
          <w:iCs/>
        </w:rPr>
      </w:pPr>
      <w:r w:rsidRPr="00C923D6">
        <w:t>(1)</w:t>
      </w:r>
      <w:r w:rsidRPr="00C923D6">
        <w:tab/>
        <w:t xml:space="preserve">The Commission is an agency of the </w:t>
      </w:r>
      <w:r>
        <w:t>S</w:t>
      </w:r>
      <w:r w:rsidRPr="00C923D6">
        <w:t xml:space="preserve">tate of Washington vested by statute with the authority to regulate </w:t>
      </w:r>
      <w:r>
        <w:t xml:space="preserve">the </w:t>
      </w:r>
      <w:r w:rsidRPr="00C923D6">
        <w:t xml:space="preserve">rates, rules, regulations, practices, accounts, securities, transfers of </w:t>
      </w:r>
      <w:r>
        <w:t xml:space="preserve">property and affiliated interests of </w:t>
      </w:r>
      <w:r w:rsidRPr="00C923D6">
        <w:t xml:space="preserve">public service companies, including </w:t>
      </w:r>
      <w:r>
        <w:fldChar w:fldCharType="begin"/>
      </w:r>
      <w:r>
        <w:instrText xml:space="preserve"> ASK company_type "Enter company type. (e.g., Electric, Gas, Water)" </w:instrText>
      </w:r>
      <w:r>
        <w:fldChar w:fldCharType="separate"/>
      </w:r>
      <w:bookmarkStart w:id="6" w:name="company_type"/>
      <w:r>
        <w:t>Gas</w:t>
      </w:r>
      <w:bookmarkEnd w:id="6"/>
      <w:r>
        <w:fldChar w:fldCharType="end"/>
      </w:r>
      <w:r>
        <w:t>gas</w:t>
      </w:r>
      <w:r w:rsidRPr="00C923D6">
        <w:rPr>
          <w:b/>
          <w:bCs/>
        </w:rPr>
        <w:t xml:space="preserve"> </w:t>
      </w:r>
      <w:r w:rsidRPr="00C923D6">
        <w:t xml:space="preserve">companies. </w:t>
      </w:r>
    </w:p>
    <w:p w14:paraId="5723D257" w14:textId="77777777" w:rsidR="005B3717" w:rsidRPr="00C923D6" w:rsidRDefault="005B3717">
      <w:pPr>
        <w:spacing w:line="288" w:lineRule="auto"/>
      </w:pPr>
    </w:p>
    <w:p w14:paraId="14493072" w14:textId="77777777" w:rsidR="005B3717" w:rsidRPr="00C923D6" w:rsidRDefault="005B3717">
      <w:pPr>
        <w:numPr>
          <w:ilvl w:val="0"/>
          <w:numId w:val="1"/>
        </w:numPr>
        <w:spacing w:line="288" w:lineRule="auto"/>
        <w:ind w:left="720" w:hanging="1440"/>
      </w:pPr>
      <w:r w:rsidRPr="00C923D6">
        <w:t>(2)</w:t>
      </w:r>
      <w:r w:rsidRPr="00C923D6">
        <w:tab/>
      </w:r>
      <w:r>
        <w:t xml:space="preserve">Cascade </w:t>
      </w:r>
      <w:r w:rsidRPr="00C923D6">
        <w:t xml:space="preserve">is </w:t>
      </w:r>
      <w:r>
        <w:t>a gas c</w:t>
      </w:r>
      <w:r w:rsidRPr="00C923D6">
        <w:t xml:space="preserve">ompany and a public service company subject to </w:t>
      </w:r>
      <w:r>
        <w:t xml:space="preserve">Commission </w:t>
      </w:r>
      <w:r w:rsidRPr="00C923D6">
        <w:t>jurisdiction.</w:t>
      </w:r>
    </w:p>
    <w:p w14:paraId="56D43AE9" w14:textId="77777777" w:rsidR="005B3717" w:rsidRPr="00C923D6" w:rsidRDefault="005B3717">
      <w:pPr>
        <w:spacing w:line="288" w:lineRule="auto"/>
      </w:pPr>
    </w:p>
    <w:p w14:paraId="26E4F103" w14:textId="77777777" w:rsidR="005B3717" w:rsidRPr="00C923D6" w:rsidRDefault="005B3717">
      <w:pPr>
        <w:numPr>
          <w:ilvl w:val="0"/>
          <w:numId w:val="1"/>
        </w:numPr>
        <w:spacing w:line="288" w:lineRule="auto"/>
        <w:ind w:left="720" w:hanging="1440"/>
      </w:pPr>
      <w:r w:rsidRPr="00C923D6">
        <w:t>(3)</w:t>
      </w:r>
      <w:r w:rsidRPr="00C923D6">
        <w:tab/>
      </w:r>
      <w:hyperlink r:id="rId12" w:history="1">
        <w:r w:rsidRPr="003B563D">
          <w:rPr>
            <w:rStyle w:val="Hyperlink"/>
            <w:color w:val="auto"/>
          </w:rPr>
          <w:t>WAC 480-07-370(1)(b)</w:t>
        </w:r>
      </w:hyperlink>
      <w:r>
        <w:t xml:space="preserve"> </w:t>
      </w:r>
      <w:r w:rsidRPr="00C923D6">
        <w:t>allows companies to file petition</w:t>
      </w:r>
      <w:r>
        <w:t>s</w:t>
      </w:r>
      <w:r w:rsidRPr="00C923D6">
        <w:t xml:space="preserve"> including that for which </w:t>
      </w:r>
      <w:r>
        <w:t>Cascade</w:t>
      </w:r>
      <w:r w:rsidRPr="00C923D6">
        <w:rPr>
          <w:b/>
          <w:bCs/>
        </w:rPr>
        <w:t xml:space="preserve"> </w:t>
      </w:r>
      <w:r w:rsidRPr="00C923D6">
        <w:t>seeks approval.</w:t>
      </w:r>
    </w:p>
    <w:p w14:paraId="37FEB6F0" w14:textId="77777777" w:rsidR="005B3717" w:rsidRPr="00C923D6" w:rsidRDefault="005B3717">
      <w:pPr>
        <w:spacing w:line="288" w:lineRule="auto"/>
      </w:pPr>
    </w:p>
    <w:p w14:paraId="4B5D1E8E" w14:textId="68CEB717" w:rsidR="005B3717" w:rsidRDefault="005B3717" w:rsidP="003B563D">
      <w:pPr>
        <w:numPr>
          <w:ilvl w:val="0"/>
          <w:numId w:val="1"/>
        </w:numPr>
        <w:spacing w:line="288" w:lineRule="auto"/>
        <w:ind w:left="720" w:hanging="1440"/>
      </w:pPr>
      <w:r w:rsidRPr="00C923D6">
        <w:lastRenderedPageBreak/>
        <w:t>(4)</w:t>
      </w:r>
      <w:r w:rsidRPr="00C923D6">
        <w:tab/>
        <w:t xml:space="preserve">Staff has reviewed the </w:t>
      </w:r>
      <w:r w:rsidR="003B563D">
        <w:t>P</w:t>
      </w:r>
      <w:r w:rsidRPr="00C923D6">
        <w:t xml:space="preserve">etition in Docket </w:t>
      </w:r>
      <w:r>
        <w:t>UG-1</w:t>
      </w:r>
      <w:r w:rsidR="00D93572">
        <w:t>60787</w:t>
      </w:r>
      <w:r w:rsidR="003B563D">
        <w:t xml:space="preserve"> and finds that </w:t>
      </w:r>
      <w:r w:rsidR="00FB1C8D">
        <w:t>an</w:t>
      </w:r>
      <w:r w:rsidRPr="00C923D6">
        <w:t xml:space="preserve"> accounting</w:t>
      </w:r>
      <w:r>
        <w:t xml:space="preserve"> order</w:t>
      </w:r>
      <w:r w:rsidRPr="00C923D6">
        <w:t xml:space="preserve"> </w:t>
      </w:r>
      <w:r w:rsidR="00FB1C8D">
        <w:t xml:space="preserve">to defer </w:t>
      </w:r>
      <w:r>
        <w:t>Cascade</w:t>
      </w:r>
      <w:r w:rsidR="00FB1C8D">
        <w:t>’s incremental third-party costs</w:t>
      </w:r>
      <w:r w:rsidRPr="00C923D6">
        <w:t xml:space="preserve"> is reasonable and should be </w:t>
      </w:r>
      <w:r>
        <w:t>granted</w:t>
      </w:r>
      <w:r w:rsidR="00FB1C8D">
        <w:t>,</w:t>
      </w:r>
      <w:r>
        <w:t xml:space="preserve"> </w:t>
      </w:r>
      <w:r w:rsidRPr="004E7FDA">
        <w:t xml:space="preserve">subject to the conditions </w:t>
      </w:r>
      <w:r w:rsidR="00FB1C8D">
        <w:t xml:space="preserve">outlined </w:t>
      </w:r>
      <w:r w:rsidRPr="004E7FDA">
        <w:t xml:space="preserve">above in paragraph </w:t>
      </w:r>
      <w:r w:rsidR="008118B7">
        <w:t>5</w:t>
      </w:r>
      <w:r w:rsidRPr="004E7FDA">
        <w:t xml:space="preserve"> of this </w:t>
      </w:r>
      <w:r w:rsidR="003B563D">
        <w:t>O</w:t>
      </w:r>
      <w:r w:rsidRPr="004E7FDA">
        <w:t>rder</w:t>
      </w:r>
      <w:r>
        <w:t>.</w:t>
      </w:r>
    </w:p>
    <w:p w14:paraId="4E6A1AAE" w14:textId="77777777" w:rsidR="005B3717" w:rsidRPr="003C2211" w:rsidRDefault="005B3717" w:rsidP="008014F9">
      <w:pPr>
        <w:spacing w:line="288" w:lineRule="auto"/>
      </w:pPr>
    </w:p>
    <w:p w14:paraId="578E7108" w14:textId="6408A032" w:rsidR="005B3717" w:rsidRPr="00C923D6" w:rsidRDefault="005B3717">
      <w:pPr>
        <w:numPr>
          <w:ilvl w:val="0"/>
          <w:numId w:val="1"/>
        </w:numPr>
        <w:spacing w:line="288" w:lineRule="auto"/>
        <w:ind w:left="720" w:hanging="1440"/>
      </w:pPr>
      <w:r w:rsidRPr="00C923D6">
        <w:t>(</w:t>
      </w:r>
      <w:r>
        <w:t>6</w:t>
      </w:r>
      <w:r w:rsidRPr="00C923D6">
        <w:t>)</w:t>
      </w:r>
      <w:r w:rsidRPr="00C923D6">
        <w:tab/>
        <w:t xml:space="preserve">This matter </w:t>
      </w:r>
      <w:r>
        <w:t>came</w:t>
      </w:r>
      <w:r w:rsidRPr="00C923D6">
        <w:t xml:space="preserve"> before the Commission at its regularly scheduled</w:t>
      </w:r>
      <w:r w:rsidR="00ED25EA">
        <w:t xml:space="preserve"> O</w:t>
      </w:r>
      <w:r w:rsidR="003B7273">
        <w:t>pen</w:t>
      </w:r>
      <w:r w:rsidRPr="00C923D6">
        <w:t xml:space="preserve"> </w:t>
      </w:r>
      <w:r w:rsidR="00ED25EA">
        <w:t>M</w:t>
      </w:r>
      <w:r w:rsidRPr="00C923D6">
        <w:t>eeting on</w:t>
      </w:r>
      <w:r>
        <w:t xml:space="preserve"> </w:t>
      </w:r>
      <w:r>
        <w:fldChar w:fldCharType="begin"/>
      </w:r>
      <w:r>
        <w:instrText xml:space="preserve"> ASK om_date "Enter Open Meeting Date "</w:instrText>
      </w:r>
      <w:r>
        <w:fldChar w:fldCharType="separate"/>
      </w:r>
      <w:bookmarkStart w:id="7" w:name="om_date"/>
      <w:r>
        <w:t>January 2, 2025</w:t>
      </w:r>
      <w:bookmarkEnd w:id="7"/>
      <w:r>
        <w:fldChar w:fldCharType="end"/>
      </w:r>
      <w:r w:rsidR="002C3D26">
        <w:t>November 10</w:t>
      </w:r>
      <w:r>
        <w:t>, 201</w:t>
      </w:r>
      <w:r w:rsidR="002C3D26">
        <w:t>6</w:t>
      </w:r>
      <w:r>
        <w:t>.</w:t>
      </w:r>
    </w:p>
    <w:p w14:paraId="0E93285C" w14:textId="77777777" w:rsidR="005B3717" w:rsidRPr="00C923D6" w:rsidRDefault="005B3717">
      <w:pPr>
        <w:spacing w:line="288" w:lineRule="auto"/>
      </w:pPr>
    </w:p>
    <w:p w14:paraId="3E800CD7" w14:textId="4CF28C5A" w:rsidR="005B3717" w:rsidRPr="00C923D6" w:rsidRDefault="005B3717">
      <w:pPr>
        <w:numPr>
          <w:ilvl w:val="0"/>
          <w:numId w:val="1"/>
        </w:numPr>
        <w:spacing w:line="288" w:lineRule="auto"/>
        <w:ind w:left="720" w:hanging="1440"/>
      </w:pPr>
      <w:r w:rsidRPr="00C923D6">
        <w:t>(</w:t>
      </w:r>
      <w:r>
        <w:t>7</w:t>
      </w:r>
      <w:r w:rsidRPr="00C923D6">
        <w:t>)</w:t>
      </w:r>
      <w:r w:rsidRPr="00C923D6">
        <w:tab/>
        <w:t xml:space="preserve">After </w:t>
      </w:r>
      <w:r>
        <w:t>reviewing Cascade’s</w:t>
      </w:r>
      <w:r w:rsidRPr="00C923D6">
        <w:rPr>
          <w:b/>
          <w:bCs/>
        </w:rPr>
        <w:t xml:space="preserve"> </w:t>
      </w:r>
      <w:r w:rsidRPr="00C923D6">
        <w:t>petition filed</w:t>
      </w:r>
      <w:r w:rsidR="00E148D3" w:rsidRPr="00C923D6">
        <w:t xml:space="preserve"> on </w:t>
      </w:r>
      <w:r w:rsidR="00E148D3">
        <w:t>June 1, 2016</w:t>
      </w:r>
      <w:r w:rsidR="00BF4832">
        <w:t>,</w:t>
      </w:r>
      <w:r w:rsidRPr="00C923D6">
        <w:t xml:space="preserve"> in Docket </w:t>
      </w:r>
      <w:r>
        <w:t>UG-1</w:t>
      </w:r>
      <w:r w:rsidR="002C3D26">
        <w:t>60787</w:t>
      </w:r>
      <w:r>
        <w:t>,</w:t>
      </w:r>
      <w:r w:rsidRPr="00C923D6">
        <w:t xml:space="preserve"> and giving due consideration to all relevant matters and for good cause shown, the Commission finds that the </w:t>
      </w:r>
      <w:r>
        <w:t xml:space="preserve">proposed </w:t>
      </w:r>
      <w:r w:rsidR="00AC575E">
        <w:t>p</w:t>
      </w:r>
      <w:r w:rsidRPr="00C923D6">
        <w:t xml:space="preserve">etition should be </w:t>
      </w:r>
      <w:r>
        <w:t>granted</w:t>
      </w:r>
      <w:r w:rsidR="003B563D">
        <w:t xml:space="preserve">, </w:t>
      </w:r>
      <w:r w:rsidR="003B563D" w:rsidRPr="004E7FDA">
        <w:t xml:space="preserve">subject to the conditions </w:t>
      </w:r>
      <w:r w:rsidR="003B563D">
        <w:t xml:space="preserve">outlined </w:t>
      </w:r>
      <w:r w:rsidR="003B563D" w:rsidRPr="004E7FDA">
        <w:t xml:space="preserve">above in paragraph </w:t>
      </w:r>
      <w:r w:rsidR="008118B7">
        <w:t>5</w:t>
      </w:r>
      <w:r w:rsidR="003B563D" w:rsidRPr="004E7FDA">
        <w:t xml:space="preserve"> of this </w:t>
      </w:r>
      <w:r w:rsidR="003B563D">
        <w:t>O</w:t>
      </w:r>
      <w:r w:rsidR="003B563D" w:rsidRPr="004E7FDA">
        <w:t>rder</w:t>
      </w:r>
      <w:r w:rsidRPr="00C923D6">
        <w:t>.</w:t>
      </w:r>
      <w:r>
        <w:t xml:space="preserve">  </w:t>
      </w:r>
    </w:p>
    <w:p w14:paraId="1DFFF14D" w14:textId="77777777" w:rsidR="007B2656" w:rsidRDefault="007B2656" w:rsidP="007B2656"/>
    <w:p w14:paraId="3AB80BDF" w14:textId="5CC17CF7" w:rsidR="005B3717" w:rsidRPr="00C923D6" w:rsidRDefault="003B563D">
      <w:pPr>
        <w:pStyle w:val="Heading1"/>
        <w:spacing w:line="288" w:lineRule="auto"/>
      </w:pPr>
      <w:r>
        <w:t>ORDER</w:t>
      </w:r>
    </w:p>
    <w:p w14:paraId="41AC3996" w14:textId="77777777" w:rsidR="005B3717" w:rsidRPr="00C923D6" w:rsidRDefault="005B3717"/>
    <w:p w14:paraId="072A0597" w14:textId="77777777" w:rsidR="005B3717" w:rsidRPr="004E41FF" w:rsidRDefault="005B3717">
      <w:pPr>
        <w:spacing w:line="288" w:lineRule="auto"/>
        <w:rPr>
          <w:b/>
        </w:rPr>
      </w:pPr>
      <w:r w:rsidRPr="004E41FF">
        <w:rPr>
          <w:b/>
        </w:rPr>
        <w:t>THE COMMISSION ORDERS:</w:t>
      </w:r>
    </w:p>
    <w:p w14:paraId="72251A04" w14:textId="77777777" w:rsidR="005B3717" w:rsidRPr="00C923D6" w:rsidRDefault="005B3717">
      <w:pPr>
        <w:spacing w:line="288" w:lineRule="auto"/>
      </w:pPr>
    </w:p>
    <w:p w14:paraId="651FEF83" w14:textId="38E2C485" w:rsidR="009F37EE" w:rsidRDefault="005B3717" w:rsidP="0075503A">
      <w:pPr>
        <w:numPr>
          <w:ilvl w:val="0"/>
          <w:numId w:val="1"/>
        </w:numPr>
        <w:spacing w:line="288" w:lineRule="auto"/>
        <w:ind w:left="720" w:hanging="1440"/>
      </w:pPr>
      <w:r w:rsidRPr="00C923D6">
        <w:t>(1)</w:t>
      </w:r>
      <w:r w:rsidRPr="00C923D6">
        <w:tab/>
      </w:r>
      <w:r>
        <w:t>Cascade</w:t>
      </w:r>
      <w:r w:rsidR="003B7273">
        <w:t xml:space="preserve"> Natural Gas </w:t>
      </w:r>
      <w:r w:rsidR="009F37EE">
        <w:t>Corporation</w:t>
      </w:r>
      <w:r w:rsidR="003B563D">
        <w:t>’s Petition</w:t>
      </w:r>
      <w:r w:rsidRPr="00C923D6">
        <w:t xml:space="preserve"> to</w:t>
      </w:r>
      <w:r>
        <w:t xml:space="preserve"> defer the costs </w:t>
      </w:r>
      <w:r w:rsidR="00513431">
        <w:t xml:space="preserve">associated with its </w:t>
      </w:r>
      <w:r w:rsidR="00CF4B0C">
        <w:t>Maximum Allowable Operating Pressure Determination and Validation Plan</w:t>
      </w:r>
      <w:r>
        <w:t xml:space="preserve"> is granted</w:t>
      </w:r>
      <w:r w:rsidR="0075503A">
        <w:t xml:space="preserve">, </w:t>
      </w:r>
      <w:r w:rsidRPr="00AB23F8">
        <w:t>subject to the following conditions:</w:t>
      </w:r>
    </w:p>
    <w:p w14:paraId="15345D45" w14:textId="77777777" w:rsidR="009F37EE" w:rsidRPr="00AB23F8" w:rsidRDefault="009F37EE" w:rsidP="00CF4B0C">
      <w:pPr>
        <w:spacing w:line="288" w:lineRule="auto"/>
      </w:pPr>
    </w:p>
    <w:p w14:paraId="14EACA07" w14:textId="7633454F" w:rsidR="005B3717" w:rsidRPr="00AB23F8" w:rsidRDefault="00BF4832" w:rsidP="00185CB6">
      <w:pPr>
        <w:pStyle w:val="FootnoteText"/>
        <w:numPr>
          <w:ilvl w:val="0"/>
          <w:numId w:val="7"/>
        </w:numPr>
        <w:spacing w:line="288" w:lineRule="auto"/>
        <w:ind w:left="1440" w:hanging="720"/>
        <w:rPr>
          <w:rFonts w:ascii="Times New Roman" w:hAnsi="Times New Roman"/>
          <w:sz w:val="24"/>
          <w:szCs w:val="22"/>
        </w:rPr>
      </w:pPr>
      <w:r w:rsidRPr="00BF4832">
        <w:rPr>
          <w:rFonts w:ascii="Times New Roman" w:hAnsi="Times New Roman"/>
          <w:sz w:val="24"/>
          <w:szCs w:val="24"/>
        </w:rPr>
        <w:t>Cascade Natural Gas Corporation</w:t>
      </w:r>
      <w:r w:rsidR="005B3717" w:rsidRPr="00AB23F8">
        <w:rPr>
          <w:rFonts w:ascii="Times New Roman" w:hAnsi="Times New Roman"/>
          <w:sz w:val="24"/>
          <w:szCs w:val="22"/>
        </w:rPr>
        <w:t xml:space="preserve"> will record the deferred costs in </w:t>
      </w:r>
      <w:r w:rsidR="000A1C16" w:rsidRPr="00AB23F8">
        <w:rPr>
          <w:rFonts w:ascii="Times New Roman" w:hAnsi="Times New Roman"/>
          <w:sz w:val="24"/>
          <w:szCs w:val="22"/>
        </w:rPr>
        <w:t xml:space="preserve">FERC </w:t>
      </w:r>
      <w:r w:rsidR="005B3717" w:rsidRPr="00AB23F8">
        <w:rPr>
          <w:rFonts w:ascii="Times New Roman" w:hAnsi="Times New Roman"/>
          <w:sz w:val="24"/>
          <w:szCs w:val="22"/>
        </w:rPr>
        <w:t>Account 18</w:t>
      </w:r>
      <w:r w:rsidR="00E57807">
        <w:rPr>
          <w:rFonts w:ascii="Times New Roman" w:hAnsi="Times New Roman"/>
          <w:sz w:val="24"/>
          <w:szCs w:val="22"/>
        </w:rPr>
        <w:t>6</w:t>
      </w:r>
      <w:r w:rsidR="005B3717" w:rsidRPr="00AB23F8">
        <w:rPr>
          <w:rFonts w:ascii="Times New Roman" w:hAnsi="Times New Roman"/>
          <w:sz w:val="24"/>
          <w:szCs w:val="22"/>
        </w:rPr>
        <w:t xml:space="preserve">, </w:t>
      </w:r>
      <w:r w:rsidR="00AA0973">
        <w:rPr>
          <w:rFonts w:ascii="Times New Roman" w:hAnsi="Times New Roman"/>
          <w:sz w:val="24"/>
          <w:szCs w:val="22"/>
        </w:rPr>
        <w:t>Miscellaneous Deferred Debits</w:t>
      </w:r>
      <w:r w:rsidR="005B3717" w:rsidRPr="00AB23F8">
        <w:rPr>
          <w:rFonts w:ascii="Times New Roman" w:hAnsi="Times New Roman"/>
          <w:sz w:val="24"/>
          <w:szCs w:val="22"/>
        </w:rPr>
        <w:t xml:space="preserve">.  </w:t>
      </w:r>
    </w:p>
    <w:p w14:paraId="0E553D98" w14:textId="77777777" w:rsidR="005B3717" w:rsidRPr="00AB23F8" w:rsidRDefault="005B3717" w:rsidP="00185CB6">
      <w:pPr>
        <w:pStyle w:val="FootnoteText"/>
        <w:spacing w:line="288" w:lineRule="auto"/>
        <w:ind w:left="1440" w:hanging="720"/>
        <w:rPr>
          <w:rFonts w:ascii="Times New Roman" w:hAnsi="Times New Roman"/>
          <w:sz w:val="24"/>
          <w:szCs w:val="22"/>
        </w:rPr>
      </w:pPr>
    </w:p>
    <w:p w14:paraId="7728BBE5" w14:textId="6E99FD5A" w:rsidR="005B3717" w:rsidRPr="00AB23F8" w:rsidRDefault="005B3717" w:rsidP="00185CB6">
      <w:pPr>
        <w:pStyle w:val="FootnoteText"/>
        <w:numPr>
          <w:ilvl w:val="0"/>
          <w:numId w:val="7"/>
        </w:numPr>
        <w:spacing w:line="288" w:lineRule="auto"/>
        <w:ind w:left="1440" w:hanging="720"/>
        <w:rPr>
          <w:rFonts w:ascii="Times New Roman" w:hAnsi="Times New Roman"/>
          <w:sz w:val="24"/>
          <w:szCs w:val="22"/>
        </w:rPr>
      </w:pPr>
      <w:r w:rsidRPr="00AB23F8">
        <w:rPr>
          <w:rFonts w:ascii="Times New Roman" w:hAnsi="Times New Roman"/>
          <w:sz w:val="24"/>
          <w:szCs w:val="22"/>
        </w:rPr>
        <w:t xml:space="preserve">Costs eligible for deferred accounting treatment will include only those amounts paid to outside vendors, contractors, </w:t>
      </w:r>
      <w:r w:rsidR="000E7EA5" w:rsidRPr="00AB23F8">
        <w:rPr>
          <w:rFonts w:ascii="Times New Roman" w:hAnsi="Times New Roman"/>
          <w:sz w:val="24"/>
          <w:szCs w:val="22"/>
        </w:rPr>
        <w:t>and</w:t>
      </w:r>
      <w:r w:rsidRPr="00AB23F8">
        <w:rPr>
          <w:rFonts w:ascii="Times New Roman" w:hAnsi="Times New Roman"/>
          <w:sz w:val="24"/>
          <w:szCs w:val="22"/>
        </w:rPr>
        <w:t xml:space="preserve"> </w:t>
      </w:r>
      <w:r w:rsidR="000E7EA5" w:rsidRPr="00AB23F8">
        <w:rPr>
          <w:rFonts w:ascii="Times New Roman" w:hAnsi="Times New Roman"/>
          <w:sz w:val="24"/>
          <w:szCs w:val="22"/>
        </w:rPr>
        <w:t>consultants</w:t>
      </w:r>
      <w:r w:rsidRPr="00AB23F8">
        <w:rPr>
          <w:rFonts w:ascii="Times New Roman" w:hAnsi="Times New Roman"/>
          <w:sz w:val="24"/>
          <w:szCs w:val="22"/>
        </w:rPr>
        <w:t>, and will not include internal employee salaries</w:t>
      </w:r>
      <w:r w:rsidR="00AA0973">
        <w:rPr>
          <w:rFonts w:ascii="Times New Roman" w:hAnsi="Times New Roman"/>
          <w:sz w:val="24"/>
          <w:szCs w:val="22"/>
        </w:rPr>
        <w:t>, legal costs, directly assigned or allocated overhead, or</w:t>
      </w:r>
      <w:r w:rsidR="00AA0973" w:rsidRPr="00D6427D">
        <w:rPr>
          <w:rFonts w:ascii="Times New Roman" w:hAnsi="Times New Roman"/>
          <w:sz w:val="24"/>
          <w:szCs w:val="22"/>
        </w:rPr>
        <w:t xml:space="preserve"> other incidental employee</w:t>
      </w:r>
      <w:r w:rsidRPr="00AB23F8">
        <w:rPr>
          <w:rFonts w:ascii="Times New Roman" w:hAnsi="Times New Roman"/>
          <w:sz w:val="24"/>
          <w:szCs w:val="22"/>
        </w:rPr>
        <w:t xml:space="preserve"> costs, such as hotel, meals, etc</w:t>
      </w:r>
      <w:r w:rsidR="009C3D93">
        <w:rPr>
          <w:rFonts w:ascii="Times New Roman" w:hAnsi="Times New Roman"/>
          <w:sz w:val="24"/>
          <w:szCs w:val="22"/>
        </w:rPr>
        <w:t>.</w:t>
      </w:r>
      <w:r w:rsidRPr="00AB23F8">
        <w:rPr>
          <w:rFonts w:ascii="Times New Roman" w:hAnsi="Times New Roman"/>
          <w:sz w:val="24"/>
          <w:szCs w:val="22"/>
        </w:rPr>
        <w:t xml:space="preserve"> </w:t>
      </w:r>
    </w:p>
    <w:p w14:paraId="70BD2B90" w14:textId="77777777" w:rsidR="005B3717" w:rsidRPr="00D6427D" w:rsidRDefault="005B3717" w:rsidP="00185CB6">
      <w:pPr>
        <w:pStyle w:val="FootnoteText"/>
        <w:spacing w:line="288" w:lineRule="auto"/>
        <w:ind w:left="1440" w:hanging="720"/>
        <w:rPr>
          <w:rFonts w:ascii="Times New Roman" w:hAnsi="Times New Roman"/>
          <w:sz w:val="24"/>
          <w:szCs w:val="22"/>
        </w:rPr>
      </w:pPr>
    </w:p>
    <w:p w14:paraId="243D1865" w14:textId="00C206B6" w:rsidR="005B3717" w:rsidRPr="00D6427D" w:rsidRDefault="005B3717" w:rsidP="00185CB6">
      <w:pPr>
        <w:pStyle w:val="FootnoteText"/>
        <w:numPr>
          <w:ilvl w:val="0"/>
          <w:numId w:val="7"/>
        </w:numPr>
        <w:spacing w:line="288" w:lineRule="auto"/>
        <w:ind w:left="1440" w:hanging="72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The p</w:t>
      </w:r>
      <w:r w:rsidRPr="00D6427D">
        <w:rPr>
          <w:rFonts w:ascii="Times New Roman" w:hAnsi="Times New Roman"/>
          <w:sz w:val="24"/>
          <w:szCs w:val="22"/>
        </w:rPr>
        <w:t>rudenc</w:t>
      </w:r>
      <w:r>
        <w:rPr>
          <w:rFonts w:ascii="Times New Roman" w:hAnsi="Times New Roman"/>
          <w:sz w:val="24"/>
          <w:szCs w:val="22"/>
        </w:rPr>
        <w:t>e</w:t>
      </w:r>
      <w:r w:rsidRPr="00D6427D"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of the deferred costs </w:t>
      </w:r>
      <w:r w:rsidRPr="00D6427D">
        <w:rPr>
          <w:rFonts w:ascii="Times New Roman" w:hAnsi="Times New Roman"/>
          <w:sz w:val="24"/>
          <w:szCs w:val="22"/>
        </w:rPr>
        <w:t xml:space="preserve">will be determined in </w:t>
      </w:r>
      <w:r>
        <w:rPr>
          <w:rFonts w:ascii="Times New Roman" w:hAnsi="Times New Roman"/>
          <w:sz w:val="24"/>
          <w:szCs w:val="22"/>
        </w:rPr>
        <w:t>a</w:t>
      </w:r>
      <w:r w:rsidRPr="00D6427D">
        <w:rPr>
          <w:rFonts w:ascii="Times New Roman" w:hAnsi="Times New Roman"/>
          <w:sz w:val="24"/>
          <w:szCs w:val="22"/>
        </w:rPr>
        <w:t xml:space="preserve"> future </w:t>
      </w:r>
      <w:r w:rsidR="00BF4832">
        <w:rPr>
          <w:rFonts w:ascii="Times New Roman" w:hAnsi="Times New Roman"/>
          <w:sz w:val="24"/>
          <w:szCs w:val="22"/>
        </w:rPr>
        <w:t xml:space="preserve">rate proceeding. </w:t>
      </w:r>
      <w:r>
        <w:rPr>
          <w:rFonts w:ascii="Times New Roman" w:hAnsi="Times New Roman"/>
          <w:sz w:val="24"/>
          <w:szCs w:val="22"/>
        </w:rPr>
        <w:t>D</w:t>
      </w:r>
      <w:r w:rsidRPr="00D6427D">
        <w:rPr>
          <w:rFonts w:ascii="Times New Roman" w:hAnsi="Times New Roman"/>
          <w:sz w:val="24"/>
          <w:szCs w:val="22"/>
        </w:rPr>
        <w:t>eferred costs shown to be imprudent or inappropriate will be subject to disallowance for rate recovery purposes.</w:t>
      </w:r>
    </w:p>
    <w:p w14:paraId="56DD8F84" w14:textId="77777777" w:rsidR="005B3717" w:rsidRPr="00D6427D" w:rsidRDefault="005B3717" w:rsidP="00185CB6">
      <w:pPr>
        <w:pStyle w:val="FootnoteText"/>
        <w:spacing w:line="288" w:lineRule="auto"/>
        <w:ind w:left="1440" w:hanging="720"/>
        <w:rPr>
          <w:rFonts w:ascii="Times New Roman" w:hAnsi="Times New Roman"/>
          <w:sz w:val="24"/>
          <w:szCs w:val="22"/>
        </w:rPr>
      </w:pPr>
    </w:p>
    <w:p w14:paraId="0CD796F8" w14:textId="231C11B7" w:rsidR="009815B0" w:rsidRDefault="005B3717" w:rsidP="009815B0">
      <w:pPr>
        <w:pStyle w:val="FootnoteText"/>
        <w:numPr>
          <w:ilvl w:val="0"/>
          <w:numId w:val="7"/>
        </w:numPr>
        <w:spacing w:line="288" w:lineRule="auto"/>
        <w:ind w:left="1440" w:hanging="72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The </w:t>
      </w:r>
      <w:r w:rsidRPr="00D6427D">
        <w:rPr>
          <w:rFonts w:ascii="Times New Roman" w:hAnsi="Times New Roman"/>
          <w:sz w:val="24"/>
          <w:szCs w:val="22"/>
        </w:rPr>
        <w:t>deferred costs</w:t>
      </w:r>
      <w:r w:rsidR="009F37EE">
        <w:rPr>
          <w:rFonts w:ascii="Times New Roman" w:hAnsi="Times New Roman"/>
          <w:sz w:val="24"/>
          <w:szCs w:val="22"/>
        </w:rPr>
        <w:t>,</w:t>
      </w:r>
      <w:r>
        <w:rPr>
          <w:rFonts w:ascii="Times New Roman" w:hAnsi="Times New Roman"/>
          <w:sz w:val="24"/>
          <w:szCs w:val="22"/>
        </w:rPr>
        <w:t xml:space="preserve"> </w:t>
      </w:r>
      <w:r w:rsidR="00E57807">
        <w:rPr>
          <w:rFonts w:ascii="Times New Roman" w:hAnsi="Times New Roman"/>
          <w:sz w:val="24"/>
          <w:szCs w:val="22"/>
        </w:rPr>
        <w:t>if</w:t>
      </w:r>
      <w:r w:rsidR="00E57807" w:rsidRPr="00D6427D"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>approved for recovery in a general rate case</w:t>
      </w:r>
      <w:r w:rsidR="009F37EE">
        <w:rPr>
          <w:rFonts w:ascii="Times New Roman" w:hAnsi="Times New Roman"/>
          <w:sz w:val="24"/>
          <w:szCs w:val="22"/>
        </w:rPr>
        <w:t>,</w:t>
      </w:r>
      <w:r>
        <w:rPr>
          <w:rFonts w:ascii="Times New Roman" w:hAnsi="Times New Roman"/>
          <w:sz w:val="24"/>
          <w:szCs w:val="22"/>
        </w:rPr>
        <w:t xml:space="preserve"> will </w:t>
      </w:r>
      <w:r w:rsidRPr="00D6427D">
        <w:rPr>
          <w:rFonts w:ascii="Times New Roman" w:hAnsi="Times New Roman"/>
          <w:sz w:val="24"/>
          <w:szCs w:val="22"/>
        </w:rPr>
        <w:t xml:space="preserve">be amortized over </w:t>
      </w:r>
      <w:r>
        <w:rPr>
          <w:rFonts w:ascii="Times New Roman" w:hAnsi="Times New Roman"/>
          <w:sz w:val="24"/>
          <w:szCs w:val="22"/>
        </w:rPr>
        <w:t xml:space="preserve">a period determined in that </w:t>
      </w:r>
      <w:r w:rsidR="00441633">
        <w:rPr>
          <w:rFonts w:ascii="Times New Roman" w:hAnsi="Times New Roman"/>
          <w:sz w:val="24"/>
          <w:szCs w:val="22"/>
        </w:rPr>
        <w:t>proceeding</w:t>
      </w:r>
      <w:r>
        <w:rPr>
          <w:rFonts w:ascii="Times New Roman" w:hAnsi="Times New Roman"/>
          <w:sz w:val="24"/>
          <w:szCs w:val="22"/>
        </w:rPr>
        <w:t xml:space="preserve">.  </w:t>
      </w:r>
    </w:p>
    <w:p w14:paraId="45C75DAB" w14:textId="77777777" w:rsidR="009815B0" w:rsidRPr="009815B0" w:rsidRDefault="009815B0" w:rsidP="009815B0">
      <w:pPr>
        <w:pStyle w:val="FootnoteText"/>
        <w:spacing w:line="288" w:lineRule="auto"/>
        <w:ind w:left="1440"/>
        <w:rPr>
          <w:rFonts w:ascii="Times New Roman" w:hAnsi="Times New Roman"/>
          <w:sz w:val="24"/>
          <w:szCs w:val="22"/>
        </w:rPr>
      </w:pPr>
    </w:p>
    <w:p w14:paraId="0C613E18" w14:textId="574F2CCE" w:rsidR="005B3717" w:rsidRPr="00D6427D" w:rsidRDefault="00BF4832" w:rsidP="00185CB6">
      <w:pPr>
        <w:pStyle w:val="FootnoteText"/>
        <w:numPr>
          <w:ilvl w:val="0"/>
          <w:numId w:val="7"/>
        </w:numPr>
        <w:spacing w:line="288" w:lineRule="auto"/>
        <w:ind w:left="1440" w:hanging="720"/>
        <w:rPr>
          <w:rFonts w:ascii="Times New Roman" w:hAnsi="Times New Roman"/>
          <w:sz w:val="24"/>
          <w:szCs w:val="22"/>
        </w:rPr>
      </w:pPr>
      <w:r w:rsidRPr="00BF4832">
        <w:rPr>
          <w:rFonts w:ascii="Times New Roman" w:hAnsi="Times New Roman"/>
          <w:sz w:val="24"/>
          <w:szCs w:val="24"/>
        </w:rPr>
        <w:t>Cascade Natural Gas Corporation</w:t>
      </w:r>
      <w:r w:rsidR="005B3717" w:rsidRPr="00D6427D">
        <w:rPr>
          <w:rFonts w:ascii="Times New Roman" w:hAnsi="Times New Roman"/>
          <w:sz w:val="24"/>
          <w:szCs w:val="22"/>
        </w:rPr>
        <w:t xml:space="preserve"> will not accrue interest </w:t>
      </w:r>
      <w:r w:rsidR="005B3717">
        <w:rPr>
          <w:rFonts w:ascii="Times New Roman" w:hAnsi="Times New Roman"/>
          <w:sz w:val="24"/>
          <w:szCs w:val="22"/>
        </w:rPr>
        <w:t>on</w:t>
      </w:r>
      <w:r w:rsidR="005B3717" w:rsidRPr="00D6427D">
        <w:rPr>
          <w:rFonts w:ascii="Times New Roman" w:hAnsi="Times New Roman"/>
          <w:sz w:val="24"/>
          <w:szCs w:val="22"/>
        </w:rPr>
        <w:t xml:space="preserve"> the </w:t>
      </w:r>
      <w:r w:rsidR="00441633">
        <w:rPr>
          <w:rFonts w:ascii="Times New Roman" w:hAnsi="Times New Roman"/>
          <w:sz w:val="24"/>
          <w:szCs w:val="22"/>
        </w:rPr>
        <w:t>MAOP</w:t>
      </w:r>
      <w:r w:rsidR="00CF4B0C">
        <w:rPr>
          <w:rFonts w:ascii="Times New Roman" w:hAnsi="Times New Roman"/>
          <w:sz w:val="24"/>
          <w:szCs w:val="22"/>
        </w:rPr>
        <w:t xml:space="preserve"> </w:t>
      </w:r>
      <w:r w:rsidR="00441633">
        <w:rPr>
          <w:rFonts w:ascii="Times New Roman" w:hAnsi="Times New Roman"/>
          <w:sz w:val="24"/>
          <w:szCs w:val="22"/>
        </w:rPr>
        <w:t xml:space="preserve">Plan deferred </w:t>
      </w:r>
      <w:r w:rsidR="00CF4B0C">
        <w:rPr>
          <w:rFonts w:ascii="Times New Roman" w:hAnsi="Times New Roman"/>
          <w:sz w:val="24"/>
          <w:szCs w:val="22"/>
        </w:rPr>
        <w:t>costs</w:t>
      </w:r>
      <w:r>
        <w:rPr>
          <w:rFonts w:ascii="Times New Roman" w:hAnsi="Times New Roman"/>
          <w:sz w:val="24"/>
          <w:szCs w:val="22"/>
        </w:rPr>
        <w:t xml:space="preserve">. </w:t>
      </w:r>
    </w:p>
    <w:p w14:paraId="0997D173" w14:textId="77777777" w:rsidR="005B3717" w:rsidRDefault="005B3717" w:rsidP="004E7FDA">
      <w:pPr>
        <w:pStyle w:val="FootnoteText"/>
        <w:spacing w:line="288" w:lineRule="auto"/>
        <w:rPr>
          <w:highlight w:val="yellow"/>
        </w:rPr>
      </w:pPr>
    </w:p>
    <w:p w14:paraId="72C55D39" w14:textId="70C85A91" w:rsidR="005B3717" w:rsidRDefault="005B3717">
      <w:pPr>
        <w:numPr>
          <w:ilvl w:val="0"/>
          <w:numId w:val="1"/>
        </w:numPr>
        <w:spacing w:line="288" w:lineRule="auto"/>
        <w:ind w:left="720" w:hanging="1440"/>
      </w:pPr>
      <w:r>
        <w:t>(</w:t>
      </w:r>
      <w:r w:rsidR="0075503A">
        <w:t>2</w:t>
      </w:r>
      <w:r>
        <w:t>)</w:t>
      </w:r>
      <w:r>
        <w:tab/>
        <w:t>This Order shall not</w:t>
      </w:r>
      <w:r w:rsidRPr="00C923D6">
        <w:t xml:space="preserve"> affect the </w:t>
      </w:r>
      <w:r>
        <w:t xml:space="preserve">Commission’s </w:t>
      </w:r>
      <w:r w:rsidRPr="00C923D6">
        <w:t>authority over rates, services, accounts, valuations, estima</w:t>
      </w:r>
      <w:r>
        <w:t xml:space="preserve">tes, or determination of costs, on any matters </w:t>
      </w:r>
      <w:r w:rsidRPr="00C923D6">
        <w:t>that may come before it</w:t>
      </w:r>
      <w:r w:rsidR="00BF4832">
        <w:t xml:space="preserve">. </w:t>
      </w:r>
      <w:r>
        <w:t xml:space="preserve">Nor shall this Order granting Petition </w:t>
      </w:r>
      <w:r w:rsidRPr="00C923D6">
        <w:t xml:space="preserve">be construed </w:t>
      </w:r>
      <w:r>
        <w:t>as an agreement to</w:t>
      </w:r>
      <w:r w:rsidRPr="00C923D6">
        <w:t xml:space="preserve"> any estimate or determination of costs</w:t>
      </w:r>
      <w:r>
        <w:t>, or any valuation of property</w:t>
      </w:r>
      <w:r w:rsidRPr="00C923D6">
        <w:t xml:space="preserve"> claimed or asserted.</w:t>
      </w:r>
    </w:p>
    <w:p w14:paraId="1896448D" w14:textId="77777777" w:rsidR="005B3717" w:rsidRDefault="005B3717" w:rsidP="00491C72">
      <w:pPr>
        <w:spacing w:line="288" w:lineRule="auto"/>
      </w:pPr>
    </w:p>
    <w:p w14:paraId="3C3905F7" w14:textId="22A7C9C7" w:rsidR="00BA5D57" w:rsidRDefault="0075503A" w:rsidP="00BF4832">
      <w:pPr>
        <w:numPr>
          <w:ilvl w:val="0"/>
          <w:numId w:val="1"/>
        </w:numPr>
        <w:spacing w:line="288" w:lineRule="auto"/>
        <w:ind w:left="720" w:hanging="1440"/>
      </w:pPr>
      <w:r>
        <w:t>(3</w:t>
      </w:r>
      <w:r w:rsidR="005B3717" w:rsidRPr="00C923D6">
        <w:t>)</w:t>
      </w:r>
      <w:r w:rsidR="005B3717" w:rsidRPr="00C923D6">
        <w:tab/>
        <w:t xml:space="preserve">The Commission retains jurisdiction over the subject matter and </w:t>
      </w:r>
      <w:r w:rsidR="005B3717">
        <w:t>Cascade</w:t>
      </w:r>
      <w:r w:rsidR="009C3D93">
        <w:t xml:space="preserve"> Natural Gas Corporation</w:t>
      </w:r>
      <w:r w:rsidR="005B3717" w:rsidRPr="00C923D6">
        <w:rPr>
          <w:b/>
          <w:bCs/>
        </w:rPr>
        <w:t xml:space="preserve"> </w:t>
      </w:r>
      <w:r w:rsidR="005B3717" w:rsidRPr="00C923D6">
        <w:t>to effectuate the provisions of this Order.</w:t>
      </w:r>
    </w:p>
    <w:p w14:paraId="4D94DF78" w14:textId="77777777" w:rsidR="00BA5D57" w:rsidRDefault="00BA5D57">
      <w:pPr>
        <w:spacing w:line="288" w:lineRule="auto"/>
      </w:pPr>
    </w:p>
    <w:p w14:paraId="1026815E" w14:textId="77777777" w:rsidR="00AB23F8" w:rsidRDefault="00AB23F8" w:rsidP="00AB23F8">
      <w:r>
        <w:t xml:space="preserve">DATED at Olympia, Washington, and effective </w:t>
      </w:r>
      <w:r>
        <w:rPr>
          <w:bCs/>
        </w:rPr>
        <w:t>November 10, 2016</w:t>
      </w:r>
      <w:r>
        <w:t>.</w:t>
      </w:r>
    </w:p>
    <w:p w14:paraId="303DB8C2" w14:textId="77777777" w:rsidR="00AB23F8" w:rsidRDefault="00AB23F8" w:rsidP="00AB23F8">
      <w:pPr>
        <w:spacing w:line="320" w:lineRule="exact"/>
      </w:pPr>
    </w:p>
    <w:p w14:paraId="4AE5BA80" w14:textId="77777777" w:rsidR="00AB23F8" w:rsidRDefault="00AB23F8" w:rsidP="00AB23F8">
      <w:pPr>
        <w:spacing w:line="320" w:lineRule="exact"/>
        <w:jc w:val="center"/>
      </w:pPr>
      <w:r>
        <w:t>WASHINGTON UTILITIES AND TRANSPORTATION COMMISSION</w:t>
      </w:r>
    </w:p>
    <w:p w14:paraId="6A309A09" w14:textId="77777777" w:rsidR="00AB23F8" w:rsidRDefault="00AB23F8" w:rsidP="00AB23F8">
      <w:pPr>
        <w:spacing w:line="320" w:lineRule="exact"/>
      </w:pPr>
    </w:p>
    <w:p w14:paraId="65924DCB" w14:textId="77777777" w:rsidR="00AB23F8" w:rsidRDefault="00AB23F8" w:rsidP="00AB23F8">
      <w:pPr>
        <w:spacing w:line="320" w:lineRule="exact"/>
      </w:pPr>
    </w:p>
    <w:p w14:paraId="38BF4E9F" w14:textId="77777777" w:rsidR="00AB23F8" w:rsidRDefault="00AB23F8" w:rsidP="00AB23F8">
      <w:pPr>
        <w:spacing w:line="320" w:lineRule="exact"/>
      </w:pPr>
    </w:p>
    <w:p w14:paraId="1E37F67E" w14:textId="77777777" w:rsidR="00AB23F8" w:rsidRDefault="00AB23F8" w:rsidP="00AB23F8">
      <w:pPr>
        <w:spacing w:line="320" w:lineRule="exact"/>
      </w:pPr>
      <w:r>
        <w:rPr>
          <w:i/>
        </w:rPr>
        <w:tab/>
      </w:r>
      <w:r>
        <w:rPr>
          <w:i/>
        </w:rPr>
        <w:tab/>
      </w:r>
    </w:p>
    <w:p w14:paraId="63F7F33F" w14:textId="77777777" w:rsidR="00AB23F8" w:rsidRDefault="00AB23F8" w:rsidP="00AB23F8">
      <w:pPr>
        <w:spacing w:line="320" w:lineRule="exact"/>
      </w:pPr>
      <w:r>
        <w:tab/>
      </w:r>
      <w:r>
        <w:tab/>
      </w:r>
      <w:r>
        <w:tab/>
      </w:r>
      <w:r>
        <w:tab/>
        <w:t>DAVID W. DANNER, Chairman</w:t>
      </w:r>
    </w:p>
    <w:p w14:paraId="3A3BAFEC" w14:textId="77777777" w:rsidR="00AB23F8" w:rsidRDefault="00AB23F8" w:rsidP="00AB23F8">
      <w:pPr>
        <w:spacing w:line="320" w:lineRule="exact"/>
      </w:pPr>
    </w:p>
    <w:p w14:paraId="1ED8CA20" w14:textId="77777777" w:rsidR="00AB23F8" w:rsidRDefault="00AB23F8" w:rsidP="00AB23F8">
      <w:pPr>
        <w:spacing w:line="320" w:lineRule="exact"/>
      </w:pPr>
    </w:p>
    <w:p w14:paraId="7DCEFBD9" w14:textId="77777777" w:rsidR="00AB23F8" w:rsidRDefault="00AB23F8" w:rsidP="00AB23F8">
      <w:pPr>
        <w:spacing w:line="320" w:lineRule="exact"/>
      </w:pPr>
    </w:p>
    <w:p w14:paraId="08A0A5F4" w14:textId="77777777" w:rsidR="00AB23F8" w:rsidRDefault="00AB23F8" w:rsidP="00AB23F8">
      <w:pPr>
        <w:spacing w:line="320" w:lineRule="exact"/>
      </w:pPr>
      <w:r>
        <w:tab/>
      </w:r>
      <w:r>
        <w:tab/>
      </w:r>
      <w:r>
        <w:tab/>
      </w:r>
      <w:r>
        <w:tab/>
        <w:t>PHILIP B. JONES, Commissioner</w:t>
      </w:r>
    </w:p>
    <w:p w14:paraId="160B2755" w14:textId="77777777" w:rsidR="00AB23F8" w:rsidRDefault="00AB23F8" w:rsidP="00AB23F8">
      <w:pPr>
        <w:spacing w:line="320" w:lineRule="exact"/>
      </w:pPr>
    </w:p>
    <w:p w14:paraId="44F0A95E" w14:textId="77777777" w:rsidR="00AB23F8" w:rsidRDefault="00AB23F8" w:rsidP="00AB23F8">
      <w:pPr>
        <w:spacing w:line="320" w:lineRule="exact"/>
        <w:ind w:left="2160" w:firstLine="720"/>
      </w:pPr>
    </w:p>
    <w:p w14:paraId="5F9E4B8B" w14:textId="77777777" w:rsidR="00AB23F8" w:rsidRDefault="00AB23F8" w:rsidP="00AB23F8">
      <w:pPr>
        <w:spacing w:line="320" w:lineRule="exact"/>
        <w:ind w:left="2160" w:firstLine="720"/>
      </w:pPr>
    </w:p>
    <w:p w14:paraId="56C50FE0" w14:textId="77777777" w:rsidR="00AB23F8" w:rsidRDefault="00AB23F8" w:rsidP="00AB23F8">
      <w:pPr>
        <w:spacing w:line="320" w:lineRule="exact"/>
        <w:ind w:left="2160" w:firstLine="720"/>
      </w:pPr>
      <w:r>
        <w:t>ANN E. RENDAHL, Commissioner</w:t>
      </w:r>
    </w:p>
    <w:p w14:paraId="60FEF24B" w14:textId="77777777" w:rsidR="00AB23F8" w:rsidRDefault="00AB23F8" w:rsidP="00AB23F8">
      <w:pPr>
        <w:sectPr w:rsidR="00AB23F8" w:rsidSect="00271DBE">
          <w:headerReference w:type="default" r:id="rId13"/>
          <w:type w:val="continuous"/>
          <w:pgSz w:w="12240" w:h="15840"/>
          <w:pgMar w:top="1440" w:right="1440" w:bottom="1440" w:left="2160" w:header="1008" w:footer="720" w:gutter="0"/>
          <w:cols w:space="720"/>
          <w:titlePg/>
          <w:docGrid w:linePitch="326"/>
        </w:sectPr>
      </w:pPr>
    </w:p>
    <w:p w14:paraId="2FA212FF" w14:textId="77777777" w:rsidR="00AB23F8" w:rsidRDefault="00AB23F8" w:rsidP="00AB23F8">
      <w:pPr>
        <w:spacing w:line="320" w:lineRule="exact"/>
      </w:pPr>
    </w:p>
    <w:sectPr w:rsidR="00AB23F8" w:rsidSect="00940E71">
      <w:headerReference w:type="default" r:id="rId14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36232" w14:textId="77777777" w:rsidR="00650EA3" w:rsidRDefault="00650EA3">
      <w:r>
        <w:separator/>
      </w:r>
    </w:p>
  </w:endnote>
  <w:endnote w:type="continuationSeparator" w:id="0">
    <w:p w14:paraId="48A6EC53" w14:textId="77777777" w:rsidR="00650EA3" w:rsidRDefault="0065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90DDA" w14:textId="77777777" w:rsidR="00650EA3" w:rsidRDefault="00650EA3">
      <w:r>
        <w:separator/>
      </w:r>
    </w:p>
  </w:footnote>
  <w:footnote w:type="continuationSeparator" w:id="0">
    <w:p w14:paraId="3F0B6051" w14:textId="77777777" w:rsidR="00650EA3" w:rsidRDefault="00650EA3">
      <w:r>
        <w:continuationSeparator/>
      </w:r>
    </w:p>
  </w:footnote>
  <w:footnote w:id="1">
    <w:p w14:paraId="0DD985D3" w14:textId="7E05EE27" w:rsidR="003B563D" w:rsidRPr="00463B67" w:rsidRDefault="003B563D">
      <w:pPr>
        <w:pStyle w:val="FootnoteText"/>
        <w:rPr>
          <w:rFonts w:ascii="Times New Roman" w:hAnsi="Times New Roman"/>
          <w:sz w:val="22"/>
          <w:szCs w:val="22"/>
        </w:rPr>
      </w:pPr>
      <w:r w:rsidRPr="00463B67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463B67">
        <w:rPr>
          <w:rFonts w:ascii="Times New Roman" w:hAnsi="Times New Roman"/>
          <w:sz w:val="22"/>
          <w:szCs w:val="22"/>
        </w:rPr>
        <w:t xml:space="preserve"> </w:t>
      </w:r>
      <w:r w:rsidR="00626AEE">
        <w:rPr>
          <w:rFonts w:ascii="Times New Roman" w:hAnsi="Times New Roman"/>
          <w:i/>
          <w:sz w:val="22"/>
          <w:szCs w:val="22"/>
        </w:rPr>
        <w:t xml:space="preserve">See </w:t>
      </w:r>
      <w:r w:rsidRPr="00626AEE">
        <w:rPr>
          <w:rFonts w:ascii="Times New Roman" w:hAnsi="Times New Roman"/>
          <w:sz w:val="22"/>
          <w:szCs w:val="22"/>
        </w:rPr>
        <w:t>Order 01 Accepting Agreement and Closing Docket (February 12, 2015).</w:t>
      </w:r>
      <w:r w:rsidR="00463B67">
        <w:rPr>
          <w:rFonts w:ascii="Times New Roman" w:hAnsi="Times New Roman"/>
          <w:sz w:val="22"/>
          <w:szCs w:val="22"/>
        </w:rPr>
        <w:br/>
      </w:r>
    </w:p>
  </w:footnote>
  <w:footnote w:id="2">
    <w:p w14:paraId="6585788D" w14:textId="5C1935CC" w:rsidR="00463B67" w:rsidRDefault="00463B67" w:rsidP="00463B67">
      <w:pPr>
        <w:spacing w:after="240"/>
      </w:pPr>
      <w:r w:rsidRPr="00463B67">
        <w:rPr>
          <w:rStyle w:val="FootnoteReference"/>
          <w:sz w:val="22"/>
          <w:szCs w:val="22"/>
        </w:rPr>
        <w:footnoteRef/>
      </w:r>
      <w:r w:rsidRPr="00463B67">
        <w:rPr>
          <w:sz w:val="22"/>
          <w:szCs w:val="22"/>
        </w:rPr>
        <w:t xml:space="preserve"> In Order 01 in Docket PG-160293 the Commission approved in part and rejected in part Cascade’s 2015 Pipe Replacement Program. The Commission reject</w:t>
      </w:r>
      <w:r>
        <w:rPr>
          <w:sz w:val="22"/>
          <w:szCs w:val="22"/>
        </w:rPr>
        <w:t>ed</w:t>
      </w:r>
      <w:r w:rsidRPr="00463B67">
        <w:rPr>
          <w:sz w:val="22"/>
          <w:szCs w:val="22"/>
        </w:rPr>
        <w:t xml:space="preserve"> the portion of Cascade’s Plan that addresse</w:t>
      </w:r>
      <w:r w:rsidR="00EB2499">
        <w:rPr>
          <w:sz w:val="22"/>
          <w:szCs w:val="22"/>
        </w:rPr>
        <w:t>d</w:t>
      </w:r>
      <w:r w:rsidRPr="00463B67">
        <w:rPr>
          <w:sz w:val="22"/>
          <w:szCs w:val="22"/>
        </w:rPr>
        <w:t xml:space="preserve"> the sections of pipeline that fail to comply with the requirements of 49 CFR 192.619 due to </w:t>
      </w:r>
      <w:r w:rsidR="00EB2499">
        <w:rPr>
          <w:sz w:val="22"/>
          <w:szCs w:val="22"/>
        </w:rPr>
        <w:t>insufficient MAOP documentation, but found that its 2015 Two-Year Plan was otherwise consistent with the Commission’s Policy Statement on Accelerated Replacement of Pipeline Facilities with Elevated Risk in Docket UG-120715.</w:t>
      </w:r>
    </w:p>
    <w:p w14:paraId="20145D4D" w14:textId="3211876F" w:rsidR="00463B67" w:rsidRDefault="00463B6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54586" w14:textId="606C9E5E" w:rsidR="00F17E8F" w:rsidRPr="00C2789B" w:rsidRDefault="00C2789B">
    <w:pPr>
      <w:pStyle w:val="Header"/>
      <w:rPr>
        <w:b/>
        <w:noProof/>
        <w:sz w:val="20"/>
        <w:szCs w:val="20"/>
      </w:rPr>
    </w:pPr>
    <w:r w:rsidRPr="00C2789B">
      <w:rPr>
        <w:b/>
        <w:sz w:val="20"/>
        <w:szCs w:val="20"/>
      </w:rPr>
      <w:t>DOCKET UG-160787</w:t>
    </w:r>
    <w:r w:rsidRPr="00C2789B">
      <w:rPr>
        <w:b/>
        <w:sz w:val="20"/>
        <w:szCs w:val="20"/>
      </w:rPr>
      <w:tab/>
    </w:r>
    <w:r w:rsidRPr="00C2789B">
      <w:rPr>
        <w:b/>
        <w:sz w:val="20"/>
        <w:szCs w:val="20"/>
      </w:rPr>
      <w:tab/>
      <w:t xml:space="preserve">PAGE </w:t>
    </w:r>
    <w:r w:rsidRPr="00C2789B">
      <w:rPr>
        <w:b/>
        <w:sz w:val="20"/>
        <w:szCs w:val="20"/>
      </w:rPr>
      <w:fldChar w:fldCharType="begin"/>
    </w:r>
    <w:r w:rsidRPr="00C2789B">
      <w:rPr>
        <w:b/>
        <w:sz w:val="20"/>
        <w:szCs w:val="20"/>
      </w:rPr>
      <w:instrText xml:space="preserve"> PAGE   \* MERGEFORMAT </w:instrText>
    </w:r>
    <w:r w:rsidRPr="00C2789B">
      <w:rPr>
        <w:b/>
        <w:sz w:val="20"/>
        <w:szCs w:val="20"/>
      </w:rPr>
      <w:fldChar w:fldCharType="separate"/>
    </w:r>
    <w:r w:rsidR="007F2A72">
      <w:rPr>
        <w:b/>
        <w:noProof/>
        <w:sz w:val="20"/>
        <w:szCs w:val="20"/>
      </w:rPr>
      <w:t>2</w:t>
    </w:r>
    <w:r w:rsidRPr="00C2789B">
      <w:rPr>
        <w:b/>
        <w:noProof/>
        <w:sz w:val="20"/>
        <w:szCs w:val="20"/>
      </w:rPr>
      <w:fldChar w:fldCharType="end"/>
    </w:r>
  </w:p>
  <w:p w14:paraId="7E34B3D6" w14:textId="420471F0" w:rsidR="00C2789B" w:rsidRDefault="00C2789B">
    <w:pPr>
      <w:pStyle w:val="Header"/>
      <w:rPr>
        <w:b/>
        <w:sz w:val="20"/>
        <w:szCs w:val="20"/>
      </w:rPr>
    </w:pPr>
    <w:r w:rsidRPr="00C2789B">
      <w:rPr>
        <w:b/>
        <w:sz w:val="20"/>
        <w:szCs w:val="20"/>
      </w:rPr>
      <w:t>ORDER 01</w:t>
    </w:r>
  </w:p>
  <w:p w14:paraId="7C2B4279" w14:textId="77777777" w:rsidR="00C2789B" w:rsidRDefault="00C2789B">
    <w:pPr>
      <w:pStyle w:val="Header"/>
      <w:rPr>
        <w:b/>
        <w:sz w:val="20"/>
        <w:szCs w:val="20"/>
      </w:rPr>
    </w:pPr>
  </w:p>
  <w:p w14:paraId="22A22321" w14:textId="77777777" w:rsidR="00C2789B" w:rsidRPr="00C2789B" w:rsidRDefault="00C2789B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06820" w14:textId="77777777" w:rsidR="005B3717" w:rsidRPr="00A748CC" w:rsidRDefault="005B3717" w:rsidP="00D842FB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9C105B">
      <w:rPr>
        <w:b/>
        <w:sz w:val="20"/>
      </w:rPr>
      <w:t>UG-</w:t>
    </w:r>
    <w:r w:rsidR="00873370">
      <w:rPr>
        <w:b/>
        <w:sz w:val="20"/>
      </w:rPr>
      <w:t>160787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AB23F8">
      <w:rPr>
        <w:rStyle w:val="PageNumber"/>
        <w:b/>
        <w:noProof/>
        <w:sz w:val="20"/>
      </w:rPr>
      <w:t>5</w:t>
    </w:r>
    <w:r w:rsidRPr="00A748CC">
      <w:rPr>
        <w:rStyle w:val="PageNumber"/>
        <w:b/>
        <w:sz w:val="20"/>
      </w:rPr>
      <w:fldChar w:fldCharType="end"/>
    </w:r>
  </w:p>
  <w:p w14:paraId="1E4774E2" w14:textId="77777777" w:rsidR="005B3717" w:rsidRPr="009C105B" w:rsidRDefault="005B3717" w:rsidP="00D842FB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rStyle w:val="PageNumber"/>
        <w:b/>
        <w:sz w:val="20"/>
      </w:rPr>
      <w:t xml:space="preserve">ORDER </w:t>
    </w:r>
    <w:r w:rsidRPr="009C105B">
      <w:rPr>
        <w:rStyle w:val="PageNumber"/>
        <w:b/>
        <w:sz w:val="20"/>
      </w:rPr>
      <w:t>01</w:t>
    </w:r>
  </w:p>
  <w:p w14:paraId="365BD31A" w14:textId="77777777" w:rsidR="005B3717" w:rsidRPr="00C923D6" w:rsidRDefault="005B3717">
    <w:pPr>
      <w:pStyle w:val="Header"/>
      <w:rPr>
        <w:rStyle w:val="PageNumber"/>
        <w:sz w:val="20"/>
      </w:rPr>
    </w:pPr>
  </w:p>
  <w:p w14:paraId="7BBE4D7B" w14:textId="77777777" w:rsidR="005B3717" w:rsidRPr="00C923D6" w:rsidRDefault="005B3717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C3C26"/>
    <w:multiLevelType w:val="hybridMultilevel"/>
    <w:tmpl w:val="0CD0C2C0"/>
    <w:lvl w:ilvl="0" w:tplc="3FC8479C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502E9C"/>
    <w:multiLevelType w:val="hybridMultilevel"/>
    <w:tmpl w:val="AD74CB60"/>
    <w:lvl w:ilvl="0" w:tplc="65ACE1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F361CF9"/>
    <w:multiLevelType w:val="hybridMultilevel"/>
    <w:tmpl w:val="954E6EEE"/>
    <w:lvl w:ilvl="0" w:tplc="5194F5D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0AD6978"/>
    <w:multiLevelType w:val="hybridMultilevel"/>
    <w:tmpl w:val="68249BA4"/>
    <w:lvl w:ilvl="0" w:tplc="B09493E0">
      <w:start w:val="1"/>
      <w:numFmt w:val="decimal"/>
      <w:lvlText w:val="%1"/>
      <w:lvlJc w:val="right"/>
      <w:pPr>
        <w:tabs>
          <w:tab w:val="num" w:pos="0"/>
        </w:tabs>
        <w:ind w:hanging="720"/>
      </w:pPr>
      <w:rPr>
        <w:rFonts w:cs="Times New Roman" w:hint="default"/>
        <w:b w:val="0"/>
        <w:i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8287AC">
      <w:start w:val="1"/>
      <w:numFmt w:val="lowerLetter"/>
      <w:lvlText w:val="(%3)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E2E120D"/>
    <w:multiLevelType w:val="hybridMultilevel"/>
    <w:tmpl w:val="E04A2B02"/>
    <w:lvl w:ilvl="0" w:tplc="DC3A290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FF2123A"/>
    <w:multiLevelType w:val="hybridMultilevel"/>
    <w:tmpl w:val="F47CD4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39E7708"/>
    <w:multiLevelType w:val="hybridMultilevel"/>
    <w:tmpl w:val="6CD80A7C"/>
    <w:lvl w:ilvl="0" w:tplc="AC70D5B2">
      <w:start w:val="1"/>
      <w:numFmt w:val="decimal"/>
      <w:lvlText w:val="%1"/>
      <w:lvlJc w:val="left"/>
      <w:pPr>
        <w:tabs>
          <w:tab w:val="num" w:pos="0"/>
        </w:tabs>
        <w:ind w:hanging="720"/>
      </w:pPr>
      <w:rPr>
        <w:rFonts w:cs="Times New Roman" w:hint="default"/>
        <w:b w:val="0"/>
        <w:i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B600903"/>
    <w:multiLevelType w:val="hybridMultilevel"/>
    <w:tmpl w:val="E04A2B02"/>
    <w:lvl w:ilvl="0" w:tplc="DC3A290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CD168FF"/>
    <w:multiLevelType w:val="hybridMultilevel"/>
    <w:tmpl w:val="5FA82692"/>
    <w:lvl w:ilvl="0" w:tplc="284C670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D5"/>
    <w:rsid w:val="00003E74"/>
    <w:rsid w:val="00012BC8"/>
    <w:rsid w:val="00020192"/>
    <w:rsid w:val="00045705"/>
    <w:rsid w:val="00057BB3"/>
    <w:rsid w:val="00066DFE"/>
    <w:rsid w:val="00070FFD"/>
    <w:rsid w:val="0008255B"/>
    <w:rsid w:val="000A1236"/>
    <w:rsid w:val="000A1C16"/>
    <w:rsid w:val="000B2415"/>
    <w:rsid w:val="000B32AF"/>
    <w:rsid w:val="000B430E"/>
    <w:rsid w:val="000C0449"/>
    <w:rsid w:val="000C71C5"/>
    <w:rsid w:val="000E7EA5"/>
    <w:rsid w:val="00103788"/>
    <w:rsid w:val="001223E6"/>
    <w:rsid w:val="001225BE"/>
    <w:rsid w:val="00137B5D"/>
    <w:rsid w:val="001437E9"/>
    <w:rsid w:val="00156783"/>
    <w:rsid w:val="00173C66"/>
    <w:rsid w:val="00185CB6"/>
    <w:rsid w:val="00191FEF"/>
    <w:rsid w:val="001A01C0"/>
    <w:rsid w:val="001A2CF4"/>
    <w:rsid w:val="001A7992"/>
    <w:rsid w:val="001B43E5"/>
    <w:rsid w:val="001B5182"/>
    <w:rsid w:val="001E13D7"/>
    <w:rsid w:val="001E31D2"/>
    <w:rsid w:val="001F3B92"/>
    <w:rsid w:val="00210528"/>
    <w:rsid w:val="0021323F"/>
    <w:rsid w:val="002166CD"/>
    <w:rsid w:val="00217507"/>
    <w:rsid w:val="00243B5E"/>
    <w:rsid w:val="00267B11"/>
    <w:rsid w:val="00271DBE"/>
    <w:rsid w:val="0028256F"/>
    <w:rsid w:val="002A288F"/>
    <w:rsid w:val="002A391C"/>
    <w:rsid w:val="002B56D5"/>
    <w:rsid w:val="002B5A61"/>
    <w:rsid w:val="002C3D26"/>
    <w:rsid w:val="002E4A41"/>
    <w:rsid w:val="00304BB0"/>
    <w:rsid w:val="00305947"/>
    <w:rsid w:val="003100B2"/>
    <w:rsid w:val="00312C58"/>
    <w:rsid w:val="00315614"/>
    <w:rsid w:val="00327488"/>
    <w:rsid w:val="00334D8E"/>
    <w:rsid w:val="00344B83"/>
    <w:rsid w:val="00345608"/>
    <w:rsid w:val="0036040D"/>
    <w:rsid w:val="00362EBC"/>
    <w:rsid w:val="00365F84"/>
    <w:rsid w:val="00367378"/>
    <w:rsid w:val="00372559"/>
    <w:rsid w:val="003729E2"/>
    <w:rsid w:val="003919D4"/>
    <w:rsid w:val="0039735B"/>
    <w:rsid w:val="003A14ED"/>
    <w:rsid w:val="003A46B5"/>
    <w:rsid w:val="003A6813"/>
    <w:rsid w:val="003B563D"/>
    <w:rsid w:val="003B7273"/>
    <w:rsid w:val="003C2211"/>
    <w:rsid w:val="003C2270"/>
    <w:rsid w:val="003C6899"/>
    <w:rsid w:val="003D7BC1"/>
    <w:rsid w:val="003D7F79"/>
    <w:rsid w:val="003E0B3C"/>
    <w:rsid w:val="003F01AF"/>
    <w:rsid w:val="003F142E"/>
    <w:rsid w:val="00404B11"/>
    <w:rsid w:val="0041054A"/>
    <w:rsid w:val="0043185D"/>
    <w:rsid w:val="00433995"/>
    <w:rsid w:val="00435481"/>
    <w:rsid w:val="004372D1"/>
    <w:rsid w:val="004376D1"/>
    <w:rsid w:val="0044119F"/>
    <w:rsid w:val="00441633"/>
    <w:rsid w:val="00446310"/>
    <w:rsid w:val="00447337"/>
    <w:rsid w:val="00452AAF"/>
    <w:rsid w:val="00461F86"/>
    <w:rsid w:val="00463663"/>
    <w:rsid w:val="00463B67"/>
    <w:rsid w:val="004814D3"/>
    <w:rsid w:val="00491C72"/>
    <w:rsid w:val="00492F8B"/>
    <w:rsid w:val="004E41FF"/>
    <w:rsid w:val="004E7207"/>
    <w:rsid w:val="004E7FDA"/>
    <w:rsid w:val="00512EC6"/>
    <w:rsid w:val="00513431"/>
    <w:rsid w:val="00525321"/>
    <w:rsid w:val="00531277"/>
    <w:rsid w:val="005338F3"/>
    <w:rsid w:val="00537A6E"/>
    <w:rsid w:val="0054038C"/>
    <w:rsid w:val="0054627C"/>
    <w:rsid w:val="005579E7"/>
    <w:rsid w:val="00560A2A"/>
    <w:rsid w:val="005657D0"/>
    <w:rsid w:val="00571C91"/>
    <w:rsid w:val="00575F08"/>
    <w:rsid w:val="00586475"/>
    <w:rsid w:val="00594357"/>
    <w:rsid w:val="00594EAA"/>
    <w:rsid w:val="005967AF"/>
    <w:rsid w:val="005A0FF8"/>
    <w:rsid w:val="005A1E76"/>
    <w:rsid w:val="005B3717"/>
    <w:rsid w:val="005B6282"/>
    <w:rsid w:val="006238B1"/>
    <w:rsid w:val="006262B3"/>
    <w:rsid w:val="00626AEE"/>
    <w:rsid w:val="00632788"/>
    <w:rsid w:val="00645FDB"/>
    <w:rsid w:val="00650EA3"/>
    <w:rsid w:val="006516BA"/>
    <w:rsid w:val="006566D7"/>
    <w:rsid w:val="00662C2D"/>
    <w:rsid w:val="00670D37"/>
    <w:rsid w:val="00680D4D"/>
    <w:rsid w:val="006A56F9"/>
    <w:rsid w:val="006B669F"/>
    <w:rsid w:val="006C265D"/>
    <w:rsid w:val="006C392F"/>
    <w:rsid w:val="006C4048"/>
    <w:rsid w:val="006C55B6"/>
    <w:rsid w:val="006D37F3"/>
    <w:rsid w:val="006D4599"/>
    <w:rsid w:val="006D6664"/>
    <w:rsid w:val="006E16BD"/>
    <w:rsid w:val="006E202F"/>
    <w:rsid w:val="006E6F74"/>
    <w:rsid w:val="006F1B76"/>
    <w:rsid w:val="006F751A"/>
    <w:rsid w:val="00706D7A"/>
    <w:rsid w:val="007133EB"/>
    <w:rsid w:val="00714632"/>
    <w:rsid w:val="007147E9"/>
    <w:rsid w:val="007308FD"/>
    <w:rsid w:val="00737E56"/>
    <w:rsid w:val="0074272C"/>
    <w:rsid w:val="007454F4"/>
    <w:rsid w:val="0075503A"/>
    <w:rsid w:val="00757BAE"/>
    <w:rsid w:val="0076326D"/>
    <w:rsid w:val="00775B9E"/>
    <w:rsid w:val="0078327D"/>
    <w:rsid w:val="00783B91"/>
    <w:rsid w:val="00794B81"/>
    <w:rsid w:val="007B14E0"/>
    <w:rsid w:val="007B2656"/>
    <w:rsid w:val="007B5940"/>
    <w:rsid w:val="007B631F"/>
    <w:rsid w:val="007C696B"/>
    <w:rsid w:val="007D4C59"/>
    <w:rsid w:val="007D62FB"/>
    <w:rsid w:val="007E6159"/>
    <w:rsid w:val="007E7757"/>
    <w:rsid w:val="007F063C"/>
    <w:rsid w:val="007F2A72"/>
    <w:rsid w:val="008014F9"/>
    <w:rsid w:val="00804E53"/>
    <w:rsid w:val="0080664E"/>
    <w:rsid w:val="008075B6"/>
    <w:rsid w:val="00811470"/>
    <w:rsid w:val="008118B7"/>
    <w:rsid w:val="008171A2"/>
    <w:rsid w:val="008246C9"/>
    <w:rsid w:val="00830EB3"/>
    <w:rsid w:val="00831EB8"/>
    <w:rsid w:val="00840ABC"/>
    <w:rsid w:val="00845BCE"/>
    <w:rsid w:val="0085113D"/>
    <w:rsid w:val="0085604F"/>
    <w:rsid w:val="00873370"/>
    <w:rsid w:val="00874534"/>
    <w:rsid w:val="00887761"/>
    <w:rsid w:val="0089587A"/>
    <w:rsid w:val="008A2991"/>
    <w:rsid w:val="008A75BB"/>
    <w:rsid w:val="008B0956"/>
    <w:rsid w:val="008B0B1F"/>
    <w:rsid w:val="008B6F84"/>
    <w:rsid w:val="008B7F4B"/>
    <w:rsid w:val="008C18AF"/>
    <w:rsid w:val="008C517A"/>
    <w:rsid w:val="008D6F55"/>
    <w:rsid w:val="008E051B"/>
    <w:rsid w:val="008F66CE"/>
    <w:rsid w:val="0090012B"/>
    <w:rsid w:val="00901A9D"/>
    <w:rsid w:val="0091517B"/>
    <w:rsid w:val="00922662"/>
    <w:rsid w:val="00922FA8"/>
    <w:rsid w:val="0092543D"/>
    <w:rsid w:val="00940E71"/>
    <w:rsid w:val="009622DD"/>
    <w:rsid w:val="00966CB1"/>
    <w:rsid w:val="00967A47"/>
    <w:rsid w:val="009741F5"/>
    <w:rsid w:val="0097502F"/>
    <w:rsid w:val="009815B0"/>
    <w:rsid w:val="009A27F0"/>
    <w:rsid w:val="009B16BA"/>
    <w:rsid w:val="009B3E4E"/>
    <w:rsid w:val="009B4F0B"/>
    <w:rsid w:val="009B52DE"/>
    <w:rsid w:val="009B7C9D"/>
    <w:rsid w:val="009C105B"/>
    <w:rsid w:val="009C3D93"/>
    <w:rsid w:val="009D2533"/>
    <w:rsid w:val="009D5E0A"/>
    <w:rsid w:val="009F37EE"/>
    <w:rsid w:val="00A018FF"/>
    <w:rsid w:val="00A10CFA"/>
    <w:rsid w:val="00A2131C"/>
    <w:rsid w:val="00A25FC8"/>
    <w:rsid w:val="00A26911"/>
    <w:rsid w:val="00A279D8"/>
    <w:rsid w:val="00A32948"/>
    <w:rsid w:val="00A34118"/>
    <w:rsid w:val="00A3599C"/>
    <w:rsid w:val="00A3668A"/>
    <w:rsid w:val="00A45F85"/>
    <w:rsid w:val="00A6402D"/>
    <w:rsid w:val="00A64D47"/>
    <w:rsid w:val="00A7169C"/>
    <w:rsid w:val="00A748CC"/>
    <w:rsid w:val="00AA0973"/>
    <w:rsid w:val="00AA13F4"/>
    <w:rsid w:val="00AB23F8"/>
    <w:rsid w:val="00AC1794"/>
    <w:rsid w:val="00AC575E"/>
    <w:rsid w:val="00AD405A"/>
    <w:rsid w:val="00AE0C7F"/>
    <w:rsid w:val="00AF6B1E"/>
    <w:rsid w:val="00B05436"/>
    <w:rsid w:val="00B059DC"/>
    <w:rsid w:val="00B45D97"/>
    <w:rsid w:val="00B56776"/>
    <w:rsid w:val="00B7132A"/>
    <w:rsid w:val="00B775EB"/>
    <w:rsid w:val="00BA5D57"/>
    <w:rsid w:val="00BD5323"/>
    <w:rsid w:val="00BD6086"/>
    <w:rsid w:val="00BF4832"/>
    <w:rsid w:val="00BF7AC0"/>
    <w:rsid w:val="00C02D6D"/>
    <w:rsid w:val="00C10E8D"/>
    <w:rsid w:val="00C2789B"/>
    <w:rsid w:val="00C31298"/>
    <w:rsid w:val="00C37514"/>
    <w:rsid w:val="00C40733"/>
    <w:rsid w:val="00C55C27"/>
    <w:rsid w:val="00C56D46"/>
    <w:rsid w:val="00C622F6"/>
    <w:rsid w:val="00C63D10"/>
    <w:rsid w:val="00C82944"/>
    <w:rsid w:val="00C87791"/>
    <w:rsid w:val="00C923D6"/>
    <w:rsid w:val="00C979BD"/>
    <w:rsid w:val="00CB3CB2"/>
    <w:rsid w:val="00CD75FE"/>
    <w:rsid w:val="00CE22A4"/>
    <w:rsid w:val="00CF35FE"/>
    <w:rsid w:val="00CF4B0C"/>
    <w:rsid w:val="00D0781F"/>
    <w:rsid w:val="00D16525"/>
    <w:rsid w:val="00D30CD1"/>
    <w:rsid w:val="00D41536"/>
    <w:rsid w:val="00D442CE"/>
    <w:rsid w:val="00D475AB"/>
    <w:rsid w:val="00D5591F"/>
    <w:rsid w:val="00D6050A"/>
    <w:rsid w:val="00D63E53"/>
    <w:rsid w:val="00D6427D"/>
    <w:rsid w:val="00D72EFB"/>
    <w:rsid w:val="00D75862"/>
    <w:rsid w:val="00D8358F"/>
    <w:rsid w:val="00D842FB"/>
    <w:rsid w:val="00D923ED"/>
    <w:rsid w:val="00D93572"/>
    <w:rsid w:val="00D938E7"/>
    <w:rsid w:val="00DA0056"/>
    <w:rsid w:val="00DA47C9"/>
    <w:rsid w:val="00DB163B"/>
    <w:rsid w:val="00DD589F"/>
    <w:rsid w:val="00DE3429"/>
    <w:rsid w:val="00E02724"/>
    <w:rsid w:val="00E148D3"/>
    <w:rsid w:val="00E23531"/>
    <w:rsid w:val="00E349ED"/>
    <w:rsid w:val="00E36BC8"/>
    <w:rsid w:val="00E4683D"/>
    <w:rsid w:val="00E512A0"/>
    <w:rsid w:val="00E57807"/>
    <w:rsid w:val="00E61071"/>
    <w:rsid w:val="00E67931"/>
    <w:rsid w:val="00E71CFB"/>
    <w:rsid w:val="00E8335A"/>
    <w:rsid w:val="00E91856"/>
    <w:rsid w:val="00EA7F4E"/>
    <w:rsid w:val="00EB2499"/>
    <w:rsid w:val="00EB3DB6"/>
    <w:rsid w:val="00EB7246"/>
    <w:rsid w:val="00EC0E41"/>
    <w:rsid w:val="00ED25EA"/>
    <w:rsid w:val="00EE29EA"/>
    <w:rsid w:val="00EE582C"/>
    <w:rsid w:val="00EE6574"/>
    <w:rsid w:val="00EE6A09"/>
    <w:rsid w:val="00F03613"/>
    <w:rsid w:val="00F1506B"/>
    <w:rsid w:val="00F17E8F"/>
    <w:rsid w:val="00F23EAE"/>
    <w:rsid w:val="00F27CBB"/>
    <w:rsid w:val="00F371C2"/>
    <w:rsid w:val="00F5269B"/>
    <w:rsid w:val="00F54B0B"/>
    <w:rsid w:val="00F75266"/>
    <w:rsid w:val="00F77AAD"/>
    <w:rsid w:val="00F77CA0"/>
    <w:rsid w:val="00F83AA0"/>
    <w:rsid w:val="00F91494"/>
    <w:rsid w:val="00FB1C8D"/>
    <w:rsid w:val="00FB3EEC"/>
    <w:rsid w:val="00FB67B9"/>
    <w:rsid w:val="00FC0341"/>
    <w:rsid w:val="00FC08CA"/>
    <w:rsid w:val="00FC1F62"/>
    <w:rsid w:val="00FC27F2"/>
    <w:rsid w:val="00FC5F0D"/>
    <w:rsid w:val="00FE0B45"/>
    <w:rsid w:val="00FE2919"/>
    <w:rsid w:val="00FE3B8E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28673"/>
    <o:shapelayout v:ext="edit">
      <o:idmap v:ext="edit" data="1"/>
    </o:shapelayout>
  </w:shapeDefaults>
  <w:decimalSymbol w:val="."/>
  <w:listSeparator w:val=","/>
  <w14:docId w14:val="2742997E"/>
  <w15:docId w15:val="{3C8366B5-7BDD-440A-8FD4-3992D19B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95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095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2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8B0956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32E8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8B09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32E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B09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32E8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B0956"/>
    <w:rPr>
      <w:rFonts w:cs="Times New Roman"/>
    </w:rPr>
  </w:style>
  <w:style w:type="paragraph" w:customStyle="1" w:styleId="Findings">
    <w:name w:val="Findings"/>
    <w:basedOn w:val="Normal"/>
    <w:uiPriority w:val="99"/>
    <w:rsid w:val="008B0956"/>
  </w:style>
  <w:style w:type="paragraph" w:styleId="BalloonText">
    <w:name w:val="Balloon Text"/>
    <w:basedOn w:val="Normal"/>
    <w:link w:val="BalloonTextChar"/>
    <w:uiPriority w:val="99"/>
    <w:semiHidden/>
    <w:rsid w:val="004E4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2E8"/>
    <w:rPr>
      <w:sz w:val="0"/>
      <w:szCs w:val="0"/>
    </w:rPr>
  </w:style>
  <w:style w:type="character" w:styleId="Hyperlink">
    <w:name w:val="Hyperlink"/>
    <w:basedOn w:val="DefaultParagraphFont"/>
    <w:uiPriority w:val="99"/>
    <w:rsid w:val="00F75266"/>
    <w:rPr>
      <w:rFonts w:cs="Times New Roman"/>
      <w:color w:val="0000FF"/>
      <w:u w:val="none"/>
    </w:rPr>
  </w:style>
  <w:style w:type="character" w:styleId="FollowedHyperlink">
    <w:name w:val="FollowedHyperlink"/>
    <w:basedOn w:val="DefaultParagraphFont"/>
    <w:uiPriority w:val="99"/>
    <w:rsid w:val="00F75266"/>
    <w:rPr>
      <w:rFonts w:cs="Times New Roman"/>
      <w:color w:val="800080"/>
      <w:u w:val="none"/>
    </w:rPr>
  </w:style>
  <w:style w:type="paragraph" w:styleId="ListParagraph">
    <w:name w:val="List Paragraph"/>
    <w:basedOn w:val="Normal"/>
    <w:uiPriority w:val="99"/>
    <w:qFormat/>
    <w:rsid w:val="006516BA"/>
    <w:pPr>
      <w:ind w:left="720"/>
    </w:pPr>
  </w:style>
  <w:style w:type="character" w:styleId="CommentReference">
    <w:name w:val="annotation reference"/>
    <w:basedOn w:val="DefaultParagraphFont"/>
    <w:uiPriority w:val="99"/>
    <w:rsid w:val="007B594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B59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B594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B5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B5940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rsid w:val="00D41536"/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41536"/>
    <w:rPr>
      <w:rFonts w:ascii="Calibri" w:eastAsia="Times New Roman" w:hAnsi="Calibri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3B56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pps.leg.wa.gov/WAC/default.aspx?cite=480-07-370" TargetMode="Externa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pps.leg.wa.gov/WAC/default.aspx?cite=480-07-37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Natural%20Gas\Accounting%20Petition%20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150</IndustryCode>
    <CaseStatus xmlns="dc463f71-b30c-4ab2-9473-d307f9d35888">Closed</CaseStatus>
    <OpenedDate xmlns="dc463f71-b30c-4ab2-9473-d307f9d35888">2016-06-01T07:00:00+00:00</OpenedDate>
    <Date1 xmlns="dc463f71-b30c-4ab2-9473-d307f9d35888">2016-11-10T08:00:00+00:00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160787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1300A9496C7604D8C3C53E889ED63D1" ma:contentTypeVersion="104" ma:contentTypeDescription="" ma:contentTypeScope="" ma:versionID="460abac6ffee341674862d2d8db524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F0336F-7A79-45CA-B4A3-6735F204EF5A}"/>
</file>

<file path=customXml/itemProps2.xml><?xml version="1.0" encoding="utf-8"?>
<ds:datastoreItem xmlns:ds="http://schemas.openxmlformats.org/officeDocument/2006/customXml" ds:itemID="{91B4AB6B-E532-44EF-84BC-CBE80C9B07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1AB558-ED50-43CF-849F-0B35CF7A8841}">
  <ds:schemaRefs>
    <ds:schemaRef ds:uri="http://purl.org/dc/terms/"/>
    <ds:schemaRef ds:uri="751276d0-61bc-4dad-b75c-21dfd12630ad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6CBF17BB-32BF-4210-B88D-9EAFDDF24BBA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8935C28-57CC-4710-A831-2414D0F8697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8860B76-D1B1-415E-BA44-F8507415A68E}"/>
</file>

<file path=docProps/app.xml><?xml version="1.0" encoding="utf-8"?>
<Properties xmlns="http://schemas.openxmlformats.org/officeDocument/2006/extended-properties" xmlns:vt="http://schemas.openxmlformats.org/officeDocument/2006/docPropsVTypes">
  <Template>Accounting Petition Order.dot</Template>
  <TotalTime>0</TotalTime>
  <Pages>5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160787 Order</vt:lpstr>
    </vt:vector>
  </TitlesOfParts>
  <Company>MDU</Company>
  <LinksUpToDate>false</LinksUpToDate>
  <CharactersWithSpaces>8090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160787 Order</dc:title>
  <dc:creator>Parvinen, Michael</dc:creator>
  <cp:lastModifiedBy>Wyse, Lisa (UTC)</cp:lastModifiedBy>
  <cp:revision>2</cp:revision>
  <cp:lastPrinted>2016-11-02T21:12:00Z</cp:lastPrinted>
  <dcterms:created xsi:type="dcterms:W3CDTF">2016-11-10T19:48:00Z</dcterms:created>
  <dcterms:modified xsi:type="dcterms:W3CDTF">2016-11-10T19:48:00Z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ABAAVOAfoSrQoyyWClAzPNRW+ab58bpLIvfJNmk00chT0YuEyDFGeXd0vyWMsDwrHy2Y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4AAA9DNYQidmug6N+VhTeN6JgVadFSReICp/IvYPaBLn9E53IZiSvpb3cg==</vt:lpwstr>
  </property>
  <property fmtid="{D5CDD505-2E9C-101B-9397-08002B2CF9AE}" pid="5" name="ContentTypeId">
    <vt:lpwstr>0x0101006E56B4D1795A2E4DB2F0B01679ED314A0061300A9496C7604D8C3C53E889ED63D1</vt:lpwstr>
  </property>
  <property fmtid="{D5CDD505-2E9C-101B-9397-08002B2CF9AE}" pid="6" name="_docset_NoMedatataSyncRequired">
    <vt:lpwstr>False</vt:lpwstr>
  </property>
</Properties>
</file>