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4DD5" w14:textId="77777777" w:rsidR="00AB607E" w:rsidRDefault="00AB607E">
      <w:pPr>
        <w:pStyle w:val="Memo"/>
      </w:pPr>
      <w:bookmarkStart w:id="0" w:name="_GoBack"/>
      <w:bookmarkEnd w:id="0"/>
    </w:p>
    <w:p w14:paraId="2A354DD6" w14:textId="0E83FA8A" w:rsidR="00AB607E" w:rsidRDefault="00384159">
      <w:pPr>
        <w:widowControl w:val="0"/>
        <w:tabs>
          <w:tab w:val="center" w:pos="4680"/>
        </w:tabs>
        <w:jc w:val="center"/>
      </w:pPr>
      <w:r w:rsidRPr="003841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FBD730" wp14:editId="3ED12199">
                <wp:simplePos x="0" y="0"/>
                <wp:positionH relativeFrom="column">
                  <wp:posOffset>6115050</wp:posOffset>
                </wp:positionH>
                <wp:positionV relativeFrom="paragraph">
                  <wp:posOffset>120015</wp:posOffset>
                </wp:positionV>
                <wp:extent cx="563880" cy="587692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15EC" w14:textId="5C88F966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D63F74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B4D177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8AE1CA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04D1E2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F49A3A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CD75B7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29D4BB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D2EF50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233A0AF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A8447F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589DB1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A67C52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FC3AA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629226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8D9D3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8D4FF8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E5CA37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2F7942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EFC3F90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E1F6084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4C65C53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D0DB1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7182E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B8B72E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584DE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BB284CB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A9D37CA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72044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B706A9" w14:textId="1A51F6A2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3A7913" w14:textId="72C74C40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  <w:r w:rsidRPr="00384159">
                              <w:rPr>
                                <w:sz w:val="20"/>
                              </w:rPr>
                              <w:t>(T)</w:t>
                            </w:r>
                          </w:p>
                          <w:p w14:paraId="62C523DE" w14:textId="77777777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FFDD5CA" w14:textId="77777777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B2AE2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FF6D92" w14:textId="7671C75C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  <w:r w:rsidRPr="00384159">
                              <w:rPr>
                                <w:sz w:val="20"/>
                              </w:rPr>
                              <w:t>(N)</w:t>
                            </w:r>
                          </w:p>
                          <w:p w14:paraId="0B877B4E" w14:textId="77777777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5pt;margin-top:9.45pt;width:44.4pt;height:4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tZIAIAAB0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" stroked="f">
                <v:textbox>
                  <w:txbxContent>
                    <w:p w14:paraId="24A615EC" w14:textId="5C88F966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9D63F74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3B4D177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178AE1CA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604D1E2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1F49A3A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5FCD75B7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829D4BB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27D2EF50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233A0AF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71A8447F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5F589DB1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5A67C52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3EFC3AA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D629226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798D9D3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8D4FF8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2E5CA37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32F7942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5EFC3F90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0E1F6084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4C65C53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28D0DB1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F7182E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70B8B72E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79584DE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BB284CB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1A9D37CA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1C72044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5FB706A9" w14:textId="1A51F6A2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2C3A7913" w14:textId="72C74C40" w:rsidR="00384159" w:rsidRPr="00384159" w:rsidRDefault="00384159">
                      <w:pPr>
                        <w:rPr>
                          <w:sz w:val="20"/>
                        </w:rPr>
                      </w:pPr>
                      <w:r w:rsidRPr="00384159">
                        <w:rPr>
                          <w:sz w:val="20"/>
                        </w:rPr>
                        <w:t>(T)</w:t>
                      </w:r>
                    </w:p>
                    <w:p w14:paraId="62C523DE" w14:textId="77777777" w:rsidR="00384159" w:rsidRPr="00384159" w:rsidRDefault="00384159">
                      <w:pPr>
                        <w:rPr>
                          <w:sz w:val="20"/>
                        </w:rPr>
                      </w:pPr>
                    </w:p>
                    <w:p w14:paraId="3FFDD5CA" w14:textId="77777777" w:rsidR="00384159" w:rsidRPr="00384159" w:rsidRDefault="00384159">
                      <w:pPr>
                        <w:rPr>
                          <w:sz w:val="20"/>
                        </w:rPr>
                      </w:pPr>
                    </w:p>
                    <w:p w14:paraId="1BB2AE2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07FF6D92" w14:textId="7671C75C" w:rsidR="00384159" w:rsidRPr="00384159" w:rsidRDefault="00384159">
                      <w:pPr>
                        <w:rPr>
                          <w:sz w:val="20"/>
                        </w:rPr>
                      </w:pPr>
                      <w:r w:rsidRPr="00384159">
                        <w:rPr>
                          <w:sz w:val="20"/>
                        </w:rPr>
                        <w:t>(N)</w:t>
                      </w:r>
                    </w:p>
                    <w:p w14:paraId="0B877B4E" w14:textId="77777777" w:rsidR="00384159" w:rsidRPr="00384159" w:rsidRDefault="0038415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07E">
        <w:t>TARIFF INDEX</w:t>
      </w:r>
    </w:p>
    <w:p w14:paraId="2A354DD7" w14:textId="77777777" w:rsidR="00AB607E" w:rsidRDefault="00AB607E" w:rsidP="007E5D26">
      <w:pPr>
        <w:widowControl w:val="0"/>
        <w:tabs>
          <w:tab w:val="right" w:pos="9547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>Sheet Number</w:t>
      </w:r>
    </w:p>
    <w:p w14:paraId="2A354DD8" w14:textId="77777777" w:rsidR="00AB607E" w:rsidRDefault="00AB607E">
      <w:pPr>
        <w:widowControl w:val="0"/>
        <w:jc w:val="both"/>
        <w:rPr>
          <w:sz w:val="20"/>
        </w:rPr>
      </w:pPr>
    </w:p>
    <w:p w14:paraId="2A354DD9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>Title Page</w:t>
      </w:r>
      <w:r>
        <w:rPr>
          <w:sz w:val="20"/>
        </w:rPr>
        <w:tab/>
      </w:r>
      <w:proofErr w:type="spellStart"/>
      <w:r>
        <w:rPr>
          <w:sz w:val="20"/>
        </w:rPr>
        <w:t>i</w:t>
      </w:r>
      <w:proofErr w:type="spellEnd"/>
    </w:p>
    <w:p w14:paraId="2A354DDA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>Map</w:t>
      </w:r>
      <w:r>
        <w:rPr>
          <w:sz w:val="20"/>
        </w:rPr>
        <w:tab/>
        <w:t>ii</w:t>
      </w:r>
    </w:p>
    <w:p w14:paraId="2A354DDB" w14:textId="77777777" w:rsidR="00AB607E" w:rsidRDefault="00574756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>Tariff Index</w:t>
      </w:r>
      <w:r>
        <w:rPr>
          <w:sz w:val="20"/>
        </w:rPr>
        <w:tab/>
        <w:t>iii</w:t>
      </w:r>
      <w:r w:rsidR="00AB607E">
        <w:rPr>
          <w:sz w:val="20"/>
        </w:rPr>
        <w:t xml:space="preserve"> to ix</w:t>
      </w:r>
    </w:p>
    <w:p w14:paraId="2A354DDC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</w:p>
    <w:p w14:paraId="2A354DDD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caps/>
          <w:sz w:val="20"/>
          <w:u w:val="single"/>
        </w:rPr>
        <w:t>Summary of Rates and Prices</w:t>
      </w:r>
      <w:r>
        <w:rPr>
          <w:sz w:val="20"/>
        </w:rPr>
        <w:t>:</w:t>
      </w:r>
    </w:p>
    <w:p w14:paraId="2A354DDE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 xml:space="preserve">Sales Service </w:t>
      </w:r>
      <w:r w:rsidR="003D3C00">
        <w:rPr>
          <w:sz w:val="20"/>
        </w:rPr>
        <w:t>Billing Rates</w:t>
      </w:r>
      <w:r>
        <w:rPr>
          <w:sz w:val="20"/>
        </w:rPr>
        <w:tab/>
        <w:t>Page 1</w:t>
      </w:r>
    </w:p>
    <w:p w14:paraId="2A354DDF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 xml:space="preserve">Transportation Service </w:t>
      </w:r>
      <w:r w:rsidR="003D3C00">
        <w:rPr>
          <w:sz w:val="20"/>
        </w:rPr>
        <w:t xml:space="preserve">Billing </w:t>
      </w:r>
      <w:r>
        <w:rPr>
          <w:sz w:val="20"/>
        </w:rPr>
        <w:t>Rate</w:t>
      </w:r>
      <w:r w:rsidR="003D3C00">
        <w:rPr>
          <w:sz w:val="20"/>
        </w:rPr>
        <w:t>s</w:t>
      </w:r>
      <w:r>
        <w:rPr>
          <w:sz w:val="20"/>
        </w:rPr>
        <w:tab/>
        <w:t>Page 2</w:t>
      </w:r>
    </w:p>
    <w:p w14:paraId="2A354DE0" w14:textId="0DEE6ACD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</w:p>
    <w:p w14:paraId="2A354DE1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  <w:u w:val="single"/>
        </w:rPr>
      </w:pPr>
      <w:r>
        <w:rPr>
          <w:sz w:val="20"/>
          <w:u w:val="single"/>
        </w:rPr>
        <w:t>GENERAL RULES AND REGULATIONS</w:t>
      </w:r>
      <w:r>
        <w:rPr>
          <w:sz w:val="20"/>
        </w:rPr>
        <w:t>:</w:t>
      </w:r>
    </w:p>
    <w:p w14:paraId="2A354DE2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 xml:space="preserve">Definitions  </w:t>
      </w:r>
      <w:r>
        <w:rPr>
          <w:sz w:val="20"/>
        </w:rPr>
        <w:tab/>
        <w:t>00.1</w:t>
      </w:r>
      <w:r w:rsidR="003D3C00">
        <w:rPr>
          <w:sz w:val="20"/>
        </w:rPr>
        <w:t xml:space="preserve"> </w:t>
      </w:r>
      <w:r w:rsidR="00574756">
        <w:rPr>
          <w:sz w:val="20"/>
        </w:rPr>
        <w:t>to 00.8</w:t>
      </w:r>
    </w:p>
    <w:p w14:paraId="2A354DE3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</w:p>
    <w:p w14:paraId="2A354DE4" w14:textId="77777777" w:rsidR="00AB607E" w:rsidRDefault="00AB607E" w:rsidP="007E5D26">
      <w:pPr>
        <w:widowControl w:val="0"/>
        <w:tabs>
          <w:tab w:val="left" w:pos="-1440"/>
          <w:tab w:val="left" w:pos="-720"/>
          <w:tab w:val="left" w:pos="0"/>
          <w:tab w:val="left" w:pos="900"/>
          <w:tab w:val="right" w:leader="dot" w:pos="9000"/>
        </w:tabs>
        <w:jc w:val="both"/>
        <w:rPr>
          <w:sz w:val="20"/>
        </w:rPr>
      </w:pPr>
      <w:proofErr w:type="gramStart"/>
      <w:r>
        <w:rPr>
          <w:sz w:val="20"/>
        </w:rPr>
        <w:t>Rul</w:t>
      </w:r>
      <w:r w:rsidR="001C019C">
        <w:rPr>
          <w:sz w:val="20"/>
        </w:rPr>
        <w:t>e 1.</w:t>
      </w:r>
      <w:proofErr w:type="gramEnd"/>
      <w:r w:rsidR="001C019C">
        <w:rPr>
          <w:sz w:val="20"/>
        </w:rPr>
        <w:tab/>
      </w:r>
      <w:r>
        <w:rPr>
          <w:sz w:val="20"/>
        </w:rPr>
        <w:t>Service Appl</w:t>
      </w:r>
      <w:r w:rsidR="00D45781">
        <w:rPr>
          <w:sz w:val="20"/>
        </w:rPr>
        <w:t xml:space="preserve">ication and </w:t>
      </w:r>
      <w:r w:rsidR="003D3C00">
        <w:rPr>
          <w:sz w:val="20"/>
        </w:rPr>
        <w:t xml:space="preserve">General </w:t>
      </w:r>
      <w:r w:rsidR="00D45781">
        <w:rPr>
          <w:sz w:val="20"/>
        </w:rPr>
        <w:t>Terms of Service</w:t>
      </w:r>
      <w:r w:rsidR="00D45781">
        <w:rPr>
          <w:sz w:val="20"/>
        </w:rPr>
        <w:tab/>
        <w:t>1.1</w:t>
      </w:r>
    </w:p>
    <w:p w14:paraId="2A354DE5" w14:textId="77777777" w:rsidR="00AB607E" w:rsidRDefault="00AB607E" w:rsidP="007E5D26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Application for service</w:t>
      </w:r>
    </w:p>
    <w:p w14:paraId="2A354DE6" w14:textId="77777777" w:rsidR="00D45781" w:rsidRDefault="00D45781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Proof of Identification (Residential)</w:t>
      </w:r>
    </w:p>
    <w:p w14:paraId="2A354DE7" w14:textId="77777777" w:rsidR="00AB607E" w:rsidRDefault="00D45781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 xml:space="preserve">Proof of </w:t>
      </w:r>
      <w:r w:rsidR="00F52888">
        <w:rPr>
          <w:sz w:val="20"/>
        </w:rPr>
        <w:t>I</w:t>
      </w:r>
      <w:r>
        <w:rPr>
          <w:sz w:val="20"/>
        </w:rPr>
        <w:t>dentification (Non-Residential)</w:t>
      </w:r>
      <w:r>
        <w:rPr>
          <w:sz w:val="20"/>
        </w:rPr>
        <w:tab/>
        <w:t>1.2</w:t>
      </w:r>
    </w:p>
    <w:p w14:paraId="2A354DE8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Term of contract</w:t>
      </w:r>
    </w:p>
    <w:p w14:paraId="2A354DE9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Seasonal or temporary disconnection of service</w:t>
      </w:r>
    </w:p>
    <w:p w14:paraId="2A354DEA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Election of rate schedule</w:t>
      </w:r>
    </w:p>
    <w:p w14:paraId="2A354DEB" w14:textId="77777777" w:rsidR="00715684" w:rsidRDefault="00715684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Rate Schedule Transfers</w:t>
      </w:r>
      <w:r>
        <w:rPr>
          <w:sz w:val="20"/>
        </w:rPr>
        <w:tab/>
        <w:t>1.3</w:t>
      </w:r>
    </w:p>
    <w:p w14:paraId="2A354DEC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Use of gas service prior to application</w:t>
      </w:r>
    </w:p>
    <w:p w14:paraId="2A354DED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Notice to terminate gas service</w:t>
      </w:r>
    </w:p>
    <w:p w14:paraId="2A354DEE" w14:textId="77777777" w:rsidR="00AB607E" w:rsidRDefault="001C019C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right" w:leader="dot" w:pos="9000"/>
        </w:tabs>
        <w:jc w:val="both"/>
        <w:rPr>
          <w:sz w:val="20"/>
        </w:rPr>
      </w:pPr>
      <w:proofErr w:type="gramStart"/>
      <w:r>
        <w:rPr>
          <w:sz w:val="20"/>
        </w:rPr>
        <w:t>Rule 2.</w:t>
      </w:r>
      <w:proofErr w:type="gramEnd"/>
      <w:r>
        <w:rPr>
          <w:sz w:val="20"/>
        </w:rPr>
        <w:tab/>
      </w:r>
      <w:r w:rsidR="00AB607E">
        <w:rPr>
          <w:sz w:val="20"/>
        </w:rPr>
        <w:t xml:space="preserve">Establishment of Credit </w:t>
      </w:r>
      <w:r w:rsidR="00AB607E">
        <w:rPr>
          <w:sz w:val="20"/>
        </w:rPr>
        <w:tab/>
        <w:t>2.1</w:t>
      </w:r>
    </w:p>
    <w:p w14:paraId="2A354DEF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Credit standing - residential customers</w:t>
      </w:r>
    </w:p>
    <w:p w14:paraId="2A354DF0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Credit standing - non-residential customers</w:t>
      </w:r>
    </w:p>
    <w:p w14:paraId="2A354DF1" w14:textId="77777777" w:rsidR="00AB607E" w:rsidRDefault="001C019C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left" w:pos="1260"/>
          <w:tab w:val="right" w:leader="dot" w:pos="9000"/>
        </w:tabs>
        <w:jc w:val="both"/>
        <w:rPr>
          <w:sz w:val="20"/>
        </w:rPr>
      </w:pPr>
      <w:proofErr w:type="gramStart"/>
      <w:r>
        <w:rPr>
          <w:sz w:val="20"/>
        </w:rPr>
        <w:t>Rule 3.</w:t>
      </w:r>
      <w:proofErr w:type="gramEnd"/>
      <w:r>
        <w:rPr>
          <w:sz w:val="20"/>
        </w:rPr>
        <w:tab/>
      </w:r>
      <w:r w:rsidR="00AB607E">
        <w:rPr>
          <w:sz w:val="20"/>
        </w:rPr>
        <w:t>Deposits</w:t>
      </w:r>
      <w:r w:rsidR="00AB607E">
        <w:rPr>
          <w:sz w:val="20"/>
        </w:rPr>
        <w:tab/>
        <w:t>3.1</w:t>
      </w:r>
    </w:p>
    <w:p w14:paraId="2A354DF2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 xml:space="preserve">Deposit requirement </w:t>
      </w:r>
    </w:p>
    <w:p w14:paraId="2A354DF3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Amount of deposit</w:t>
      </w:r>
    </w:p>
    <w:p w14:paraId="2A354DF4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Payment of deposit</w:t>
      </w:r>
    </w:p>
    <w:p w14:paraId="2A354DF5" w14:textId="49068F0A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Periodic review and adjustment</w:t>
      </w:r>
      <w:r w:rsidR="000C579A">
        <w:rPr>
          <w:sz w:val="20"/>
        </w:rPr>
        <w:tab/>
        <w:t>3.2</w:t>
      </w:r>
    </w:p>
    <w:p w14:paraId="2A354DF6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Failure to pay a deposit</w:t>
      </w:r>
    </w:p>
    <w:p w14:paraId="2A354DF7" w14:textId="7F762B1B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Interest on Deposits</w:t>
      </w:r>
    </w:p>
    <w:p w14:paraId="2A354DF8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Refund of Deposits</w:t>
      </w:r>
    </w:p>
    <w:p w14:paraId="2A354DF9" w14:textId="4D1C2E78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Special Deposit - non-residential customers</w:t>
      </w:r>
      <w:r w:rsidR="000C579A">
        <w:rPr>
          <w:sz w:val="20"/>
        </w:rPr>
        <w:tab/>
        <w:t>3.3</w:t>
      </w:r>
    </w:p>
    <w:p w14:paraId="2A354DFA" w14:textId="77777777" w:rsidR="00AB607E" w:rsidRDefault="001C019C" w:rsidP="001C019C">
      <w:pPr>
        <w:widowControl w:val="0"/>
        <w:tabs>
          <w:tab w:val="left" w:pos="-2970"/>
          <w:tab w:val="left" w:pos="-2790"/>
          <w:tab w:val="left" w:pos="-1440"/>
          <w:tab w:val="left" w:pos="-720"/>
          <w:tab w:val="left" w:pos="0"/>
          <w:tab w:val="left" w:pos="900"/>
          <w:tab w:val="right" w:leader="dot" w:pos="9000"/>
        </w:tabs>
        <w:jc w:val="both"/>
        <w:rPr>
          <w:sz w:val="20"/>
        </w:rPr>
      </w:pPr>
      <w:proofErr w:type="gramStart"/>
      <w:r>
        <w:rPr>
          <w:sz w:val="20"/>
        </w:rPr>
        <w:t>Rule 4.</w:t>
      </w:r>
      <w:proofErr w:type="gramEnd"/>
      <w:r>
        <w:rPr>
          <w:sz w:val="20"/>
        </w:rPr>
        <w:tab/>
      </w:r>
      <w:r w:rsidR="00AB607E">
        <w:rPr>
          <w:sz w:val="20"/>
        </w:rPr>
        <w:t>Payment Responsibilities and Payment Arrangements</w:t>
      </w:r>
      <w:r w:rsidR="00AB607E">
        <w:rPr>
          <w:sz w:val="20"/>
        </w:rPr>
        <w:tab/>
        <w:t>4.1</w:t>
      </w:r>
    </w:p>
    <w:p w14:paraId="2A354DFB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Regular monthly gas bills</w:t>
      </w:r>
      <w:r w:rsidR="00574756">
        <w:rPr>
          <w:sz w:val="20"/>
        </w:rPr>
        <w:tab/>
        <w:t>4.1.1</w:t>
      </w:r>
    </w:p>
    <w:p w14:paraId="2A354DFC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Outstanding balances</w:t>
      </w:r>
      <w:r w:rsidR="00574756">
        <w:rPr>
          <w:sz w:val="20"/>
        </w:rPr>
        <w:tab/>
        <w:t>4.1.2</w:t>
      </w:r>
    </w:p>
    <w:p w14:paraId="2A354DFD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Equal Pay Play</w:t>
      </w:r>
    </w:p>
    <w:p w14:paraId="2A354DFE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Time Payment Agreement</w:t>
      </w:r>
    </w:p>
    <w:p w14:paraId="2A354DFF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left" w:pos="1260"/>
          <w:tab w:val="left" w:pos="1440"/>
          <w:tab w:val="decimal" w:leader="dot" w:pos="9000"/>
        </w:tabs>
        <w:jc w:val="both"/>
        <w:rPr>
          <w:sz w:val="20"/>
        </w:rPr>
      </w:pPr>
    </w:p>
    <w:p w14:paraId="2A354E00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left" w:pos="1260"/>
          <w:tab w:val="left" w:pos="1440"/>
          <w:tab w:val="decimal" w:leader="dot" w:pos="9000"/>
        </w:tabs>
        <w:jc w:val="both"/>
        <w:rPr>
          <w:sz w:val="20"/>
        </w:rPr>
      </w:pPr>
    </w:p>
    <w:p w14:paraId="2A354E01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left" w:pos="1260"/>
          <w:tab w:val="left" w:pos="1440"/>
          <w:tab w:val="decimal" w:leader="dot" w:pos="9000"/>
        </w:tabs>
        <w:jc w:val="both"/>
        <w:rPr>
          <w:sz w:val="20"/>
        </w:rPr>
      </w:pPr>
    </w:p>
    <w:p w14:paraId="2A354E02" w14:textId="77777777" w:rsidR="00AB607E" w:rsidRDefault="00AB607E">
      <w:pPr>
        <w:widowControl w:val="0"/>
        <w:tabs>
          <w:tab w:val="left" w:pos="-1440"/>
          <w:tab w:val="left" w:pos="-720"/>
          <w:tab w:val="left" w:pos="0"/>
          <w:tab w:val="decimal" w:leader="dot" w:pos="9000"/>
        </w:tabs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continue</w:t>
      </w:r>
      <w:proofErr w:type="gramEnd"/>
      <w:r>
        <w:rPr>
          <w:sz w:val="20"/>
        </w:rPr>
        <w:t xml:space="preserve"> to Sheet iv)</w:t>
      </w:r>
    </w:p>
    <w:sectPr w:rsidR="00AB607E">
      <w:headerReference w:type="default" r:id="rId12"/>
      <w:footerReference w:type="default" r:id="rId13"/>
      <w:pgSz w:w="12240" w:h="15840" w:code="1"/>
      <w:pgMar w:top="720" w:right="180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54E05" w14:textId="77777777" w:rsidR="006E3226" w:rsidRDefault="006E3226">
      <w:pPr>
        <w:outlineLvl w:val="2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2A354E06" w14:textId="77777777" w:rsidR="006E3226" w:rsidRDefault="006E3226">
      <w:pPr>
        <w:outlineLvl w:val="2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4E0B" w14:textId="6AFCD97E" w:rsidR="0062718C" w:rsidRDefault="0062718C">
    <w:pPr>
      <w:pStyle w:val="Footer"/>
      <w:tabs>
        <w:tab w:val="left" w:pos="6030"/>
      </w:tabs>
      <w:rPr>
        <w:sz w:val="22"/>
      </w:rPr>
    </w:pPr>
    <w:r>
      <w:rPr>
        <w:sz w:val="22"/>
      </w:rPr>
      <w:t xml:space="preserve">Issued </w:t>
    </w:r>
    <w:r w:rsidR="00D91136">
      <w:rPr>
        <w:sz w:val="22"/>
      </w:rPr>
      <w:t>May 13</w:t>
    </w:r>
    <w:r w:rsidR="000C579A">
      <w:rPr>
        <w:sz w:val="22"/>
      </w:rPr>
      <w:t>, 2015</w:t>
    </w:r>
    <w:r>
      <w:rPr>
        <w:sz w:val="22"/>
      </w:rPr>
      <w:tab/>
    </w:r>
    <w:r>
      <w:rPr>
        <w:sz w:val="22"/>
      </w:rPr>
      <w:tab/>
      <w:t>Effective with service on</w:t>
    </w:r>
  </w:p>
  <w:p w14:paraId="2A354E0C" w14:textId="582D7640" w:rsidR="0062718C" w:rsidRDefault="0062718C">
    <w:pPr>
      <w:pStyle w:val="Footer"/>
      <w:tabs>
        <w:tab w:val="left" w:pos="6030"/>
      </w:tabs>
      <w:rPr>
        <w:sz w:val="22"/>
      </w:rPr>
    </w:pPr>
    <w:r>
      <w:rPr>
        <w:sz w:val="22"/>
      </w:rPr>
      <w:t xml:space="preserve">NWN </w:t>
    </w:r>
    <w:r w:rsidR="000C579A">
      <w:rPr>
        <w:sz w:val="22"/>
      </w:rPr>
      <w:t xml:space="preserve">WUTC </w:t>
    </w:r>
    <w:r w:rsidR="00384159">
      <w:rPr>
        <w:sz w:val="22"/>
      </w:rPr>
      <w:t xml:space="preserve">Advice No. </w:t>
    </w:r>
    <w:r w:rsidR="000C579A">
      <w:rPr>
        <w:sz w:val="22"/>
      </w:rPr>
      <w:t>15-02</w:t>
    </w:r>
    <w:r w:rsidR="00D91136">
      <w:rPr>
        <w:sz w:val="22"/>
      </w:rPr>
      <w:t>A</w:t>
    </w:r>
    <w:r>
      <w:rPr>
        <w:sz w:val="22"/>
      </w:rPr>
      <w:tab/>
    </w:r>
    <w:r>
      <w:rPr>
        <w:sz w:val="22"/>
      </w:rPr>
      <w:tab/>
      <w:t xml:space="preserve">and after </w:t>
    </w:r>
    <w:r w:rsidR="00D91136">
      <w:rPr>
        <w:sz w:val="22"/>
      </w:rPr>
      <w:t>May 29</w:t>
    </w:r>
    <w:r w:rsidR="000C579A">
      <w:rPr>
        <w:sz w:val="22"/>
      </w:rPr>
      <w:t>, 2015</w:t>
    </w:r>
  </w:p>
  <w:p w14:paraId="2A354E0D" w14:textId="77777777" w:rsidR="0062718C" w:rsidRDefault="0062718C">
    <w:pPr>
      <w:pStyle w:val="Footer"/>
      <w:pBdr>
        <w:bottom w:val="single" w:sz="6" w:space="1" w:color="auto"/>
      </w:pBdr>
      <w:jc w:val="center"/>
      <w:rPr>
        <w:b/>
        <w:sz w:val="18"/>
      </w:rPr>
    </w:pPr>
  </w:p>
  <w:p w14:paraId="2A354E0E" w14:textId="77777777" w:rsidR="0062718C" w:rsidRDefault="0062718C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14:paraId="2A354E0F" w14:textId="77777777" w:rsidR="0062718C" w:rsidRDefault="0062718C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14:paraId="2A354E10" w14:textId="77777777" w:rsidR="0062718C" w:rsidRDefault="0062718C">
    <w:pPr>
      <w:pStyle w:val="Footer"/>
      <w:jc w:val="center"/>
      <w:rPr>
        <w:i/>
        <w:sz w:val="16"/>
      </w:rPr>
    </w:pPr>
    <w:r>
      <w:rPr>
        <w:i/>
        <w:sz w:val="16"/>
      </w:rPr>
      <w:t xml:space="preserve">220 N.W. </w:t>
    </w:r>
    <w:smartTag w:uri="urn:schemas-microsoft-com:office:smarttags" w:element="Street">
      <w:smartTag w:uri="urn:schemas-microsoft-com:office:smarttags" w:element="address">
        <w:r>
          <w:rPr>
            <w:i/>
            <w:sz w:val="16"/>
          </w:rPr>
          <w:t>Second Avenue</w:t>
        </w:r>
      </w:smartTag>
    </w:smartTag>
  </w:p>
  <w:p w14:paraId="2A354E11" w14:textId="77777777" w:rsidR="0062718C" w:rsidRDefault="0062718C">
    <w:pPr>
      <w:pStyle w:val="Footer"/>
      <w:jc w:val="center"/>
      <w:rPr>
        <w:sz w:val="16"/>
      </w:rPr>
    </w:pPr>
    <w:smartTag w:uri="urn:schemas-microsoft-com:office:smarttags" w:element="City">
      <w:r>
        <w:rPr>
          <w:i/>
          <w:sz w:val="16"/>
        </w:rPr>
        <w:t>Portland</w:t>
      </w:r>
    </w:smartTag>
    <w:r>
      <w:rPr>
        <w:i/>
        <w:sz w:val="16"/>
      </w:rPr>
      <w:t xml:space="preserve">, </w:t>
    </w:r>
    <w:smartTag w:uri="urn:schemas-microsoft-com:office:smarttags" w:element="State">
      <w:r>
        <w:rPr>
          <w:i/>
          <w:sz w:val="16"/>
        </w:rPr>
        <w:t>Oregon</w:t>
      </w:r>
    </w:smartTag>
    <w:r>
      <w:rPr>
        <w:i/>
        <w:sz w:val="16"/>
      </w:rPr>
      <w:t xml:space="preserve">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54E03" w14:textId="77777777" w:rsidR="006E3226" w:rsidRDefault="006E3226">
      <w:pPr>
        <w:outlineLvl w:val="2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2A354E04" w14:textId="77777777" w:rsidR="006E3226" w:rsidRDefault="006E3226">
      <w:pPr>
        <w:outlineLvl w:val="2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4E07" w14:textId="77777777" w:rsidR="0062718C" w:rsidRDefault="0062718C">
    <w:pPr>
      <w:pStyle w:val="Header"/>
      <w:rPr>
        <w:b/>
        <w:sz w:val="28"/>
      </w:rPr>
    </w:pPr>
    <w:r>
      <w:rPr>
        <w:b/>
        <w:sz w:val="28"/>
      </w:rPr>
      <w:t>NORTHWEST NATURAL GAS COMPANY</w:t>
    </w:r>
  </w:p>
  <w:p w14:paraId="2A354E08" w14:textId="7360BA71" w:rsidR="0062718C" w:rsidRDefault="0062718C">
    <w:pPr>
      <w:pStyle w:val="Header"/>
      <w:rPr>
        <w:sz w:val="22"/>
      </w:rPr>
    </w:pPr>
    <w:r>
      <w:rPr>
        <w:sz w:val="22"/>
      </w:rPr>
      <w:t>WN U-6</w:t>
    </w:r>
    <w:r>
      <w:rPr>
        <w:sz w:val="22"/>
      </w:rPr>
      <w:tab/>
    </w:r>
    <w:r w:rsidR="000C579A">
      <w:rPr>
        <w:sz w:val="22"/>
      </w:rPr>
      <w:t xml:space="preserve">Sixth </w:t>
    </w:r>
    <w:r>
      <w:rPr>
        <w:sz w:val="22"/>
      </w:rPr>
      <w:t>Revision of Sheet iii</w:t>
    </w:r>
  </w:p>
  <w:p w14:paraId="2A354E09" w14:textId="60DD8932" w:rsidR="0062718C" w:rsidRDefault="0062718C">
    <w:pPr>
      <w:pStyle w:val="Header"/>
      <w:rPr>
        <w:sz w:val="22"/>
      </w:rPr>
    </w:pPr>
    <w:r>
      <w:rPr>
        <w:sz w:val="22"/>
      </w:rPr>
      <w:t xml:space="preserve">Cancels </w:t>
    </w:r>
    <w:r w:rsidR="000C579A">
      <w:rPr>
        <w:sz w:val="22"/>
      </w:rPr>
      <w:t xml:space="preserve">Fifth </w:t>
    </w:r>
    <w:r>
      <w:rPr>
        <w:sz w:val="22"/>
      </w:rPr>
      <w:t>Revision of Sheet iii</w:t>
    </w:r>
  </w:p>
  <w:p w14:paraId="2A354E0A" w14:textId="77777777" w:rsidR="0062718C" w:rsidRDefault="0062718C">
    <w:pPr>
      <w:pStyle w:val="Header"/>
      <w:pBdr>
        <w:bottom w:val="doub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1"/>
    <w:rsid w:val="000C579A"/>
    <w:rsid w:val="000D3D9D"/>
    <w:rsid w:val="001537BC"/>
    <w:rsid w:val="001C019C"/>
    <w:rsid w:val="001E39EF"/>
    <w:rsid w:val="00340707"/>
    <w:rsid w:val="00384159"/>
    <w:rsid w:val="003D3C00"/>
    <w:rsid w:val="003F36DC"/>
    <w:rsid w:val="00574756"/>
    <w:rsid w:val="005C3C21"/>
    <w:rsid w:val="0062718C"/>
    <w:rsid w:val="006614BC"/>
    <w:rsid w:val="006E3226"/>
    <w:rsid w:val="006F0B6C"/>
    <w:rsid w:val="00715684"/>
    <w:rsid w:val="007A3F0B"/>
    <w:rsid w:val="007B045C"/>
    <w:rsid w:val="007E5D26"/>
    <w:rsid w:val="007F2D73"/>
    <w:rsid w:val="00AB607E"/>
    <w:rsid w:val="00C504E6"/>
    <w:rsid w:val="00CD509F"/>
    <w:rsid w:val="00D45781"/>
    <w:rsid w:val="00D91136"/>
    <w:rsid w:val="00F52888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2A354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2015-03-09T07:00:00+00:00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150409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D89D860F3CFF4D81BC479198698E4D" ma:contentTypeVersion="111" ma:contentTypeDescription="" ma:contentTypeScope="" ma:versionID="61ab953352833e06ce70a68c4831cb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339E2-6BEB-4A16-91CE-BACF31A3DB44}"/>
</file>

<file path=customXml/itemProps2.xml><?xml version="1.0" encoding="utf-8"?>
<ds:datastoreItem xmlns:ds="http://schemas.openxmlformats.org/officeDocument/2006/customXml" ds:itemID="{2FDC64E7-0057-4A56-9C93-830979BB645E}"/>
</file>

<file path=customXml/itemProps3.xml><?xml version="1.0" encoding="utf-8"?>
<ds:datastoreItem xmlns:ds="http://schemas.openxmlformats.org/officeDocument/2006/customXml" ds:itemID="{65EE993D-E676-4261-8EFF-E9B2341740A6}"/>
</file>

<file path=customXml/itemProps4.xml><?xml version="1.0" encoding="utf-8"?>
<ds:datastoreItem xmlns:ds="http://schemas.openxmlformats.org/officeDocument/2006/customXml" ds:itemID="{A93E3B34-546C-4A09-8CD0-6624E378B596}"/>
</file>

<file path=customXml/itemProps5.xml><?xml version="1.0" encoding="utf-8"?>
<ds:datastoreItem xmlns:ds="http://schemas.openxmlformats.org/officeDocument/2006/customXml" ds:itemID="{823A4047-BC6D-4B75-BE8B-51B19FE29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kcm</dc:creator>
  <cp:lastModifiedBy>King, Onita</cp:lastModifiedBy>
  <cp:revision>4</cp:revision>
  <cp:lastPrinted>2015-03-09T20:06:00Z</cp:lastPrinted>
  <dcterms:created xsi:type="dcterms:W3CDTF">2015-03-07T21:54:00Z</dcterms:created>
  <dcterms:modified xsi:type="dcterms:W3CDTF">2015-05-12T18:38:00Z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5ee78f6a-2482-4aae-93c0-a0ae79d5624d</vt:lpwstr>
  </property>
  <property fmtid="{D5CDD505-2E9C-101B-9397-08002B2CF9AE}" pid="3" name="ContentTypeId">
    <vt:lpwstr>0x0101006E56B4D1795A2E4DB2F0B01679ED314A0005D89D860F3CFF4D81BC479198698E4D</vt:lpwstr>
  </property>
  <property fmtid="{D5CDD505-2E9C-101B-9397-08002B2CF9AE}" pid="4" name="_docset_NoMedatataSyncRequired">
    <vt:lpwstr>False</vt:lpwstr>
  </property>
</Properties>
</file>