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FB" w:rsidRPr="00E430C1" w:rsidRDefault="007327FB" w:rsidP="007327FB">
      <w:pPr>
        <w:jc w:val="center"/>
        <w:rPr>
          <w:rFonts w:ascii="Times New Roman" w:hAnsi="Times New Roman" w:cs="Times New Roman"/>
          <w:b/>
          <w:sz w:val="24"/>
          <w:szCs w:val="24"/>
        </w:rPr>
      </w:pPr>
      <w:bookmarkStart w:id="0" w:name="_GoBack"/>
      <w:bookmarkEnd w:id="0"/>
      <w:r w:rsidRPr="00E430C1">
        <w:rPr>
          <w:rFonts w:ascii="Times New Roman" w:hAnsi="Times New Roman" w:cs="Times New Roman"/>
          <w:b/>
          <w:sz w:val="24"/>
          <w:szCs w:val="24"/>
        </w:rPr>
        <w:t>UTC STAFF COMMENTS REGARDING ELECTRIC UTILITY REPORTS ON</w:t>
      </w:r>
    </w:p>
    <w:p w:rsidR="007327FB" w:rsidRPr="00E430C1" w:rsidRDefault="007327FB" w:rsidP="007327FB">
      <w:pPr>
        <w:jc w:val="center"/>
        <w:rPr>
          <w:rFonts w:ascii="Times New Roman" w:hAnsi="Times New Roman" w:cs="Times New Roman"/>
          <w:b/>
          <w:sz w:val="24"/>
          <w:szCs w:val="24"/>
        </w:rPr>
      </w:pPr>
      <w:r w:rsidRPr="00E430C1">
        <w:rPr>
          <w:rFonts w:ascii="Times New Roman" w:hAnsi="Times New Roman" w:cs="Times New Roman"/>
          <w:b/>
          <w:sz w:val="24"/>
          <w:szCs w:val="24"/>
        </w:rPr>
        <w:t xml:space="preserve">TEN-YEAR ACHIEVABLE CONSERVATION POTENTIAL AND </w:t>
      </w:r>
    </w:p>
    <w:p w:rsidR="007327FB" w:rsidRPr="00E430C1" w:rsidRDefault="007327FB" w:rsidP="007327FB">
      <w:pPr>
        <w:jc w:val="center"/>
        <w:rPr>
          <w:rFonts w:ascii="Times New Roman" w:hAnsi="Times New Roman" w:cs="Times New Roman"/>
          <w:b/>
          <w:sz w:val="24"/>
          <w:szCs w:val="24"/>
        </w:rPr>
      </w:pPr>
      <w:r w:rsidRPr="00E430C1">
        <w:rPr>
          <w:rFonts w:ascii="Times New Roman" w:hAnsi="Times New Roman" w:cs="Times New Roman"/>
          <w:b/>
          <w:sz w:val="24"/>
          <w:szCs w:val="24"/>
        </w:rPr>
        <w:t>BIENNIAL CONSERVATION TARGETS</w:t>
      </w:r>
    </w:p>
    <w:p w:rsidR="007327FB" w:rsidRPr="00E430C1" w:rsidRDefault="007327FB" w:rsidP="007327FB">
      <w:pPr>
        <w:jc w:val="center"/>
        <w:rPr>
          <w:rFonts w:ascii="Times New Roman" w:hAnsi="Times New Roman" w:cs="Times New Roman"/>
          <w:b/>
          <w:sz w:val="24"/>
          <w:szCs w:val="24"/>
        </w:rPr>
      </w:pPr>
    </w:p>
    <w:p w:rsidR="007327FB" w:rsidRPr="00E430C1" w:rsidRDefault="007327FB" w:rsidP="007327FB">
      <w:pPr>
        <w:jc w:val="center"/>
        <w:rPr>
          <w:rFonts w:ascii="Times New Roman" w:hAnsi="Times New Roman" w:cs="Times New Roman"/>
          <w:b/>
          <w:sz w:val="24"/>
          <w:szCs w:val="24"/>
        </w:rPr>
      </w:pPr>
      <w:r w:rsidRPr="00E430C1">
        <w:rPr>
          <w:rFonts w:ascii="Times New Roman" w:hAnsi="Times New Roman" w:cs="Times New Roman"/>
          <w:b/>
          <w:sz w:val="24"/>
          <w:szCs w:val="24"/>
        </w:rPr>
        <w:t>DOCKET UE-132043 (PUGET SOUND ENERGY)</w:t>
      </w:r>
    </w:p>
    <w:p w:rsidR="007327FB" w:rsidRPr="00E430C1" w:rsidRDefault="007327FB" w:rsidP="007327FB">
      <w:pPr>
        <w:jc w:val="center"/>
        <w:rPr>
          <w:rFonts w:ascii="Times New Roman" w:hAnsi="Times New Roman" w:cs="Times New Roman"/>
          <w:b/>
          <w:sz w:val="24"/>
          <w:szCs w:val="24"/>
        </w:rPr>
      </w:pPr>
    </w:p>
    <w:p w:rsidR="007327FB" w:rsidRPr="00E430C1" w:rsidRDefault="007327FB" w:rsidP="007327FB">
      <w:pPr>
        <w:jc w:val="center"/>
        <w:rPr>
          <w:rFonts w:ascii="Times New Roman" w:hAnsi="Times New Roman" w:cs="Times New Roman"/>
          <w:b/>
          <w:sz w:val="24"/>
          <w:szCs w:val="24"/>
        </w:rPr>
      </w:pPr>
      <w:r w:rsidRPr="00E430C1">
        <w:rPr>
          <w:rFonts w:ascii="Times New Roman" w:hAnsi="Times New Roman" w:cs="Times New Roman"/>
          <w:b/>
          <w:sz w:val="24"/>
          <w:szCs w:val="24"/>
        </w:rPr>
        <w:t>DOCKET UE-132045 (AVISTA)</w:t>
      </w:r>
    </w:p>
    <w:p w:rsidR="007327FB" w:rsidRPr="00E430C1" w:rsidRDefault="007327FB" w:rsidP="007327FB">
      <w:pPr>
        <w:jc w:val="center"/>
        <w:rPr>
          <w:rFonts w:ascii="Times New Roman" w:hAnsi="Times New Roman" w:cs="Times New Roman"/>
          <w:b/>
          <w:sz w:val="24"/>
          <w:szCs w:val="24"/>
        </w:rPr>
      </w:pPr>
    </w:p>
    <w:p w:rsidR="007327FB" w:rsidRPr="00E430C1" w:rsidRDefault="007327FB" w:rsidP="007327FB">
      <w:pPr>
        <w:jc w:val="center"/>
        <w:rPr>
          <w:rFonts w:ascii="Times New Roman" w:hAnsi="Times New Roman" w:cs="Times New Roman"/>
          <w:b/>
          <w:sz w:val="24"/>
          <w:szCs w:val="24"/>
        </w:rPr>
      </w:pPr>
      <w:r w:rsidRPr="00E430C1">
        <w:rPr>
          <w:rFonts w:ascii="Times New Roman" w:hAnsi="Times New Roman" w:cs="Times New Roman"/>
          <w:b/>
          <w:sz w:val="24"/>
          <w:szCs w:val="24"/>
        </w:rPr>
        <w:t>DOCKET UE-132047 (PACIFICORP)</w:t>
      </w:r>
    </w:p>
    <w:p w:rsidR="007327FB" w:rsidRPr="00E430C1" w:rsidRDefault="007327FB" w:rsidP="007327FB">
      <w:pPr>
        <w:jc w:val="center"/>
        <w:rPr>
          <w:rFonts w:ascii="Times New Roman" w:hAnsi="Times New Roman" w:cs="Times New Roman"/>
          <w:b/>
          <w:sz w:val="24"/>
          <w:szCs w:val="24"/>
          <w:u w:val="single"/>
        </w:rPr>
      </w:pPr>
    </w:p>
    <w:sdt>
      <w:sdtPr>
        <w:rPr>
          <w:rFonts w:asciiTheme="minorHAnsi" w:eastAsiaTheme="minorHAnsi" w:hAnsiTheme="minorHAnsi" w:cstheme="minorBidi"/>
          <w:b w:val="0"/>
          <w:bCs w:val="0"/>
          <w:sz w:val="22"/>
          <w:szCs w:val="22"/>
          <w:lang w:eastAsia="en-US"/>
        </w:rPr>
        <w:id w:val="1306207124"/>
        <w:docPartObj>
          <w:docPartGallery w:val="Table of Contents"/>
          <w:docPartUnique/>
        </w:docPartObj>
      </w:sdtPr>
      <w:sdtEndPr>
        <w:rPr>
          <w:noProof/>
        </w:rPr>
      </w:sdtEndPr>
      <w:sdtContent>
        <w:p w:rsidR="007327FB" w:rsidRPr="00280F4C" w:rsidRDefault="007327FB" w:rsidP="00646B2D">
          <w:pPr>
            <w:pStyle w:val="TOCHeading"/>
            <w:numPr>
              <w:ilvl w:val="0"/>
              <w:numId w:val="0"/>
            </w:numPr>
            <w:ind w:left="1080"/>
          </w:pPr>
          <w:r w:rsidRPr="00280F4C">
            <w:t>Table of Contents</w:t>
          </w:r>
        </w:p>
        <w:p w:rsidR="00280F4C" w:rsidRPr="00280F4C" w:rsidRDefault="007327FB">
          <w:pPr>
            <w:pStyle w:val="TOC1"/>
            <w:tabs>
              <w:tab w:val="left" w:pos="440"/>
              <w:tab w:val="right" w:leader="dot" w:pos="9350"/>
            </w:tabs>
            <w:rPr>
              <w:rFonts w:ascii="Times New Roman" w:eastAsiaTheme="minorEastAsia" w:hAnsi="Times New Roman" w:cs="Times New Roman"/>
              <w:noProof/>
            </w:rPr>
          </w:pPr>
          <w:r w:rsidRPr="00280F4C">
            <w:rPr>
              <w:rFonts w:ascii="Times New Roman" w:hAnsi="Times New Roman" w:cs="Times New Roman"/>
              <w:sz w:val="24"/>
              <w:szCs w:val="24"/>
            </w:rPr>
            <w:fldChar w:fldCharType="begin"/>
          </w:r>
          <w:r w:rsidRPr="00280F4C">
            <w:rPr>
              <w:rFonts w:ascii="Times New Roman" w:hAnsi="Times New Roman" w:cs="Times New Roman"/>
              <w:sz w:val="24"/>
              <w:szCs w:val="24"/>
            </w:rPr>
            <w:instrText xml:space="preserve"> TOC \o "1-3" \h \z \u </w:instrText>
          </w:r>
          <w:r w:rsidRPr="00280F4C">
            <w:rPr>
              <w:rFonts w:ascii="Times New Roman" w:hAnsi="Times New Roman" w:cs="Times New Roman"/>
              <w:sz w:val="24"/>
              <w:szCs w:val="24"/>
            </w:rPr>
            <w:fldChar w:fldCharType="separate"/>
          </w:r>
          <w:hyperlink w:anchor="_Toc373834548" w:history="1">
            <w:r w:rsidR="00280F4C" w:rsidRPr="00280F4C">
              <w:rPr>
                <w:rStyle w:val="Hyperlink"/>
                <w:rFonts w:ascii="Times New Roman" w:hAnsi="Times New Roman" w:cs="Times New Roman"/>
                <w:noProof/>
              </w:rPr>
              <w:t>I.</w:t>
            </w:r>
            <w:r w:rsidR="00280F4C" w:rsidRPr="00280F4C">
              <w:rPr>
                <w:rFonts w:ascii="Times New Roman" w:eastAsiaTheme="minorEastAsia" w:hAnsi="Times New Roman" w:cs="Times New Roman"/>
                <w:noProof/>
              </w:rPr>
              <w:tab/>
            </w:r>
            <w:r w:rsidR="00280F4C" w:rsidRPr="00280F4C">
              <w:rPr>
                <w:rStyle w:val="Hyperlink"/>
                <w:rFonts w:ascii="Times New Roman" w:hAnsi="Times New Roman" w:cs="Times New Roman"/>
                <w:noProof/>
              </w:rPr>
              <w:t>BACKGROUND</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_Toc373834548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sidR="00F60B1A">
              <w:rPr>
                <w:rFonts w:ascii="Times New Roman" w:hAnsi="Times New Roman" w:cs="Times New Roman"/>
                <w:noProof/>
                <w:webHidden/>
              </w:rPr>
              <w:t>2</w:t>
            </w:r>
            <w:r w:rsidR="00280F4C" w:rsidRPr="00280F4C">
              <w:rPr>
                <w:rFonts w:ascii="Times New Roman" w:hAnsi="Times New Roman" w:cs="Times New Roman"/>
                <w:noProof/>
                <w:webHidden/>
              </w:rPr>
              <w:fldChar w:fldCharType="end"/>
            </w:r>
          </w:hyperlink>
        </w:p>
        <w:p w:rsidR="00280F4C" w:rsidRPr="00280F4C" w:rsidRDefault="00F60B1A">
          <w:pPr>
            <w:pStyle w:val="TOC1"/>
            <w:tabs>
              <w:tab w:val="left" w:pos="440"/>
              <w:tab w:val="right" w:leader="dot" w:pos="9350"/>
            </w:tabs>
            <w:rPr>
              <w:rFonts w:ascii="Times New Roman" w:eastAsiaTheme="minorEastAsia" w:hAnsi="Times New Roman" w:cs="Times New Roman"/>
              <w:noProof/>
            </w:rPr>
          </w:pPr>
          <w:hyperlink w:anchor="_Toc373834549" w:history="1">
            <w:r w:rsidR="00280F4C" w:rsidRPr="00280F4C">
              <w:rPr>
                <w:rStyle w:val="Hyperlink"/>
                <w:rFonts w:ascii="Times New Roman" w:hAnsi="Times New Roman" w:cs="Times New Roman"/>
                <w:noProof/>
              </w:rPr>
              <w:t>II.</w:t>
            </w:r>
            <w:r w:rsidR="00280F4C" w:rsidRPr="00280F4C">
              <w:rPr>
                <w:rFonts w:ascii="Times New Roman" w:eastAsiaTheme="minorEastAsia" w:hAnsi="Times New Roman" w:cs="Times New Roman"/>
                <w:noProof/>
              </w:rPr>
              <w:tab/>
            </w:r>
            <w:r w:rsidR="00280F4C" w:rsidRPr="00280F4C">
              <w:rPr>
                <w:rStyle w:val="Hyperlink"/>
                <w:rFonts w:ascii="Times New Roman" w:hAnsi="Times New Roman" w:cs="Times New Roman"/>
                <w:noProof/>
              </w:rPr>
              <w:t>TARGET SETTING</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_Toc373834549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2</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50" w:history="1">
            <w:r w:rsidR="00280F4C" w:rsidRPr="00280F4C">
              <w:rPr>
                <w:rStyle w:val="Hyperlink"/>
                <w:rFonts w:ascii="Times New Roman" w:hAnsi="Times New Roman" w:cs="Times New Roman"/>
                <w:noProof/>
              </w:rPr>
              <w:t>Conservation Potential Assessments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_Toc373834550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2</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51" w:history="1">
            <w:r w:rsidR="00280F4C" w:rsidRPr="00280F4C">
              <w:rPr>
                <w:rStyle w:val="Hyperlink"/>
                <w:rFonts w:ascii="Times New Roman" w:hAnsi="Times New Roman" w:cs="Times New Roman"/>
                <w:noProof/>
              </w:rPr>
              <w:t>Review of Conservation Potential Assessments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_Toc373834551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3</w:t>
            </w:r>
            <w:r w:rsidR="00280F4C" w:rsidRPr="00280F4C">
              <w:rPr>
                <w:rFonts w:ascii="Times New Roman" w:hAnsi="Times New Roman" w:cs="Times New Roman"/>
                <w:noProof/>
                <w:webHidden/>
              </w:rPr>
              <w:fldChar w:fldCharType="end"/>
            </w:r>
          </w:hyperlink>
        </w:p>
        <w:p w:rsidR="00280F4C" w:rsidRPr="00280F4C" w:rsidRDefault="00F60B1A">
          <w:pPr>
            <w:pStyle w:val="TOC3"/>
            <w:tabs>
              <w:tab w:val="right" w:leader="dot" w:pos="9350"/>
            </w:tabs>
            <w:rPr>
              <w:rFonts w:ascii="Times New Roman" w:eastAsiaTheme="minorEastAsia" w:hAnsi="Times New Roman" w:cs="Times New Roman"/>
              <w:noProof/>
            </w:rPr>
          </w:pPr>
          <w:hyperlink w:anchor="_Toc373834552" w:history="1">
            <w:r w:rsidR="00280F4C" w:rsidRPr="00280F4C">
              <w:rPr>
                <w:rStyle w:val="Hyperlink"/>
                <w:rFonts w:ascii="Times New Roman" w:hAnsi="Times New Roman" w:cs="Times New Roman"/>
                <w:noProof/>
              </w:rPr>
              <w:t>Puget Sound Energy</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_Toc373834552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4</w:t>
            </w:r>
            <w:r w:rsidR="00280F4C" w:rsidRPr="00280F4C">
              <w:rPr>
                <w:rFonts w:ascii="Times New Roman" w:hAnsi="Times New Roman" w:cs="Times New Roman"/>
                <w:noProof/>
                <w:webHidden/>
              </w:rPr>
              <w:fldChar w:fldCharType="end"/>
            </w:r>
          </w:hyperlink>
        </w:p>
        <w:p w:rsidR="00280F4C" w:rsidRPr="00280F4C" w:rsidRDefault="00F60B1A">
          <w:pPr>
            <w:pStyle w:val="TOC3"/>
            <w:tabs>
              <w:tab w:val="right" w:leader="dot" w:pos="9350"/>
            </w:tabs>
            <w:rPr>
              <w:rFonts w:ascii="Times New Roman" w:eastAsiaTheme="minorEastAsia" w:hAnsi="Times New Roman" w:cs="Times New Roman"/>
              <w:noProof/>
            </w:rPr>
          </w:pPr>
          <w:hyperlink w:anchor="_Toc373834553" w:history="1">
            <w:r w:rsidR="00280F4C" w:rsidRPr="00280F4C">
              <w:rPr>
                <w:rStyle w:val="Hyperlink"/>
                <w:rFonts w:ascii="Times New Roman" w:hAnsi="Times New Roman" w:cs="Times New Roman"/>
                <w:noProof/>
              </w:rPr>
              <w:t>Avista</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_Toc373834553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4</w:t>
            </w:r>
            <w:r w:rsidR="00280F4C" w:rsidRPr="00280F4C">
              <w:rPr>
                <w:rFonts w:ascii="Times New Roman" w:hAnsi="Times New Roman" w:cs="Times New Roman"/>
                <w:noProof/>
                <w:webHidden/>
              </w:rPr>
              <w:fldChar w:fldCharType="end"/>
            </w:r>
          </w:hyperlink>
        </w:p>
        <w:p w:rsidR="00280F4C" w:rsidRPr="00280F4C" w:rsidRDefault="00F60B1A">
          <w:pPr>
            <w:pStyle w:val="TOC3"/>
            <w:tabs>
              <w:tab w:val="right" w:leader="dot" w:pos="9350"/>
            </w:tabs>
            <w:rPr>
              <w:rFonts w:ascii="Times New Roman" w:eastAsiaTheme="minorEastAsia" w:hAnsi="Times New Roman" w:cs="Times New Roman"/>
              <w:noProof/>
            </w:rPr>
          </w:pPr>
          <w:hyperlink w:anchor="_Toc373834554" w:history="1">
            <w:r w:rsidR="00280F4C" w:rsidRPr="00280F4C">
              <w:rPr>
                <w:rStyle w:val="Hyperlink"/>
                <w:rFonts w:ascii="Times New Roman" w:hAnsi="Times New Roman" w:cs="Times New Roman"/>
                <w:noProof/>
              </w:rPr>
              <w:t>PacifiCorp</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_Toc373834554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5</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55" w:history="1">
            <w:r w:rsidR="00280F4C" w:rsidRPr="00280F4C">
              <w:rPr>
                <w:rStyle w:val="Hyperlink"/>
                <w:rFonts w:ascii="Times New Roman" w:hAnsi="Times New Roman" w:cs="Times New Roman"/>
                <w:noProof/>
              </w:rPr>
              <w:t>Programs Included in Biennial Target</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_Toc373834555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5</w:t>
            </w:r>
            <w:r w:rsidR="00280F4C" w:rsidRPr="00280F4C">
              <w:rPr>
                <w:rFonts w:ascii="Times New Roman" w:hAnsi="Times New Roman" w:cs="Times New Roman"/>
                <w:noProof/>
                <w:webHidden/>
              </w:rPr>
              <w:fldChar w:fldCharType="end"/>
            </w:r>
          </w:hyperlink>
        </w:p>
        <w:p w:rsidR="00280F4C" w:rsidRPr="00280F4C" w:rsidRDefault="00F60B1A">
          <w:pPr>
            <w:pStyle w:val="TOC3"/>
            <w:tabs>
              <w:tab w:val="right" w:leader="dot" w:pos="9350"/>
            </w:tabs>
            <w:rPr>
              <w:rFonts w:ascii="Times New Roman" w:eastAsiaTheme="minorEastAsia" w:hAnsi="Times New Roman" w:cs="Times New Roman"/>
              <w:noProof/>
            </w:rPr>
          </w:pPr>
          <w:hyperlink w:anchor="_Toc373834556" w:history="1">
            <w:r w:rsidR="00280F4C" w:rsidRPr="00280F4C">
              <w:rPr>
                <w:rStyle w:val="Hyperlink"/>
                <w:rFonts w:ascii="Times New Roman" w:hAnsi="Times New Roman" w:cs="Times New Roman"/>
                <w:noProof/>
              </w:rPr>
              <w:t>NEEA Savings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_Toc373834556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6</w:t>
            </w:r>
            <w:r w:rsidR="00280F4C" w:rsidRPr="00280F4C">
              <w:rPr>
                <w:rFonts w:ascii="Times New Roman" w:hAnsi="Times New Roman" w:cs="Times New Roman"/>
                <w:noProof/>
                <w:webHidden/>
              </w:rPr>
              <w:fldChar w:fldCharType="end"/>
            </w:r>
          </w:hyperlink>
        </w:p>
        <w:p w:rsidR="00280F4C" w:rsidRPr="00280F4C" w:rsidRDefault="00F60B1A">
          <w:pPr>
            <w:pStyle w:val="TOC1"/>
            <w:tabs>
              <w:tab w:val="left" w:pos="660"/>
              <w:tab w:val="right" w:leader="dot" w:pos="9350"/>
            </w:tabs>
            <w:rPr>
              <w:rFonts w:ascii="Times New Roman" w:eastAsiaTheme="minorEastAsia" w:hAnsi="Times New Roman" w:cs="Times New Roman"/>
              <w:noProof/>
            </w:rPr>
          </w:pPr>
          <w:hyperlink w:anchor="_Toc373834557" w:history="1">
            <w:r w:rsidR="00280F4C" w:rsidRPr="00280F4C">
              <w:rPr>
                <w:rStyle w:val="Hyperlink"/>
                <w:rFonts w:ascii="Times New Roman" w:hAnsi="Times New Roman" w:cs="Times New Roman"/>
                <w:noProof/>
              </w:rPr>
              <w:t>III.</w:t>
            </w:r>
            <w:r w:rsidR="00280F4C" w:rsidRPr="00280F4C">
              <w:rPr>
                <w:rFonts w:ascii="Times New Roman" w:eastAsiaTheme="minorEastAsia" w:hAnsi="Times New Roman" w:cs="Times New Roman"/>
                <w:noProof/>
              </w:rPr>
              <w:tab/>
            </w:r>
            <w:r w:rsidR="00280F4C" w:rsidRPr="00280F4C">
              <w:rPr>
                <w:rStyle w:val="Hyperlink"/>
                <w:rFonts w:ascii="Times New Roman" w:hAnsi="Times New Roman" w:cs="Times New Roman"/>
                <w:noProof/>
              </w:rPr>
              <w:t>COMPANY TARGETS AND PLANS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_Toc373834557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7</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58" w:history="1">
            <w:r w:rsidR="00280F4C" w:rsidRPr="00280F4C">
              <w:rPr>
                <w:rStyle w:val="Hyperlink"/>
                <w:rFonts w:ascii="Times New Roman" w:hAnsi="Times New Roman" w:cs="Times New Roman"/>
                <w:noProof/>
              </w:rPr>
              <w:t>Puget Sound Energy</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_Toc373834558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7</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59" w:history="1">
            <w:r w:rsidR="00280F4C" w:rsidRPr="00280F4C">
              <w:rPr>
                <w:rStyle w:val="Hyperlink"/>
                <w:rFonts w:ascii="Times New Roman" w:hAnsi="Times New Roman" w:cs="Times New Roman"/>
                <w:noProof/>
              </w:rPr>
              <w:t>Avista</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_Toc373834559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10</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60" w:history="1">
            <w:r w:rsidR="00280F4C" w:rsidRPr="00280F4C">
              <w:rPr>
                <w:rStyle w:val="Hyperlink"/>
                <w:rFonts w:ascii="Times New Roman" w:hAnsi="Times New Roman" w:cs="Times New Roman"/>
                <w:noProof/>
              </w:rPr>
              <w:t>PacifiCorp</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_Toc373834560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13</w:t>
            </w:r>
            <w:r w:rsidR="00280F4C" w:rsidRPr="00280F4C">
              <w:rPr>
                <w:rFonts w:ascii="Times New Roman" w:hAnsi="Times New Roman" w:cs="Times New Roman"/>
                <w:noProof/>
                <w:webHidden/>
              </w:rPr>
              <w:fldChar w:fldCharType="end"/>
            </w:r>
          </w:hyperlink>
        </w:p>
        <w:p w:rsidR="00280F4C" w:rsidRPr="00280F4C" w:rsidRDefault="00F60B1A">
          <w:pPr>
            <w:pStyle w:val="TOC1"/>
            <w:tabs>
              <w:tab w:val="left" w:pos="660"/>
              <w:tab w:val="right" w:leader="dot" w:pos="9350"/>
            </w:tabs>
            <w:rPr>
              <w:rFonts w:ascii="Times New Roman" w:eastAsiaTheme="minorEastAsia" w:hAnsi="Times New Roman" w:cs="Times New Roman"/>
              <w:noProof/>
            </w:rPr>
          </w:pPr>
          <w:hyperlink w:anchor="_Toc373834561" w:history="1">
            <w:r w:rsidR="00280F4C" w:rsidRPr="00280F4C">
              <w:rPr>
                <w:rStyle w:val="Hyperlink"/>
                <w:rFonts w:ascii="Times New Roman" w:hAnsi="Times New Roman" w:cs="Times New Roman"/>
                <w:noProof/>
              </w:rPr>
              <w:t>IV.</w:t>
            </w:r>
            <w:r w:rsidR="00280F4C" w:rsidRPr="00280F4C">
              <w:rPr>
                <w:rFonts w:ascii="Times New Roman" w:eastAsiaTheme="minorEastAsia" w:hAnsi="Times New Roman" w:cs="Times New Roman"/>
                <w:noProof/>
              </w:rPr>
              <w:tab/>
            </w:r>
            <w:r w:rsidR="00280F4C" w:rsidRPr="00280F4C">
              <w:rPr>
                <w:rStyle w:val="Hyperlink"/>
                <w:rFonts w:ascii="Times New Roman" w:hAnsi="Times New Roman" w:cs="Times New Roman"/>
                <w:noProof/>
              </w:rPr>
              <w:t>COMMON ISSUES IN PROGRAM IMPLEMENTATION</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_Toc373834561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15</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62" w:history="1">
            <w:r w:rsidR="00280F4C" w:rsidRPr="00280F4C">
              <w:rPr>
                <w:rStyle w:val="Hyperlink"/>
                <w:rFonts w:ascii="Times New Roman" w:hAnsi="Times New Roman" w:cs="Times New Roman"/>
                <w:noProof/>
              </w:rPr>
              <w:t>Opower savings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_Toc373834562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15</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63" w:history="1">
            <w:r w:rsidR="00280F4C" w:rsidRPr="00280F4C">
              <w:rPr>
                <w:rStyle w:val="Hyperlink"/>
                <w:rFonts w:ascii="Times New Roman" w:hAnsi="Times New Roman" w:cs="Times New Roman"/>
                <w:noProof/>
              </w:rPr>
              <w:t>Locked Unit Energy Savings (UES) values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_Toc373834563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17</w:t>
            </w:r>
            <w:r w:rsidR="00280F4C" w:rsidRPr="00280F4C">
              <w:rPr>
                <w:rFonts w:ascii="Times New Roman" w:hAnsi="Times New Roman" w:cs="Times New Roman"/>
                <w:noProof/>
                <w:webHidden/>
              </w:rPr>
              <w:fldChar w:fldCharType="end"/>
            </w:r>
          </w:hyperlink>
        </w:p>
        <w:p w:rsidR="00280F4C" w:rsidRPr="00280F4C" w:rsidRDefault="00F60B1A">
          <w:pPr>
            <w:pStyle w:val="TOC1"/>
            <w:tabs>
              <w:tab w:val="left" w:pos="440"/>
              <w:tab w:val="right" w:leader="dot" w:pos="9350"/>
            </w:tabs>
            <w:rPr>
              <w:rFonts w:ascii="Times New Roman" w:eastAsiaTheme="minorEastAsia" w:hAnsi="Times New Roman" w:cs="Times New Roman"/>
              <w:noProof/>
            </w:rPr>
          </w:pPr>
          <w:hyperlink w:anchor="_Toc373834564" w:history="1">
            <w:r w:rsidR="00280F4C" w:rsidRPr="00280F4C">
              <w:rPr>
                <w:rStyle w:val="Hyperlink"/>
                <w:rFonts w:ascii="Times New Roman" w:hAnsi="Times New Roman" w:cs="Times New Roman"/>
                <w:noProof/>
              </w:rPr>
              <w:t>V.</w:t>
            </w:r>
            <w:r w:rsidR="00280F4C" w:rsidRPr="00280F4C">
              <w:rPr>
                <w:rFonts w:ascii="Times New Roman" w:eastAsiaTheme="minorEastAsia" w:hAnsi="Times New Roman" w:cs="Times New Roman"/>
                <w:noProof/>
              </w:rPr>
              <w:tab/>
            </w:r>
            <w:r w:rsidR="00280F4C" w:rsidRPr="00280F4C">
              <w:rPr>
                <w:rStyle w:val="Hyperlink"/>
                <w:rFonts w:ascii="Times New Roman" w:hAnsi="Times New Roman" w:cs="Times New Roman"/>
                <w:noProof/>
              </w:rPr>
              <w:t>CONCLUSION</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_Toc373834564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18</w:t>
            </w:r>
            <w:r w:rsidR="00280F4C" w:rsidRPr="00280F4C">
              <w:rPr>
                <w:rFonts w:ascii="Times New Roman" w:hAnsi="Times New Roman" w:cs="Times New Roman"/>
                <w:noProof/>
                <w:webHidden/>
              </w:rPr>
              <w:fldChar w:fldCharType="end"/>
            </w:r>
          </w:hyperlink>
        </w:p>
        <w:p w:rsidR="007327FB" w:rsidRPr="00E430C1" w:rsidRDefault="007327FB" w:rsidP="007327FB">
          <w:pPr>
            <w:rPr>
              <w:rFonts w:ascii="Times New Roman" w:hAnsi="Times New Roman" w:cs="Times New Roman"/>
              <w:sz w:val="24"/>
              <w:szCs w:val="24"/>
            </w:rPr>
          </w:pPr>
          <w:r w:rsidRPr="00280F4C">
            <w:rPr>
              <w:rFonts w:ascii="Times New Roman" w:hAnsi="Times New Roman" w:cs="Times New Roman"/>
              <w:b/>
              <w:bCs/>
              <w:noProof/>
              <w:sz w:val="24"/>
              <w:szCs w:val="24"/>
            </w:rPr>
            <w:fldChar w:fldCharType="end"/>
          </w:r>
        </w:p>
      </w:sdtContent>
    </w:sdt>
    <w:p w:rsidR="00761F04" w:rsidRDefault="00761F04">
      <w:pPr>
        <w:pStyle w:val="TableofFigures"/>
        <w:tabs>
          <w:tab w:val="right" w:leader="dot" w:pos="9350"/>
        </w:tabs>
        <w:rPr>
          <w:rStyle w:val="Strong"/>
          <w:rFonts w:ascii="Times New Roman" w:hAnsi="Times New Roman" w:cs="Times New Roman"/>
          <w:b w:val="0"/>
          <w:bCs w:val="0"/>
          <w:sz w:val="24"/>
          <w:szCs w:val="24"/>
          <w:lang w:eastAsia="ja-JP"/>
        </w:rPr>
      </w:pPr>
    </w:p>
    <w:p w:rsidR="00761F04" w:rsidRPr="00761F04" w:rsidRDefault="00761F04">
      <w:pPr>
        <w:pStyle w:val="TableofFigures"/>
        <w:tabs>
          <w:tab w:val="right" w:leader="dot" w:pos="9350"/>
        </w:tabs>
        <w:rPr>
          <w:rStyle w:val="Strong"/>
          <w:rFonts w:ascii="Times New Roman" w:hAnsi="Times New Roman" w:cs="Times New Roman"/>
          <w:bCs w:val="0"/>
          <w:sz w:val="24"/>
          <w:szCs w:val="24"/>
          <w:lang w:eastAsia="ja-JP"/>
        </w:rPr>
      </w:pPr>
      <w:r>
        <w:rPr>
          <w:rStyle w:val="Strong"/>
          <w:rFonts w:ascii="Times New Roman" w:hAnsi="Times New Roman" w:cs="Times New Roman"/>
          <w:bCs w:val="0"/>
          <w:sz w:val="24"/>
          <w:szCs w:val="24"/>
          <w:lang w:eastAsia="ja-JP"/>
        </w:rPr>
        <w:t>List of Tables</w:t>
      </w:r>
    </w:p>
    <w:p w:rsidR="00761F04" w:rsidRPr="00761F04" w:rsidRDefault="00761F04" w:rsidP="00761F04">
      <w:pPr>
        <w:rPr>
          <w:lang w:eastAsia="ja-JP"/>
        </w:rPr>
      </w:pPr>
    </w:p>
    <w:p w:rsidR="00761F04" w:rsidRPr="00761F04" w:rsidRDefault="00761F04">
      <w:pPr>
        <w:pStyle w:val="TableofFigures"/>
        <w:tabs>
          <w:tab w:val="right" w:leader="dot" w:pos="9350"/>
        </w:tabs>
        <w:rPr>
          <w:rFonts w:ascii="Times New Roman" w:hAnsi="Times New Roman" w:cs="Times New Roman"/>
          <w:noProof/>
          <w:sz w:val="24"/>
          <w:szCs w:val="24"/>
        </w:rPr>
      </w:pPr>
      <w:r w:rsidRPr="00761F04">
        <w:rPr>
          <w:rStyle w:val="Strong"/>
          <w:rFonts w:ascii="Times New Roman" w:hAnsi="Times New Roman" w:cs="Times New Roman"/>
          <w:b w:val="0"/>
          <w:bCs w:val="0"/>
          <w:sz w:val="24"/>
          <w:szCs w:val="24"/>
          <w:lang w:eastAsia="ja-JP"/>
        </w:rPr>
        <w:fldChar w:fldCharType="begin"/>
      </w:r>
      <w:r w:rsidRPr="00761F04">
        <w:rPr>
          <w:rStyle w:val="Strong"/>
          <w:rFonts w:ascii="Times New Roman" w:hAnsi="Times New Roman" w:cs="Times New Roman"/>
          <w:b w:val="0"/>
          <w:bCs w:val="0"/>
          <w:sz w:val="24"/>
          <w:szCs w:val="24"/>
          <w:lang w:eastAsia="ja-JP"/>
        </w:rPr>
        <w:instrText xml:space="preserve"> TOC \h \z \c "Table" </w:instrText>
      </w:r>
      <w:r w:rsidRPr="00761F04">
        <w:rPr>
          <w:rStyle w:val="Strong"/>
          <w:rFonts w:ascii="Times New Roman" w:hAnsi="Times New Roman" w:cs="Times New Roman"/>
          <w:b w:val="0"/>
          <w:bCs w:val="0"/>
          <w:sz w:val="24"/>
          <w:szCs w:val="24"/>
          <w:lang w:eastAsia="ja-JP"/>
        </w:rPr>
        <w:fldChar w:fldCharType="separate"/>
      </w:r>
      <w:hyperlink w:anchor="_Toc373818913" w:history="1">
        <w:r w:rsidRPr="00761F04">
          <w:rPr>
            <w:rStyle w:val="Hyperlink"/>
            <w:rFonts w:ascii="Times New Roman" w:hAnsi="Times New Roman" w:cs="Times New Roman"/>
            <w:noProof/>
            <w:sz w:val="24"/>
            <w:szCs w:val="24"/>
          </w:rPr>
          <w:t>Table 1. PSE Conservation Savings and Budgets</w:t>
        </w:r>
        <w:r w:rsidRPr="00761F04">
          <w:rPr>
            <w:rFonts w:ascii="Times New Roman" w:hAnsi="Times New Roman" w:cs="Times New Roman"/>
            <w:noProof/>
            <w:webHidden/>
            <w:sz w:val="24"/>
            <w:szCs w:val="24"/>
          </w:rPr>
          <w:tab/>
        </w:r>
        <w:r w:rsidRPr="00761F04">
          <w:rPr>
            <w:rFonts w:ascii="Times New Roman" w:hAnsi="Times New Roman" w:cs="Times New Roman"/>
            <w:noProof/>
            <w:webHidden/>
            <w:sz w:val="24"/>
            <w:szCs w:val="24"/>
          </w:rPr>
          <w:fldChar w:fldCharType="begin"/>
        </w:r>
        <w:r w:rsidRPr="00761F04">
          <w:rPr>
            <w:rFonts w:ascii="Times New Roman" w:hAnsi="Times New Roman" w:cs="Times New Roman"/>
            <w:noProof/>
            <w:webHidden/>
            <w:sz w:val="24"/>
            <w:szCs w:val="24"/>
          </w:rPr>
          <w:instrText xml:space="preserve"> PAGEREF _Toc373818913 \h </w:instrText>
        </w:r>
        <w:r w:rsidRPr="00761F04">
          <w:rPr>
            <w:rFonts w:ascii="Times New Roman" w:hAnsi="Times New Roman" w:cs="Times New Roman"/>
            <w:noProof/>
            <w:webHidden/>
            <w:sz w:val="24"/>
            <w:szCs w:val="24"/>
          </w:rPr>
        </w:r>
        <w:r w:rsidRPr="00761F04">
          <w:rPr>
            <w:rFonts w:ascii="Times New Roman" w:hAnsi="Times New Roman" w:cs="Times New Roman"/>
            <w:noProof/>
            <w:webHidden/>
            <w:sz w:val="24"/>
            <w:szCs w:val="24"/>
          </w:rPr>
          <w:fldChar w:fldCharType="separate"/>
        </w:r>
        <w:r w:rsidR="00F60B1A">
          <w:rPr>
            <w:rFonts w:ascii="Times New Roman" w:hAnsi="Times New Roman" w:cs="Times New Roman"/>
            <w:noProof/>
            <w:webHidden/>
            <w:sz w:val="24"/>
            <w:szCs w:val="24"/>
          </w:rPr>
          <w:t>8</w:t>
        </w:r>
        <w:r w:rsidRPr="00761F04">
          <w:rPr>
            <w:rFonts w:ascii="Times New Roman" w:hAnsi="Times New Roman" w:cs="Times New Roman"/>
            <w:noProof/>
            <w:webHidden/>
            <w:sz w:val="24"/>
            <w:szCs w:val="24"/>
          </w:rPr>
          <w:fldChar w:fldCharType="end"/>
        </w:r>
      </w:hyperlink>
    </w:p>
    <w:p w:rsidR="00761F04" w:rsidRPr="00761F04" w:rsidRDefault="00F60B1A">
      <w:pPr>
        <w:pStyle w:val="TableofFigures"/>
        <w:tabs>
          <w:tab w:val="right" w:leader="dot" w:pos="9350"/>
        </w:tabs>
        <w:rPr>
          <w:rFonts w:ascii="Times New Roman" w:hAnsi="Times New Roman" w:cs="Times New Roman"/>
          <w:noProof/>
          <w:sz w:val="24"/>
          <w:szCs w:val="24"/>
        </w:rPr>
      </w:pPr>
      <w:hyperlink w:anchor="_Toc373818914" w:history="1">
        <w:r w:rsidR="00761F04" w:rsidRPr="00761F04">
          <w:rPr>
            <w:rStyle w:val="Hyperlink"/>
            <w:rFonts w:ascii="Times New Roman" w:hAnsi="Times New Roman" w:cs="Times New Roman"/>
            <w:noProof/>
            <w:sz w:val="24"/>
            <w:szCs w:val="24"/>
          </w:rPr>
          <w:t>Table 2. Avista Conservation Savings and Budgets</w:t>
        </w:r>
        <w:r w:rsidR="00761F04" w:rsidRPr="00761F04">
          <w:rPr>
            <w:rFonts w:ascii="Times New Roman" w:hAnsi="Times New Roman" w:cs="Times New Roman"/>
            <w:noProof/>
            <w:webHidden/>
            <w:sz w:val="24"/>
            <w:szCs w:val="24"/>
          </w:rPr>
          <w:tab/>
        </w:r>
        <w:r w:rsidR="00761F04" w:rsidRPr="00761F04">
          <w:rPr>
            <w:rFonts w:ascii="Times New Roman" w:hAnsi="Times New Roman" w:cs="Times New Roman"/>
            <w:noProof/>
            <w:webHidden/>
            <w:sz w:val="24"/>
            <w:szCs w:val="24"/>
          </w:rPr>
          <w:fldChar w:fldCharType="begin"/>
        </w:r>
        <w:r w:rsidR="00761F04" w:rsidRPr="00761F04">
          <w:rPr>
            <w:rFonts w:ascii="Times New Roman" w:hAnsi="Times New Roman" w:cs="Times New Roman"/>
            <w:noProof/>
            <w:webHidden/>
            <w:sz w:val="24"/>
            <w:szCs w:val="24"/>
          </w:rPr>
          <w:instrText xml:space="preserve"> PAGEREF _Toc373818914 \h </w:instrText>
        </w:r>
        <w:r w:rsidR="00761F04" w:rsidRPr="00761F04">
          <w:rPr>
            <w:rFonts w:ascii="Times New Roman" w:hAnsi="Times New Roman" w:cs="Times New Roman"/>
            <w:noProof/>
            <w:webHidden/>
            <w:sz w:val="24"/>
            <w:szCs w:val="24"/>
          </w:rPr>
        </w:r>
        <w:r w:rsidR="00761F04" w:rsidRPr="00761F0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761F04" w:rsidRPr="00761F04">
          <w:rPr>
            <w:rFonts w:ascii="Times New Roman" w:hAnsi="Times New Roman" w:cs="Times New Roman"/>
            <w:noProof/>
            <w:webHidden/>
            <w:sz w:val="24"/>
            <w:szCs w:val="24"/>
          </w:rPr>
          <w:fldChar w:fldCharType="end"/>
        </w:r>
      </w:hyperlink>
    </w:p>
    <w:p w:rsidR="00761F04" w:rsidRPr="00761F04" w:rsidRDefault="00F60B1A">
      <w:pPr>
        <w:pStyle w:val="TableofFigures"/>
        <w:tabs>
          <w:tab w:val="right" w:leader="dot" w:pos="9350"/>
        </w:tabs>
        <w:rPr>
          <w:rFonts w:ascii="Times New Roman" w:hAnsi="Times New Roman" w:cs="Times New Roman"/>
          <w:noProof/>
          <w:sz w:val="24"/>
          <w:szCs w:val="24"/>
        </w:rPr>
      </w:pPr>
      <w:hyperlink w:anchor="_Toc373818915" w:history="1">
        <w:r w:rsidR="00761F04" w:rsidRPr="00761F04">
          <w:rPr>
            <w:rStyle w:val="Hyperlink"/>
            <w:rFonts w:ascii="Times New Roman" w:hAnsi="Times New Roman" w:cs="Times New Roman"/>
            <w:noProof/>
            <w:sz w:val="24"/>
            <w:szCs w:val="24"/>
          </w:rPr>
          <w:t>Table 3. PacifiCorp Conservation Savings and Budgets</w:t>
        </w:r>
        <w:r w:rsidR="00761F04" w:rsidRPr="00761F04">
          <w:rPr>
            <w:rFonts w:ascii="Times New Roman" w:hAnsi="Times New Roman" w:cs="Times New Roman"/>
            <w:noProof/>
            <w:webHidden/>
            <w:sz w:val="24"/>
            <w:szCs w:val="24"/>
          </w:rPr>
          <w:tab/>
        </w:r>
        <w:r w:rsidR="00761F04" w:rsidRPr="00761F04">
          <w:rPr>
            <w:rFonts w:ascii="Times New Roman" w:hAnsi="Times New Roman" w:cs="Times New Roman"/>
            <w:noProof/>
            <w:webHidden/>
            <w:sz w:val="24"/>
            <w:szCs w:val="24"/>
          </w:rPr>
          <w:fldChar w:fldCharType="begin"/>
        </w:r>
        <w:r w:rsidR="00761F04" w:rsidRPr="00761F04">
          <w:rPr>
            <w:rFonts w:ascii="Times New Roman" w:hAnsi="Times New Roman" w:cs="Times New Roman"/>
            <w:noProof/>
            <w:webHidden/>
            <w:sz w:val="24"/>
            <w:szCs w:val="24"/>
          </w:rPr>
          <w:instrText xml:space="preserve"> PAGEREF _Toc373818915 \h </w:instrText>
        </w:r>
        <w:r w:rsidR="00761F04" w:rsidRPr="00761F04">
          <w:rPr>
            <w:rFonts w:ascii="Times New Roman" w:hAnsi="Times New Roman" w:cs="Times New Roman"/>
            <w:noProof/>
            <w:webHidden/>
            <w:sz w:val="24"/>
            <w:szCs w:val="24"/>
          </w:rPr>
        </w:r>
        <w:r w:rsidR="00761F04" w:rsidRPr="00761F0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761F04" w:rsidRPr="00761F04">
          <w:rPr>
            <w:rFonts w:ascii="Times New Roman" w:hAnsi="Times New Roman" w:cs="Times New Roman"/>
            <w:noProof/>
            <w:webHidden/>
            <w:sz w:val="24"/>
            <w:szCs w:val="24"/>
          </w:rPr>
          <w:fldChar w:fldCharType="end"/>
        </w:r>
      </w:hyperlink>
    </w:p>
    <w:p w:rsidR="00280F4C" w:rsidRDefault="00761F04" w:rsidP="00280F4C">
      <w:pPr>
        <w:pStyle w:val="Heading1"/>
        <w:numPr>
          <w:ilvl w:val="0"/>
          <w:numId w:val="0"/>
        </w:numPr>
        <w:ind w:left="1080"/>
        <w:rPr>
          <w:rStyle w:val="Strong"/>
          <w:lang w:eastAsia="ja-JP"/>
        </w:rPr>
      </w:pPr>
      <w:r w:rsidRPr="00761F04">
        <w:rPr>
          <w:rStyle w:val="Strong"/>
          <w:lang w:eastAsia="ja-JP"/>
        </w:rPr>
        <w:fldChar w:fldCharType="end"/>
      </w:r>
      <w:bookmarkStart w:id="1" w:name="_Toc373834547"/>
      <w:bookmarkStart w:id="2" w:name="_Toc373834548"/>
      <w:bookmarkEnd w:id="1"/>
    </w:p>
    <w:p w:rsidR="00280F4C" w:rsidRDefault="00280F4C">
      <w:pPr>
        <w:rPr>
          <w:rStyle w:val="Strong"/>
          <w:rFonts w:ascii="Times New Roman" w:eastAsiaTheme="majorEastAsia" w:hAnsi="Times New Roman" w:cs="Times New Roman"/>
          <w:b w:val="0"/>
          <w:bCs w:val="0"/>
          <w:sz w:val="24"/>
          <w:szCs w:val="24"/>
          <w:lang w:eastAsia="ja-JP"/>
        </w:rPr>
      </w:pPr>
      <w:r>
        <w:rPr>
          <w:rStyle w:val="Strong"/>
          <w:lang w:eastAsia="ja-JP"/>
        </w:rPr>
        <w:br w:type="page"/>
      </w:r>
    </w:p>
    <w:p w:rsidR="007327FB" w:rsidRPr="007D7659" w:rsidRDefault="007327FB" w:rsidP="007D7659">
      <w:pPr>
        <w:pStyle w:val="Heading1"/>
        <w:rPr>
          <w:rStyle w:val="Strong"/>
          <w:b/>
          <w:bCs/>
        </w:rPr>
      </w:pPr>
      <w:r w:rsidRPr="007D7659">
        <w:rPr>
          <w:rStyle w:val="Strong"/>
          <w:b/>
          <w:bCs/>
        </w:rPr>
        <w:lastRenderedPageBreak/>
        <w:t>BACKGROUND</w:t>
      </w:r>
      <w:bookmarkEnd w:id="2"/>
    </w:p>
    <w:p w:rsidR="007327FB" w:rsidRPr="00E430C1" w:rsidRDefault="007327FB" w:rsidP="007327FB">
      <w:pPr>
        <w:rPr>
          <w:rFonts w:ascii="Times New Roman" w:hAnsi="Times New Roman" w:cs="Times New Roman"/>
          <w:b/>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On Nov. 1, 2013, Puget Sound Energy (PSE), Avista Corporation (Avista) and PacifiCorp d/b/a Pacific Power and Light Company (PacifiCorp) timely filed their respective Biennial Conservation Plans (BCPs or Plans) with the Washington Utilities and Transportation Commission (Commission), as required by </w:t>
      </w:r>
      <w:r w:rsidR="009F699B" w:rsidRPr="00E430C1">
        <w:rPr>
          <w:rFonts w:ascii="Times New Roman" w:hAnsi="Times New Roman" w:cs="Times New Roman"/>
          <w:sz w:val="24"/>
          <w:szCs w:val="24"/>
        </w:rPr>
        <w:t>the Energy Independence Act (EIA)</w:t>
      </w:r>
      <w:r w:rsidR="002D277B">
        <w:rPr>
          <w:rFonts w:ascii="Times New Roman" w:hAnsi="Times New Roman" w:cs="Times New Roman"/>
          <w:sz w:val="24"/>
          <w:szCs w:val="24"/>
        </w:rPr>
        <w:t>,</w:t>
      </w:r>
      <w:r w:rsidR="009F699B" w:rsidRPr="00E430C1">
        <w:rPr>
          <w:rStyle w:val="FootnoteReference"/>
          <w:rFonts w:ascii="Times New Roman" w:hAnsi="Times New Roman" w:cs="Times New Roman"/>
          <w:sz w:val="24"/>
          <w:szCs w:val="24"/>
        </w:rPr>
        <w:footnoteReference w:id="1"/>
      </w:r>
      <w:r w:rsidRPr="00E430C1">
        <w:rPr>
          <w:rFonts w:ascii="Times New Roman" w:hAnsi="Times New Roman" w:cs="Times New Roman"/>
          <w:sz w:val="24"/>
          <w:szCs w:val="24"/>
        </w:rPr>
        <w:t xml:space="preserve"> WAC 480-109-010, and prior Commission orders.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Commission </w:t>
      </w:r>
      <w:r w:rsidR="00926D0B">
        <w:rPr>
          <w:rFonts w:ascii="Times New Roman" w:hAnsi="Times New Roman" w:cs="Times New Roman"/>
          <w:sz w:val="24"/>
          <w:szCs w:val="24"/>
        </w:rPr>
        <w:t>s</w:t>
      </w:r>
      <w:r w:rsidR="00926D0B" w:rsidRPr="00E430C1">
        <w:rPr>
          <w:rFonts w:ascii="Times New Roman" w:hAnsi="Times New Roman" w:cs="Times New Roman"/>
          <w:sz w:val="24"/>
          <w:szCs w:val="24"/>
        </w:rPr>
        <w:t>taff</w:t>
      </w:r>
      <w:r w:rsidR="00926D0B">
        <w:rPr>
          <w:rFonts w:ascii="Times New Roman" w:hAnsi="Times New Roman" w:cs="Times New Roman"/>
          <w:sz w:val="24"/>
          <w:szCs w:val="24"/>
        </w:rPr>
        <w:t xml:space="preserve"> </w:t>
      </w:r>
      <w:r w:rsidRPr="00E430C1">
        <w:rPr>
          <w:rFonts w:ascii="Times New Roman" w:hAnsi="Times New Roman" w:cs="Times New Roman"/>
          <w:sz w:val="24"/>
          <w:szCs w:val="24"/>
        </w:rPr>
        <w:t>(Staff) participated in the development of the Plans through advisory groups for all three companies, and conducted a thorough review of the Plans as filed</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Staff’s review focused on verifying that the companies used methodologies consistent with the Northwest Power </w:t>
      </w:r>
      <w:r w:rsidR="00FD1FA2" w:rsidRPr="00E430C1">
        <w:rPr>
          <w:rFonts w:ascii="Times New Roman" w:hAnsi="Times New Roman" w:cs="Times New Roman"/>
          <w:sz w:val="24"/>
          <w:szCs w:val="24"/>
        </w:rPr>
        <w:t xml:space="preserve">and </w:t>
      </w:r>
      <w:r w:rsidRPr="00E430C1">
        <w:rPr>
          <w:rFonts w:ascii="Times New Roman" w:hAnsi="Times New Roman" w:cs="Times New Roman"/>
          <w:sz w:val="24"/>
          <w:szCs w:val="24"/>
        </w:rPr>
        <w:t>Conservation Council’s (Council) most recent Power Plan;</w:t>
      </w:r>
      <w:r w:rsidRPr="00E430C1">
        <w:rPr>
          <w:rStyle w:val="FootnoteReference"/>
          <w:rFonts w:ascii="Times New Roman" w:hAnsi="Times New Roman" w:cs="Times New Roman"/>
          <w:sz w:val="24"/>
          <w:szCs w:val="24"/>
        </w:rPr>
        <w:footnoteReference w:id="2"/>
      </w:r>
      <w:r w:rsidRPr="00E430C1">
        <w:rPr>
          <w:rFonts w:ascii="Times New Roman" w:hAnsi="Times New Roman" w:cs="Times New Roman"/>
          <w:sz w:val="24"/>
          <w:szCs w:val="24"/>
        </w:rPr>
        <w:t xml:space="preserve"> that proposed program changes </w:t>
      </w:r>
      <w:proofErr w:type="gramStart"/>
      <w:r w:rsidRPr="00E430C1">
        <w:rPr>
          <w:rFonts w:ascii="Times New Roman" w:hAnsi="Times New Roman" w:cs="Times New Roman"/>
          <w:sz w:val="24"/>
          <w:szCs w:val="24"/>
        </w:rPr>
        <w:t>are</w:t>
      </w:r>
      <w:proofErr w:type="gramEnd"/>
      <w:r w:rsidRPr="00E430C1">
        <w:rPr>
          <w:rFonts w:ascii="Times New Roman" w:hAnsi="Times New Roman" w:cs="Times New Roman"/>
          <w:sz w:val="24"/>
          <w:szCs w:val="24"/>
        </w:rPr>
        <w:t xml:space="preserve"> appropriate; and that each Plan complies with the statutory requirement to “pursue all available conservation that is cost-effective, reliable and feasible.”</w:t>
      </w:r>
      <w:r w:rsidRPr="00E430C1">
        <w:rPr>
          <w:rStyle w:val="FootnoteReference"/>
          <w:rFonts w:ascii="Times New Roman" w:hAnsi="Times New Roman" w:cs="Times New Roman"/>
          <w:sz w:val="24"/>
          <w:szCs w:val="24"/>
        </w:rPr>
        <w:footnoteReference w:id="3"/>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These comments summarize the target-setting process, and address specific issues that have emerged through the development of the BCPs and ongoing implementation of conservation programs</w:t>
      </w:r>
      <w:r w:rsidR="00DD0510" w:rsidRPr="00E430C1">
        <w:rPr>
          <w:rFonts w:ascii="Times New Roman" w:hAnsi="Times New Roman" w:cs="Times New Roman"/>
          <w:sz w:val="24"/>
          <w:szCs w:val="24"/>
        </w:rPr>
        <w:t xml:space="preserve">. </w:t>
      </w:r>
      <w:r w:rsidR="00493968" w:rsidRPr="00E430C1">
        <w:rPr>
          <w:rFonts w:ascii="Times New Roman" w:hAnsi="Times New Roman" w:cs="Times New Roman"/>
          <w:sz w:val="24"/>
          <w:szCs w:val="24"/>
        </w:rPr>
        <w:t xml:space="preserve">Staff will present </w:t>
      </w:r>
      <w:r w:rsidR="00926D0B">
        <w:rPr>
          <w:rFonts w:ascii="Times New Roman" w:hAnsi="Times New Roman" w:cs="Times New Roman"/>
          <w:sz w:val="24"/>
          <w:szCs w:val="24"/>
        </w:rPr>
        <w:t>the</w:t>
      </w:r>
      <w:r w:rsidR="00926D0B" w:rsidRPr="00E430C1">
        <w:rPr>
          <w:rFonts w:ascii="Times New Roman" w:hAnsi="Times New Roman" w:cs="Times New Roman"/>
          <w:sz w:val="24"/>
          <w:szCs w:val="24"/>
        </w:rPr>
        <w:t xml:space="preserve"> </w:t>
      </w:r>
      <w:r w:rsidR="00493968" w:rsidRPr="00E430C1">
        <w:rPr>
          <w:rFonts w:ascii="Times New Roman" w:hAnsi="Times New Roman" w:cs="Times New Roman"/>
          <w:sz w:val="24"/>
          <w:szCs w:val="24"/>
        </w:rPr>
        <w:t xml:space="preserve">final recommendations and the proposed conditions for approval </w:t>
      </w:r>
      <w:r w:rsidRPr="00E430C1">
        <w:rPr>
          <w:rFonts w:ascii="Times New Roman" w:hAnsi="Times New Roman" w:cs="Times New Roman"/>
          <w:sz w:val="24"/>
          <w:szCs w:val="24"/>
        </w:rPr>
        <w:t>at the Commission’s December 18, 2013, Open Meeting.</w:t>
      </w:r>
    </w:p>
    <w:p w:rsidR="007327FB" w:rsidRPr="00E430C1" w:rsidRDefault="007327FB" w:rsidP="007D7659">
      <w:pPr>
        <w:pStyle w:val="Heading1"/>
      </w:pPr>
      <w:bookmarkStart w:id="3" w:name="_Toc373834549"/>
      <w:r w:rsidRPr="00E430C1">
        <w:t>TARGET SETTING</w:t>
      </w:r>
      <w:bookmarkEnd w:id="3"/>
    </w:p>
    <w:p w:rsidR="007327FB" w:rsidRPr="00E430C1" w:rsidRDefault="007327FB" w:rsidP="007327FB">
      <w:pPr>
        <w:rPr>
          <w:rFonts w:ascii="Times New Roman" w:hAnsi="Times New Roman" w:cs="Times New Roman"/>
          <w:b/>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The target setting process begins with the development of the Conservation Potential Assessments (CPA), which establish the savings potential in a utility’s service territory over twenty-, ten- and two-year periods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Once the potential is set, the utilities may make necessary adjustments to derive their biennial conservation target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All three utilities made a significant adjustment to their two-year potentials to address savings claimed from the Northwest Energy Efficiency Alliance (NEEA)</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The following section discusses the CPAs and NEEA adjustments each company made in setting the 2014-2015 biennial conservation targets.</w:t>
      </w:r>
    </w:p>
    <w:p w:rsidR="00C51D0D" w:rsidRPr="00E430C1" w:rsidRDefault="00C51D0D" w:rsidP="00E36B70">
      <w:pPr>
        <w:pStyle w:val="Heading2"/>
      </w:pPr>
      <w:bookmarkStart w:id="4" w:name="_Toc373834550"/>
      <w:r w:rsidRPr="00E430C1">
        <w:t>Conservation Potential Assessments</w:t>
      </w:r>
      <w:bookmarkEnd w:id="4"/>
    </w:p>
    <w:p w:rsidR="00C51D0D" w:rsidRPr="00E430C1" w:rsidRDefault="00C51D0D" w:rsidP="00C51D0D">
      <w:pPr>
        <w:rPr>
          <w:rFonts w:ascii="Times New Roman" w:hAnsi="Times New Roman" w:cs="Times New Roman"/>
          <w:b/>
          <w:sz w:val="24"/>
          <w:szCs w:val="24"/>
        </w:rPr>
      </w:pPr>
    </w:p>
    <w:p w:rsidR="00C51D0D" w:rsidRPr="00E430C1" w:rsidRDefault="009F699B" w:rsidP="00C51D0D">
      <w:pPr>
        <w:rPr>
          <w:rFonts w:ascii="Times New Roman" w:hAnsi="Times New Roman" w:cs="Times New Roman"/>
          <w:sz w:val="24"/>
          <w:szCs w:val="24"/>
        </w:rPr>
      </w:pPr>
      <w:r w:rsidRPr="00E430C1">
        <w:rPr>
          <w:rFonts w:ascii="Times New Roman" w:hAnsi="Times New Roman" w:cs="Times New Roman"/>
          <w:sz w:val="24"/>
          <w:szCs w:val="24"/>
        </w:rPr>
        <w:t>The EIA</w:t>
      </w:r>
      <w:r w:rsidR="00C51D0D" w:rsidRPr="00E430C1">
        <w:rPr>
          <w:rFonts w:ascii="Times New Roman" w:hAnsi="Times New Roman" w:cs="Times New Roman"/>
          <w:sz w:val="24"/>
          <w:szCs w:val="24"/>
        </w:rPr>
        <w:t xml:space="preserve"> requires a utility to use</w:t>
      </w:r>
      <w:r w:rsidR="00280F4C">
        <w:rPr>
          <w:rFonts w:ascii="Times New Roman" w:hAnsi="Times New Roman" w:cs="Times New Roman"/>
          <w:sz w:val="24"/>
          <w:szCs w:val="24"/>
        </w:rPr>
        <w:t xml:space="preserve"> a methodology consistent with</w:t>
      </w:r>
      <w:r w:rsidR="00C51D0D" w:rsidRPr="00E430C1">
        <w:rPr>
          <w:rFonts w:ascii="Times New Roman" w:hAnsi="Times New Roman" w:cs="Times New Roman"/>
          <w:sz w:val="24"/>
          <w:szCs w:val="24"/>
        </w:rPr>
        <w:t xml:space="preserve"> the Northwest Power and Conservation Council in preparing its assessment of conservation potential.</w:t>
      </w:r>
      <w:r w:rsidR="00C51D0D" w:rsidRPr="00E430C1">
        <w:rPr>
          <w:rStyle w:val="FootnoteReference"/>
          <w:rFonts w:ascii="Times New Roman" w:hAnsi="Times New Roman" w:cs="Times New Roman"/>
          <w:sz w:val="24"/>
          <w:szCs w:val="24"/>
        </w:rPr>
        <w:footnoteReference w:id="4"/>
      </w:r>
      <w:r w:rsidR="00C51D0D" w:rsidRPr="00E430C1">
        <w:rPr>
          <w:rFonts w:ascii="Times New Roman" w:hAnsi="Times New Roman" w:cs="Times New Roman"/>
          <w:sz w:val="24"/>
          <w:szCs w:val="24"/>
        </w:rPr>
        <w:t xml:space="preserve"> The Council builds the regional conservation portfolio from the bottom-up and the methodology consists of a three-step process.</w:t>
      </w:r>
    </w:p>
    <w:p w:rsidR="00C51D0D" w:rsidRPr="00E430C1" w:rsidRDefault="00C51D0D" w:rsidP="00C51D0D">
      <w:pPr>
        <w:rPr>
          <w:rFonts w:ascii="Times New Roman" w:hAnsi="Times New Roman" w:cs="Times New Roman"/>
          <w:sz w:val="24"/>
          <w:szCs w:val="24"/>
        </w:rPr>
      </w:pPr>
    </w:p>
    <w:p w:rsidR="00C51D0D" w:rsidRPr="00E430C1" w:rsidRDefault="00C51D0D" w:rsidP="00C51D0D">
      <w:pPr>
        <w:pStyle w:val="ListParagraph"/>
        <w:numPr>
          <w:ilvl w:val="0"/>
          <w:numId w:val="1"/>
        </w:numPr>
        <w:rPr>
          <w:rFonts w:ascii="Times New Roman" w:hAnsi="Times New Roman" w:cs="Times New Roman"/>
          <w:sz w:val="24"/>
          <w:szCs w:val="24"/>
        </w:rPr>
      </w:pPr>
      <w:r w:rsidRPr="00E430C1">
        <w:rPr>
          <w:rFonts w:ascii="Times New Roman" w:hAnsi="Times New Roman" w:cs="Times New Roman"/>
          <w:b/>
          <w:sz w:val="24"/>
          <w:szCs w:val="24"/>
        </w:rPr>
        <w:t>Technical Potential:</w:t>
      </w:r>
      <w:r w:rsidRPr="00E430C1">
        <w:rPr>
          <w:rFonts w:ascii="Times New Roman" w:hAnsi="Times New Roman" w:cs="Times New Roman"/>
          <w:sz w:val="24"/>
          <w:szCs w:val="24"/>
        </w:rPr>
        <w:t xml:space="preserve"> The Council identifies the conservation that could be physically achieved through all known avenues regardless of cost (including the utility’s own conservation programs, regional conservation programs provided by other entities, updates to building codes and standards, federal energy efficiency standards, etc.).</w:t>
      </w:r>
    </w:p>
    <w:p w:rsidR="00C51D0D" w:rsidRPr="00E430C1" w:rsidRDefault="00C51D0D" w:rsidP="00C51D0D">
      <w:pPr>
        <w:pStyle w:val="ListParagraph"/>
        <w:numPr>
          <w:ilvl w:val="0"/>
          <w:numId w:val="1"/>
        </w:numPr>
        <w:rPr>
          <w:rFonts w:ascii="Times New Roman" w:hAnsi="Times New Roman" w:cs="Times New Roman"/>
          <w:sz w:val="24"/>
          <w:szCs w:val="24"/>
        </w:rPr>
      </w:pPr>
      <w:r w:rsidRPr="00E430C1">
        <w:rPr>
          <w:rFonts w:ascii="Times New Roman" w:hAnsi="Times New Roman" w:cs="Times New Roman"/>
          <w:b/>
          <w:sz w:val="24"/>
          <w:szCs w:val="24"/>
        </w:rPr>
        <w:t xml:space="preserve">Achievable Potential: </w:t>
      </w:r>
      <w:r w:rsidRPr="00E430C1">
        <w:rPr>
          <w:rFonts w:ascii="Times New Roman" w:hAnsi="Times New Roman" w:cs="Times New Roman"/>
          <w:sz w:val="24"/>
          <w:szCs w:val="24"/>
        </w:rPr>
        <w:t>The Council identifies the portion of the economic potential that can be directly obtained given the inhibiting barriers (penetration and ramping rates, which are fixed at 85 percent for retrofit measures and 65 percent for lost-opportunity measures).</w:t>
      </w:r>
    </w:p>
    <w:p w:rsidR="00C51D0D" w:rsidRPr="00E430C1" w:rsidRDefault="00C51D0D" w:rsidP="00C51D0D">
      <w:pPr>
        <w:pStyle w:val="ListParagraph"/>
        <w:numPr>
          <w:ilvl w:val="0"/>
          <w:numId w:val="1"/>
        </w:numPr>
        <w:rPr>
          <w:rFonts w:ascii="Times New Roman" w:hAnsi="Times New Roman" w:cs="Times New Roman"/>
          <w:sz w:val="24"/>
          <w:szCs w:val="24"/>
        </w:rPr>
      </w:pPr>
      <w:r w:rsidRPr="00E430C1">
        <w:rPr>
          <w:rFonts w:ascii="Times New Roman" w:hAnsi="Times New Roman" w:cs="Times New Roman"/>
          <w:b/>
          <w:sz w:val="24"/>
          <w:szCs w:val="24"/>
        </w:rPr>
        <w:t>Economic Potential:</w:t>
      </w:r>
      <w:r w:rsidRPr="00E430C1">
        <w:rPr>
          <w:rFonts w:ascii="Times New Roman" w:hAnsi="Times New Roman" w:cs="Times New Roman"/>
          <w:sz w:val="24"/>
          <w:szCs w:val="24"/>
        </w:rPr>
        <w:t xml:space="preserve"> The Council develops a cost-effectiveness screen, also called the estimated avoided cost, and applies it to the achievable potential for each individual measure.</w:t>
      </w:r>
      <w:r w:rsidRPr="00E430C1">
        <w:rPr>
          <w:rFonts w:ascii="Times New Roman" w:hAnsi="Times New Roman" w:cs="Times New Roman"/>
          <w:b/>
          <w:sz w:val="24"/>
          <w:szCs w:val="24"/>
        </w:rPr>
        <w:t xml:space="preserve"> </w:t>
      </w:r>
    </w:p>
    <w:p w:rsidR="00C51D0D" w:rsidRPr="00E430C1" w:rsidRDefault="00C51D0D" w:rsidP="00C51D0D">
      <w:pPr>
        <w:rPr>
          <w:rFonts w:ascii="Times New Roman" w:hAnsi="Times New Roman" w:cs="Times New Roman"/>
          <w:sz w:val="24"/>
          <w:szCs w:val="24"/>
        </w:rPr>
      </w:pPr>
    </w:p>
    <w:p w:rsidR="00C51D0D" w:rsidRPr="00E430C1" w:rsidRDefault="00C51D0D" w:rsidP="00C51D0D">
      <w:pPr>
        <w:rPr>
          <w:rFonts w:ascii="Times New Roman" w:hAnsi="Times New Roman" w:cs="Times New Roman"/>
          <w:sz w:val="24"/>
          <w:szCs w:val="24"/>
        </w:rPr>
      </w:pPr>
      <w:r w:rsidRPr="00E430C1">
        <w:rPr>
          <w:rFonts w:ascii="Times New Roman" w:hAnsi="Times New Roman" w:cs="Times New Roman"/>
          <w:sz w:val="24"/>
          <w:szCs w:val="24"/>
        </w:rPr>
        <w:t xml:space="preserve">This is a simplified summary of the Council’s methodology; it is not intended to be a linear model. In practice, the companies may use the IRP to establish the estimated avoided cost and apply it to the technical potential in a more iterative process, which is acceptable as long as the total potential used as an input to the IRP has only been reduced by the Council’s definition of achievable potential. </w:t>
      </w:r>
    </w:p>
    <w:p w:rsidR="00C51D0D" w:rsidRPr="00E430C1" w:rsidRDefault="00C51D0D" w:rsidP="00C51D0D">
      <w:pPr>
        <w:rPr>
          <w:rFonts w:ascii="Times New Roman" w:hAnsi="Times New Roman" w:cs="Times New Roman"/>
          <w:sz w:val="24"/>
          <w:szCs w:val="24"/>
        </w:rPr>
      </w:pPr>
    </w:p>
    <w:p w:rsidR="00DA1807" w:rsidRPr="00E430C1" w:rsidRDefault="00C51D0D" w:rsidP="00DA1807">
      <w:pPr>
        <w:rPr>
          <w:rFonts w:ascii="Times New Roman" w:hAnsi="Times New Roman" w:cs="Times New Roman"/>
          <w:sz w:val="24"/>
          <w:szCs w:val="24"/>
        </w:rPr>
      </w:pPr>
      <w:r w:rsidRPr="00E430C1">
        <w:rPr>
          <w:rFonts w:ascii="Times New Roman" w:hAnsi="Times New Roman" w:cs="Times New Roman"/>
          <w:sz w:val="24"/>
          <w:szCs w:val="24"/>
        </w:rPr>
        <w:t>Through the Regional Technical Forum (RTF), the Council establishes unit energy savings (UES) values – the energy savings that can be expected from the implementation of a given measure. The Commission, through the conditions it has imposed in accepting previous BCPs, has ordered the companies to use those RTF figures wherever possible, and to justify and document any deviance.</w:t>
      </w:r>
      <w:r w:rsidRPr="00E430C1">
        <w:rPr>
          <w:rStyle w:val="FootnoteReference"/>
          <w:rFonts w:ascii="Times New Roman" w:hAnsi="Times New Roman" w:cs="Times New Roman"/>
          <w:sz w:val="24"/>
          <w:szCs w:val="24"/>
        </w:rPr>
        <w:footnoteReference w:id="5"/>
      </w:r>
      <w:r w:rsidRPr="00E430C1">
        <w:rPr>
          <w:rFonts w:ascii="Times New Roman" w:hAnsi="Times New Roman" w:cs="Times New Roman"/>
          <w:sz w:val="24"/>
          <w:szCs w:val="24"/>
        </w:rPr>
        <w:t xml:space="preserve"> </w:t>
      </w:r>
    </w:p>
    <w:p w:rsidR="00DA1807" w:rsidRPr="00E430C1" w:rsidRDefault="00DA1807" w:rsidP="00E36B70">
      <w:pPr>
        <w:pStyle w:val="Heading2"/>
      </w:pPr>
      <w:bookmarkStart w:id="5" w:name="_Toc373834551"/>
      <w:r w:rsidRPr="00E430C1">
        <w:t>Review of Conservation Potential Assessments</w:t>
      </w:r>
      <w:bookmarkEnd w:id="5"/>
    </w:p>
    <w:p w:rsidR="003225FF" w:rsidRPr="00E430C1" w:rsidRDefault="003225FF"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 xml:space="preserve">Staff focused </w:t>
      </w:r>
      <w:r w:rsidR="00926D0B">
        <w:rPr>
          <w:rFonts w:ascii="Times New Roman" w:hAnsi="Times New Roman" w:cs="Times New Roman"/>
          <w:sz w:val="24"/>
          <w:szCs w:val="24"/>
        </w:rPr>
        <w:t>the</w:t>
      </w:r>
      <w:r w:rsidR="00926D0B" w:rsidRPr="00E430C1">
        <w:rPr>
          <w:rFonts w:ascii="Times New Roman" w:hAnsi="Times New Roman" w:cs="Times New Roman"/>
          <w:sz w:val="24"/>
          <w:szCs w:val="24"/>
        </w:rPr>
        <w:t xml:space="preserve"> </w:t>
      </w:r>
      <w:r w:rsidRPr="00E430C1">
        <w:rPr>
          <w:rFonts w:ascii="Times New Roman" w:hAnsi="Times New Roman" w:cs="Times New Roman"/>
          <w:sz w:val="24"/>
          <w:szCs w:val="24"/>
        </w:rPr>
        <w:t>review</w:t>
      </w:r>
      <w:r w:rsidR="002D277B">
        <w:rPr>
          <w:rFonts w:ascii="Times New Roman" w:hAnsi="Times New Roman" w:cs="Times New Roman"/>
          <w:sz w:val="24"/>
          <w:szCs w:val="24"/>
        </w:rPr>
        <w:t xml:space="preserve"> of the conservation potential assessments</w:t>
      </w:r>
      <w:r w:rsidRPr="00E430C1">
        <w:rPr>
          <w:rFonts w:ascii="Times New Roman" w:hAnsi="Times New Roman" w:cs="Times New Roman"/>
          <w:sz w:val="24"/>
          <w:szCs w:val="24"/>
        </w:rPr>
        <w:t xml:space="preserve"> on five end-use measures from each company and compared the assumptions</w:t>
      </w:r>
      <w:r w:rsidR="002D277B">
        <w:rPr>
          <w:rFonts w:ascii="Times New Roman" w:hAnsi="Times New Roman" w:cs="Times New Roman"/>
          <w:sz w:val="24"/>
          <w:szCs w:val="24"/>
        </w:rPr>
        <w:t xml:space="preserve"> made by each company</w:t>
      </w:r>
      <w:r w:rsidRPr="00E430C1">
        <w:rPr>
          <w:rFonts w:ascii="Times New Roman" w:hAnsi="Times New Roman" w:cs="Times New Roman"/>
          <w:sz w:val="24"/>
          <w:szCs w:val="24"/>
        </w:rPr>
        <w:t xml:space="preserve"> with the 6</w:t>
      </w:r>
      <w:r w:rsidRPr="00E430C1">
        <w:rPr>
          <w:rFonts w:ascii="Times New Roman" w:hAnsi="Times New Roman" w:cs="Times New Roman"/>
          <w:sz w:val="24"/>
          <w:szCs w:val="24"/>
          <w:vertAlign w:val="superscript"/>
        </w:rPr>
        <w:t>th</w:t>
      </w:r>
      <w:r w:rsidRPr="00E430C1">
        <w:rPr>
          <w:rFonts w:ascii="Times New Roman" w:hAnsi="Times New Roman" w:cs="Times New Roman"/>
          <w:sz w:val="24"/>
          <w:szCs w:val="24"/>
        </w:rPr>
        <w:t xml:space="preserve"> Power Plan and regional technical forum (RTF) supply curves. The end uses examined provided a sampling of high-level potential savings in both the residential and commercial sectors. Staff reviewed the following assumptions: unit energy savings (UES), measure life, baseline comparison, incremental cost per unit, measure unit, </w:t>
      </w:r>
      <w:proofErr w:type="gramStart"/>
      <w:r w:rsidRPr="00E430C1">
        <w:rPr>
          <w:rFonts w:ascii="Times New Roman" w:hAnsi="Times New Roman" w:cs="Times New Roman"/>
          <w:sz w:val="24"/>
          <w:szCs w:val="24"/>
        </w:rPr>
        <w:t>saturation</w:t>
      </w:r>
      <w:proofErr w:type="gramEnd"/>
      <w:r w:rsidRPr="00E430C1">
        <w:rPr>
          <w:rFonts w:ascii="Times New Roman" w:hAnsi="Times New Roman" w:cs="Times New Roman"/>
          <w:sz w:val="24"/>
          <w:szCs w:val="24"/>
        </w:rPr>
        <w:t xml:space="preserve"> level of the market, percentage of market technically feasible, the </w:t>
      </w:r>
      <w:proofErr w:type="spellStart"/>
      <w:r w:rsidRPr="00E430C1">
        <w:rPr>
          <w:rFonts w:ascii="Times New Roman" w:hAnsi="Times New Roman" w:cs="Times New Roman"/>
          <w:sz w:val="24"/>
          <w:szCs w:val="24"/>
        </w:rPr>
        <w:t>levelized</w:t>
      </w:r>
      <w:proofErr w:type="spellEnd"/>
      <w:r w:rsidRPr="00E430C1">
        <w:rPr>
          <w:rFonts w:ascii="Times New Roman" w:hAnsi="Times New Roman" w:cs="Times New Roman"/>
          <w:sz w:val="24"/>
          <w:szCs w:val="24"/>
        </w:rPr>
        <w:t xml:space="preserve"> cost and the ramp rate of the measure. It is important to note that inputs and methods are not necessarily the same, and the company can have input values that are different from the 6</w:t>
      </w:r>
      <w:r w:rsidRPr="00E430C1">
        <w:rPr>
          <w:rFonts w:ascii="Times New Roman" w:hAnsi="Times New Roman" w:cs="Times New Roman"/>
          <w:sz w:val="24"/>
          <w:szCs w:val="24"/>
          <w:vertAlign w:val="superscript"/>
        </w:rPr>
        <w:t>th</w:t>
      </w:r>
      <w:r w:rsidRPr="00E430C1">
        <w:rPr>
          <w:rFonts w:ascii="Times New Roman" w:hAnsi="Times New Roman" w:cs="Times New Roman"/>
          <w:sz w:val="24"/>
          <w:szCs w:val="24"/>
        </w:rPr>
        <w:t xml:space="preserve"> Plan, and RTF, while remaining consistent with the methodology. </w:t>
      </w:r>
      <w:r w:rsidR="003225FF" w:rsidRPr="00E430C1">
        <w:rPr>
          <w:rFonts w:ascii="Times New Roman" w:hAnsi="Times New Roman" w:cs="Times New Roman"/>
          <w:sz w:val="24"/>
          <w:szCs w:val="24"/>
        </w:rPr>
        <w:t xml:space="preserve">Commission rule provides that, </w:t>
      </w:r>
      <w:r w:rsidRPr="00E430C1">
        <w:rPr>
          <w:rFonts w:ascii="Times New Roman" w:hAnsi="Times New Roman" w:cs="Times New Roman"/>
          <w:sz w:val="24"/>
          <w:szCs w:val="24"/>
        </w:rPr>
        <w:t>“</w:t>
      </w:r>
      <w:bookmarkStart w:id="6" w:name="480-109-010"/>
      <w:r w:rsidRPr="00E430C1">
        <w:rPr>
          <w:rFonts w:ascii="Times New Roman" w:hAnsi="Times New Roman" w:cs="Times New Roman"/>
          <w:sz w:val="24"/>
          <w:szCs w:val="24"/>
        </w:rPr>
        <w:t>A utility may, with full documentation on the rationale for any modification, alter the conservation council's methodologies to better fit the attributes and characteristics of its service territory</w:t>
      </w:r>
      <w:bookmarkEnd w:id="6"/>
      <w:r w:rsidRPr="00E430C1">
        <w:rPr>
          <w:rFonts w:ascii="Times New Roman" w:hAnsi="Times New Roman" w:cs="Times New Roman"/>
          <w:sz w:val="24"/>
          <w:szCs w:val="24"/>
        </w:rPr>
        <w:t>.”</w:t>
      </w:r>
      <w:r w:rsidRPr="00E430C1">
        <w:rPr>
          <w:rFonts w:ascii="Times New Roman" w:hAnsi="Times New Roman" w:cs="Times New Roman"/>
          <w:sz w:val="24"/>
          <w:szCs w:val="24"/>
          <w:vertAlign w:val="superscript"/>
        </w:rPr>
        <w:footnoteReference w:id="6"/>
      </w:r>
      <w:r w:rsidRPr="00E430C1">
        <w:rPr>
          <w:rFonts w:ascii="Times New Roman" w:hAnsi="Times New Roman" w:cs="Times New Roman"/>
          <w:sz w:val="24"/>
          <w:szCs w:val="24"/>
        </w:rPr>
        <w:t xml:space="preserve"> Staff reviewed the measures through data provided in the CPA, BCP, via e-mail and through phone calls with company staff and their consultants</w:t>
      </w:r>
      <w:r w:rsidR="00977CF8"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comparison of the specific measures between the companies was inconclusive. </w:t>
      </w:r>
      <w:r w:rsidR="00926D0B">
        <w:rPr>
          <w:rFonts w:ascii="Times New Roman" w:hAnsi="Times New Roman" w:cs="Times New Roman"/>
          <w:sz w:val="24"/>
          <w:szCs w:val="24"/>
        </w:rPr>
        <w:t>F</w:t>
      </w:r>
      <w:r w:rsidRPr="00E430C1">
        <w:rPr>
          <w:rFonts w:ascii="Times New Roman" w:hAnsi="Times New Roman" w:cs="Times New Roman"/>
          <w:sz w:val="24"/>
          <w:szCs w:val="24"/>
        </w:rPr>
        <w:t xml:space="preserve">urther analysis is needed during the next biennium, and </w:t>
      </w:r>
      <w:r w:rsidR="007D7659">
        <w:rPr>
          <w:rFonts w:ascii="Times New Roman" w:hAnsi="Times New Roman" w:cs="Times New Roman"/>
          <w:sz w:val="24"/>
          <w:szCs w:val="24"/>
        </w:rPr>
        <w:t>Staff</w:t>
      </w:r>
      <w:r w:rsidR="00926D0B">
        <w:rPr>
          <w:rFonts w:ascii="Times New Roman" w:hAnsi="Times New Roman" w:cs="Times New Roman"/>
          <w:sz w:val="24"/>
          <w:szCs w:val="24"/>
        </w:rPr>
        <w:t xml:space="preserve"> </w:t>
      </w:r>
      <w:r w:rsidRPr="00E430C1">
        <w:rPr>
          <w:rFonts w:ascii="Times New Roman" w:hAnsi="Times New Roman" w:cs="Times New Roman"/>
          <w:sz w:val="24"/>
          <w:szCs w:val="24"/>
        </w:rPr>
        <w:t>will propose a condition</w:t>
      </w:r>
      <w:r w:rsidR="00280F4C">
        <w:rPr>
          <w:rFonts w:ascii="Times New Roman" w:hAnsi="Times New Roman" w:cs="Times New Roman"/>
          <w:sz w:val="24"/>
          <w:szCs w:val="24"/>
        </w:rPr>
        <w:t xml:space="preserve"> for each company</w:t>
      </w:r>
      <w:r w:rsidRPr="00E430C1">
        <w:rPr>
          <w:rFonts w:ascii="Times New Roman" w:hAnsi="Times New Roman" w:cs="Times New Roman"/>
          <w:sz w:val="24"/>
          <w:szCs w:val="24"/>
        </w:rPr>
        <w:t xml:space="preserve"> to address this issue in its December 18, 2013, open meeting memorandum.</w:t>
      </w:r>
    </w:p>
    <w:p w:rsidR="00DA1807" w:rsidRPr="00E430C1" w:rsidRDefault="00DA1807" w:rsidP="00FD1FA2">
      <w:pPr>
        <w:pStyle w:val="Heading3"/>
      </w:pPr>
      <w:bookmarkStart w:id="7" w:name="_Toc373834552"/>
      <w:r w:rsidRPr="00E430C1">
        <w:t>Puget Sound Energy</w:t>
      </w:r>
      <w:bookmarkEnd w:id="7"/>
    </w:p>
    <w:p w:rsidR="003225FF" w:rsidRPr="00E430C1" w:rsidRDefault="003225FF" w:rsidP="00DA1807">
      <w:pPr>
        <w:rPr>
          <w:rFonts w:ascii="Times New Roman" w:hAnsi="Times New Roman" w:cs="Times New Roman"/>
          <w:sz w:val="24"/>
          <w:szCs w:val="24"/>
        </w:rPr>
      </w:pPr>
    </w:p>
    <w:p w:rsidR="00DA1807" w:rsidRPr="00E430C1" w:rsidRDefault="00E62680" w:rsidP="00DA1807">
      <w:pPr>
        <w:rPr>
          <w:rFonts w:ascii="Times New Roman" w:hAnsi="Times New Roman" w:cs="Times New Roman"/>
          <w:sz w:val="24"/>
          <w:szCs w:val="24"/>
        </w:rPr>
      </w:pPr>
      <w:r w:rsidRPr="00E430C1">
        <w:rPr>
          <w:rFonts w:ascii="Times New Roman" w:hAnsi="Times New Roman" w:cs="Times New Roman"/>
          <w:sz w:val="24"/>
          <w:szCs w:val="24"/>
        </w:rPr>
        <w:t>Given the limited amount of time available for review between the filing of the BCP and the deadline for providing comments, the initial filing should be substantially complete</w:t>
      </w:r>
      <w:r w:rsidR="00DD0510" w:rsidRPr="00E430C1">
        <w:rPr>
          <w:rFonts w:ascii="Times New Roman" w:hAnsi="Times New Roman" w:cs="Times New Roman"/>
          <w:sz w:val="24"/>
          <w:szCs w:val="24"/>
        </w:rPr>
        <w:t xml:space="preserve">. </w:t>
      </w:r>
      <w:r w:rsidR="003225FF" w:rsidRPr="00E430C1">
        <w:rPr>
          <w:rFonts w:ascii="Times New Roman" w:hAnsi="Times New Roman" w:cs="Times New Roman"/>
          <w:sz w:val="24"/>
          <w:szCs w:val="24"/>
        </w:rPr>
        <w:t xml:space="preserve">However, </w:t>
      </w:r>
      <w:r w:rsidR="00DA1807" w:rsidRPr="00E430C1">
        <w:rPr>
          <w:rFonts w:ascii="Times New Roman" w:hAnsi="Times New Roman" w:cs="Times New Roman"/>
          <w:sz w:val="24"/>
          <w:szCs w:val="24"/>
        </w:rPr>
        <w:t xml:space="preserve">PSE </w:t>
      </w:r>
      <w:r w:rsidR="003225FF" w:rsidRPr="00E430C1">
        <w:rPr>
          <w:rFonts w:ascii="Times New Roman" w:hAnsi="Times New Roman" w:cs="Times New Roman"/>
          <w:sz w:val="24"/>
          <w:szCs w:val="24"/>
        </w:rPr>
        <w:t xml:space="preserve">did </w:t>
      </w:r>
      <w:r w:rsidR="00DA1807" w:rsidRPr="00E430C1">
        <w:rPr>
          <w:rFonts w:ascii="Times New Roman" w:hAnsi="Times New Roman" w:cs="Times New Roman"/>
          <w:sz w:val="24"/>
          <w:szCs w:val="24"/>
        </w:rPr>
        <w:t xml:space="preserve">not list its residential CFL program in the potential assessment, one of its largest programs, nor the ramp rates for each measure. PSE also needs to be consistent in reporting the assumptions </w:t>
      </w:r>
      <w:r w:rsidR="002D277B">
        <w:rPr>
          <w:rFonts w:ascii="Times New Roman" w:hAnsi="Times New Roman" w:cs="Times New Roman"/>
          <w:sz w:val="24"/>
          <w:szCs w:val="24"/>
        </w:rPr>
        <w:t>for its</w:t>
      </w:r>
      <w:r w:rsidR="00DA1807" w:rsidRPr="00E430C1">
        <w:rPr>
          <w:rFonts w:ascii="Times New Roman" w:hAnsi="Times New Roman" w:cs="Times New Roman"/>
          <w:sz w:val="24"/>
          <w:szCs w:val="24"/>
        </w:rPr>
        <w:t xml:space="preserve"> </w:t>
      </w:r>
      <w:r w:rsidR="00FD1FA2" w:rsidRPr="00E430C1">
        <w:rPr>
          <w:rFonts w:ascii="Times New Roman" w:hAnsi="Times New Roman" w:cs="Times New Roman"/>
          <w:sz w:val="24"/>
          <w:szCs w:val="24"/>
        </w:rPr>
        <w:t>end-</w:t>
      </w:r>
      <w:r w:rsidR="00DA1807" w:rsidRPr="00E430C1">
        <w:rPr>
          <w:rFonts w:ascii="Times New Roman" w:hAnsi="Times New Roman" w:cs="Times New Roman"/>
          <w:sz w:val="24"/>
          <w:szCs w:val="24"/>
        </w:rPr>
        <w:t>use measures</w:t>
      </w:r>
      <w:r w:rsidR="00DD0510" w:rsidRPr="00E430C1">
        <w:rPr>
          <w:rFonts w:ascii="Times New Roman" w:hAnsi="Times New Roman" w:cs="Times New Roman"/>
          <w:sz w:val="24"/>
          <w:szCs w:val="24"/>
        </w:rPr>
        <w:t xml:space="preserve">. </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The inputs and assumptions of the reviewed measures are mostly derived from and closely parallel RTF and 6</w:t>
      </w:r>
      <w:r w:rsidRPr="00E430C1">
        <w:rPr>
          <w:rFonts w:ascii="Times New Roman" w:hAnsi="Times New Roman" w:cs="Times New Roman"/>
          <w:sz w:val="24"/>
          <w:szCs w:val="24"/>
          <w:vertAlign w:val="superscript"/>
        </w:rPr>
        <w:t>th</w:t>
      </w:r>
      <w:r w:rsidR="00977CF8" w:rsidRPr="00E430C1">
        <w:rPr>
          <w:rFonts w:ascii="Times New Roman" w:hAnsi="Times New Roman" w:cs="Times New Roman"/>
          <w:sz w:val="24"/>
          <w:szCs w:val="24"/>
        </w:rPr>
        <w:t xml:space="preserve"> Power Plan values. </w:t>
      </w:r>
      <w:r w:rsidRPr="00E430C1">
        <w:rPr>
          <w:rFonts w:ascii="Times New Roman" w:hAnsi="Times New Roman" w:cs="Times New Roman"/>
          <w:sz w:val="24"/>
          <w:szCs w:val="24"/>
        </w:rPr>
        <w:t>Where the inputs differ, PSE uses information specific to the company’s service territory data, which is consistent with the Council. In Exhibit 5 of the BCP</w:t>
      </w:r>
      <w:r w:rsidR="003225FF"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is a comprehensive list of measures with the UES, unit type, </w:t>
      </w:r>
      <w:proofErr w:type="gramStart"/>
      <w:r w:rsidRPr="00E430C1">
        <w:rPr>
          <w:rFonts w:ascii="Times New Roman" w:hAnsi="Times New Roman" w:cs="Times New Roman"/>
          <w:sz w:val="24"/>
          <w:szCs w:val="24"/>
        </w:rPr>
        <w:t>source</w:t>
      </w:r>
      <w:proofErr w:type="gramEnd"/>
      <w:r w:rsidRPr="00E430C1">
        <w:rPr>
          <w:rFonts w:ascii="Times New Roman" w:hAnsi="Times New Roman" w:cs="Times New Roman"/>
          <w:sz w:val="24"/>
          <w:szCs w:val="24"/>
        </w:rPr>
        <w:t xml:space="preserve"> of information, measure cost</w:t>
      </w:r>
      <w:r w:rsidR="00977CF8" w:rsidRPr="00E430C1">
        <w:rPr>
          <w:rFonts w:ascii="Times New Roman" w:hAnsi="Times New Roman" w:cs="Times New Roman"/>
          <w:sz w:val="24"/>
          <w:szCs w:val="24"/>
        </w:rPr>
        <w:t xml:space="preserve">, and incentive level. </w:t>
      </w:r>
      <w:r w:rsidRPr="00E430C1">
        <w:rPr>
          <w:rFonts w:ascii="Times New Roman" w:hAnsi="Times New Roman" w:cs="Times New Roman"/>
          <w:sz w:val="24"/>
          <w:szCs w:val="24"/>
        </w:rPr>
        <w:t xml:space="preserve">This is a beneficial tool for understanding the source of the inputs in the BCP, although it does not provide an explanation when a RTF UES is not chosen. </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The units for considering specific measures do not match between the BCP and the CPA</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One document use</w:t>
      </w:r>
      <w:r w:rsidR="003225FF" w:rsidRPr="00E430C1">
        <w:rPr>
          <w:rFonts w:ascii="Times New Roman" w:hAnsi="Times New Roman" w:cs="Times New Roman"/>
          <w:sz w:val="24"/>
          <w:szCs w:val="24"/>
        </w:rPr>
        <w:t>s</w:t>
      </w:r>
      <w:r w:rsidRPr="00E430C1">
        <w:rPr>
          <w:rFonts w:ascii="Times New Roman" w:hAnsi="Times New Roman" w:cs="Times New Roman"/>
          <w:sz w:val="24"/>
          <w:szCs w:val="24"/>
        </w:rPr>
        <w:t xml:space="preserve"> savings-per-household, and the other document, for the same end use, present</w:t>
      </w:r>
      <w:r w:rsidR="003225FF" w:rsidRPr="00E430C1">
        <w:rPr>
          <w:rFonts w:ascii="Times New Roman" w:hAnsi="Times New Roman" w:cs="Times New Roman"/>
          <w:sz w:val="24"/>
          <w:szCs w:val="24"/>
        </w:rPr>
        <w:t>s</w:t>
      </w:r>
      <w:r w:rsidRPr="00E430C1">
        <w:rPr>
          <w:rFonts w:ascii="Times New Roman" w:hAnsi="Times New Roman" w:cs="Times New Roman"/>
          <w:sz w:val="24"/>
          <w:szCs w:val="24"/>
        </w:rPr>
        <w:t xml:space="preserve"> savings-per-unit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As an example,</w:t>
      </w:r>
      <w:r w:rsidR="002D277B">
        <w:rPr>
          <w:rFonts w:ascii="Times New Roman" w:hAnsi="Times New Roman" w:cs="Times New Roman"/>
          <w:sz w:val="24"/>
          <w:szCs w:val="24"/>
        </w:rPr>
        <w:t xml:space="preserve"> for</w:t>
      </w:r>
      <w:r w:rsidRPr="00E430C1">
        <w:rPr>
          <w:rFonts w:ascii="Times New Roman" w:hAnsi="Times New Roman" w:cs="Times New Roman"/>
          <w:sz w:val="24"/>
          <w:szCs w:val="24"/>
        </w:rPr>
        <w:t xml:space="preserve"> the </w:t>
      </w:r>
      <w:r w:rsidR="002D277B" w:rsidRPr="00E430C1">
        <w:rPr>
          <w:rFonts w:ascii="Times New Roman" w:hAnsi="Times New Roman" w:cs="Times New Roman"/>
          <w:sz w:val="24"/>
          <w:szCs w:val="24"/>
        </w:rPr>
        <w:t xml:space="preserve">residential, existing, single family </w:t>
      </w:r>
      <w:r w:rsidRPr="00E430C1">
        <w:rPr>
          <w:rFonts w:ascii="Times New Roman" w:hAnsi="Times New Roman" w:cs="Times New Roman"/>
          <w:sz w:val="24"/>
          <w:szCs w:val="24"/>
        </w:rPr>
        <w:t xml:space="preserve">end-use measure “low-flow showerhead 1.5GPM”, the CPA unit description is per-home and has a UES value of 620 kWh. In the BCP, the same end use is </w:t>
      </w:r>
      <w:r w:rsidR="002D277B">
        <w:rPr>
          <w:rFonts w:ascii="Times New Roman" w:hAnsi="Times New Roman" w:cs="Times New Roman"/>
          <w:sz w:val="24"/>
          <w:szCs w:val="24"/>
        </w:rPr>
        <w:t>presented</w:t>
      </w:r>
      <w:r w:rsidR="002D277B"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per-unit and has a UES value of 122 kWh. </w:t>
      </w:r>
      <w:r w:rsidR="002D277B">
        <w:rPr>
          <w:rFonts w:ascii="Times New Roman" w:hAnsi="Times New Roman" w:cs="Times New Roman"/>
          <w:sz w:val="24"/>
          <w:szCs w:val="24"/>
        </w:rPr>
        <w:t>The</w:t>
      </w:r>
      <w:r w:rsidR="0000089C" w:rsidRPr="00E430C1">
        <w:rPr>
          <w:rFonts w:ascii="Times New Roman" w:hAnsi="Times New Roman" w:cs="Times New Roman"/>
          <w:sz w:val="24"/>
          <w:szCs w:val="24"/>
        </w:rPr>
        <w:t xml:space="preserve"> company </w:t>
      </w:r>
      <w:r w:rsidR="002D277B">
        <w:rPr>
          <w:rFonts w:ascii="Times New Roman" w:hAnsi="Times New Roman" w:cs="Times New Roman"/>
          <w:sz w:val="24"/>
          <w:szCs w:val="24"/>
        </w:rPr>
        <w:t xml:space="preserve">must provide the underlying conversions if it </w:t>
      </w:r>
      <w:r w:rsidR="0000089C" w:rsidRPr="00E430C1">
        <w:rPr>
          <w:rFonts w:ascii="Times New Roman" w:hAnsi="Times New Roman" w:cs="Times New Roman"/>
          <w:sz w:val="24"/>
          <w:szCs w:val="24"/>
        </w:rPr>
        <w:t>reports different units for the same end use in two different documents.</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The CPA would have been</w:t>
      </w:r>
      <w:r w:rsidR="002D277B">
        <w:rPr>
          <w:rFonts w:ascii="Times New Roman" w:hAnsi="Times New Roman" w:cs="Times New Roman"/>
          <w:sz w:val="24"/>
          <w:szCs w:val="24"/>
        </w:rPr>
        <w:t xml:space="preserve"> further</w:t>
      </w:r>
      <w:r w:rsidRPr="00E430C1">
        <w:rPr>
          <w:rFonts w:ascii="Times New Roman" w:hAnsi="Times New Roman" w:cs="Times New Roman"/>
          <w:sz w:val="24"/>
          <w:szCs w:val="24"/>
        </w:rPr>
        <w:t xml:space="preserve"> improved by the inclusion of a comparative table that provided the company’s UES, the regional technical forum UES and an explanation that details any difference in value. This chart would directly address deviations from the RTF as required by previous order.</w:t>
      </w:r>
      <w:r w:rsidRPr="00E430C1">
        <w:rPr>
          <w:rStyle w:val="FootnoteReference"/>
          <w:rFonts w:ascii="Times New Roman" w:hAnsi="Times New Roman" w:cs="Times New Roman"/>
          <w:sz w:val="24"/>
          <w:szCs w:val="24"/>
        </w:rPr>
        <w:footnoteReference w:id="7"/>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It would also have been improved by the inclusion of the ramp rates</w:t>
      </w:r>
      <w:r w:rsidR="00FD1FA2" w:rsidRPr="00E430C1">
        <w:rPr>
          <w:rFonts w:ascii="Times New Roman" w:hAnsi="Times New Roman" w:cs="Times New Roman"/>
          <w:sz w:val="24"/>
          <w:szCs w:val="24"/>
        </w:rPr>
        <w:t xml:space="preserve"> for each end use</w:t>
      </w:r>
      <w:r w:rsidRPr="00E430C1">
        <w:rPr>
          <w:rFonts w:ascii="Times New Roman" w:hAnsi="Times New Roman" w:cs="Times New Roman"/>
          <w:sz w:val="24"/>
          <w:szCs w:val="24"/>
        </w:rPr>
        <w:t xml:space="preserve"> in the CPA for comparison with Council ramp</w:t>
      </w:r>
      <w:r w:rsidR="00FD1FA2" w:rsidRPr="00E430C1">
        <w:rPr>
          <w:rFonts w:ascii="Times New Roman" w:hAnsi="Times New Roman" w:cs="Times New Roman"/>
          <w:sz w:val="24"/>
          <w:szCs w:val="24"/>
        </w:rPr>
        <w:t xml:space="preserve"> rate</w:t>
      </w:r>
      <w:r w:rsidRPr="00E430C1">
        <w:rPr>
          <w:rFonts w:ascii="Times New Roman" w:hAnsi="Times New Roman" w:cs="Times New Roman"/>
          <w:sz w:val="24"/>
          <w:szCs w:val="24"/>
        </w:rPr>
        <w:t>s</w:t>
      </w:r>
      <w:r w:rsidR="00DD0510" w:rsidRPr="00E430C1">
        <w:rPr>
          <w:rFonts w:ascii="Times New Roman" w:hAnsi="Times New Roman" w:cs="Times New Roman"/>
          <w:sz w:val="24"/>
          <w:szCs w:val="24"/>
        </w:rPr>
        <w:t xml:space="preserve">. </w:t>
      </w:r>
    </w:p>
    <w:p w:rsidR="00DA1807" w:rsidRPr="00E430C1" w:rsidRDefault="00DA1807" w:rsidP="00FD1FA2">
      <w:pPr>
        <w:pStyle w:val="Heading3"/>
      </w:pPr>
      <w:bookmarkStart w:id="8" w:name="_Toc373834553"/>
      <w:r w:rsidRPr="00E430C1">
        <w:t>Avista</w:t>
      </w:r>
      <w:bookmarkEnd w:id="8"/>
    </w:p>
    <w:p w:rsidR="003225FF" w:rsidRPr="00E430C1" w:rsidRDefault="003225FF" w:rsidP="00DA1807">
      <w:pPr>
        <w:rPr>
          <w:rFonts w:ascii="Times New Roman" w:hAnsi="Times New Roman" w:cs="Times New Roman"/>
          <w:sz w:val="24"/>
          <w:szCs w:val="24"/>
        </w:rPr>
      </w:pPr>
    </w:p>
    <w:p w:rsidR="00DA1807" w:rsidRPr="00E430C1" w:rsidRDefault="00E62680" w:rsidP="00DA1807">
      <w:pPr>
        <w:rPr>
          <w:rFonts w:ascii="Times New Roman" w:hAnsi="Times New Roman" w:cs="Times New Roman"/>
          <w:sz w:val="24"/>
          <w:szCs w:val="24"/>
        </w:rPr>
      </w:pPr>
      <w:r w:rsidRPr="00E430C1">
        <w:rPr>
          <w:rFonts w:ascii="Times New Roman" w:hAnsi="Times New Roman" w:cs="Times New Roman"/>
          <w:sz w:val="24"/>
          <w:szCs w:val="24"/>
        </w:rPr>
        <w:t>Given the limited amount of time available for review between the filing of the BCP and the deadline for providing comments, the initial filing should be substantially complete</w:t>
      </w:r>
      <w:r w:rsidR="00DD0510" w:rsidRPr="00E430C1">
        <w:rPr>
          <w:rFonts w:ascii="Times New Roman" w:hAnsi="Times New Roman" w:cs="Times New Roman"/>
          <w:sz w:val="24"/>
          <w:szCs w:val="24"/>
        </w:rPr>
        <w:t xml:space="preserve">. </w:t>
      </w:r>
      <w:r w:rsidR="00DA1807" w:rsidRPr="00E430C1">
        <w:rPr>
          <w:rFonts w:ascii="Times New Roman" w:hAnsi="Times New Roman" w:cs="Times New Roman"/>
          <w:sz w:val="24"/>
          <w:szCs w:val="24"/>
        </w:rPr>
        <w:t>Staff</w:t>
      </w:r>
      <w:r w:rsidR="00977CF8" w:rsidRPr="00E430C1">
        <w:rPr>
          <w:rFonts w:ascii="Times New Roman" w:hAnsi="Times New Roman" w:cs="Times New Roman"/>
          <w:sz w:val="24"/>
          <w:szCs w:val="24"/>
        </w:rPr>
        <w:t xml:space="preserve"> was</w:t>
      </w:r>
      <w:r w:rsidRPr="00E430C1">
        <w:rPr>
          <w:rFonts w:ascii="Times New Roman" w:hAnsi="Times New Roman" w:cs="Times New Roman"/>
          <w:sz w:val="24"/>
          <w:szCs w:val="24"/>
        </w:rPr>
        <w:t xml:space="preserve"> </w:t>
      </w:r>
      <w:r w:rsidR="00DA1807" w:rsidRPr="00E430C1">
        <w:rPr>
          <w:rFonts w:ascii="Times New Roman" w:hAnsi="Times New Roman" w:cs="Times New Roman"/>
          <w:sz w:val="24"/>
          <w:szCs w:val="24"/>
        </w:rPr>
        <w:t>unable to verify a number of the assumptions made by the company, most importantly the source of each UES listed in the CPA and justification for deviation from RTF values</w:t>
      </w:r>
      <w:r w:rsidR="00DD0510" w:rsidRPr="00E430C1">
        <w:rPr>
          <w:rFonts w:ascii="Times New Roman" w:hAnsi="Times New Roman" w:cs="Times New Roman"/>
          <w:sz w:val="24"/>
          <w:szCs w:val="24"/>
        </w:rPr>
        <w:t xml:space="preserve">. </w:t>
      </w:r>
    </w:p>
    <w:p w:rsidR="00DA1807" w:rsidRPr="00E430C1" w:rsidRDefault="00DA1807" w:rsidP="00DA1807">
      <w:pPr>
        <w:rPr>
          <w:rFonts w:ascii="Times New Roman" w:hAnsi="Times New Roman" w:cs="Times New Roman"/>
          <w:sz w:val="24"/>
          <w:szCs w:val="24"/>
        </w:rPr>
      </w:pPr>
    </w:p>
    <w:p w:rsidR="00DA1807" w:rsidRPr="00E430C1" w:rsidRDefault="00137697" w:rsidP="00DA1807">
      <w:pPr>
        <w:rPr>
          <w:rFonts w:ascii="Times New Roman" w:hAnsi="Times New Roman" w:cs="Times New Roman"/>
          <w:sz w:val="24"/>
          <w:szCs w:val="24"/>
        </w:rPr>
      </w:pPr>
      <w:r>
        <w:rPr>
          <w:rFonts w:ascii="Times New Roman" w:hAnsi="Times New Roman" w:cs="Times New Roman"/>
          <w:sz w:val="24"/>
          <w:szCs w:val="24"/>
        </w:rPr>
        <w:t>M</w:t>
      </w:r>
      <w:r w:rsidR="00DA1807" w:rsidRPr="00E430C1">
        <w:rPr>
          <w:rFonts w:ascii="Times New Roman" w:hAnsi="Times New Roman" w:cs="Times New Roman"/>
          <w:sz w:val="24"/>
          <w:szCs w:val="24"/>
        </w:rPr>
        <w:t>ost measure assumptions</w:t>
      </w:r>
      <w:r>
        <w:rPr>
          <w:rFonts w:ascii="Times New Roman" w:hAnsi="Times New Roman" w:cs="Times New Roman"/>
          <w:sz w:val="24"/>
          <w:szCs w:val="24"/>
        </w:rPr>
        <w:t xml:space="preserve"> other than UES</w:t>
      </w:r>
      <w:r w:rsidR="00DA1807" w:rsidRPr="00E430C1">
        <w:rPr>
          <w:rFonts w:ascii="Times New Roman" w:hAnsi="Times New Roman" w:cs="Times New Roman"/>
          <w:sz w:val="24"/>
          <w:szCs w:val="24"/>
        </w:rPr>
        <w:t xml:space="preserve"> (measure lifetime, incremental costs, baseline description, etc.) were similar to the RTF value</w:t>
      </w:r>
      <w:r w:rsidR="00E62680" w:rsidRPr="00E430C1">
        <w:rPr>
          <w:rFonts w:ascii="Times New Roman" w:hAnsi="Times New Roman" w:cs="Times New Roman"/>
          <w:sz w:val="24"/>
          <w:szCs w:val="24"/>
        </w:rPr>
        <w:t>s</w:t>
      </w:r>
      <w:r w:rsidR="00DA1807" w:rsidRPr="00E430C1">
        <w:rPr>
          <w:rFonts w:ascii="Times New Roman" w:hAnsi="Times New Roman" w:cs="Times New Roman"/>
          <w:sz w:val="24"/>
          <w:szCs w:val="24"/>
        </w:rPr>
        <w:t>. Furthermore</w:t>
      </w:r>
      <w:r w:rsidR="00E62680" w:rsidRPr="00E430C1">
        <w:rPr>
          <w:rFonts w:ascii="Times New Roman" w:hAnsi="Times New Roman" w:cs="Times New Roman"/>
          <w:sz w:val="24"/>
          <w:szCs w:val="24"/>
        </w:rPr>
        <w:t>,</w:t>
      </w:r>
      <w:r w:rsidR="00DA1807" w:rsidRPr="00E430C1">
        <w:rPr>
          <w:rFonts w:ascii="Times New Roman" w:hAnsi="Times New Roman" w:cs="Times New Roman"/>
          <w:sz w:val="24"/>
          <w:szCs w:val="24"/>
        </w:rPr>
        <w:t xml:space="preserve"> Avista’s inclusion of measure ramp and saturation rates in the CPA</w:t>
      </w:r>
      <w:r>
        <w:rPr>
          <w:rFonts w:ascii="Times New Roman" w:hAnsi="Times New Roman" w:cs="Times New Roman"/>
          <w:sz w:val="24"/>
          <w:szCs w:val="24"/>
        </w:rPr>
        <w:t xml:space="preserve"> was helpful</w:t>
      </w:r>
      <w:r w:rsidR="00DA1807" w:rsidRPr="00E430C1">
        <w:rPr>
          <w:rFonts w:ascii="Times New Roman" w:hAnsi="Times New Roman" w:cs="Times New Roman"/>
          <w:sz w:val="24"/>
          <w:szCs w:val="24"/>
        </w:rPr>
        <w:t xml:space="preserve">. </w:t>
      </w:r>
    </w:p>
    <w:p w:rsidR="00DA1807" w:rsidRPr="00E430C1" w:rsidRDefault="00DA1807" w:rsidP="00DA1807">
      <w:pPr>
        <w:rPr>
          <w:rFonts w:ascii="Times New Roman" w:hAnsi="Times New Roman" w:cs="Times New Roman"/>
          <w:sz w:val="24"/>
          <w:szCs w:val="24"/>
        </w:rPr>
      </w:pPr>
    </w:p>
    <w:p w:rsidR="00DA1807" w:rsidRPr="00E430C1" w:rsidRDefault="00137697" w:rsidP="00DA1807">
      <w:pPr>
        <w:rPr>
          <w:rFonts w:ascii="Times New Roman" w:hAnsi="Times New Roman" w:cs="Times New Roman"/>
          <w:sz w:val="24"/>
          <w:szCs w:val="24"/>
        </w:rPr>
      </w:pPr>
      <w:r>
        <w:rPr>
          <w:rFonts w:ascii="Times New Roman" w:hAnsi="Times New Roman" w:cs="Times New Roman"/>
          <w:sz w:val="24"/>
          <w:szCs w:val="24"/>
        </w:rPr>
        <w:t>However, t</w:t>
      </w:r>
      <w:r w:rsidRPr="00E430C1">
        <w:rPr>
          <w:rFonts w:ascii="Times New Roman" w:hAnsi="Times New Roman" w:cs="Times New Roman"/>
          <w:sz w:val="24"/>
          <w:szCs w:val="24"/>
        </w:rPr>
        <w:t xml:space="preserve">he </w:t>
      </w:r>
      <w:r w:rsidR="0000089C" w:rsidRPr="00E430C1">
        <w:rPr>
          <w:rFonts w:ascii="Times New Roman" w:hAnsi="Times New Roman" w:cs="Times New Roman"/>
          <w:sz w:val="24"/>
          <w:szCs w:val="24"/>
        </w:rPr>
        <w:t>c</w:t>
      </w:r>
      <w:r w:rsidR="00DA1807" w:rsidRPr="00E430C1">
        <w:rPr>
          <w:rFonts w:ascii="Times New Roman" w:hAnsi="Times New Roman" w:cs="Times New Roman"/>
          <w:sz w:val="24"/>
          <w:szCs w:val="24"/>
        </w:rPr>
        <w:t>ompany’s potential assessment does not list the source of each UES and in some cases that number significantly diverges from the RTF value. The company explains in the CPA that the sources are drawn from the RTF, the 6</w:t>
      </w:r>
      <w:r w:rsidR="00DA1807" w:rsidRPr="00E430C1">
        <w:rPr>
          <w:rFonts w:ascii="Times New Roman" w:hAnsi="Times New Roman" w:cs="Times New Roman"/>
          <w:sz w:val="24"/>
          <w:szCs w:val="24"/>
          <w:vertAlign w:val="superscript"/>
        </w:rPr>
        <w:t>th</w:t>
      </w:r>
      <w:r w:rsidR="00DA1807" w:rsidRPr="00E430C1">
        <w:rPr>
          <w:rFonts w:ascii="Times New Roman" w:hAnsi="Times New Roman" w:cs="Times New Roman"/>
          <w:sz w:val="24"/>
          <w:szCs w:val="24"/>
        </w:rPr>
        <w:t xml:space="preserve"> Plan, Avista’s business plan, its technical reference manual, and the consultant’s own measure database. In phone conversations, the </w:t>
      </w:r>
      <w:r w:rsidR="006F1F10">
        <w:rPr>
          <w:rFonts w:ascii="Times New Roman" w:hAnsi="Times New Roman" w:cs="Times New Roman"/>
          <w:sz w:val="24"/>
          <w:szCs w:val="24"/>
        </w:rPr>
        <w:t>c</w:t>
      </w:r>
      <w:r w:rsidR="006F1F10" w:rsidRPr="00E430C1">
        <w:rPr>
          <w:rFonts w:ascii="Times New Roman" w:hAnsi="Times New Roman" w:cs="Times New Roman"/>
          <w:sz w:val="24"/>
          <w:szCs w:val="24"/>
        </w:rPr>
        <w:t xml:space="preserve">ompany </w:t>
      </w:r>
      <w:r w:rsidR="00DA1807" w:rsidRPr="00E430C1">
        <w:rPr>
          <w:rFonts w:ascii="Times New Roman" w:hAnsi="Times New Roman" w:cs="Times New Roman"/>
          <w:sz w:val="24"/>
          <w:szCs w:val="24"/>
        </w:rPr>
        <w:t xml:space="preserve">reiterated that each UES assumption that </w:t>
      </w:r>
      <w:r w:rsidR="00925A34">
        <w:rPr>
          <w:rFonts w:ascii="Times New Roman" w:hAnsi="Times New Roman" w:cs="Times New Roman"/>
          <w:sz w:val="24"/>
          <w:szCs w:val="24"/>
        </w:rPr>
        <w:t>is</w:t>
      </w:r>
      <w:r w:rsidR="00925A34" w:rsidRPr="00E430C1">
        <w:rPr>
          <w:rFonts w:ascii="Times New Roman" w:hAnsi="Times New Roman" w:cs="Times New Roman"/>
          <w:sz w:val="24"/>
          <w:szCs w:val="24"/>
        </w:rPr>
        <w:t xml:space="preserve"> </w:t>
      </w:r>
      <w:r w:rsidR="0006565D" w:rsidRPr="00E430C1">
        <w:rPr>
          <w:rFonts w:ascii="Times New Roman" w:hAnsi="Times New Roman" w:cs="Times New Roman"/>
          <w:sz w:val="24"/>
          <w:szCs w:val="24"/>
        </w:rPr>
        <w:t>not the same as the RTF is</w:t>
      </w:r>
      <w:r w:rsidR="00DA1807" w:rsidRPr="00E430C1">
        <w:rPr>
          <w:rFonts w:ascii="Times New Roman" w:hAnsi="Times New Roman" w:cs="Times New Roman"/>
          <w:sz w:val="24"/>
          <w:szCs w:val="24"/>
        </w:rPr>
        <w:t xml:space="preserve"> based on local information. However, despite requests, at </w:t>
      </w:r>
      <w:r w:rsidR="00E62680" w:rsidRPr="00E430C1">
        <w:rPr>
          <w:rFonts w:ascii="Times New Roman" w:hAnsi="Times New Roman" w:cs="Times New Roman"/>
          <w:sz w:val="24"/>
          <w:szCs w:val="24"/>
        </w:rPr>
        <w:t xml:space="preserve">this </w:t>
      </w:r>
      <w:r w:rsidR="00DA1807" w:rsidRPr="00E430C1">
        <w:rPr>
          <w:rFonts w:ascii="Times New Roman" w:hAnsi="Times New Roman" w:cs="Times New Roman"/>
          <w:sz w:val="24"/>
          <w:szCs w:val="24"/>
        </w:rPr>
        <w:t>time supporting documentation</w:t>
      </w:r>
      <w:r w:rsidR="00E62680" w:rsidRPr="00E430C1">
        <w:rPr>
          <w:rFonts w:ascii="Times New Roman" w:hAnsi="Times New Roman" w:cs="Times New Roman"/>
          <w:sz w:val="24"/>
          <w:szCs w:val="24"/>
        </w:rPr>
        <w:t xml:space="preserve"> has not been provided</w:t>
      </w:r>
      <w:r w:rsidR="00DA1807" w:rsidRPr="00E430C1">
        <w:rPr>
          <w:rFonts w:ascii="Times New Roman" w:hAnsi="Times New Roman" w:cs="Times New Roman"/>
          <w:sz w:val="24"/>
          <w:szCs w:val="24"/>
        </w:rPr>
        <w:t>.</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 xml:space="preserve">Avista </w:t>
      </w:r>
      <w:r w:rsidR="0000089C" w:rsidRPr="00E430C1">
        <w:rPr>
          <w:rFonts w:ascii="Times New Roman" w:hAnsi="Times New Roman" w:cs="Times New Roman"/>
          <w:sz w:val="24"/>
          <w:szCs w:val="24"/>
        </w:rPr>
        <w:t>does</w:t>
      </w:r>
      <w:r w:rsidRPr="00E430C1">
        <w:rPr>
          <w:rFonts w:ascii="Times New Roman" w:hAnsi="Times New Roman" w:cs="Times New Roman"/>
          <w:sz w:val="24"/>
          <w:szCs w:val="24"/>
        </w:rPr>
        <w:t xml:space="preserve"> not explain the assumptions behind the number of units per household. The UES values in the CPA are often significantly different from the same measures in the biennial conservation plan. For example, “screw-in CFL interior lighting” for residential, existing, single family homes in Washington, the CPA lists the UES as 855.57 kWh per-household, per-year. In Appendix C of the BCP, the UES value for the same measure is 23.74 kWh per bulb. </w:t>
      </w:r>
      <w:r w:rsidR="00925A34">
        <w:rPr>
          <w:rFonts w:ascii="Times New Roman" w:hAnsi="Times New Roman" w:cs="Times New Roman"/>
          <w:sz w:val="24"/>
          <w:szCs w:val="24"/>
        </w:rPr>
        <w:t>The</w:t>
      </w:r>
      <w:r w:rsidR="00925A34" w:rsidRPr="00E430C1">
        <w:rPr>
          <w:rFonts w:ascii="Times New Roman" w:hAnsi="Times New Roman" w:cs="Times New Roman"/>
          <w:sz w:val="24"/>
          <w:szCs w:val="24"/>
        </w:rPr>
        <w:t xml:space="preserve"> company </w:t>
      </w:r>
      <w:r w:rsidR="00925A34">
        <w:rPr>
          <w:rFonts w:ascii="Times New Roman" w:hAnsi="Times New Roman" w:cs="Times New Roman"/>
          <w:sz w:val="24"/>
          <w:szCs w:val="24"/>
        </w:rPr>
        <w:t xml:space="preserve">must provide the underlying conversions if it </w:t>
      </w:r>
      <w:r w:rsidRPr="00E430C1">
        <w:rPr>
          <w:rFonts w:ascii="Times New Roman" w:hAnsi="Times New Roman" w:cs="Times New Roman"/>
          <w:sz w:val="24"/>
          <w:szCs w:val="24"/>
        </w:rPr>
        <w:t xml:space="preserve">reports different units for the same end use in two different documents. </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b/>
          <w:sz w:val="24"/>
          <w:szCs w:val="24"/>
        </w:rPr>
      </w:pPr>
      <w:r w:rsidRPr="00E430C1">
        <w:rPr>
          <w:rFonts w:ascii="Times New Roman" w:hAnsi="Times New Roman" w:cs="Times New Roman"/>
          <w:sz w:val="24"/>
          <w:szCs w:val="24"/>
        </w:rPr>
        <w:t>The CPA would have been improved by the inclusion of a comparative table that provided the company’s UES, the regional technical forum UES and an explanation that details any difference in value.</w:t>
      </w:r>
      <w:r w:rsidR="0006565D" w:rsidRPr="00E430C1">
        <w:rPr>
          <w:rFonts w:ascii="Times New Roman" w:hAnsi="Times New Roman" w:cs="Times New Roman"/>
          <w:sz w:val="24"/>
          <w:szCs w:val="24"/>
        </w:rPr>
        <w:t xml:space="preserve"> </w:t>
      </w:r>
      <w:r w:rsidRPr="00E430C1">
        <w:rPr>
          <w:rFonts w:ascii="Times New Roman" w:hAnsi="Times New Roman" w:cs="Times New Roman"/>
          <w:sz w:val="24"/>
          <w:szCs w:val="24"/>
        </w:rPr>
        <w:t>This chart would provide clarification for deviation from the RTF as required by previous order.</w:t>
      </w:r>
      <w:r w:rsidRPr="00E430C1">
        <w:rPr>
          <w:rStyle w:val="FootnoteReference"/>
          <w:rFonts w:ascii="Times New Roman" w:hAnsi="Times New Roman" w:cs="Times New Roman"/>
          <w:sz w:val="24"/>
          <w:szCs w:val="24"/>
        </w:rPr>
        <w:footnoteReference w:id="8"/>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residential and commercial end-use data tables would have been improved by the inclusion of a 20-year achievable potential estimate of each measure in the CPA. </w:t>
      </w:r>
      <w:r w:rsidR="00E36B70">
        <w:rPr>
          <w:rFonts w:ascii="Times New Roman" w:hAnsi="Times New Roman" w:cs="Times New Roman"/>
          <w:sz w:val="24"/>
          <w:szCs w:val="24"/>
        </w:rPr>
        <w:t>Avista should provide the f</w:t>
      </w:r>
      <w:r w:rsidRPr="00E430C1">
        <w:rPr>
          <w:rFonts w:ascii="Times New Roman" w:hAnsi="Times New Roman" w:cs="Times New Roman"/>
          <w:sz w:val="24"/>
          <w:szCs w:val="24"/>
        </w:rPr>
        <w:t xml:space="preserve">orecasted achievable potential </w:t>
      </w:r>
      <w:r w:rsidR="00E36B70">
        <w:rPr>
          <w:rFonts w:ascii="Times New Roman" w:hAnsi="Times New Roman" w:cs="Times New Roman"/>
          <w:sz w:val="24"/>
          <w:szCs w:val="24"/>
        </w:rPr>
        <w:t>for each</w:t>
      </w:r>
      <w:r w:rsidRPr="00E430C1">
        <w:rPr>
          <w:rFonts w:ascii="Times New Roman" w:hAnsi="Times New Roman" w:cs="Times New Roman"/>
          <w:sz w:val="24"/>
          <w:szCs w:val="24"/>
        </w:rPr>
        <w:t xml:space="preserve"> measure in the assessment.</w:t>
      </w:r>
    </w:p>
    <w:p w:rsidR="00DA1807" w:rsidRPr="00E430C1" w:rsidRDefault="00DA1807" w:rsidP="00FD1FA2">
      <w:pPr>
        <w:pStyle w:val="Heading3"/>
      </w:pPr>
      <w:bookmarkStart w:id="9" w:name="_Toc373834554"/>
      <w:r w:rsidRPr="00E430C1">
        <w:t>Pacifi</w:t>
      </w:r>
      <w:r w:rsidR="00BE2219" w:rsidRPr="00E430C1">
        <w:t>C</w:t>
      </w:r>
      <w:r w:rsidRPr="00E430C1">
        <w:t>orp</w:t>
      </w:r>
      <w:bookmarkEnd w:id="9"/>
    </w:p>
    <w:p w:rsidR="003225FF" w:rsidRPr="00E430C1" w:rsidRDefault="003225FF" w:rsidP="00DA1807">
      <w:pPr>
        <w:rPr>
          <w:rFonts w:ascii="Times New Roman" w:hAnsi="Times New Roman" w:cs="Times New Roman"/>
          <w:sz w:val="24"/>
          <w:szCs w:val="24"/>
        </w:rPr>
      </w:pPr>
    </w:p>
    <w:p w:rsidR="00DA1807" w:rsidRPr="00E430C1" w:rsidRDefault="00925A34" w:rsidP="00DA1807">
      <w:pPr>
        <w:rPr>
          <w:rFonts w:ascii="Times New Roman" w:hAnsi="Times New Roman" w:cs="Times New Roman"/>
          <w:sz w:val="24"/>
          <w:szCs w:val="24"/>
        </w:rPr>
      </w:pPr>
      <w:r>
        <w:rPr>
          <w:rFonts w:ascii="Times New Roman" w:hAnsi="Times New Roman" w:cs="Times New Roman"/>
          <w:sz w:val="24"/>
          <w:szCs w:val="24"/>
        </w:rPr>
        <w:t>There is a</w:t>
      </w:r>
      <w:r w:rsidRPr="00E430C1">
        <w:rPr>
          <w:rFonts w:ascii="Times New Roman" w:hAnsi="Times New Roman" w:cs="Times New Roman"/>
          <w:sz w:val="24"/>
          <w:szCs w:val="24"/>
        </w:rPr>
        <w:t xml:space="preserve"> </w:t>
      </w:r>
      <w:r w:rsidR="00E62680" w:rsidRPr="00E430C1">
        <w:rPr>
          <w:rFonts w:ascii="Times New Roman" w:hAnsi="Times New Roman" w:cs="Times New Roman"/>
          <w:sz w:val="24"/>
          <w:szCs w:val="24"/>
        </w:rPr>
        <w:t xml:space="preserve">limited amount of time available for review between the filing of the BCP and the deadline for providing comments, </w:t>
      </w:r>
      <w:r>
        <w:rPr>
          <w:rFonts w:ascii="Times New Roman" w:hAnsi="Times New Roman" w:cs="Times New Roman"/>
          <w:sz w:val="24"/>
          <w:szCs w:val="24"/>
        </w:rPr>
        <w:t xml:space="preserve">and </w:t>
      </w:r>
      <w:r w:rsidR="00127E0B">
        <w:rPr>
          <w:rFonts w:ascii="Times New Roman" w:hAnsi="Times New Roman" w:cs="Times New Roman"/>
          <w:sz w:val="24"/>
          <w:szCs w:val="24"/>
        </w:rPr>
        <w:t>S</w:t>
      </w:r>
      <w:r>
        <w:rPr>
          <w:rFonts w:ascii="Times New Roman" w:hAnsi="Times New Roman" w:cs="Times New Roman"/>
          <w:sz w:val="24"/>
          <w:szCs w:val="24"/>
        </w:rPr>
        <w:t>taff appreciate</w:t>
      </w:r>
      <w:r w:rsidR="00127E0B">
        <w:rPr>
          <w:rFonts w:ascii="Times New Roman" w:hAnsi="Times New Roman" w:cs="Times New Roman"/>
          <w:sz w:val="24"/>
          <w:szCs w:val="24"/>
        </w:rPr>
        <w:t>s</w:t>
      </w:r>
      <w:r>
        <w:rPr>
          <w:rFonts w:ascii="Times New Roman" w:hAnsi="Times New Roman" w:cs="Times New Roman"/>
          <w:sz w:val="24"/>
          <w:szCs w:val="24"/>
        </w:rPr>
        <w:t xml:space="preserve"> that </w:t>
      </w:r>
      <w:r w:rsidR="00E62680" w:rsidRPr="00E430C1">
        <w:rPr>
          <w:rFonts w:ascii="Times New Roman" w:hAnsi="Times New Roman" w:cs="Times New Roman"/>
          <w:sz w:val="24"/>
          <w:szCs w:val="24"/>
        </w:rPr>
        <w:t xml:space="preserve">the initial filing </w:t>
      </w:r>
      <w:r w:rsidR="000F0E63" w:rsidRPr="00E430C1">
        <w:rPr>
          <w:rFonts w:ascii="Times New Roman" w:hAnsi="Times New Roman" w:cs="Times New Roman"/>
          <w:sz w:val="24"/>
          <w:szCs w:val="24"/>
        </w:rPr>
        <w:t>was</w:t>
      </w:r>
      <w:r w:rsidR="00E62680" w:rsidRPr="00E430C1">
        <w:rPr>
          <w:rFonts w:ascii="Times New Roman" w:hAnsi="Times New Roman" w:cs="Times New Roman"/>
          <w:sz w:val="24"/>
          <w:szCs w:val="24"/>
        </w:rPr>
        <w:t xml:space="preserve"> substantially complete. </w:t>
      </w:r>
      <w:r w:rsidR="00137697">
        <w:rPr>
          <w:rFonts w:ascii="Times New Roman" w:hAnsi="Times New Roman" w:cs="Times New Roman"/>
          <w:sz w:val="24"/>
          <w:szCs w:val="24"/>
        </w:rPr>
        <w:t>The</w:t>
      </w:r>
      <w:r w:rsidR="00DA1807" w:rsidRPr="00E430C1">
        <w:rPr>
          <w:rFonts w:ascii="Times New Roman" w:hAnsi="Times New Roman" w:cs="Times New Roman"/>
          <w:sz w:val="24"/>
          <w:szCs w:val="24"/>
        </w:rPr>
        <w:t xml:space="preserve"> inputs and assumptions used for the examined measures were largely derived from and closely parallel RTF and 6</w:t>
      </w:r>
      <w:r w:rsidR="00DA1807" w:rsidRPr="00E430C1">
        <w:rPr>
          <w:rFonts w:ascii="Times New Roman" w:hAnsi="Times New Roman" w:cs="Times New Roman"/>
          <w:sz w:val="24"/>
          <w:szCs w:val="24"/>
          <w:vertAlign w:val="superscript"/>
        </w:rPr>
        <w:t>th</w:t>
      </w:r>
      <w:r w:rsidR="00DA1807" w:rsidRPr="00E430C1">
        <w:rPr>
          <w:rFonts w:ascii="Times New Roman" w:hAnsi="Times New Roman" w:cs="Times New Roman"/>
          <w:sz w:val="24"/>
          <w:szCs w:val="24"/>
        </w:rPr>
        <w:t xml:space="preserve"> Power Plan values. Where the inputs differed, PacifiCorp </w:t>
      </w:r>
      <w:r w:rsidRPr="00E430C1">
        <w:rPr>
          <w:rFonts w:ascii="Times New Roman" w:hAnsi="Times New Roman" w:cs="Times New Roman"/>
          <w:sz w:val="24"/>
          <w:szCs w:val="24"/>
        </w:rPr>
        <w:t>use</w:t>
      </w:r>
      <w:r>
        <w:rPr>
          <w:rFonts w:ascii="Times New Roman" w:hAnsi="Times New Roman" w:cs="Times New Roman"/>
          <w:sz w:val="24"/>
          <w:szCs w:val="24"/>
        </w:rPr>
        <w:t>d</w:t>
      </w:r>
      <w:r w:rsidRPr="00E430C1">
        <w:rPr>
          <w:rFonts w:ascii="Times New Roman" w:hAnsi="Times New Roman" w:cs="Times New Roman"/>
          <w:sz w:val="24"/>
          <w:szCs w:val="24"/>
        </w:rPr>
        <w:t xml:space="preserve"> </w:t>
      </w:r>
      <w:r w:rsidR="00DA1807" w:rsidRPr="00E430C1">
        <w:rPr>
          <w:rFonts w:ascii="Times New Roman" w:hAnsi="Times New Roman" w:cs="Times New Roman"/>
          <w:sz w:val="24"/>
          <w:szCs w:val="24"/>
        </w:rPr>
        <w:t>information specific to the company’s Washington service territory data and provide</w:t>
      </w:r>
      <w:r>
        <w:rPr>
          <w:rFonts w:ascii="Times New Roman" w:hAnsi="Times New Roman" w:cs="Times New Roman"/>
          <w:sz w:val="24"/>
          <w:szCs w:val="24"/>
        </w:rPr>
        <w:t>d</w:t>
      </w:r>
      <w:r w:rsidR="00DA1807" w:rsidRPr="00E430C1">
        <w:rPr>
          <w:rFonts w:ascii="Times New Roman" w:hAnsi="Times New Roman" w:cs="Times New Roman"/>
          <w:sz w:val="24"/>
          <w:szCs w:val="24"/>
        </w:rPr>
        <w:t xml:space="preserve"> the necessary documentation. </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 xml:space="preserve">Unique among the three utilities, PacifiCorp provided a comparative table that detailed each </w:t>
      </w:r>
      <w:r w:rsidR="00E62680" w:rsidRPr="00E430C1">
        <w:rPr>
          <w:rFonts w:ascii="Times New Roman" w:hAnsi="Times New Roman" w:cs="Times New Roman"/>
          <w:sz w:val="24"/>
          <w:szCs w:val="24"/>
        </w:rPr>
        <w:t>end-</w:t>
      </w:r>
      <w:r w:rsidRPr="00E430C1">
        <w:rPr>
          <w:rFonts w:ascii="Times New Roman" w:hAnsi="Times New Roman" w:cs="Times New Roman"/>
          <w:sz w:val="24"/>
          <w:szCs w:val="24"/>
        </w:rPr>
        <w:t>use measure, the chosen UES, its source, the regional technical forum UES, and an explanation for any variance between the two. This table is the most useful tool</w:t>
      </w:r>
      <w:r w:rsidR="00925A34">
        <w:rPr>
          <w:rFonts w:ascii="Times New Roman" w:hAnsi="Times New Roman" w:cs="Times New Roman"/>
          <w:sz w:val="24"/>
          <w:szCs w:val="24"/>
        </w:rPr>
        <w:t xml:space="preserve"> provided by any company</w:t>
      </w:r>
      <w:r w:rsidRPr="00E430C1">
        <w:rPr>
          <w:rFonts w:ascii="Times New Roman" w:hAnsi="Times New Roman" w:cs="Times New Roman"/>
          <w:sz w:val="24"/>
          <w:szCs w:val="24"/>
        </w:rPr>
        <w:t xml:space="preserve"> for comparing the CPA measures to the council methodology. </w:t>
      </w:r>
    </w:p>
    <w:p w:rsidR="00DA1807" w:rsidRPr="00E430C1" w:rsidRDefault="00DA1807" w:rsidP="00DA1807">
      <w:pPr>
        <w:rPr>
          <w:rFonts w:ascii="Times New Roman" w:hAnsi="Times New Roman" w:cs="Times New Roman"/>
          <w:sz w:val="24"/>
          <w:szCs w:val="24"/>
        </w:rPr>
      </w:pPr>
    </w:p>
    <w:p w:rsidR="0000089C"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The CPA would have been improved by the inclusion of the ramp rates</w:t>
      </w:r>
      <w:r w:rsidR="00E62680" w:rsidRPr="00E430C1">
        <w:rPr>
          <w:rFonts w:ascii="Times New Roman" w:hAnsi="Times New Roman" w:cs="Times New Roman"/>
          <w:sz w:val="24"/>
          <w:szCs w:val="24"/>
        </w:rPr>
        <w:t xml:space="preserve"> for each end use</w:t>
      </w:r>
      <w:r w:rsidRPr="00E430C1">
        <w:rPr>
          <w:rFonts w:ascii="Times New Roman" w:hAnsi="Times New Roman" w:cs="Times New Roman"/>
          <w:sz w:val="24"/>
          <w:szCs w:val="24"/>
        </w:rPr>
        <w:t xml:space="preserve"> for comparison with Council ramp</w:t>
      </w:r>
      <w:r w:rsidR="00E62680" w:rsidRPr="00E430C1">
        <w:rPr>
          <w:rFonts w:ascii="Times New Roman" w:hAnsi="Times New Roman" w:cs="Times New Roman"/>
          <w:sz w:val="24"/>
          <w:szCs w:val="24"/>
        </w:rPr>
        <w:t xml:space="preserve"> rate</w:t>
      </w:r>
      <w:r w:rsidRPr="00E430C1">
        <w:rPr>
          <w:rFonts w:ascii="Times New Roman" w:hAnsi="Times New Roman" w:cs="Times New Roman"/>
          <w:sz w:val="24"/>
          <w:szCs w:val="24"/>
        </w:rPr>
        <w:t>s. The BCP would have been improved by the inclusion of a comprehensive list of measures with the UES, unit type, source of information, measure cost, and incentive level to verify that the inputs used to set the targets are the same as the CPA and consistent with Council methodology.</w:t>
      </w:r>
      <w:r w:rsidR="00127E0B">
        <w:rPr>
          <w:rFonts w:ascii="Times New Roman" w:hAnsi="Times New Roman" w:cs="Times New Roman"/>
          <w:sz w:val="24"/>
          <w:szCs w:val="24"/>
        </w:rPr>
        <w:t xml:space="preserve"> </w:t>
      </w:r>
    </w:p>
    <w:p w:rsidR="007327FB" w:rsidRPr="00E430C1" w:rsidRDefault="007327FB" w:rsidP="007327FB">
      <w:pPr>
        <w:rPr>
          <w:rFonts w:ascii="Times New Roman" w:hAnsi="Times New Roman" w:cs="Times New Roman"/>
          <w:sz w:val="24"/>
          <w:szCs w:val="24"/>
        </w:rPr>
      </w:pPr>
    </w:p>
    <w:p w:rsidR="007327FB" w:rsidRPr="00E36B70" w:rsidRDefault="000774B9" w:rsidP="00E36B70">
      <w:pPr>
        <w:pStyle w:val="Heading2"/>
      </w:pPr>
      <w:bookmarkStart w:id="10" w:name="_Toc373834555"/>
      <w:r w:rsidRPr="00E36B70">
        <w:t xml:space="preserve">Programs </w:t>
      </w:r>
      <w:r w:rsidR="00820162" w:rsidRPr="00E36B70">
        <w:t>Include</w:t>
      </w:r>
      <w:r w:rsidRPr="00E36B70">
        <w:t>d</w:t>
      </w:r>
      <w:r w:rsidR="00820162" w:rsidRPr="00E36B70">
        <w:t xml:space="preserve"> in Biennial Target</w:t>
      </w:r>
      <w:bookmarkEnd w:id="10"/>
      <w:r w:rsidR="007327FB" w:rsidRPr="00E36B70">
        <w:t xml:space="preserve"> </w:t>
      </w:r>
    </w:p>
    <w:p w:rsidR="000774B9" w:rsidRDefault="000774B9" w:rsidP="007327FB">
      <w:pPr>
        <w:rPr>
          <w:rFonts w:ascii="Times New Roman" w:hAnsi="Times New Roman" w:cs="Times New Roman"/>
          <w:sz w:val="24"/>
          <w:szCs w:val="24"/>
        </w:rPr>
      </w:pPr>
    </w:p>
    <w:p w:rsidR="00137697" w:rsidRDefault="00127E0B" w:rsidP="007327FB">
      <w:pPr>
        <w:rPr>
          <w:rFonts w:ascii="Times New Roman" w:hAnsi="Times New Roman" w:cs="Times New Roman"/>
          <w:sz w:val="24"/>
          <w:szCs w:val="24"/>
        </w:rPr>
      </w:pPr>
      <w:r>
        <w:rPr>
          <w:rFonts w:ascii="Times New Roman" w:hAnsi="Times New Roman" w:cs="Times New Roman"/>
          <w:sz w:val="24"/>
          <w:szCs w:val="24"/>
        </w:rPr>
        <w:t>The review of the BCPs again raised the question of w</w:t>
      </w:r>
      <w:r w:rsidR="000774B9">
        <w:rPr>
          <w:rFonts w:ascii="Times New Roman" w:hAnsi="Times New Roman" w:cs="Times New Roman"/>
          <w:sz w:val="24"/>
          <w:szCs w:val="24"/>
        </w:rPr>
        <w:t>h</w:t>
      </w:r>
      <w:r>
        <w:rPr>
          <w:rFonts w:ascii="Times New Roman" w:hAnsi="Times New Roman" w:cs="Times New Roman"/>
          <w:sz w:val="24"/>
          <w:szCs w:val="24"/>
        </w:rPr>
        <w:t xml:space="preserve">ich </w:t>
      </w:r>
      <w:r w:rsidR="000774B9">
        <w:rPr>
          <w:rFonts w:ascii="Times New Roman" w:hAnsi="Times New Roman" w:cs="Times New Roman"/>
          <w:sz w:val="24"/>
          <w:szCs w:val="24"/>
        </w:rPr>
        <w:t>program</w:t>
      </w:r>
      <w:r>
        <w:rPr>
          <w:rFonts w:ascii="Times New Roman" w:hAnsi="Times New Roman" w:cs="Times New Roman"/>
          <w:sz w:val="24"/>
          <w:szCs w:val="24"/>
        </w:rPr>
        <w:t>s need</w:t>
      </w:r>
      <w:r w:rsidR="000774B9">
        <w:rPr>
          <w:rFonts w:ascii="Times New Roman" w:hAnsi="Times New Roman" w:cs="Times New Roman"/>
          <w:sz w:val="24"/>
          <w:szCs w:val="24"/>
        </w:rPr>
        <w:t xml:space="preserve"> to be part of a company’s biennial </w:t>
      </w:r>
      <w:r w:rsidR="00E36B70">
        <w:rPr>
          <w:rFonts w:ascii="Times New Roman" w:hAnsi="Times New Roman" w:cs="Times New Roman"/>
          <w:sz w:val="24"/>
          <w:szCs w:val="24"/>
        </w:rPr>
        <w:t xml:space="preserve">conservation </w:t>
      </w:r>
      <w:r w:rsidR="000774B9">
        <w:rPr>
          <w:rFonts w:ascii="Times New Roman" w:hAnsi="Times New Roman" w:cs="Times New Roman"/>
          <w:sz w:val="24"/>
          <w:szCs w:val="24"/>
        </w:rPr>
        <w:t xml:space="preserve">target. This issue has been discussed during the previous target-setting exercises. </w:t>
      </w:r>
    </w:p>
    <w:p w:rsidR="00137697" w:rsidRDefault="00137697" w:rsidP="007327FB">
      <w:pPr>
        <w:rPr>
          <w:rFonts w:ascii="Times New Roman" w:hAnsi="Times New Roman" w:cs="Times New Roman"/>
          <w:sz w:val="24"/>
          <w:szCs w:val="24"/>
        </w:rPr>
      </w:pPr>
    </w:p>
    <w:p w:rsidR="000774B9" w:rsidRDefault="00137697" w:rsidP="007327FB">
      <w:pPr>
        <w:rPr>
          <w:rFonts w:ascii="Times New Roman" w:hAnsi="Times New Roman" w:cs="Times New Roman"/>
          <w:sz w:val="24"/>
          <w:szCs w:val="24"/>
        </w:rPr>
      </w:pPr>
      <w:r>
        <w:rPr>
          <w:rFonts w:ascii="Times New Roman" w:hAnsi="Times New Roman" w:cs="Times New Roman"/>
          <w:sz w:val="24"/>
          <w:szCs w:val="24"/>
        </w:rPr>
        <w:t>As a general rule, i</w:t>
      </w:r>
      <w:r w:rsidR="000774B9">
        <w:rPr>
          <w:rFonts w:ascii="Times New Roman" w:hAnsi="Times New Roman" w:cs="Times New Roman"/>
          <w:sz w:val="24"/>
          <w:szCs w:val="24"/>
        </w:rPr>
        <w:t xml:space="preserve">f a company has </w:t>
      </w:r>
      <w:r w:rsidR="009E5A67">
        <w:rPr>
          <w:rFonts w:ascii="Times New Roman" w:hAnsi="Times New Roman" w:cs="Times New Roman"/>
          <w:sz w:val="24"/>
          <w:szCs w:val="24"/>
        </w:rPr>
        <w:t xml:space="preserve">developed or plans to implement a cost-effective </w:t>
      </w:r>
      <w:r w:rsidR="00D928D8">
        <w:rPr>
          <w:rFonts w:ascii="Times New Roman" w:hAnsi="Times New Roman" w:cs="Times New Roman"/>
          <w:sz w:val="24"/>
          <w:szCs w:val="24"/>
        </w:rPr>
        <w:t>program and intends to use those savings to meet its biennial conservation target,</w:t>
      </w:r>
      <w:r w:rsidR="009E5A67">
        <w:rPr>
          <w:rFonts w:ascii="Times New Roman" w:hAnsi="Times New Roman" w:cs="Times New Roman"/>
          <w:sz w:val="24"/>
          <w:szCs w:val="24"/>
        </w:rPr>
        <w:t xml:space="preserve"> the </w:t>
      </w:r>
      <w:r w:rsidR="00D928D8">
        <w:rPr>
          <w:rFonts w:ascii="Times New Roman" w:hAnsi="Times New Roman" w:cs="Times New Roman"/>
          <w:sz w:val="24"/>
          <w:szCs w:val="24"/>
        </w:rPr>
        <w:t>savings</w:t>
      </w:r>
      <w:r w:rsidR="000774B9">
        <w:rPr>
          <w:rFonts w:ascii="Times New Roman" w:hAnsi="Times New Roman" w:cs="Times New Roman"/>
          <w:sz w:val="24"/>
          <w:szCs w:val="24"/>
        </w:rPr>
        <w:t xml:space="preserve"> should be included in the biennial</w:t>
      </w:r>
      <w:r w:rsidR="00E36B70">
        <w:rPr>
          <w:rFonts w:ascii="Times New Roman" w:hAnsi="Times New Roman" w:cs="Times New Roman"/>
          <w:sz w:val="24"/>
          <w:szCs w:val="24"/>
        </w:rPr>
        <w:t xml:space="preserve"> conservation</w:t>
      </w:r>
      <w:r w:rsidR="000774B9">
        <w:rPr>
          <w:rFonts w:ascii="Times New Roman" w:hAnsi="Times New Roman" w:cs="Times New Roman"/>
          <w:sz w:val="24"/>
          <w:szCs w:val="24"/>
        </w:rPr>
        <w:t xml:space="preserve"> target. There are two </w:t>
      </w:r>
      <w:r>
        <w:rPr>
          <w:rFonts w:ascii="Times New Roman" w:hAnsi="Times New Roman" w:cs="Times New Roman"/>
          <w:sz w:val="24"/>
          <w:szCs w:val="24"/>
        </w:rPr>
        <w:t xml:space="preserve">existing </w:t>
      </w:r>
      <w:r w:rsidR="000774B9">
        <w:rPr>
          <w:rFonts w:ascii="Times New Roman" w:hAnsi="Times New Roman" w:cs="Times New Roman"/>
          <w:sz w:val="24"/>
          <w:szCs w:val="24"/>
        </w:rPr>
        <w:t xml:space="preserve">exceptions to this guideline: </w:t>
      </w:r>
    </w:p>
    <w:p w:rsidR="00820162" w:rsidRDefault="00D928D8" w:rsidP="0013769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A company may spend up to </w:t>
      </w:r>
      <w:r w:rsidR="000774B9" w:rsidRPr="00137697">
        <w:rPr>
          <w:rFonts w:ascii="Times New Roman" w:hAnsi="Times New Roman" w:cs="Times New Roman"/>
          <w:sz w:val="24"/>
          <w:szCs w:val="24"/>
        </w:rPr>
        <w:t xml:space="preserve">10 percent </w:t>
      </w:r>
      <w:r>
        <w:rPr>
          <w:rFonts w:ascii="Times New Roman" w:hAnsi="Times New Roman" w:cs="Times New Roman"/>
          <w:sz w:val="24"/>
          <w:szCs w:val="24"/>
        </w:rPr>
        <w:t>of its budget on</w:t>
      </w:r>
      <w:r w:rsidR="000774B9" w:rsidRPr="00137697">
        <w:rPr>
          <w:rFonts w:ascii="Times New Roman" w:hAnsi="Times New Roman" w:cs="Times New Roman"/>
          <w:sz w:val="24"/>
          <w:szCs w:val="24"/>
        </w:rPr>
        <w:t xml:space="preserve"> pilot projects</w:t>
      </w:r>
      <w:r>
        <w:rPr>
          <w:rFonts w:ascii="Times New Roman" w:hAnsi="Times New Roman" w:cs="Times New Roman"/>
          <w:sz w:val="24"/>
          <w:szCs w:val="24"/>
        </w:rPr>
        <w:t xml:space="preserve"> with uncertain levels of savings</w:t>
      </w:r>
      <w:r w:rsidR="000774B9">
        <w:rPr>
          <w:rFonts w:ascii="Times New Roman" w:hAnsi="Times New Roman" w:cs="Times New Roman"/>
          <w:sz w:val="24"/>
          <w:szCs w:val="24"/>
        </w:rPr>
        <w:t>.</w:t>
      </w:r>
    </w:p>
    <w:p w:rsidR="00137697" w:rsidRDefault="00137697" w:rsidP="0013769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 company should implement n</w:t>
      </w:r>
      <w:r w:rsidR="000774B9">
        <w:rPr>
          <w:rFonts w:ascii="Times New Roman" w:hAnsi="Times New Roman" w:cs="Times New Roman"/>
          <w:sz w:val="24"/>
          <w:szCs w:val="24"/>
        </w:rPr>
        <w:t xml:space="preserve">ew technologies or opportunities that become available </w:t>
      </w:r>
      <w:r w:rsidR="00E36B70">
        <w:rPr>
          <w:rFonts w:ascii="Times New Roman" w:hAnsi="Times New Roman" w:cs="Times New Roman"/>
          <w:sz w:val="24"/>
          <w:szCs w:val="24"/>
        </w:rPr>
        <w:t>after the target is set</w:t>
      </w:r>
      <w:r w:rsidR="000774B9">
        <w:rPr>
          <w:rFonts w:ascii="Times New Roman" w:hAnsi="Times New Roman" w:cs="Times New Roman"/>
          <w:sz w:val="24"/>
          <w:szCs w:val="24"/>
        </w:rPr>
        <w:t xml:space="preserve">. If these opportunities are larger than the 10 percent allowance for pilot projects, the company </w:t>
      </w:r>
      <w:r w:rsidR="00D928D8">
        <w:rPr>
          <w:rFonts w:ascii="Times New Roman" w:hAnsi="Times New Roman" w:cs="Times New Roman"/>
          <w:sz w:val="24"/>
          <w:szCs w:val="24"/>
        </w:rPr>
        <w:t>must</w:t>
      </w:r>
      <w:r w:rsidR="000774B9">
        <w:rPr>
          <w:rFonts w:ascii="Times New Roman" w:hAnsi="Times New Roman" w:cs="Times New Roman"/>
          <w:sz w:val="24"/>
          <w:szCs w:val="24"/>
        </w:rPr>
        <w:t xml:space="preserve"> consult with its advisory group </w:t>
      </w:r>
      <w:r w:rsidR="00D928D8">
        <w:rPr>
          <w:rFonts w:ascii="Times New Roman" w:hAnsi="Times New Roman" w:cs="Times New Roman"/>
          <w:sz w:val="24"/>
          <w:szCs w:val="24"/>
        </w:rPr>
        <w:t xml:space="preserve">and meet other applicable requirements </w:t>
      </w:r>
      <w:r w:rsidR="000774B9">
        <w:rPr>
          <w:rFonts w:ascii="Times New Roman" w:hAnsi="Times New Roman" w:cs="Times New Roman"/>
          <w:sz w:val="24"/>
          <w:szCs w:val="24"/>
        </w:rPr>
        <w:t>prior to implementation.</w:t>
      </w:r>
    </w:p>
    <w:p w:rsidR="00137697" w:rsidRDefault="00137697" w:rsidP="00137697">
      <w:pPr>
        <w:rPr>
          <w:rFonts w:ascii="Times New Roman" w:hAnsi="Times New Roman" w:cs="Times New Roman"/>
          <w:sz w:val="24"/>
          <w:szCs w:val="24"/>
        </w:rPr>
      </w:pPr>
    </w:p>
    <w:p w:rsidR="00137697" w:rsidRPr="00137697" w:rsidRDefault="00137697" w:rsidP="00137697">
      <w:pPr>
        <w:rPr>
          <w:rFonts w:ascii="Times New Roman" w:hAnsi="Times New Roman" w:cs="Times New Roman"/>
          <w:sz w:val="24"/>
          <w:szCs w:val="24"/>
        </w:rPr>
      </w:pPr>
      <w:r>
        <w:rPr>
          <w:rFonts w:ascii="Times New Roman" w:hAnsi="Times New Roman" w:cs="Times New Roman"/>
          <w:sz w:val="24"/>
          <w:szCs w:val="24"/>
        </w:rPr>
        <w:t>The companies have jointly proposed an additional exception for NEEA savings, which is discussed further below.</w:t>
      </w:r>
    </w:p>
    <w:p w:rsidR="00820162" w:rsidRDefault="00820162" w:rsidP="000774B9">
      <w:pPr>
        <w:pStyle w:val="Heading3"/>
      </w:pPr>
      <w:bookmarkStart w:id="11" w:name="_Toc373834556"/>
      <w:r>
        <w:t>NEEA Savings</w:t>
      </w:r>
      <w:bookmarkEnd w:id="11"/>
    </w:p>
    <w:p w:rsidR="000774B9" w:rsidRDefault="000774B9" w:rsidP="007327FB">
      <w:pPr>
        <w:spacing w:line="264" w:lineRule="auto"/>
        <w:rPr>
          <w:rFonts w:ascii="Times New Roman" w:hAnsi="Times New Roman" w:cs="Times New Roman"/>
          <w:sz w:val="24"/>
          <w:szCs w:val="24"/>
        </w:rPr>
      </w:pPr>
    </w:p>
    <w:p w:rsidR="007327FB" w:rsidRPr="00E430C1" w:rsidRDefault="00127E0B" w:rsidP="007327FB">
      <w:pPr>
        <w:spacing w:line="264" w:lineRule="auto"/>
        <w:rPr>
          <w:rFonts w:ascii="Times New Roman" w:hAnsi="Times New Roman" w:cs="Times New Roman"/>
          <w:sz w:val="24"/>
          <w:szCs w:val="24"/>
        </w:rPr>
      </w:pPr>
      <w:r>
        <w:rPr>
          <w:rFonts w:ascii="Times New Roman" w:hAnsi="Times New Roman" w:cs="Times New Roman"/>
          <w:sz w:val="24"/>
          <w:szCs w:val="24"/>
        </w:rPr>
        <w:t>NEEA</w:t>
      </w:r>
      <w:r w:rsidR="007327FB" w:rsidRPr="00E430C1">
        <w:rPr>
          <w:rFonts w:ascii="Times New Roman" w:hAnsi="Times New Roman" w:cs="Times New Roman"/>
          <w:sz w:val="24"/>
          <w:szCs w:val="24"/>
        </w:rPr>
        <w:t xml:space="preserve"> is a non-profit organization that works in collaboration with its funders and other strategic market partners to accelerate the innovation and adoption of energy-efficient products, services, and practices in the Pacific Northwest. All thre</w:t>
      </w:r>
      <w:r w:rsidR="0006565D" w:rsidRPr="00E430C1">
        <w:rPr>
          <w:rFonts w:ascii="Times New Roman" w:hAnsi="Times New Roman" w:cs="Times New Roman"/>
          <w:sz w:val="24"/>
          <w:szCs w:val="24"/>
        </w:rPr>
        <w:t>e utilities fund NEEA in support</w:t>
      </w:r>
      <w:r w:rsidR="007327FB" w:rsidRPr="00E430C1">
        <w:rPr>
          <w:rFonts w:ascii="Times New Roman" w:hAnsi="Times New Roman" w:cs="Times New Roman"/>
          <w:sz w:val="24"/>
          <w:szCs w:val="24"/>
        </w:rPr>
        <w:t xml:space="preserve"> of regional market transformation efforts.</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7327FB" w:rsidP="007327FB">
      <w:pPr>
        <w:spacing w:line="264" w:lineRule="auto"/>
        <w:rPr>
          <w:rFonts w:ascii="Times New Roman" w:hAnsi="Times New Roman" w:cs="Times New Roman"/>
          <w:sz w:val="24"/>
          <w:szCs w:val="24"/>
        </w:rPr>
      </w:pPr>
      <w:r w:rsidRPr="00E430C1">
        <w:rPr>
          <w:rFonts w:ascii="Times New Roman" w:hAnsi="Times New Roman" w:cs="Times New Roman"/>
          <w:sz w:val="24"/>
          <w:szCs w:val="24"/>
        </w:rPr>
        <w:t>In previous biennia, the utilities included NEEA savings projections as part of the biennial target, and claimed NEEA savings against that target. However, during the review of the 2012 Biennial Conservation Reports, both Staff and Public Counsel noted significant inconsistencies between the companies in the calculation of NEEA savings that were being counted toward the biennial targets. As a result, the Commission ordered each company, in collaboration with the other companies, to develop a consistent ap</w:t>
      </w:r>
      <w:r w:rsidR="0006565D" w:rsidRPr="00E430C1">
        <w:rPr>
          <w:rFonts w:ascii="Times New Roman" w:hAnsi="Times New Roman" w:cs="Times New Roman"/>
          <w:sz w:val="24"/>
          <w:szCs w:val="24"/>
        </w:rPr>
        <w:t>proach to claiming NEEA savings</w:t>
      </w:r>
      <w:r w:rsidRPr="00E430C1">
        <w:rPr>
          <w:rFonts w:ascii="Times New Roman" w:hAnsi="Times New Roman" w:cs="Times New Roman"/>
          <w:sz w:val="24"/>
          <w:szCs w:val="24"/>
        </w:rPr>
        <w:t xml:space="preserve"> and file a joint proposal for how to claim NEEA savings with the Commission by November 1, 2012. Each utility was further ordered to incorporate the modified approach into the development of the 2014-2015 BCP.</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7327FB" w:rsidP="007327FB">
      <w:pPr>
        <w:spacing w:line="264" w:lineRule="auto"/>
        <w:rPr>
          <w:rFonts w:ascii="Times New Roman" w:hAnsi="Times New Roman" w:cs="Times New Roman"/>
          <w:sz w:val="24"/>
          <w:szCs w:val="24"/>
        </w:rPr>
      </w:pPr>
      <w:r w:rsidRPr="00E430C1">
        <w:rPr>
          <w:rFonts w:ascii="Times New Roman" w:hAnsi="Times New Roman" w:cs="Times New Roman"/>
          <w:sz w:val="24"/>
          <w:szCs w:val="24"/>
        </w:rPr>
        <w:t xml:space="preserve">On October 31, 2012, the utilities jointly filed the required proposal for claiming NEEA savings. In essence, the companies proposed to 1) calculate NEEA savings using consistent baseline assumptions and 2) subtract projected NEEA savings </w:t>
      </w:r>
      <w:r w:rsidR="00127E0B">
        <w:rPr>
          <w:rFonts w:ascii="Times New Roman" w:hAnsi="Times New Roman" w:cs="Times New Roman"/>
          <w:sz w:val="24"/>
          <w:szCs w:val="24"/>
        </w:rPr>
        <w:t>from the first two years of the</w:t>
      </w:r>
      <w:r w:rsidR="006F1F10">
        <w:rPr>
          <w:rFonts w:ascii="Times New Roman" w:hAnsi="Times New Roman" w:cs="Times New Roman"/>
          <w:sz w:val="24"/>
          <w:szCs w:val="24"/>
        </w:rPr>
        <w:t xml:space="preserve"> 10-year</w:t>
      </w:r>
      <w:r w:rsidRPr="00E430C1">
        <w:rPr>
          <w:rFonts w:ascii="Times New Roman" w:hAnsi="Times New Roman" w:cs="Times New Roman"/>
          <w:sz w:val="24"/>
          <w:szCs w:val="24"/>
        </w:rPr>
        <w:t xml:space="preserve"> conservation potential when determining the biennial conservation target. Each utility would still pursue and report actual NEEA savings, but projected NEEA savings would</w:t>
      </w:r>
      <w:r w:rsidR="0006565D" w:rsidRPr="00E430C1">
        <w:rPr>
          <w:rFonts w:ascii="Times New Roman" w:hAnsi="Times New Roman" w:cs="Times New Roman"/>
          <w:sz w:val="24"/>
          <w:szCs w:val="24"/>
        </w:rPr>
        <w:t xml:space="preserve"> not be part of the </w:t>
      </w:r>
      <w:r w:rsidR="009F699B" w:rsidRPr="00E430C1">
        <w:rPr>
          <w:rFonts w:ascii="Times New Roman" w:hAnsi="Times New Roman" w:cs="Times New Roman"/>
          <w:sz w:val="24"/>
          <w:szCs w:val="24"/>
        </w:rPr>
        <w:t>EIA</w:t>
      </w:r>
      <w:r w:rsidR="003972C5" w:rsidRPr="00E430C1">
        <w:rPr>
          <w:rFonts w:ascii="Times New Roman" w:hAnsi="Times New Roman" w:cs="Times New Roman"/>
          <w:sz w:val="24"/>
          <w:szCs w:val="24"/>
        </w:rPr>
        <w:t>-required biennial conservation target</w:t>
      </w:r>
      <w:r w:rsidRPr="00E430C1">
        <w:rPr>
          <w:rFonts w:ascii="Times New Roman" w:hAnsi="Times New Roman" w:cs="Times New Roman"/>
          <w:sz w:val="24"/>
          <w:szCs w:val="24"/>
        </w:rPr>
        <w:t xml:space="preserve">, and actual NEEA savings would not count toward </w:t>
      </w:r>
      <w:r w:rsidR="00DD0510" w:rsidRPr="00E430C1">
        <w:rPr>
          <w:rFonts w:ascii="Times New Roman" w:hAnsi="Times New Roman" w:cs="Times New Roman"/>
          <w:sz w:val="24"/>
          <w:szCs w:val="24"/>
        </w:rPr>
        <w:t>its achievement</w:t>
      </w:r>
      <w:r w:rsidR="00E23596" w:rsidRPr="00E430C1">
        <w:rPr>
          <w:rFonts w:ascii="Times New Roman" w:hAnsi="Times New Roman" w:cs="Times New Roman"/>
          <w:sz w:val="24"/>
          <w:szCs w:val="24"/>
        </w:rPr>
        <w:t xml:space="preserve"> of its target</w:t>
      </w:r>
      <w:r w:rsidRPr="00E430C1">
        <w:rPr>
          <w:rFonts w:ascii="Times New Roman" w:hAnsi="Times New Roman" w:cs="Times New Roman"/>
          <w:sz w:val="24"/>
          <w:szCs w:val="24"/>
        </w:rPr>
        <w:t>.</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7327FB" w:rsidP="007327FB">
      <w:pPr>
        <w:spacing w:line="264" w:lineRule="auto"/>
        <w:rPr>
          <w:rFonts w:ascii="Times New Roman" w:hAnsi="Times New Roman" w:cs="Times New Roman"/>
          <w:sz w:val="24"/>
          <w:szCs w:val="24"/>
        </w:rPr>
      </w:pPr>
      <w:r w:rsidRPr="00E430C1">
        <w:rPr>
          <w:rFonts w:ascii="Times New Roman" w:hAnsi="Times New Roman" w:cs="Times New Roman"/>
          <w:sz w:val="24"/>
          <w:szCs w:val="24"/>
        </w:rPr>
        <w:t xml:space="preserve">Staff </w:t>
      </w:r>
      <w:r w:rsidR="00137697">
        <w:rPr>
          <w:rFonts w:ascii="Times New Roman" w:hAnsi="Times New Roman" w:cs="Times New Roman"/>
          <w:sz w:val="24"/>
          <w:szCs w:val="24"/>
        </w:rPr>
        <w:t>accepts</w:t>
      </w:r>
      <w:r w:rsidR="00137697" w:rsidRPr="00E430C1">
        <w:rPr>
          <w:rFonts w:ascii="Times New Roman" w:hAnsi="Times New Roman" w:cs="Times New Roman"/>
          <w:sz w:val="24"/>
          <w:szCs w:val="24"/>
        </w:rPr>
        <w:t xml:space="preserve"> </w:t>
      </w:r>
      <w:r w:rsidRPr="00E430C1">
        <w:rPr>
          <w:rFonts w:ascii="Times New Roman" w:hAnsi="Times New Roman" w:cs="Times New Roman"/>
          <w:sz w:val="24"/>
          <w:szCs w:val="24"/>
        </w:rPr>
        <w:t>this general approach</w:t>
      </w:r>
      <w:r w:rsidR="00137697">
        <w:rPr>
          <w:rFonts w:ascii="Times New Roman" w:hAnsi="Times New Roman" w:cs="Times New Roman"/>
          <w:sz w:val="24"/>
          <w:szCs w:val="24"/>
        </w:rPr>
        <w:t xml:space="preserve"> for purposes of this biennium</w:t>
      </w:r>
      <w:r w:rsidRPr="00E430C1">
        <w:rPr>
          <w:rFonts w:ascii="Times New Roman" w:hAnsi="Times New Roman" w:cs="Times New Roman"/>
          <w:sz w:val="24"/>
          <w:szCs w:val="24"/>
        </w:rPr>
        <w:t>. However, it is important to note that NEEA’s savings projections include categories of savings that may not be reflected in a company’s CPA and are derived from different baseline assumptions than are used in a company’s CPA. Therefore, it is necessary that NEEA savings</w:t>
      </w:r>
      <w:r w:rsidR="009F699B" w:rsidRPr="00E430C1">
        <w:rPr>
          <w:rFonts w:ascii="Times New Roman" w:hAnsi="Times New Roman" w:cs="Times New Roman"/>
          <w:sz w:val="24"/>
          <w:szCs w:val="24"/>
        </w:rPr>
        <w:t xml:space="preserve"> projections</w:t>
      </w:r>
      <w:r w:rsidRPr="00E430C1">
        <w:rPr>
          <w:rFonts w:ascii="Times New Roman" w:hAnsi="Times New Roman" w:cs="Times New Roman"/>
          <w:sz w:val="24"/>
          <w:szCs w:val="24"/>
        </w:rPr>
        <w:t xml:space="preserve"> be adjusted to account for these factors to be commensurate with the CPAs and the biennial targets. Without these adjustments, projected NEEA savings would appear to be a comparatively large proportion of the biennial potential and once subtracted from the biennial target (per the joint proposal) would leave an artificially low compliance target. </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7327FB" w:rsidP="007327FB">
      <w:pPr>
        <w:spacing w:line="264" w:lineRule="auto"/>
        <w:rPr>
          <w:rFonts w:ascii="Times New Roman" w:hAnsi="Times New Roman" w:cs="Times New Roman"/>
          <w:sz w:val="24"/>
          <w:szCs w:val="24"/>
        </w:rPr>
      </w:pPr>
      <w:r w:rsidRPr="00E430C1">
        <w:rPr>
          <w:rFonts w:ascii="Times New Roman" w:hAnsi="Times New Roman" w:cs="Times New Roman"/>
          <w:sz w:val="24"/>
          <w:szCs w:val="24"/>
        </w:rPr>
        <w:t>The companies propose two basic adjustments to NEEA’s savings forecast. First, each utility’s NEEA forecast will be developed using a 6</w:t>
      </w:r>
      <w:r w:rsidRPr="00E430C1">
        <w:rPr>
          <w:rFonts w:ascii="Times New Roman" w:hAnsi="Times New Roman" w:cs="Times New Roman"/>
          <w:sz w:val="24"/>
          <w:szCs w:val="24"/>
          <w:vertAlign w:val="superscript"/>
        </w:rPr>
        <w:t>th</w:t>
      </w:r>
      <w:r w:rsidRPr="00E430C1">
        <w:rPr>
          <w:rFonts w:ascii="Times New Roman" w:hAnsi="Times New Roman" w:cs="Times New Roman"/>
          <w:sz w:val="24"/>
          <w:szCs w:val="24"/>
        </w:rPr>
        <w:t xml:space="preserve"> Power Plan baseline for 2014 and a proxy 7</w:t>
      </w:r>
      <w:r w:rsidRPr="00E430C1">
        <w:rPr>
          <w:rFonts w:ascii="Times New Roman" w:hAnsi="Times New Roman" w:cs="Times New Roman"/>
          <w:sz w:val="24"/>
          <w:szCs w:val="24"/>
          <w:vertAlign w:val="superscript"/>
        </w:rPr>
        <w:t>th</w:t>
      </w:r>
      <w:r w:rsidRPr="00E430C1">
        <w:rPr>
          <w:rFonts w:ascii="Times New Roman" w:hAnsi="Times New Roman" w:cs="Times New Roman"/>
          <w:sz w:val="24"/>
          <w:szCs w:val="24"/>
        </w:rPr>
        <w:t xml:space="preserve"> Power Plan baseline for 2015. This is a minor deviation from the methodology in the joint proposal</w:t>
      </w:r>
      <w:r w:rsidR="00DD0510" w:rsidRPr="00E430C1">
        <w:rPr>
          <w:rFonts w:ascii="Times New Roman" w:hAnsi="Times New Roman" w:cs="Times New Roman"/>
          <w:sz w:val="24"/>
          <w:szCs w:val="24"/>
        </w:rPr>
        <w:t>,</w:t>
      </w:r>
      <w:r w:rsidRPr="00E430C1">
        <w:rPr>
          <w:rFonts w:ascii="Times New Roman" w:hAnsi="Times New Roman" w:cs="Times New Roman"/>
          <w:sz w:val="24"/>
          <w:szCs w:val="24"/>
        </w:rPr>
        <w:t xml:space="preserve"> but Staff believes this is appropriate and necessary. Second, each utility will adjust projected NEEA savings to reflect only those savings that are captured in a CPA. </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7327FB" w:rsidP="007327FB">
      <w:pPr>
        <w:spacing w:line="264" w:lineRule="auto"/>
        <w:rPr>
          <w:rFonts w:ascii="Times New Roman" w:hAnsi="Times New Roman" w:cs="Times New Roman"/>
          <w:sz w:val="24"/>
          <w:szCs w:val="24"/>
        </w:rPr>
      </w:pPr>
      <w:r w:rsidRPr="00E430C1">
        <w:rPr>
          <w:rFonts w:ascii="Times New Roman" w:hAnsi="Times New Roman" w:cs="Times New Roman"/>
          <w:sz w:val="24"/>
          <w:szCs w:val="24"/>
        </w:rPr>
        <w:t xml:space="preserve">Although the three companies approach this second adjustment in slightly different ways, each adjustment leads to a fair approximation of NEEA savings that are identifiable to the CPAs and that </w:t>
      </w:r>
      <w:r w:rsidR="00137697">
        <w:rPr>
          <w:rFonts w:ascii="Times New Roman" w:hAnsi="Times New Roman" w:cs="Times New Roman"/>
          <w:sz w:val="24"/>
          <w:szCs w:val="24"/>
        </w:rPr>
        <w:t>can</w:t>
      </w:r>
      <w:r w:rsidR="00137697"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be used to derive the </w:t>
      </w:r>
      <w:r w:rsidR="003972C5" w:rsidRPr="00E430C1">
        <w:rPr>
          <w:rFonts w:ascii="Times New Roman" w:hAnsi="Times New Roman" w:cs="Times New Roman"/>
          <w:sz w:val="24"/>
          <w:szCs w:val="24"/>
        </w:rPr>
        <w:t>biennial conservation targets</w:t>
      </w:r>
      <w:r w:rsidRPr="00E430C1">
        <w:rPr>
          <w:rFonts w:ascii="Times New Roman" w:hAnsi="Times New Roman" w:cs="Times New Roman"/>
          <w:sz w:val="24"/>
          <w:szCs w:val="24"/>
        </w:rPr>
        <w:t>. For this biennium</w:t>
      </w:r>
      <w:r w:rsidR="00DD0510" w:rsidRPr="00E430C1">
        <w:rPr>
          <w:rFonts w:ascii="Times New Roman" w:hAnsi="Times New Roman" w:cs="Times New Roman"/>
          <w:sz w:val="24"/>
          <w:szCs w:val="24"/>
        </w:rPr>
        <w:t xml:space="preserve"> only</w:t>
      </w:r>
      <w:r w:rsidRPr="00E430C1">
        <w:rPr>
          <w:rFonts w:ascii="Times New Roman" w:hAnsi="Times New Roman" w:cs="Times New Roman"/>
          <w:sz w:val="24"/>
          <w:szCs w:val="24"/>
        </w:rPr>
        <w:t xml:space="preserve">, Staff </w:t>
      </w:r>
      <w:r w:rsidR="00DD0510" w:rsidRPr="00E430C1">
        <w:rPr>
          <w:rFonts w:ascii="Times New Roman" w:hAnsi="Times New Roman" w:cs="Times New Roman"/>
          <w:sz w:val="24"/>
          <w:szCs w:val="24"/>
        </w:rPr>
        <w:t>accepts</w:t>
      </w:r>
      <w:r w:rsidR="0006565D" w:rsidRPr="00E430C1">
        <w:rPr>
          <w:rFonts w:ascii="Times New Roman" w:hAnsi="Times New Roman" w:cs="Times New Roman"/>
          <w:sz w:val="24"/>
          <w:szCs w:val="24"/>
        </w:rPr>
        <w:t xml:space="preserve"> </w:t>
      </w:r>
      <w:r w:rsidR="00E23596" w:rsidRPr="00E430C1">
        <w:rPr>
          <w:rFonts w:ascii="Times New Roman" w:hAnsi="Times New Roman" w:cs="Times New Roman"/>
          <w:sz w:val="24"/>
          <w:szCs w:val="24"/>
        </w:rPr>
        <w:t xml:space="preserve">the companies’ implementation of </w:t>
      </w:r>
      <w:r w:rsidR="0006565D" w:rsidRPr="00E430C1">
        <w:rPr>
          <w:rFonts w:ascii="Times New Roman" w:hAnsi="Times New Roman" w:cs="Times New Roman"/>
          <w:sz w:val="24"/>
          <w:szCs w:val="24"/>
        </w:rPr>
        <w:t xml:space="preserve">the joint proposal and </w:t>
      </w:r>
      <w:r w:rsidRPr="00E430C1">
        <w:rPr>
          <w:rFonts w:ascii="Times New Roman" w:hAnsi="Times New Roman" w:cs="Times New Roman"/>
          <w:sz w:val="24"/>
          <w:szCs w:val="24"/>
        </w:rPr>
        <w:t xml:space="preserve">the methodologies used by each company to estimate NEEA savings </w:t>
      </w:r>
      <w:r w:rsidR="00626536">
        <w:rPr>
          <w:rFonts w:ascii="Times New Roman" w:hAnsi="Times New Roman" w:cs="Times New Roman"/>
          <w:sz w:val="24"/>
          <w:szCs w:val="24"/>
        </w:rPr>
        <w:t>that may</w:t>
      </w:r>
      <w:r w:rsidR="00626536" w:rsidRPr="00E430C1">
        <w:rPr>
          <w:rFonts w:ascii="Times New Roman" w:hAnsi="Times New Roman" w:cs="Times New Roman"/>
          <w:sz w:val="24"/>
          <w:szCs w:val="24"/>
        </w:rPr>
        <w:t xml:space="preserve"> </w:t>
      </w:r>
      <w:r w:rsidRPr="00E430C1">
        <w:rPr>
          <w:rFonts w:ascii="Times New Roman" w:hAnsi="Times New Roman" w:cs="Times New Roman"/>
          <w:sz w:val="24"/>
          <w:szCs w:val="24"/>
        </w:rPr>
        <w:t>be removed from the compliance target. However, this</w:t>
      </w:r>
      <w:r w:rsidR="00DD0510" w:rsidRPr="00E430C1">
        <w:rPr>
          <w:rFonts w:ascii="Times New Roman" w:hAnsi="Times New Roman" w:cs="Times New Roman"/>
          <w:sz w:val="24"/>
          <w:szCs w:val="24"/>
        </w:rPr>
        <w:t xml:space="preserve"> is clearly</w:t>
      </w:r>
      <w:r w:rsidRPr="00E430C1">
        <w:rPr>
          <w:rFonts w:ascii="Times New Roman" w:hAnsi="Times New Roman" w:cs="Times New Roman"/>
          <w:sz w:val="24"/>
          <w:szCs w:val="24"/>
        </w:rPr>
        <w:t xml:space="preserve"> an ongoing discussion and future biennia may </w:t>
      </w:r>
      <w:r w:rsidR="00D805EA" w:rsidRPr="00E430C1">
        <w:rPr>
          <w:rFonts w:ascii="Times New Roman" w:hAnsi="Times New Roman" w:cs="Times New Roman"/>
          <w:sz w:val="24"/>
          <w:szCs w:val="24"/>
        </w:rPr>
        <w:t>require adjustments or revisions to this treatment</w:t>
      </w:r>
      <w:r w:rsidRPr="00E430C1">
        <w:rPr>
          <w:rFonts w:ascii="Times New Roman" w:hAnsi="Times New Roman" w:cs="Times New Roman"/>
          <w:sz w:val="24"/>
          <w:szCs w:val="24"/>
        </w:rPr>
        <w:t xml:space="preserve">. </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D805EA" w:rsidP="007327FB">
      <w:pPr>
        <w:rPr>
          <w:rFonts w:ascii="Times New Roman" w:hAnsi="Times New Roman" w:cs="Times New Roman"/>
          <w:b/>
          <w:sz w:val="24"/>
          <w:szCs w:val="24"/>
        </w:rPr>
      </w:pPr>
      <w:r w:rsidRPr="00E430C1">
        <w:rPr>
          <w:rFonts w:ascii="Times New Roman" w:hAnsi="Times New Roman" w:cs="Times New Roman"/>
          <w:sz w:val="24"/>
          <w:szCs w:val="24"/>
        </w:rPr>
        <w:t xml:space="preserve">There are </w:t>
      </w:r>
      <w:r w:rsidR="007327FB" w:rsidRPr="00E430C1">
        <w:rPr>
          <w:rFonts w:ascii="Times New Roman" w:hAnsi="Times New Roman" w:cs="Times New Roman"/>
          <w:sz w:val="24"/>
          <w:szCs w:val="24"/>
        </w:rPr>
        <w:t>some potential drawbacks</w:t>
      </w:r>
      <w:r w:rsidRPr="00E430C1">
        <w:rPr>
          <w:rFonts w:ascii="Times New Roman" w:hAnsi="Times New Roman" w:cs="Times New Roman"/>
          <w:sz w:val="24"/>
          <w:szCs w:val="24"/>
        </w:rPr>
        <w:t xml:space="preserve"> to the approach proposed by the companies</w:t>
      </w:r>
      <w:r w:rsidR="007327FB"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Removing </w:t>
      </w:r>
      <w:r w:rsidR="007327FB" w:rsidRPr="00E430C1">
        <w:rPr>
          <w:rFonts w:ascii="Times New Roman" w:hAnsi="Times New Roman" w:cs="Times New Roman"/>
          <w:sz w:val="24"/>
          <w:szCs w:val="24"/>
        </w:rPr>
        <w:t xml:space="preserve">NEEA savings </w:t>
      </w:r>
      <w:r w:rsidRPr="00E430C1">
        <w:rPr>
          <w:rFonts w:ascii="Times New Roman" w:hAnsi="Times New Roman" w:cs="Times New Roman"/>
          <w:sz w:val="24"/>
          <w:szCs w:val="24"/>
        </w:rPr>
        <w:t>from</w:t>
      </w:r>
      <w:r w:rsidR="007327FB" w:rsidRPr="00E430C1">
        <w:rPr>
          <w:rFonts w:ascii="Times New Roman" w:hAnsi="Times New Roman" w:cs="Times New Roman"/>
          <w:sz w:val="24"/>
          <w:szCs w:val="24"/>
        </w:rPr>
        <w:t xml:space="preserve"> the compliance target could introduce an incentive for the utilities to urge NEEA to scale back its work in their service territories, so that the utility does not have “competition” for the savings. Although NEEA and the utilities generally work on different market barriers and often on different measures, this potential conflict could impact the suite of initiatives NEEA pursues. One option </w:t>
      </w:r>
      <w:r w:rsidR="003972C5" w:rsidRPr="00E430C1">
        <w:rPr>
          <w:rFonts w:ascii="Times New Roman" w:hAnsi="Times New Roman" w:cs="Times New Roman"/>
          <w:sz w:val="24"/>
          <w:szCs w:val="24"/>
        </w:rPr>
        <w:t xml:space="preserve">to </w:t>
      </w:r>
      <w:r w:rsidR="00626536">
        <w:rPr>
          <w:rFonts w:ascii="Times New Roman" w:hAnsi="Times New Roman" w:cs="Times New Roman"/>
          <w:sz w:val="24"/>
          <w:szCs w:val="24"/>
        </w:rPr>
        <w:t>reduce</w:t>
      </w:r>
      <w:r w:rsidR="00626536" w:rsidRPr="00E430C1">
        <w:rPr>
          <w:rFonts w:ascii="Times New Roman" w:hAnsi="Times New Roman" w:cs="Times New Roman"/>
          <w:sz w:val="24"/>
          <w:szCs w:val="24"/>
        </w:rPr>
        <w:t xml:space="preserve"> </w:t>
      </w:r>
      <w:r w:rsidR="007327FB" w:rsidRPr="00E430C1">
        <w:rPr>
          <w:rFonts w:ascii="Times New Roman" w:hAnsi="Times New Roman" w:cs="Times New Roman"/>
          <w:sz w:val="24"/>
          <w:szCs w:val="24"/>
        </w:rPr>
        <w:t xml:space="preserve">this conflict </w:t>
      </w:r>
      <w:r w:rsidR="00626536">
        <w:rPr>
          <w:rFonts w:ascii="Times New Roman" w:hAnsi="Times New Roman" w:cs="Times New Roman"/>
          <w:sz w:val="24"/>
          <w:szCs w:val="24"/>
        </w:rPr>
        <w:t>would</w:t>
      </w:r>
      <w:r w:rsidR="00127E0B">
        <w:rPr>
          <w:rFonts w:ascii="Times New Roman" w:hAnsi="Times New Roman" w:cs="Times New Roman"/>
          <w:sz w:val="24"/>
          <w:szCs w:val="24"/>
        </w:rPr>
        <w:t xml:space="preserve"> be to</w:t>
      </w:r>
      <w:r w:rsidR="007327FB" w:rsidRPr="00E430C1">
        <w:rPr>
          <w:rFonts w:ascii="Times New Roman" w:hAnsi="Times New Roman" w:cs="Times New Roman"/>
          <w:sz w:val="24"/>
          <w:szCs w:val="24"/>
        </w:rPr>
        <w:t xml:space="preserve"> </w:t>
      </w:r>
      <w:r w:rsidR="00626536">
        <w:rPr>
          <w:rFonts w:ascii="Times New Roman" w:hAnsi="Times New Roman" w:cs="Times New Roman"/>
          <w:sz w:val="24"/>
          <w:szCs w:val="24"/>
        </w:rPr>
        <w:t>return</w:t>
      </w:r>
      <w:r w:rsidR="00626536" w:rsidRPr="00E430C1">
        <w:rPr>
          <w:rFonts w:ascii="Times New Roman" w:hAnsi="Times New Roman" w:cs="Times New Roman"/>
          <w:sz w:val="24"/>
          <w:szCs w:val="24"/>
        </w:rPr>
        <w:t xml:space="preserve"> </w:t>
      </w:r>
      <w:r w:rsidR="007327FB" w:rsidRPr="00E430C1">
        <w:rPr>
          <w:rFonts w:ascii="Times New Roman" w:hAnsi="Times New Roman" w:cs="Times New Roman"/>
          <w:sz w:val="24"/>
          <w:szCs w:val="24"/>
        </w:rPr>
        <w:t>utility representation on NEEA’s Board of Directors back to the Vice President level.</w:t>
      </w:r>
      <w:r w:rsidR="00626536">
        <w:rPr>
          <w:rStyle w:val="FootnoteReference"/>
          <w:rFonts w:ascii="Times New Roman" w:hAnsi="Times New Roman" w:cs="Times New Roman"/>
          <w:sz w:val="24"/>
          <w:szCs w:val="24"/>
        </w:rPr>
        <w:footnoteReference w:id="9"/>
      </w:r>
      <w:r w:rsidR="007327FB" w:rsidRPr="00E430C1">
        <w:rPr>
          <w:rFonts w:ascii="Times New Roman" w:hAnsi="Times New Roman" w:cs="Times New Roman"/>
          <w:sz w:val="24"/>
          <w:szCs w:val="24"/>
        </w:rPr>
        <w:t xml:space="preserve"> This would create space between the individuals responsible for delivering savings and the individuals guiding regional efficiency efforts</w:t>
      </w:r>
      <w:r w:rsidR="00DD0510" w:rsidRPr="00E430C1">
        <w:rPr>
          <w:rFonts w:ascii="Times New Roman" w:hAnsi="Times New Roman" w:cs="Times New Roman"/>
          <w:sz w:val="24"/>
          <w:szCs w:val="24"/>
        </w:rPr>
        <w:t xml:space="preserve">. </w:t>
      </w:r>
    </w:p>
    <w:p w:rsidR="007327FB" w:rsidRPr="00E430C1" w:rsidRDefault="007327FB" w:rsidP="007D7659">
      <w:pPr>
        <w:pStyle w:val="Heading1"/>
      </w:pPr>
      <w:bookmarkStart w:id="12" w:name="_Toc373834557"/>
      <w:r w:rsidRPr="00E430C1">
        <w:t>COMPANY TARGETS AND PLANS</w:t>
      </w:r>
      <w:bookmarkEnd w:id="12"/>
    </w:p>
    <w:p w:rsidR="007327FB" w:rsidRPr="00E430C1" w:rsidRDefault="007327FB" w:rsidP="00E36B70">
      <w:pPr>
        <w:pStyle w:val="Heading2"/>
      </w:pPr>
      <w:bookmarkStart w:id="13" w:name="_Toc373834558"/>
      <w:r w:rsidRPr="00E430C1">
        <w:t>Puget Sound Energy</w:t>
      </w:r>
      <w:bookmarkEnd w:id="13"/>
    </w:p>
    <w:p w:rsidR="007327FB" w:rsidRPr="00E430C1" w:rsidRDefault="007327FB" w:rsidP="007327FB">
      <w:pPr>
        <w:rPr>
          <w:rFonts w:ascii="Times New Roman" w:hAnsi="Times New Roman" w:cs="Times New Roman"/>
          <w:sz w:val="24"/>
          <w:szCs w:val="24"/>
        </w:rPr>
      </w:pPr>
    </w:p>
    <w:p w:rsidR="007327FB" w:rsidRPr="00E430C1" w:rsidRDefault="00127E0B" w:rsidP="007327FB">
      <w:pPr>
        <w:rPr>
          <w:rFonts w:ascii="Times New Roman" w:hAnsi="Times New Roman" w:cs="Times New Roman"/>
          <w:sz w:val="24"/>
          <w:szCs w:val="24"/>
        </w:rPr>
      </w:pPr>
      <w:r>
        <w:rPr>
          <w:rFonts w:ascii="Times New Roman" w:hAnsi="Times New Roman" w:cs="Times New Roman"/>
          <w:sz w:val="24"/>
          <w:szCs w:val="24"/>
        </w:rPr>
        <w:t>For the 2014-20</w:t>
      </w:r>
      <w:r w:rsidR="009F04CF">
        <w:rPr>
          <w:rFonts w:ascii="Times New Roman" w:hAnsi="Times New Roman" w:cs="Times New Roman"/>
          <w:sz w:val="24"/>
          <w:szCs w:val="24"/>
        </w:rPr>
        <w:t>2</w:t>
      </w:r>
      <w:r>
        <w:rPr>
          <w:rFonts w:ascii="Times New Roman" w:hAnsi="Times New Roman" w:cs="Times New Roman"/>
          <w:sz w:val="24"/>
          <w:szCs w:val="24"/>
        </w:rPr>
        <w:t>3 period</w:t>
      </w:r>
      <w:r w:rsidR="007327FB" w:rsidRPr="00E430C1">
        <w:rPr>
          <w:rFonts w:ascii="Times New Roman" w:hAnsi="Times New Roman" w:cs="Times New Roman"/>
          <w:sz w:val="24"/>
          <w:szCs w:val="24"/>
        </w:rPr>
        <w:t>, P</w:t>
      </w:r>
      <w:r>
        <w:rPr>
          <w:rFonts w:ascii="Times New Roman" w:hAnsi="Times New Roman" w:cs="Times New Roman"/>
          <w:sz w:val="24"/>
          <w:szCs w:val="24"/>
        </w:rPr>
        <w:t xml:space="preserve">SE estimates that its </w:t>
      </w:r>
      <w:r w:rsidR="006F1F10">
        <w:rPr>
          <w:rFonts w:ascii="Times New Roman" w:hAnsi="Times New Roman" w:cs="Times New Roman"/>
          <w:sz w:val="24"/>
          <w:szCs w:val="24"/>
        </w:rPr>
        <w:t>10-year</w:t>
      </w:r>
      <w:r w:rsidR="007327FB" w:rsidRPr="00E430C1">
        <w:rPr>
          <w:rFonts w:ascii="Times New Roman" w:hAnsi="Times New Roman" w:cs="Times New Roman"/>
          <w:sz w:val="24"/>
          <w:szCs w:val="24"/>
        </w:rPr>
        <w:t xml:space="preserve"> achievable conservation potential is 2,730,408 MWh (311.7 </w:t>
      </w:r>
      <w:proofErr w:type="spellStart"/>
      <w:r w:rsidR="007327FB" w:rsidRPr="00E430C1">
        <w:rPr>
          <w:rFonts w:ascii="Times New Roman" w:hAnsi="Times New Roman" w:cs="Times New Roman"/>
          <w:sz w:val="24"/>
          <w:szCs w:val="24"/>
        </w:rPr>
        <w:t>aMW</w:t>
      </w:r>
      <w:proofErr w:type="spellEnd"/>
      <w:r w:rsidR="007327FB" w:rsidRPr="00E430C1">
        <w:rPr>
          <w:rFonts w:ascii="Times New Roman" w:hAnsi="Times New Roman" w:cs="Times New Roman"/>
          <w:sz w:val="24"/>
          <w:szCs w:val="24"/>
        </w:rPr>
        <w:t>), as measured at the customer meter</w:t>
      </w:r>
      <w:r w:rsidR="00DD0510" w:rsidRPr="00E430C1">
        <w:rPr>
          <w:rFonts w:ascii="Times New Roman" w:hAnsi="Times New Roman" w:cs="Times New Roman"/>
          <w:sz w:val="24"/>
          <w:szCs w:val="24"/>
        </w:rPr>
        <w:t xml:space="preserve">. </w:t>
      </w:r>
      <w:r w:rsidR="007327FB" w:rsidRPr="00E430C1">
        <w:rPr>
          <w:rFonts w:ascii="Times New Roman" w:hAnsi="Times New Roman" w:cs="Times New Roman"/>
          <w:sz w:val="24"/>
          <w:szCs w:val="24"/>
        </w:rPr>
        <w:t>The majority of the savings come from energy efficiency measures</w:t>
      </w:r>
      <w:r w:rsidR="00DD0510" w:rsidRPr="00E430C1">
        <w:rPr>
          <w:rFonts w:ascii="Times New Roman" w:hAnsi="Times New Roman" w:cs="Times New Roman"/>
          <w:sz w:val="24"/>
          <w:szCs w:val="24"/>
        </w:rPr>
        <w:t xml:space="preserve">. </w:t>
      </w:r>
      <w:r w:rsidR="007327FB" w:rsidRPr="00E430C1">
        <w:rPr>
          <w:rFonts w:ascii="Times New Roman" w:hAnsi="Times New Roman" w:cs="Times New Roman"/>
          <w:sz w:val="24"/>
          <w:szCs w:val="24"/>
        </w:rPr>
        <w:t>PSE plans to achieve approximately 2 percent of the savings through the implementation of distribution system efficiency improvements, and about 1 percent of savings through efficiency upgrades at PSE’s production facilities</w:t>
      </w:r>
      <w:r w:rsidR="00DD0510" w:rsidRPr="00E430C1">
        <w:rPr>
          <w:rFonts w:ascii="Times New Roman" w:hAnsi="Times New Roman" w:cs="Times New Roman"/>
          <w:sz w:val="24"/>
          <w:szCs w:val="24"/>
        </w:rPr>
        <w:t xml:space="preserve">.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The two-year portion of PSE’s </w:t>
      </w:r>
      <w:r w:rsidR="006F1F10">
        <w:rPr>
          <w:rFonts w:ascii="Times New Roman" w:hAnsi="Times New Roman" w:cs="Times New Roman"/>
          <w:sz w:val="24"/>
          <w:szCs w:val="24"/>
        </w:rPr>
        <w:t>10-year</w:t>
      </w:r>
      <w:r w:rsidRPr="00E430C1">
        <w:rPr>
          <w:rFonts w:ascii="Times New Roman" w:hAnsi="Times New Roman" w:cs="Times New Roman"/>
          <w:sz w:val="24"/>
          <w:szCs w:val="24"/>
        </w:rPr>
        <w:t xml:space="preserve"> potential is 589,985 MWh (67.3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 at the generator level</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From here, PSE made a few adjustments to derive its </w:t>
      </w:r>
      <w:r w:rsidR="003972C5" w:rsidRPr="00E430C1">
        <w:rPr>
          <w:rFonts w:ascii="Times New Roman" w:hAnsi="Times New Roman" w:cs="Times New Roman"/>
          <w:sz w:val="24"/>
          <w:szCs w:val="24"/>
        </w:rPr>
        <w:t>biennial conservation target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First, PSE adjusted the savings for the impact of line</w:t>
      </w:r>
      <w:r w:rsidR="00D805EA"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losses to </w:t>
      </w:r>
      <w:r w:rsidR="00D805EA" w:rsidRPr="00E430C1">
        <w:rPr>
          <w:rFonts w:ascii="Times New Roman" w:hAnsi="Times New Roman" w:cs="Times New Roman"/>
          <w:sz w:val="24"/>
          <w:szCs w:val="24"/>
        </w:rPr>
        <w:t>identify the</w:t>
      </w:r>
      <w:r w:rsidRPr="00E430C1">
        <w:rPr>
          <w:rFonts w:ascii="Times New Roman" w:hAnsi="Times New Roman" w:cs="Times New Roman"/>
          <w:sz w:val="24"/>
          <w:szCs w:val="24"/>
        </w:rPr>
        <w:t xml:space="preserve"> potential at the customer meter level. PSE does not include behavioral savings in its CPA, so </w:t>
      </w:r>
      <w:r w:rsidR="00BE2219" w:rsidRPr="00E430C1">
        <w:rPr>
          <w:rFonts w:ascii="Times New Roman" w:hAnsi="Times New Roman" w:cs="Times New Roman"/>
          <w:sz w:val="24"/>
          <w:szCs w:val="24"/>
        </w:rPr>
        <w:t>6,421 MWh</w:t>
      </w:r>
      <w:r w:rsidRPr="00E430C1">
        <w:rPr>
          <w:rFonts w:ascii="Times New Roman" w:hAnsi="Times New Roman" w:cs="Times New Roman"/>
          <w:sz w:val="24"/>
          <w:szCs w:val="24"/>
        </w:rPr>
        <w:t xml:space="preserve"> of projected savings from its existing Home Energy Reports initiative</w:t>
      </w:r>
      <w:r w:rsidR="003972C5" w:rsidRPr="00E430C1">
        <w:rPr>
          <w:rStyle w:val="FootnoteReference"/>
          <w:rFonts w:ascii="Times New Roman" w:hAnsi="Times New Roman" w:cs="Times New Roman"/>
          <w:sz w:val="24"/>
          <w:szCs w:val="24"/>
        </w:rPr>
        <w:footnoteReference w:id="10"/>
      </w:r>
      <w:r w:rsidRPr="00E430C1">
        <w:rPr>
          <w:rFonts w:ascii="Times New Roman" w:hAnsi="Times New Roman" w:cs="Times New Roman"/>
          <w:sz w:val="24"/>
          <w:szCs w:val="24"/>
        </w:rPr>
        <w:t xml:space="preserve"> were added to the target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Lastly, PSE subtracted </w:t>
      </w:r>
      <w:r w:rsidR="00BE2219" w:rsidRPr="00E430C1">
        <w:rPr>
          <w:rFonts w:ascii="Times New Roman" w:hAnsi="Times New Roman" w:cs="Times New Roman"/>
          <w:sz w:val="24"/>
          <w:szCs w:val="24"/>
        </w:rPr>
        <w:t>72,533 MWh</w:t>
      </w:r>
      <w:r w:rsidRPr="00E430C1">
        <w:rPr>
          <w:rFonts w:ascii="Times New Roman" w:hAnsi="Times New Roman" w:cs="Times New Roman"/>
          <w:sz w:val="24"/>
          <w:szCs w:val="24"/>
        </w:rPr>
        <w:t xml:space="preserve"> of savings attributable to NEEA programs from the biennial conservation target, as discussed above</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These three adjustments resulted in a 2014-2015 biennial conservation target of 485,768 MWh </w:t>
      </w:r>
      <w:r w:rsidR="00E323B1" w:rsidRPr="00E430C1">
        <w:rPr>
          <w:rFonts w:ascii="Times New Roman" w:hAnsi="Times New Roman" w:cs="Times New Roman"/>
          <w:sz w:val="24"/>
          <w:szCs w:val="24"/>
        </w:rPr>
        <w:t>(</w:t>
      </w:r>
      <w:r w:rsidRPr="00E430C1">
        <w:rPr>
          <w:rFonts w:ascii="Times New Roman" w:hAnsi="Times New Roman" w:cs="Times New Roman"/>
          <w:sz w:val="24"/>
          <w:szCs w:val="24"/>
        </w:rPr>
        <w:t xml:space="preserve">55.5 </w:t>
      </w:r>
      <w:proofErr w:type="spellStart"/>
      <w:r w:rsidRPr="00E430C1">
        <w:rPr>
          <w:rFonts w:ascii="Times New Roman" w:hAnsi="Times New Roman" w:cs="Times New Roman"/>
          <w:sz w:val="24"/>
          <w:szCs w:val="24"/>
        </w:rPr>
        <w:t>aMW</w:t>
      </w:r>
      <w:proofErr w:type="spellEnd"/>
      <w:r w:rsidR="00E323B1" w:rsidRPr="00E430C1">
        <w:rPr>
          <w:rFonts w:ascii="Times New Roman" w:hAnsi="Times New Roman" w:cs="Times New Roman"/>
          <w:sz w:val="24"/>
          <w:szCs w:val="24"/>
        </w:rPr>
        <w:t>)</w:t>
      </w:r>
      <w:r w:rsidRPr="00E430C1">
        <w:rPr>
          <w:rFonts w:ascii="Times New Roman" w:hAnsi="Times New Roman" w:cs="Times New Roman"/>
          <w:sz w:val="24"/>
          <w:szCs w:val="24"/>
        </w:rPr>
        <w:t>.</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However, PSE’s business plan includes funding for NEEA and a new pilot expansion of Home Energy Reports, which is expected to </w:t>
      </w:r>
      <w:r w:rsidR="003972C5" w:rsidRPr="00E430C1">
        <w:rPr>
          <w:rFonts w:ascii="Times New Roman" w:hAnsi="Times New Roman" w:cs="Times New Roman"/>
          <w:sz w:val="24"/>
          <w:szCs w:val="24"/>
        </w:rPr>
        <w:t>generate</w:t>
      </w:r>
      <w:r w:rsidRPr="00E430C1">
        <w:rPr>
          <w:rFonts w:ascii="Times New Roman" w:hAnsi="Times New Roman" w:cs="Times New Roman"/>
          <w:sz w:val="24"/>
          <w:szCs w:val="24"/>
        </w:rPr>
        <w:t xml:space="preserve"> </w:t>
      </w:r>
      <w:r w:rsidR="003972C5" w:rsidRPr="00E430C1">
        <w:rPr>
          <w:rFonts w:ascii="Times New Roman" w:hAnsi="Times New Roman" w:cs="Times New Roman"/>
          <w:sz w:val="24"/>
          <w:szCs w:val="24"/>
        </w:rPr>
        <w:t>35,330 MWh</w:t>
      </w:r>
      <w:r w:rsidRPr="00E430C1">
        <w:rPr>
          <w:rFonts w:ascii="Times New Roman" w:hAnsi="Times New Roman" w:cs="Times New Roman"/>
          <w:sz w:val="24"/>
          <w:szCs w:val="24"/>
        </w:rPr>
        <w:t xml:space="preserve"> of savings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Due to the uncertainty around the new pilot, PSE did not include the Home Energy Reports expansion savings in its target, even though PSE expects to achieve those savings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Finally, as a result of PSE’s decoupling mechanism in Docket UE-121697, PSE has committed to </w:t>
      </w:r>
      <w:r w:rsidR="003972C5" w:rsidRPr="00E430C1">
        <w:rPr>
          <w:rFonts w:ascii="Times New Roman" w:hAnsi="Times New Roman" w:cs="Times New Roman"/>
          <w:sz w:val="24"/>
          <w:szCs w:val="24"/>
        </w:rPr>
        <w:t xml:space="preserve">achieve </w:t>
      </w:r>
      <w:r w:rsidRPr="00E430C1">
        <w:rPr>
          <w:rFonts w:ascii="Times New Roman" w:hAnsi="Times New Roman" w:cs="Times New Roman"/>
          <w:sz w:val="24"/>
          <w:szCs w:val="24"/>
        </w:rPr>
        <w:t xml:space="preserve">5 percent </w:t>
      </w:r>
      <w:r w:rsidR="003972C5" w:rsidRPr="00E430C1">
        <w:rPr>
          <w:rFonts w:ascii="Times New Roman" w:hAnsi="Times New Roman" w:cs="Times New Roman"/>
          <w:sz w:val="24"/>
          <w:szCs w:val="24"/>
        </w:rPr>
        <w:t xml:space="preserve">additional savings above </w:t>
      </w:r>
      <w:r w:rsidRPr="00E430C1">
        <w:rPr>
          <w:rFonts w:ascii="Times New Roman" w:hAnsi="Times New Roman" w:cs="Times New Roman"/>
          <w:sz w:val="24"/>
          <w:szCs w:val="24"/>
        </w:rPr>
        <w:t>its biennial conservation target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This means that PSE’s BCP is designed to achieve 621,120 MWh</w:t>
      </w:r>
      <w:r w:rsidR="00BE2219"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70.9 </w:t>
      </w:r>
      <w:proofErr w:type="spellStart"/>
      <w:r w:rsidRPr="00E430C1">
        <w:rPr>
          <w:rFonts w:ascii="Times New Roman" w:hAnsi="Times New Roman" w:cs="Times New Roman"/>
          <w:sz w:val="24"/>
          <w:szCs w:val="24"/>
        </w:rPr>
        <w:t>aMW</w:t>
      </w:r>
      <w:proofErr w:type="spellEnd"/>
      <w:r w:rsidR="00BE2219" w:rsidRPr="00E430C1">
        <w:rPr>
          <w:rFonts w:ascii="Times New Roman" w:hAnsi="Times New Roman" w:cs="Times New Roman"/>
          <w:sz w:val="24"/>
          <w:szCs w:val="24"/>
        </w:rPr>
        <w:t>)</w:t>
      </w:r>
      <w:r w:rsidRPr="00E430C1">
        <w:rPr>
          <w:rFonts w:ascii="Times New Roman" w:hAnsi="Times New Roman" w:cs="Times New Roman"/>
          <w:sz w:val="24"/>
          <w:szCs w:val="24"/>
        </w:rPr>
        <w:t xml:space="preserve"> of conservation savings, even though the biennial conservation target for compliance</w:t>
      </w:r>
      <w:r w:rsidR="003972C5" w:rsidRPr="00E430C1">
        <w:rPr>
          <w:rFonts w:ascii="Times New Roman" w:hAnsi="Times New Roman" w:cs="Times New Roman"/>
          <w:sz w:val="24"/>
          <w:szCs w:val="24"/>
        </w:rPr>
        <w:t xml:space="preserve"> with the EIA</w:t>
      </w:r>
      <w:r w:rsidRPr="00E430C1">
        <w:rPr>
          <w:rFonts w:ascii="Times New Roman" w:hAnsi="Times New Roman" w:cs="Times New Roman"/>
          <w:sz w:val="24"/>
          <w:szCs w:val="24"/>
        </w:rPr>
        <w:t xml:space="preserve"> is 485,768 MWh</w:t>
      </w:r>
      <w:r w:rsidR="00BE2219"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55.5 </w:t>
      </w:r>
      <w:proofErr w:type="spellStart"/>
      <w:r w:rsidRPr="00E430C1">
        <w:rPr>
          <w:rFonts w:ascii="Times New Roman" w:hAnsi="Times New Roman" w:cs="Times New Roman"/>
          <w:sz w:val="24"/>
          <w:szCs w:val="24"/>
        </w:rPr>
        <w:t>aMW</w:t>
      </w:r>
      <w:proofErr w:type="spellEnd"/>
      <w:r w:rsidR="00BE2219" w:rsidRPr="00E430C1">
        <w:rPr>
          <w:rFonts w:ascii="Times New Roman" w:hAnsi="Times New Roman" w:cs="Times New Roman"/>
          <w:sz w:val="24"/>
          <w:szCs w:val="24"/>
        </w:rPr>
        <w:t>)</w:t>
      </w:r>
      <w:r w:rsidRPr="00E430C1">
        <w:rPr>
          <w:rFonts w:ascii="Times New Roman" w:hAnsi="Times New Roman" w:cs="Times New Roman"/>
          <w:sz w:val="24"/>
          <w:szCs w:val="24"/>
        </w:rPr>
        <w:t>.</w:t>
      </w:r>
    </w:p>
    <w:p w:rsidR="007327FB" w:rsidRPr="00E430C1" w:rsidRDefault="007327FB" w:rsidP="007327FB">
      <w:pPr>
        <w:rPr>
          <w:rFonts w:ascii="Times New Roman" w:hAnsi="Times New Roman" w:cs="Times New Roman"/>
          <w:sz w:val="24"/>
          <w:szCs w:val="24"/>
        </w:rPr>
      </w:pPr>
    </w:p>
    <w:p w:rsidR="00CE2B98" w:rsidRPr="00CE2B98" w:rsidRDefault="00CE2B98" w:rsidP="00CE2B98">
      <w:pPr>
        <w:pStyle w:val="Caption"/>
      </w:pPr>
      <w:bookmarkStart w:id="14" w:name="_Toc373818913"/>
      <w:proofErr w:type="gramStart"/>
      <w:r w:rsidRPr="00CE2B98">
        <w:t xml:space="preserve">Table </w:t>
      </w:r>
      <w:proofErr w:type="gramEnd"/>
      <w:r w:rsidR="00F60B1A">
        <w:fldChar w:fldCharType="begin"/>
      </w:r>
      <w:r w:rsidR="00F60B1A">
        <w:instrText xml:space="preserve"> SEQ Table \* ARABIC </w:instrText>
      </w:r>
      <w:r w:rsidR="00F60B1A">
        <w:fldChar w:fldCharType="separate"/>
      </w:r>
      <w:r w:rsidR="00F60B1A">
        <w:rPr>
          <w:noProof/>
        </w:rPr>
        <w:t>1</w:t>
      </w:r>
      <w:r w:rsidR="00F60B1A">
        <w:rPr>
          <w:noProof/>
        </w:rPr>
        <w:fldChar w:fldCharType="end"/>
      </w:r>
      <w:proofErr w:type="gramStart"/>
      <w:r w:rsidRPr="00CE2B98">
        <w:t>.</w:t>
      </w:r>
      <w:proofErr w:type="gramEnd"/>
      <w:r w:rsidRPr="00CE2B98">
        <w:t xml:space="preserve"> PSE Conservation Savings and Budgets</w:t>
      </w:r>
      <w:bookmarkEnd w:id="14"/>
    </w:p>
    <w:tbl>
      <w:tblPr>
        <w:tblStyle w:val="TableGrid"/>
        <w:tblW w:w="0" w:type="auto"/>
        <w:tblLook w:val="04A0" w:firstRow="1" w:lastRow="0" w:firstColumn="1" w:lastColumn="0" w:noHBand="0" w:noVBand="1"/>
      </w:tblPr>
      <w:tblGrid>
        <w:gridCol w:w="1728"/>
        <w:gridCol w:w="1962"/>
        <w:gridCol w:w="1962"/>
        <w:gridCol w:w="1962"/>
        <w:gridCol w:w="1962"/>
      </w:tblGrid>
      <w:tr w:rsidR="007327FB" w:rsidRPr="00E430C1" w:rsidTr="0006565D">
        <w:tc>
          <w:tcPr>
            <w:tcW w:w="1728" w:type="dxa"/>
          </w:tcPr>
          <w:p w:rsidR="007327FB" w:rsidRPr="00E430C1" w:rsidRDefault="007327FB" w:rsidP="0006565D">
            <w:pPr>
              <w:jc w:val="center"/>
              <w:rPr>
                <w:rFonts w:ascii="Times New Roman" w:hAnsi="Times New Roman" w:cs="Times New Roman"/>
                <w:b/>
                <w:sz w:val="24"/>
                <w:szCs w:val="24"/>
              </w:rPr>
            </w:pPr>
          </w:p>
        </w:tc>
        <w:tc>
          <w:tcPr>
            <w:tcW w:w="1962" w:type="dxa"/>
          </w:tcPr>
          <w:p w:rsidR="007327FB" w:rsidRPr="00E430C1" w:rsidRDefault="007327FB"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2012-2013 Biennial Target</w:t>
            </w:r>
          </w:p>
        </w:tc>
        <w:tc>
          <w:tcPr>
            <w:tcW w:w="1962" w:type="dxa"/>
          </w:tcPr>
          <w:p w:rsidR="007327FB" w:rsidRPr="00E430C1" w:rsidRDefault="007327FB"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2014-2023</w:t>
            </w:r>
          </w:p>
          <w:p w:rsidR="007327FB" w:rsidRPr="00E430C1" w:rsidRDefault="007327FB" w:rsidP="0006565D">
            <w:pPr>
              <w:jc w:val="center"/>
              <w:rPr>
                <w:rFonts w:ascii="Times New Roman" w:hAnsi="Times New Roman" w:cs="Times New Roman"/>
                <w:b/>
                <w:sz w:val="24"/>
                <w:szCs w:val="24"/>
              </w:rPr>
            </w:pPr>
            <w:r w:rsidRPr="00E430C1">
              <w:rPr>
                <w:rFonts w:ascii="Times New Roman" w:hAnsi="Times New Roman" w:cs="Times New Roman"/>
                <w:b/>
                <w:sz w:val="24"/>
                <w:szCs w:val="24"/>
              </w:rPr>
              <w:t>10-year potential</w:t>
            </w:r>
          </w:p>
        </w:tc>
        <w:tc>
          <w:tcPr>
            <w:tcW w:w="1962" w:type="dxa"/>
          </w:tcPr>
          <w:p w:rsidR="007327FB" w:rsidRPr="00E430C1" w:rsidRDefault="007327FB"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2014-2015 Biennial Target</w:t>
            </w:r>
          </w:p>
        </w:tc>
        <w:tc>
          <w:tcPr>
            <w:tcW w:w="1962" w:type="dxa"/>
          </w:tcPr>
          <w:p w:rsidR="007327FB" w:rsidRPr="00E430C1" w:rsidRDefault="007327FB"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2014-2015 Portfolio Total</w:t>
            </w:r>
          </w:p>
        </w:tc>
      </w:tr>
      <w:tr w:rsidR="007327FB" w:rsidRPr="00E430C1" w:rsidTr="0006565D">
        <w:tc>
          <w:tcPr>
            <w:tcW w:w="1728" w:type="dxa"/>
          </w:tcPr>
          <w:p w:rsidR="007327FB" w:rsidRPr="00E430C1" w:rsidRDefault="007327FB" w:rsidP="0006565D">
            <w:pPr>
              <w:rPr>
                <w:rFonts w:ascii="Times New Roman" w:hAnsi="Times New Roman" w:cs="Times New Roman"/>
                <w:b/>
                <w:sz w:val="24"/>
                <w:szCs w:val="24"/>
              </w:rPr>
            </w:pPr>
            <w:r w:rsidRPr="00E430C1">
              <w:rPr>
                <w:rFonts w:ascii="Times New Roman" w:hAnsi="Times New Roman" w:cs="Times New Roman"/>
                <w:b/>
                <w:sz w:val="24"/>
                <w:szCs w:val="24"/>
              </w:rPr>
              <w:t>Savings</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666,000 MWh (76.0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2,730,408 MWh (311.7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485,768 MWh (55.5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621,120 MWh (70.9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r>
      <w:tr w:rsidR="007327FB" w:rsidRPr="00E430C1" w:rsidTr="0006565D">
        <w:tc>
          <w:tcPr>
            <w:tcW w:w="1728" w:type="dxa"/>
          </w:tcPr>
          <w:p w:rsidR="007327FB" w:rsidRPr="00E430C1" w:rsidRDefault="007327FB" w:rsidP="0006565D">
            <w:pPr>
              <w:rPr>
                <w:rFonts w:ascii="Times New Roman" w:hAnsi="Times New Roman" w:cs="Times New Roman"/>
                <w:b/>
                <w:sz w:val="24"/>
                <w:szCs w:val="24"/>
              </w:rPr>
            </w:pPr>
            <w:r w:rsidRPr="00E430C1">
              <w:rPr>
                <w:rFonts w:ascii="Times New Roman" w:hAnsi="Times New Roman" w:cs="Times New Roman"/>
                <w:b/>
                <w:sz w:val="24"/>
                <w:szCs w:val="24"/>
              </w:rPr>
              <w:t>Budget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$193,429,000</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$188,784,100</w:t>
            </w:r>
          </w:p>
        </w:tc>
      </w:tr>
    </w:tbl>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PSE plans to spend $188,784,100 to achieve the total portfolio savings of </w:t>
      </w:r>
      <w:r w:rsidR="003972C5" w:rsidRPr="00E430C1">
        <w:rPr>
          <w:rFonts w:ascii="Times New Roman" w:hAnsi="Times New Roman" w:cs="Times New Roman"/>
          <w:sz w:val="24"/>
          <w:szCs w:val="24"/>
        </w:rPr>
        <w:t>621,120 MWh</w:t>
      </w:r>
      <w:r w:rsidRPr="00E430C1">
        <w:rPr>
          <w:rFonts w:ascii="Times New Roman" w:hAnsi="Times New Roman" w:cs="Times New Roman"/>
          <w:sz w:val="24"/>
          <w:szCs w:val="24"/>
        </w:rPr>
        <w:t>, which includes NEEA savings, the Home Energy Reports expansion pilot and the decoupling commitment savings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As filed, PSE’s total portfolio achieves a Total Resource Cost (TRC) ratio of 1.63 and a Utility Cost Test (UCT) ratio of 2.25, indicating that the portfolio is cost-effective.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In response to changing market conditions and regulatory requirements, PSE made several programmatic adjustments in its business plan for the 2014-2015 </w:t>
      </w:r>
      <w:proofErr w:type="gramStart"/>
      <w:r w:rsidRPr="00E430C1">
        <w:rPr>
          <w:rFonts w:ascii="Times New Roman" w:hAnsi="Times New Roman" w:cs="Times New Roman"/>
          <w:sz w:val="24"/>
          <w:szCs w:val="24"/>
        </w:rPr>
        <w:t>biennium</w:t>
      </w:r>
      <w:proofErr w:type="gramEnd"/>
      <w:r w:rsidRPr="00E430C1">
        <w:rPr>
          <w:rFonts w:ascii="Times New Roman" w:hAnsi="Times New Roman" w:cs="Times New Roman"/>
          <w:sz w:val="24"/>
          <w:szCs w:val="24"/>
        </w:rPr>
        <w:t xml:space="preserve">. As mentioned above, PSE’s business plan intends to achieve 105 percent of the 2014-2015 biennial conservation </w:t>
      </w:r>
      <w:proofErr w:type="gramStart"/>
      <w:r w:rsidRPr="00E430C1">
        <w:rPr>
          <w:rFonts w:ascii="Times New Roman" w:hAnsi="Times New Roman" w:cs="Times New Roman"/>
          <w:sz w:val="24"/>
          <w:szCs w:val="24"/>
        </w:rPr>
        <w:t>target</w:t>
      </w:r>
      <w:proofErr w:type="gramEnd"/>
      <w:r w:rsidRPr="00E430C1">
        <w:rPr>
          <w:rFonts w:ascii="Times New Roman" w:hAnsi="Times New Roman" w:cs="Times New Roman"/>
          <w:sz w:val="24"/>
          <w:szCs w:val="24"/>
        </w:rPr>
        <w:t xml:space="preserve"> due to the requirements of its decoupling mechanism. Also due to the decoupling mechanism, PSE has increased funding for low-income weatherization by $500,000 compared to the previous biennium. The Home Energy Reports expansion pilot will add roughly 100,000 customers to three different treatment groups: </w:t>
      </w:r>
      <w:r w:rsidR="00E323B1" w:rsidRPr="00E430C1">
        <w:rPr>
          <w:rFonts w:ascii="Times New Roman" w:hAnsi="Times New Roman" w:cs="Times New Roman"/>
          <w:sz w:val="24"/>
          <w:szCs w:val="24"/>
        </w:rPr>
        <w:t>electric-</w:t>
      </w:r>
      <w:r w:rsidRPr="00E430C1">
        <w:rPr>
          <w:rFonts w:ascii="Times New Roman" w:hAnsi="Times New Roman" w:cs="Times New Roman"/>
          <w:sz w:val="24"/>
          <w:szCs w:val="24"/>
        </w:rPr>
        <w:t xml:space="preserve">only customers; non-urban customers; and customers with relatively high usage. PSE is also introducing a business energy report pilot for small- and medium-sized businesses, similar to Home Energy Reports. To ease customer navigation of its suite of incentives, PSE plans to combine its Single Family New Construction and Multifamily Construction teams into a single group, and to streamline the business lighting application process. PSE </w:t>
      </w:r>
      <w:r w:rsidR="00386585" w:rsidRPr="00E430C1">
        <w:rPr>
          <w:rFonts w:ascii="Times New Roman" w:hAnsi="Times New Roman" w:cs="Times New Roman"/>
          <w:sz w:val="24"/>
          <w:szCs w:val="24"/>
        </w:rPr>
        <w:t xml:space="preserve">further </w:t>
      </w:r>
      <w:r w:rsidRPr="00E430C1">
        <w:rPr>
          <w:rFonts w:ascii="Times New Roman" w:hAnsi="Times New Roman" w:cs="Times New Roman"/>
          <w:sz w:val="24"/>
          <w:szCs w:val="24"/>
        </w:rPr>
        <w:t>proposes to test a new remote energy audit tool for its business customers, as a more efficient way to identify retrofit and operational improvements. Although the impacts of the economic recession and low natural gas prices continue to challenge the cost-effectiveness of efficiency measures, PSE has adjusted its program offerings to maintain a cost-effective portfolio.</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PSE’s collaborative approach to developing the business plan with its Conservation Resources Advisory Group (CRAG)</w:t>
      </w:r>
      <w:r w:rsidR="00926D0B">
        <w:rPr>
          <w:rFonts w:ascii="Times New Roman" w:hAnsi="Times New Roman" w:cs="Times New Roman"/>
          <w:sz w:val="24"/>
          <w:szCs w:val="24"/>
        </w:rPr>
        <w:t xml:space="preserve"> is appreciated</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However, there are three issues </w:t>
      </w:r>
      <w:r w:rsidR="00292172">
        <w:rPr>
          <w:rFonts w:ascii="Times New Roman" w:hAnsi="Times New Roman" w:cs="Times New Roman"/>
          <w:sz w:val="24"/>
          <w:szCs w:val="24"/>
        </w:rPr>
        <w:t xml:space="preserve">of concern </w:t>
      </w:r>
      <w:r w:rsidRPr="00E430C1">
        <w:rPr>
          <w:rFonts w:ascii="Times New Roman" w:hAnsi="Times New Roman" w:cs="Times New Roman"/>
          <w:sz w:val="24"/>
          <w:szCs w:val="24"/>
        </w:rPr>
        <w:t>within the BCP.</w:t>
      </w:r>
    </w:p>
    <w:p w:rsidR="007327FB" w:rsidRPr="00E430C1" w:rsidRDefault="007327FB" w:rsidP="007327FB">
      <w:pPr>
        <w:rPr>
          <w:rFonts w:ascii="Times New Roman" w:hAnsi="Times New Roman" w:cs="Times New Roman"/>
          <w:sz w:val="24"/>
          <w:szCs w:val="24"/>
        </w:rPr>
      </w:pPr>
    </w:p>
    <w:p w:rsidR="007327FB" w:rsidRPr="00E430C1" w:rsidRDefault="007327FB" w:rsidP="007327FB">
      <w:pPr>
        <w:pStyle w:val="ListParagraph"/>
        <w:numPr>
          <w:ilvl w:val="0"/>
          <w:numId w:val="12"/>
        </w:numPr>
        <w:rPr>
          <w:rFonts w:ascii="Times New Roman" w:hAnsi="Times New Roman" w:cs="Times New Roman"/>
          <w:sz w:val="24"/>
          <w:szCs w:val="24"/>
        </w:rPr>
      </w:pPr>
      <w:r w:rsidRPr="00E430C1">
        <w:rPr>
          <w:rFonts w:ascii="Times New Roman" w:hAnsi="Times New Roman" w:cs="Times New Roman"/>
          <w:sz w:val="24"/>
          <w:szCs w:val="24"/>
        </w:rPr>
        <w:t>Residential Lighting – PSE estimates that over 40 percent of its residential savings will come from lighting measures. However, PSE also acknowledges that UES values for CFLs “continue their downward trend as the measure approaches a saturation point.”</w:t>
      </w:r>
      <w:r w:rsidRPr="00E430C1">
        <w:rPr>
          <w:rStyle w:val="FootnoteReference"/>
          <w:rFonts w:ascii="Times New Roman" w:hAnsi="Times New Roman" w:cs="Times New Roman"/>
          <w:sz w:val="24"/>
          <w:szCs w:val="24"/>
        </w:rPr>
        <w:footnoteReference w:id="11"/>
      </w:r>
      <w:r w:rsidRPr="00E430C1">
        <w:rPr>
          <w:rFonts w:ascii="Times New Roman" w:hAnsi="Times New Roman" w:cs="Times New Roman"/>
          <w:sz w:val="24"/>
          <w:szCs w:val="24"/>
        </w:rPr>
        <w:t xml:space="preserve"> Similarly, PSE’s Plan recognizes that the UES values for residential LED lamps are also lower, reflecting more CFLs in the baseline. Given these trends, Staff is concerned that PSE might not be able to deliver the savings from the single largest resource in its portfolio. </w:t>
      </w:r>
      <w:r w:rsidR="00BE2219" w:rsidRPr="00E430C1">
        <w:rPr>
          <w:rFonts w:ascii="Times New Roman" w:hAnsi="Times New Roman" w:cs="Times New Roman"/>
          <w:sz w:val="24"/>
          <w:szCs w:val="24"/>
        </w:rPr>
        <w:t xml:space="preserve">PSE </w:t>
      </w:r>
      <w:r w:rsidR="00292172">
        <w:rPr>
          <w:rFonts w:ascii="Times New Roman" w:hAnsi="Times New Roman" w:cs="Times New Roman"/>
          <w:sz w:val="24"/>
          <w:szCs w:val="24"/>
        </w:rPr>
        <w:t xml:space="preserve">should </w:t>
      </w:r>
      <w:r w:rsidR="00BE2219" w:rsidRPr="00E430C1">
        <w:rPr>
          <w:rFonts w:ascii="Times New Roman" w:hAnsi="Times New Roman" w:cs="Times New Roman"/>
          <w:sz w:val="24"/>
          <w:szCs w:val="24"/>
        </w:rPr>
        <w:t xml:space="preserve">provide at least quarterly updates </w:t>
      </w:r>
      <w:r w:rsidR="00386585" w:rsidRPr="00E430C1">
        <w:rPr>
          <w:rFonts w:ascii="Times New Roman" w:hAnsi="Times New Roman" w:cs="Times New Roman"/>
          <w:sz w:val="24"/>
          <w:szCs w:val="24"/>
        </w:rPr>
        <w:t xml:space="preserve">at CRAG meetings </w:t>
      </w:r>
      <w:r w:rsidR="00BE2219" w:rsidRPr="00E430C1">
        <w:rPr>
          <w:rFonts w:ascii="Times New Roman" w:hAnsi="Times New Roman" w:cs="Times New Roman"/>
          <w:sz w:val="24"/>
          <w:szCs w:val="24"/>
        </w:rPr>
        <w:t>on the acquisition of savings from the residential lighting initiatives.</w:t>
      </w:r>
    </w:p>
    <w:p w:rsidR="007327FB" w:rsidRPr="00E430C1" w:rsidRDefault="007327FB" w:rsidP="007327FB">
      <w:pPr>
        <w:pStyle w:val="ListParagraph"/>
        <w:ind w:left="1080"/>
        <w:rPr>
          <w:rFonts w:ascii="Times New Roman" w:hAnsi="Times New Roman" w:cs="Times New Roman"/>
          <w:sz w:val="24"/>
          <w:szCs w:val="24"/>
        </w:rPr>
      </w:pPr>
    </w:p>
    <w:p w:rsidR="007327FB" w:rsidRPr="00E430C1" w:rsidRDefault="007327FB" w:rsidP="007327FB">
      <w:pPr>
        <w:pStyle w:val="ListParagraph"/>
        <w:numPr>
          <w:ilvl w:val="0"/>
          <w:numId w:val="12"/>
        </w:numPr>
        <w:rPr>
          <w:rFonts w:ascii="Times New Roman" w:hAnsi="Times New Roman" w:cs="Times New Roman"/>
          <w:sz w:val="24"/>
          <w:szCs w:val="24"/>
        </w:rPr>
      </w:pPr>
      <w:r w:rsidRPr="00E430C1">
        <w:rPr>
          <w:rFonts w:ascii="Times New Roman" w:hAnsi="Times New Roman" w:cs="Times New Roman"/>
          <w:sz w:val="24"/>
          <w:szCs w:val="24"/>
        </w:rPr>
        <w:t xml:space="preserve">Third-Party Biennial Review – In previous biennia, the Commission has required PSE to conduct a one-time third-party biennial review of its portfolio savings. PSE expressed to the CRAG an interest in eliminating this requirement, due to the expense and the fact that PSE has increased its internal verification capacity. Staff and other CRAG members were uncomfortable removing this requirement, because it provides an impartial assessment of PSE’s processes and achievements. As a compromise, Staff proposed that a third-party review for the 2014-2015 </w:t>
      </w:r>
      <w:proofErr w:type="gramStart"/>
      <w:r w:rsidRPr="00E430C1">
        <w:rPr>
          <w:rFonts w:ascii="Times New Roman" w:hAnsi="Times New Roman" w:cs="Times New Roman"/>
          <w:sz w:val="24"/>
          <w:szCs w:val="24"/>
        </w:rPr>
        <w:t>biennium</w:t>
      </w:r>
      <w:proofErr w:type="gramEnd"/>
      <w:r w:rsidRPr="00E430C1">
        <w:rPr>
          <w:rFonts w:ascii="Times New Roman" w:hAnsi="Times New Roman" w:cs="Times New Roman"/>
          <w:sz w:val="24"/>
          <w:szCs w:val="24"/>
        </w:rPr>
        <w:t xml:space="preserve"> could be scaled back to spend less effort reviewing areas that are performing up to industry standards, and to avoid overlap with the efforts of PSE’s internal Verification Team. PSE expressed its interest in this compromise but was reluctant to define a budget for this review in the BCP</w:t>
      </w:r>
      <w:r w:rsidR="00DD0510" w:rsidRPr="00E430C1">
        <w:rPr>
          <w:rFonts w:ascii="Times New Roman" w:hAnsi="Times New Roman" w:cs="Times New Roman"/>
          <w:sz w:val="24"/>
          <w:szCs w:val="24"/>
        </w:rPr>
        <w:t xml:space="preserve">. </w:t>
      </w:r>
      <w:r w:rsidR="00063F2D">
        <w:rPr>
          <w:rFonts w:ascii="Times New Roman" w:hAnsi="Times New Roman" w:cs="Times New Roman"/>
          <w:sz w:val="24"/>
          <w:szCs w:val="24"/>
        </w:rPr>
        <w:t>Redesigning</w:t>
      </w:r>
      <w:r w:rsidRPr="00E430C1">
        <w:rPr>
          <w:rFonts w:ascii="Times New Roman" w:hAnsi="Times New Roman" w:cs="Times New Roman"/>
          <w:sz w:val="24"/>
          <w:szCs w:val="24"/>
        </w:rPr>
        <w:t xml:space="preserve"> the scope for the review may make estimating the cost difficult at this time</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PSE </w:t>
      </w:r>
      <w:r w:rsidR="00386585" w:rsidRPr="00E430C1">
        <w:rPr>
          <w:rFonts w:ascii="Times New Roman" w:hAnsi="Times New Roman" w:cs="Times New Roman"/>
          <w:sz w:val="24"/>
          <w:szCs w:val="24"/>
        </w:rPr>
        <w:t xml:space="preserve">indicated </w:t>
      </w:r>
      <w:r w:rsidRPr="00E430C1">
        <w:rPr>
          <w:rFonts w:ascii="Times New Roman" w:hAnsi="Times New Roman" w:cs="Times New Roman"/>
          <w:sz w:val="24"/>
          <w:szCs w:val="24"/>
        </w:rPr>
        <w:t>that</w:t>
      </w:r>
      <w:r w:rsidR="00386585" w:rsidRPr="00E430C1">
        <w:rPr>
          <w:rFonts w:ascii="Times New Roman" w:hAnsi="Times New Roman" w:cs="Times New Roman"/>
          <w:sz w:val="24"/>
          <w:szCs w:val="24"/>
        </w:rPr>
        <w:t>,</w:t>
      </w:r>
      <w:r w:rsidRPr="00E430C1">
        <w:rPr>
          <w:rFonts w:ascii="Times New Roman" w:hAnsi="Times New Roman" w:cs="Times New Roman"/>
          <w:sz w:val="24"/>
          <w:szCs w:val="24"/>
        </w:rPr>
        <w:t xml:space="preserve"> after </w:t>
      </w:r>
      <w:r w:rsidR="00127E0B">
        <w:rPr>
          <w:rFonts w:ascii="Times New Roman" w:hAnsi="Times New Roman" w:cs="Times New Roman"/>
          <w:sz w:val="24"/>
          <w:szCs w:val="24"/>
        </w:rPr>
        <w:t>up</w:t>
      </w:r>
      <w:r w:rsidR="00D055E9">
        <w:rPr>
          <w:rFonts w:ascii="Times New Roman" w:hAnsi="Times New Roman" w:cs="Times New Roman"/>
          <w:sz w:val="24"/>
          <w:szCs w:val="24"/>
        </w:rPr>
        <w:t xml:space="preserve">coming </w:t>
      </w:r>
      <w:r w:rsidRPr="00E430C1">
        <w:rPr>
          <w:rFonts w:ascii="Times New Roman" w:hAnsi="Times New Roman" w:cs="Times New Roman"/>
          <w:sz w:val="24"/>
          <w:szCs w:val="24"/>
        </w:rPr>
        <w:t>negotiation with the CRAG</w:t>
      </w:r>
      <w:r w:rsidR="00386585" w:rsidRPr="00E430C1">
        <w:rPr>
          <w:rFonts w:ascii="Times New Roman" w:hAnsi="Times New Roman" w:cs="Times New Roman"/>
          <w:sz w:val="24"/>
          <w:szCs w:val="24"/>
        </w:rPr>
        <w:t>,</w:t>
      </w:r>
      <w:r w:rsidRPr="00E430C1">
        <w:rPr>
          <w:rFonts w:ascii="Times New Roman" w:hAnsi="Times New Roman" w:cs="Times New Roman"/>
          <w:sz w:val="24"/>
          <w:szCs w:val="24"/>
        </w:rPr>
        <w:t xml:space="preserve"> it w</w:t>
      </w:r>
      <w:r w:rsidR="00127E0B">
        <w:rPr>
          <w:rFonts w:ascii="Times New Roman" w:hAnsi="Times New Roman" w:cs="Times New Roman"/>
          <w:sz w:val="24"/>
          <w:szCs w:val="24"/>
        </w:rPr>
        <w:t>ill</w:t>
      </w:r>
      <w:r w:rsidRPr="00E430C1">
        <w:rPr>
          <w:rFonts w:ascii="Times New Roman" w:hAnsi="Times New Roman" w:cs="Times New Roman"/>
          <w:sz w:val="24"/>
          <w:szCs w:val="24"/>
        </w:rPr>
        <w:t xml:space="preserve"> be willing to include the cost of the third-party biennial review into its 2015 Annual Conservation Plan (ACP) budget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Staff is amenable to this approach, and is working with the company to ensure that the </w:t>
      </w:r>
      <w:r w:rsidR="00E323B1" w:rsidRPr="00E430C1">
        <w:rPr>
          <w:rFonts w:ascii="Times New Roman" w:hAnsi="Times New Roman" w:cs="Times New Roman"/>
          <w:sz w:val="24"/>
          <w:szCs w:val="24"/>
        </w:rPr>
        <w:t xml:space="preserve">proposed </w:t>
      </w:r>
      <w:r w:rsidRPr="00E430C1">
        <w:rPr>
          <w:rFonts w:ascii="Times New Roman" w:hAnsi="Times New Roman" w:cs="Times New Roman"/>
          <w:sz w:val="24"/>
          <w:szCs w:val="24"/>
        </w:rPr>
        <w:t>conditions appropriately reflect this compromise.</w:t>
      </w:r>
    </w:p>
    <w:p w:rsidR="007327FB" w:rsidRPr="00E430C1" w:rsidRDefault="007327FB" w:rsidP="007327FB">
      <w:pPr>
        <w:pStyle w:val="ListParagraph"/>
        <w:ind w:left="1080"/>
        <w:rPr>
          <w:rFonts w:ascii="Times New Roman" w:hAnsi="Times New Roman" w:cs="Times New Roman"/>
          <w:sz w:val="24"/>
          <w:szCs w:val="24"/>
        </w:rPr>
      </w:pPr>
    </w:p>
    <w:p w:rsidR="007327FB" w:rsidRPr="00E430C1" w:rsidRDefault="007327FB" w:rsidP="007327FB">
      <w:pPr>
        <w:pStyle w:val="ListParagraph"/>
        <w:numPr>
          <w:ilvl w:val="0"/>
          <w:numId w:val="12"/>
        </w:numPr>
        <w:rPr>
          <w:rFonts w:ascii="Times New Roman" w:hAnsi="Times New Roman" w:cs="Times New Roman"/>
          <w:sz w:val="24"/>
          <w:szCs w:val="24"/>
        </w:rPr>
      </w:pPr>
      <w:r w:rsidRPr="00E430C1">
        <w:rPr>
          <w:rFonts w:ascii="Times New Roman" w:hAnsi="Times New Roman" w:cs="Times New Roman"/>
          <w:sz w:val="24"/>
          <w:szCs w:val="24"/>
        </w:rPr>
        <w:t xml:space="preserve">Conservation Voltage Reduction (CVR) funding – PSE proposes to recover $321,800 for its conservation voltage reduction program through the conservation rider in the 2014-2015 biennium. These expenditures would cover the </w:t>
      </w:r>
      <w:r w:rsidR="00E323B1" w:rsidRPr="00E430C1">
        <w:rPr>
          <w:rFonts w:ascii="Times New Roman" w:hAnsi="Times New Roman" w:cs="Times New Roman"/>
          <w:sz w:val="24"/>
          <w:szCs w:val="24"/>
        </w:rPr>
        <w:t>phase-</w:t>
      </w:r>
      <w:r w:rsidRPr="00E430C1">
        <w:rPr>
          <w:rFonts w:ascii="Times New Roman" w:hAnsi="Times New Roman" w:cs="Times New Roman"/>
          <w:sz w:val="24"/>
          <w:szCs w:val="24"/>
        </w:rPr>
        <w:t>balancing labor that is necessary to support voltage reduction. PSE also intends to spend $800,000 on capital improvements, such as replacing transformers, which would be recovered through general rates. The program is designed to achieve 6,200 MWh of savings during the biennium at a total cost of $1,121,800</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Staff opposes PSE’s plan to recover CVR funds through the conservation rider</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Commission previously determined in its order approving PacifiCorp’s 2012-2013 Biennial Target that, </w:t>
      </w:r>
    </w:p>
    <w:p w:rsidR="007327FB" w:rsidRPr="00E430C1" w:rsidRDefault="007327FB" w:rsidP="007327FB">
      <w:pPr>
        <w:rPr>
          <w:rFonts w:ascii="Times New Roman" w:hAnsi="Times New Roman" w:cs="Times New Roman"/>
          <w:sz w:val="24"/>
          <w:szCs w:val="24"/>
        </w:rPr>
      </w:pPr>
    </w:p>
    <w:p w:rsidR="007327FB" w:rsidRPr="00E430C1" w:rsidRDefault="007327FB" w:rsidP="007327FB">
      <w:pPr>
        <w:ind w:left="1440"/>
        <w:rPr>
          <w:rFonts w:ascii="Times New Roman" w:hAnsi="Times New Roman" w:cs="Times New Roman"/>
          <w:sz w:val="24"/>
          <w:szCs w:val="24"/>
        </w:rPr>
      </w:pPr>
      <w:r w:rsidRPr="00E430C1">
        <w:rPr>
          <w:rFonts w:ascii="Times New Roman" w:hAnsi="Times New Roman" w:cs="Times New Roman"/>
          <w:sz w:val="24"/>
          <w:szCs w:val="24"/>
        </w:rPr>
        <w:t>“Recovery of costs associated with Distribution and Production Efficiency initiatives are not funded through the [System Benefits Charge] because these programs are not customer conservation initiatives; these are company infrastructure conservation programs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As such, these costs are recovered in the general rate making process over time and may be requested through a general rate case, a deferred accounting petition or other allowed mechanism.”</w:t>
      </w:r>
      <w:r w:rsidRPr="00E430C1">
        <w:rPr>
          <w:rStyle w:val="FootnoteReference"/>
          <w:rFonts w:ascii="Times New Roman" w:hAnsi="Times New Roman" w:cs="Times New Roman"/>
          <w:sz w:val="24"/>
          <w:szCs w:val="24"/>
        </w:rPr>
        <w:footnoteReference w:id="12"/>
      </w:r>
    </w:p>
    <w:p w:rsidR="007327FB" w:rsidRPr="00E430C1" w:rsidRDefault="007327FB" w:rsidP="007327FB">
      <w:pPr>
        <w:ind w:left="1440"/>
        <w:rPr>
          <w:rFonts w:ascii="Times New Roman" w:hAnsi="Times New Roman" w:cs="Times New Roman"/>
          <w:sz w:val="24"/>
          <w:szCs w:val="24"/>
        </w:rPr>
      </w:pPr>
    </w:p>
    <w:p w:rsidR="007327FB" w:rsidRPr="00E430C1" w:rsidRDefault="007327FB" w:rsidP="007327FB">
      <w:pPr>
        <w:ind w:left="1080"/>
        <w:rPr>
          <w:rFonts w:ascii="Times New Roman" w:hAnsi="Times New Roman" w:cs="Times New Roman"/>
          <w:sz w:val="24"/>
          <w:szCs w:val="24"/>
        </w:rPr>
      </w:pPr>
      <w:r w:rsidRPr="00E430C1">
        <w:rPr>
          <w:rFonts w:ascii="Times New Roman" w:hAnsi="Times New Roman" w:cs="Times New Roman"/>
          <w:sz w:val="24"/>
          <w:szCs w:val="24"/>
        </w:rPr>
        <w:t xml:space="preserve">As with other operation and maintenance (O&amp;M) expenses, the company has existing mechanisms to recover the costs for the </w:t>
      </w:r>
      <w:r w:rsidR="00E323B1" w:rsidRPr="00E430C1">
        <w:rPr>
          <w:rFonts w:ascii="Times New Roman" w:hAnsi="Times New Roman" w:cs="Times New Roman"/>
          <w:sz w:val="24"/>
          <w:szCs w:val="24"/>
        </w:rPr>
        <w:t>phase-</w:t>
      </w:r>
      <w:r w:rsidRPr="00E430C1">
        <w:rPr>
          <w:rFonts w:ascii="Times New Roman" w:hAnsi="Times New Roman" w:cs="Times New Roman"/>
          <w:sz w:val="24"/>
          <w:szCs w:val="24"/>
        </w:rPr>
        <w:t xml:space="preserve">balancing work. The </w:t>
      </w:r>
      <w:r w:rsidR="00386585" w:rsidRPr="00E430C1">
        <w:rPr>
          <w:rFonts w:ascii="Times New Roman" w:hAnsi="Times New Roman" w:cs="Times New Roman"/>
          <w:sz w:val="24"/>
          <w:szCs w:val="24"/>
        </w:rPr>
        <w:t xml:space="preserve">Commission </w:t>
      </w:r>
      <w:r w:rsidRPr="00E430C1">
        <w:rPr>
          <w:rFonts w:ascii="Times New Roman" w:hAnsi="Times New Roman" w:cs="Times New Roman"/>
          <w:sz w:val="24"/>
          <w:szCs w:val="24"/>
        </w:rPr>
        <w:t>order quoted above does not distinguish between capital and O&amp;M costs, but simply prohibits</w:t>
      </w:r>
      <w:r w:rsidR="00E323B1" w:rsidRPr="00E430C1">
        <w:rPr>
          <w:rFonts w:ascii="Times New Roman" w:hAnsi="Times New Roman" w:cs="Times New Roman"/>
          <w:sz w:val="24"/>
          <w:szCs w:val="24"/>
        </w:rPr>
        <w:t xml:space="preserve"> recovery of</w:t>
      </w:r>
      <w:r w:rsidRPr="00E430C1">
        <w:rPr>
          <w:rFonts w:ascii="Times New Roman" w:hAnsi="Times New Roman" w:cs="Times New Roman"/>
          <w:sz w:val="24"/>
          <w:szCs w:val="24"/>
        </w:rPr>
        <w:t xml:space="preserve"> </w:t>
      </w:r>
      <w:r w:rsidR="00BE2219" w:rsidRPr="00E430C1">
        <w:rPr>
          <w:rFonts w:ascii="Times New Roman" w:hAnsi="Times New Roman" w:cs="Times New Roman"/>
          <w:sz w:val="24"/>
          <w:szCs w:val="24"/>
        </w:rPr>
        <w:t xml:space="preserve">distribution efficiency </w:t>
      </w:r>
      <w:r w:rsidRPr="00E430C1">
        <w:rPr>
          <w:rFonts w:ascii="Times New Roman" w:hAnsi="Times New Roman" w:cs="Times New Roman"/>
          <w:sz w:val="24"/>
          <w:szCs w:val="24"/>
        </w:rPr>
        <w:t>costs</w:t>
      </w:r>
      <w:r w:rsidR="00E323B1" w:rsidRPr="00E430C1">
        <w:rPr>
          <w:rFonts w:ascii="Times New Roman" w:hAnsi="Times New Roman" w:cs="Times New Roman"/>
          <w:sz w:val="24"/>
          <w:szCs w:val="24"/>
        </w:rPr>
        <w:t xml:space="preserve"> through a conservation rider</w:t>
      </w:r>
      <w:r w:rsidRPr="00E430C1">
        <w:rPr>
          <w:rFonts w:ascii="Times New Roman" w:hAnsi="Times New Roman" w:cs="Times New Roman"/>
          <w:sz w:val="24"/>
          <w:szCs w:val="24"/>
        </w:rPr>
        <w:t xml:space="preserve">. Generation, transmission and distribution efficiency efforts directly affect the operation of PSE’s system, and should be recovered through general rates to account for any offsetting factors. Staff </w:t>
      </w:r>
      <w:r w:rsidR="00063F2D">
        <w:rPr>
          <w:rFonts w:ascii="Times New Roman" w:hAnsi="Times New Roman" w:cs="Times New Roman"/>
          <w:sz w:val="24"/>
          <w:szCs w:val="24"/>
        </w:rPr>
        <w:t xml:space="preserve">will </w:t>
      </w:r>
      <w:r w:rsidRPr="00E430C1">
        <w:rPr>
          <w:rFonts w:ascii="Times New Roman" w:hAnsi="Times New Roman" w:cs="Times New Roman"/>
          <w:sz w:val="24"/>
          <w:szCs w:val="24"/>
        </w:rPr>
        <w:t>recommend that the $321,800 for CVR be removed from PSE’s 2014-2015 biennial budget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PSE retains the responsibility for pursuing CVR savings as part of its obligation to “pursue all conservation that is cost-effective, reliable and feasible.”</w:t>
      </w:r>
      <w:r w:rsidRPr="00E430C1">
        <w:rPr>
          <w:rStyle w:val="FootnoteReference"/>
          <w:rFonts w:ascii="Times New Roman" w:hAnsi="Times New Roman" w:cs="Times New Roman"/>
          <w:sz w:val="24"/>
          <w:szCs w:val="24"/>
        </w:rPr>
        <w:footnoteReference w:id="13"/>
      </w:r>
    </w:p>
    <w:p w:rsidR="007327FB" w:rsidRPr="00E430C1" w:rsidRDefault="007327FB" w:rsidP="00D055E9">
      <w:pPr>
        <w:pStyle w:val="Heading2"/>
      </w:pPr>
      <w:bookmarkStart w:id="15" w:name="_Toc373834559"/>
      <w:r w:rsidRPr="00E430C1">
        <w:t>Avista</w:t>
      </w:r>
      <w:bookmarkEnd w:id="15"/>
    </w:p>
    <w:p w:rsidR="007327FB" w:rsidRPr="00E430C1" w:rsidRDefault="007327FB" w:rsidP="007327FB">
      <w:pPr>
        <w:rPr>
          <w:rFonts w:ascii="Times New Roman" w:hAnsi="Times New Roman" w:cs="Times New Roman"/>
          <w:sz w:val="24"/>
          <w:szCs w:val="24"/>
        </w:rPr>
      </w:pPr>
    </w:p>
    <w:p w:rsidR="005C392E" w:rsidRPr="00E430C1" w:rsidRDefault="009F04CF" w:rsidP="005C392E">
      <w:pPr>
        <w:rPr>
          <w:rFonts w:ascii="Times New Roman" w:hAnsi="Times New Roman" w:cs="Times New Roman"/>
          <w:sz w:val="24"/>
          <w:szCs w:val="24"/>
        </w:rPr>
      </w:pPr>
      <w:r>
        <w:rPr>
          <w:rFonts w:ascii="Times New Roman" w:hAnsi="Times New Roman" w:cs="Times New Roman"/>
          <w:sz w:val="24"/>
          <w:szCs w:val="24"/>
        </w:rPr>
        <w:t>Avista used its 2014-202</w:t>
      </w:r>
      <w:r w:rsidR="005C392E" w:rsidRPr="00E430C1">
        <w:rPr>
          <w:rFonts w:ascii="Times New Roman" w:hAnsi="Times New Roman" w:cs="Times New Roman"/>
          <w:sz w:val="24"/>
          <w:szCs w:val="24"/>
        </w:rPr>
        <w:t>3 CPA, performed within the 2013 Electric IRP,</w:t>
      </w:r>
      <w:r w:rsidR="005C392E" w:rsidRPr="00E430C1">
        <w:rPr>
          <w:rStyle w:val="FootnoteReference"/>
          <w:rFonts w:ascii="Times New Roman" w:hAnsi="Times New Roman" w:cs="Times New Roman"/>
          <w:sz w:val="24"/>
          <w:szCs w:val="24"/>
        </w:rPr>
        <w:footnoteReference w:id="14"/>
      </w:r>
      <w:r w:rsidR="005C392E" w:rsidRPr="00E430C1">
        <w:rPr>
          <w:rFonts w:ascii="Times New Roman" w:hAnsi="Times New Roman" w:cs="Times New Roman"/>
          <w:sz w:val="24"/>
          <w:szCs w:val="24"/>
        </w:rPr>
        <w:t xml:space="preserve"> as the basis for its </w:t>
      </w:r>
      <w:r w:rsidR="006F1F10">
        <w:rPr>
          <w:rFonts w:ascii="Times New Roman" w:hAnsi="Times New Roman" w:cs="Times New Roman"/>
          <w:sz w:val="24"/>
          <w:szCs w:val="24"/>
        </w:rPr>
        <w:t>10-year</w:t>
      </w:r>
      <w:r w:rsidR="005C392E" w:rsidRPr="00E430C1">
        <w:rPr>
          <w:rFonts w:ascii="Times New Roman" w:hAnsi="Times New Roman" w:cs="Times New Roman"/>
          <w:sz w:val="24"/>
          <w:szCs w:val="24"/>
        </w:rPr>
        <w:t xml:space="preserve"> achievable conservation potential and biennial target. </w:t>
      </w:r>
      <w:r w:rsidR="00127E0B">
        <w:rPr>
          <w:rFonts w:ascii="Times New Roman" w:hAnsi="Times New Roman" w:cs="Times New Roman"/>
          <w:sz w:val="24"/>
          <w:szCs w:val="24"/>
        </w:rPr>
        <w:t xml:space="preserve">For the 2014-2023 </w:t>
      </w:r>
      <w:proofErr w:type="gramStart"/>
      <w:r w:rsidR="00127E0B">
        <w:rPr>
          <w:rFonts w:ascii="Times New Roman" w:hAnsi="Times New Roman" w:cs="Times New Roman"/>
          <w:sz w:val="24"/>
          <w:szCs w:val="24"/>
        </w:rPr>
        <w:t>period</w:t>
      </w:r>
      <w:proofErr w:type="gramEnd"/>
      <w:r w:rsidR="005C392E" w:rsidRPr="00E430C1">
        <w:rPr>
          <w:rFonts w:ascii="Times New Roman" w:hAnsi="Times New Roman" w:cs="Times New Roman"/>
          <w:sz w:val="24"/>
          <w:szCs w:val="24"/>
        </w:rPr>
        <w:t>, Avis</w:t>
      </w:r>
      <w:r w:rsidR="00127E0B">
        <w:rPr>
          <w:rFonts w:ascii="Times New Roman" w:hAnsi="Times New Roman" w:cs="Times New Roman"/>
          <w:sz w:val="24"/>
          <w:szCs w:val="24"/>
        </w:rPr>
        <w:t xml:space="preserve">ta estimates that its </w:t>
      </w:r>
      <w:r w:rsidR="006F1F10">
        <w:rPr>
          <w:rFonts w:ascii="Times New Roman" w:hAnsi="Times New Roman" w:cs="Times New Roman"/>
          <w:sz w:val="24"/>
          <w:szCs w:val="24"/>
        </w:rPr>
        <w:t>10-year</w:t>
      </w:r>
      <w:r w:rsidR="005C392E" w:rsidRPr="00E430C1">
        <w:rPr>
          <w:rFonts w:ascii="Times New Roman" w:hAnsi="Times New Roman" w:cs="Times New Roman"/>
          <w:sz w:val="24"/>
          <w:szCs w:val="24"/>
        </w:rPr>
        <w:t xml:space="preserve"> achievable conservation potential is 404,736 MWh (46</w:t>
      </w:r>
      <w:r w:rsidR="00D378C0" w:rsidRPr="00E430C1">
        <w:rPr>
          <w:rFonts w:ascii="Times New Roman" w:hAnsi="Times New Roman" w:cs="Times New Roman"/>
          <w:sz w:val="24"/>
          <w:szCs w:val="24"/>
        </w:rPr>
        <w:t xml:space="preserve"> </w:t>
      </w:r>
      <w:proofErr w:type="spellStart"/>
      <w:r w:rsidR="00D378C0" w:rsidRPr="00E430C1">
        <w:rPr>
          <w:rFonts w:ascii="Times New Roman" w:hAnsi="Times New Roman" w:cs="Times New Roman"/>
          <w:sz w:val="24"/>
          <w:szCs w:val="24"/>
        </w:rPr>
        <w:t>aMW</w:t>
      </w:r>
      <w:proofErr w:type="spellEnd"/>
      <w:r w:rsidR="00D378C0" w:rsidRPr="00E430C1">
        <w:rPr>
          <w:rFonts w:ascii="Times New Roman" w:hAnsi="Times New Roman" w:cs="Times New Roman"/>
          <w:sz w:val="24"/>
          <w:szCs w:val="24"/>
        </w:rPr>
        <w:t>).</w:t>
      </w:r>
      <w:r w:rsidR="005C392E" w:rsidRPr="00E430C1">
        <w:rPr>
          <w:rStyle w:val="FootnoteReference"/>
          <w:rFonts w:ascii="Times New Roman" w:hAnsi="Times New Roman" w:cs="Times New Roman"/>
          <w:sz w:val="24"/>
          <w:szCs w:val="24"/>
        </w:rPr>
        <w:footnoteReference w:id="15"/>
      </w:r>
      <w:r w:rsidR="005C392E" w:rsidRPr="00E430C1">
        <w:rPr>
          <w:rFonts w:ascii="Times New Roman" w:hAnsi="Times New Roman" w:cs="Times New Roman"/>
          <w:sz w:val="24"/>
          <w:szCs w:val="24"/>
        </w:rPr>
        <w:t xml:space="preserve"> The two-year portion of Avista’s </w:t>
      </w:r>
      <w:r w:rsidR="006F1F10">
        <w:rPr>
          <w:rFonts w:ascii="Times New Roman" w:hAnsi="Times New Roman" w:cs="Times New Roman"/>
          <w:sz w:val="24"/>
          <w:szCs w:val="24"/>
        </w:rPr>
        <w:t>10-year</w:t>
      </w:r>
      <w:r w:rsidR="005C392E" w:rsidRPr="00E430C1">
        <w:rPr>
          <w:rFonts w:ascii="Times New Roman" w:hAnsi="Times New Roman" w:cs="Times New Roman"/>
          <w:sz w:val="24"/>
          <w:szCs w:val="24"/>
        </w:rPr>
        <w:t xml:space="preserve"> potential is 67,137 MWh (7.7 </w:t>
      </w:r>
      <w:proofErr w:type="spellStart"/>
      <w:r w:rsidR="005C392E" w:rsidRPr="00E430C1">
        <w:rPr>
          <w:rFonts w:ascii="Times New Roman" w:hAnsi="Times New Roman" w:cs="Times New Roman"/>
          <w:sz w:val="24"/>
          <w:szCs w:val="24"/>
        </w:rPr>
        <w:t>aMW</w:t>
      </w:r>
      <w:proofErr w:type="spellEnd"/>
      <w:r w:rsidR="005C392E" w:rsidRPr="00E430C1">
        <w:rPr>
          <w:rFonts w:ascii="Times New Roman" w:hAnsi="Times New Roman" w:cs="Times New Roman"/>
          <w:sz w:val="24"/>
          <w:szCs w:val="24"/>
        </w:rPr>
        <w:t>).</w:t>
      </w:r>
      <w:r w:rsidR="00E86E04" w:rsidRPr="00E430C1">
        <w:rPr>
          <w:rFonts w:ascii="Times New Roman" w:hAnsi="Times New Roman" w:cs="Times New Roman"/>
          <w:sz w:val="24"/>
          <w:szCs w:val="24"/>
        </w:rPr>
        <w:t xml:space="preserve"> This does not include savings from distribution and generation efficiency.</w:t>
      </w:r>
    </w:p>
    <w:p w:rsidR="005C392E" w:rsidRPr="00E430C1" w:rsidRDefault="005C392E" w:rsidP="005C392E">
      <w:pPr>
        <w:rPr>
          <w:rFonts w:ascii="Times New Roman" w:hAnsi="Times New Roman" w:cs="Times New Roman"/>
          <w:sz w:val="24"/>
          <w:szCs w:val="24"/>
        </w:rPr>
      </w:pPr>
    </w:p>
    <w:p w:rsidR="005C392E" w:rsidRPr="00E430C1" w:rsidRDefault="005C392E" w:rsidP="005C392E">
      <w:pPr>
        <w:rPr>
          <w:rFonts w:ascii="Times New Roman" w:hAnsi="Times New Roman" w:cs="Times New Roman"/>
          <w:sz w:val="24"/>
          <w:szCs w:val="24"/>
        </w:rPr>
      </w:pPr>
      <w:r w:rsidRPr="00E430C1">
        <w:rPr>
          <w:rFonts w:ascii="Times New Roman" w:hAnsi="Times New Roman" w:cs="Times New Roman"/>
          <w:sz w:val="24"/>
          <w:szCs w:val="24"/>
        </w:rPr>
        <w:t xml:space="preserve">To derive the biennial target, Avista adjusted the two-year potential to account for distribution and generation efficiency opportunities as well as to account for end-use efficiency savings to be acquired by NEEA. After adding 2,061 MWh and 163 MWh </w:t>
      </w:r>
      <w:r w:rsidR="00386585" w:rsidRPr="00E430C1">
        <w:rPr>
          <w:rFonts w:ascii="Times New Roman" w:hAnsi="Times New Roman" w:cs="Times New Roman"/>
          <w:sz w:val="24"/>
          <w:szCs w:val="24"/>
        </w:rPr>
        <w:t>from</w:t>
      </w:r>
      <w:r w:rsidRPr="00E430C1">
        <w:rPr>
          <w:rFonts w:ascii="Times New Roman" w:hAnsi="Times New Roman" w:cs="Times New Roman"/>
          <w:sz w:val="24"/>
          <w:szCs w:val="24"/>
        </w:rPr>
        <w:t xml:space="preserve"> distribution and generation efficiency, respectively, and removing 11,130 MWh to account for NEEA acquisition, the </w:t>
      </w:r>
      <w:r w:rsidR="00386585" w:rsidRPr="00E430C1">
        <w:rPr>
          <w:rFonts w:ascii="Times New Roman" w:hAnsi="Times New Roman" w:cs="Times New Roman"/>
          <w:sz w:val="24"/>
          <w:szCs w:val="24"/>
        </w:rPr>
        <w:t>2014-2015</w:t>
      </w:r>
      <w:r w:rsidRPr="00E430C1">
        <w:rPr>
          <w:rFonts w:ascii="Times New Roman" w:hAnsi="Times New Roman" w:cs="Times New Roman"/>
          <w:sz w:val="24"/>
          <w:szCs w:val="24"/>
        </w:rPr>
        <w:t xml:space="preserve"> biennial co</w:t>
      </w:r>
      <w:r w:rsidR="00386585" w:rsidRPr="00E430C1">
        <w:rPr>
          <w:rFonts w:ascii="Times New Roman" w:hAnsi="Times New Roman" w:cs="Times New Roman"/>
          <w:sz w:val="24"/>
          <w:szCs w:val="24"/>
        </w:rPr>
        <w:t>nservation</w:t>
      </w:r>
      <w:r w:rsidRPr="00E430C1">
        <w:rPr>
          <w:rFonts w:ascii="Times New Roman" w:hAnsi="Times New Roman" w:cs="Times New Roman"/>
          <w:sz w:val="24"/>
          <w:szCs w:val="24"/>
        </w:rPr>
        <w:t xml:space="preserve"> </w:t>
      </w:r>
      <w:proofErr w:type="gramStart"/>
      <w:r w:rsidRPr="00E430C1">
        <w:rPr>
          <w:rFonts w:ascii="Times New Roman" w:hAnsi="Times New Roman" w:cs="Times New Roman"/>
          <w:sz w:val="24"/>
          <w:szCs w:val="24"/>
        </w:rPr>
        <w:t>target</w:t>
      </w:r>
      <w:proofErr w:type="gramEnd"/>
      <w:r w:rsidRPr="00E430C1">
        <w:rPr>
          <w:rFonts w:ascii="Times New Roman" w:hAnsi="Times New Roman" w:cs="Times New Roman"/>
          <w:sz w:val="24"/>
          <w:szCs w:val="24"/>
        </w:rPr>
        <w:t xml:space="preserve"> is 58,231 MWh. </w:t>
      </w:r>
    </w:p>
    <w:p w:rsidR="005C392E" w:rsidRPr="00E430C1" w:rsidRDefault="005C392E" w:rsidP="005C392E">
      <w:pPr>
        <w:rPr>
          <w:rFonts w:ascii="Times New Roman" w:hAnsi="Times New Roman" w:cs="Times New Roman"/>
          <w:sz w:val="24"/>
          <w:szCs w:val="24"/>
        </w:rPr>
      </w:pPr>
    </w:p>
    <w:p w:rsidR="00347ADE" w:rsidRPr="00E430C1" w:rsidRDefault="0017602A" w:rsidP="005C392E">
      <w:pPr>
        <w:rPr>
          <w:rFonts w:ascii="Times New Roman" w:hAnsi="Times New Roman" w:cs="Times New Roman"/>
          <w:sz w:val="24"/>
          <w:szCs w:val="24"/>
        </w:rPr>
      </w:pPr>
      <w:r w:rsidRPr="00E430C1">
        <w:rPr>
          <w:rFonts w:ascii="Times New Roman" w:hAnsi="Times New Roman" w:cs="Times New Roman"/>
          <w:sz w:val="24"/>
          <w:szCs w:val="24"/>
        </w:rPr>
        <w:t>This target does not include fuel conversions or savings potential associated with behavior-based programs. The company also does not identify acquirable potential related to thermal efficiency, though it states its intention to pursue opportunities in this area and claim acquisition toward its compliance target.</w:t>
      </w:r>
      <w:r w:rsidR="00D378C0" w:rsidRPr="00E430C1">
        <w:rPr>
          <w:rStyle w:val="FootnoteReference"/>
          <w:rFonts w:ascii="Times New Roman" w:hAnsi="Times New Roman" w:cs="Times New Roman"/>
          <w:sz w:val="24"/>
          <w:szCs w:val="24"/>
        </w:rPr>
        <w:footnoteReference w:id="16"/>
      </w:r>
      <w:r w:rsidRPr="00E430C1">
        <w:rPr>
          <w:rFonts w:ascii="Times New Roman" w:hAnsi="Times New Roman" w:cs="Times New Roman"/>
          <w:sz w:val="24"/>
          <w:szCs w:val="24"/>
        </w:rPr>
        <w:t xml:space="preserve"> </w:t>
      </w:r>
    </w:p>
    <w:p w:rsidR="005C392E" w:rsidRPr="00E430C1" w:rsidRDefault="005C392E" w:rsidP="005C392E">
      <w:pPr>
        <w:rPr>
          <w:rFonts w:ascii="Times New Roman" w:hAnsi="Times New Roman" w:cs="Times New Roman"/>
          <w:b/>
          <w:sz w:val="24"/>
          <w:szCs w:val="24"/>
        </w:rPr>
      </w:pPr>
    </w:p>
    <w:p w:rsidR="00CE2B98" w:rsidRPr="00CE2B98" w:rsidRDefault="00CE2B98" w:rsidP="00CE2B98">
      <w:pPr>
        <w:pStyle w:val="Caption"/>
      </w:pPr>
      <w:bookmarkStart w:id="16" w:name="_Toc373818914"/>
      <w:proofErr w:type="gramStart"/>
      <w:r w:rsidRPr="00CE2B98">
        <w:t xml:space="preserve">Table </w:t>
      </w:r>
      <w:proofErr w:type="gramEnd"/>
      <w:r w:rsidR="00F60B1A">
        <w:fldChar w:fldCharType="begin"/>
      </w:r>
      <w:r w:rsidR="00F60B1A">
        <w:instrText xml:space="preserve"> SEQ Table \* ARABIC </w:instrText>
      </w:r>
      <w:r w:rsidR="00F60B1A">
        <w:fldChar w:fldCharType="separate"/>
      </w:r>
      <w:r w:rsidR="00F60B1A">
        <w:rPr>
          <w:noProof/>
        </w:rPr>
        <w:t>2</w:t>
      </w:r>
      <w:r w:rsidR="00F60B1A">
        <w:rPr>
          <w:noProof/>
        </w:rPr>
        <w:fldChar w:fldCharType="end"/>
      </w:r>
      <w:proofErr w:type="gramStart"/>
      <w:r w:rsidRPr="00CE2B98">
        <w:t>.</w:t>
      </w:r>
      <w:proofErr w:type="gramEnd"/>
      <w:r w:rsidRPr="00CE2B98">
        <w:t xml:space="preserve"> Avista Conservation Savings and Budgets</w:t>
      </w:r>
      <w:bookmarkEnd w:id="16"/>
    </w:p>
    <w:tbl>
      <w:tblPr>
        <w:tblStyle w:val="TableGrid"/>
        <w:tblW w:w="0" w:type="auto"/>
        <w:tblLook w:val="04A0" w:firstRow="1" w:lastRow="0" w:firstColumn="1" w:lastColumn="0" w:noHBand="0" w:noVBand="1"/>
      </w:tblPr>
      <w:tblGrid>
        <w:gridCol w:w="1728"/>
        <w:gridCol w:w="1962"/>
        <w:gridCol w:w="1962"/>
        <w:gridCol w:w="1962"/>
        <w:gridCol w:w="1962"/>
      </w:tblGrid>
      <w:tr w:rsidR="005C392E" w:rsidRPr="00E430C1" w:rsidTr="00333349">
        <w:tc>
          <w:tcPr>
            <w:tcW w:w="1728" w:type="dxa"/>
          </w:tcPr>
          <w:p w:rsidR="005C392E" w:rsidRPr="00E430C1" w:rsidRDefault="005C392E" w:rsidP="00333349">
            <w:pPr>
              <w:jc w:val="center"/>
              <w:rPr>
                <w:rFonts w:ascii="Times New Roman" w:hAnsi="Times New Roman" w:cs="Times New Roman"/>
                <w:b/>
                <w:sz w:val="24"/>
                <w:szCs w:val="24"/>
              </w:rPr>
            </w:pPr>
          </w:p>
        </w:tc>
        <w:tc>
          <w:tcPr>
            <w:tcW w:w="1962" w:type="dxa"/>
          </w:tcPr>
          <w:p w:rsidR="005C392E" w:rsidRPr="00E430C1" w:rsidRDefault="005C392E" w:rsidP="00333349">
            <w:pPr>
              <w:jc w:val="center"/>
              <w:rPr>
                <w:rFonts w:ascii="Times New Roman" w:hAnsi="Times New Roman" w:cs="Times New Roman"/>
                <w:b/>
                <w:sz w:val="24"/>
                <w:szCs w:val="24"/>
              </w:rPr>
            </w:pPr>
            <w:r w:rsidRPr="00E430C1">
              <w:rPr>
                <w:rFonts w:ascii="Times New Roman" w:hAnsi="Times New Roman" w:cs="Times New Roman"/>
                <w:b/>
                <w:sz w:val="24"/>
                <w:szCs w:val="24"/>
              </w:rPr>
              <w:t>2012-2013 Biennial Target</w:t>
            </w:r>
          </w:p>
        </w:tc>
        <w:tc>
          <w:tcPr>
            <w:tcW w:w="1962" w:type="dxa"/>
          </w:tcPr>
          <w:p w:rsidR="005C392E" w:rsidRPr="00E430C1" w:rsidRDefault="005C392E" w:rsidP="00333349">
            <w:pPr>
              <w:jc w:val="center"/>
              <w:rPr>
                <w:rFonts w:ascii="Times New Roman" w:hAnsi="Times New Roman" w:cs="Times New Roman"/>
                <w:b/>
                <w:sz w:val="24"/>
                <w:szCs w:val="24"/>
              </w:rPr>
            </w:pPr>
            <w:r w:rsidRPr="00E430C1">
              <w:rPr>
                <w:rFonts w:ascii="Times New Roman" w:hAnsi="Times New Roman" w:cs="Times New Roman"/>
                <w:b/>
                <w:sz w:val="24"/>
                <w:szCs w:val="24"/>
              </w:rPr>
              <w:t>2014-2023</w:t>
            </w:r>
          </w:p>
          <w:p w:rsidR="005C392E" w:rsidRPr="00E430C1" w:rsidRDefault="005C392E" w:rsidP="00333349">
            <w:pPr>
              <w:jc w:val="center"/>
              <w:rPr>
                <w:rFonts w:ascii="Times New Roman" w:hAnsi="Times New Roman" w:cs="Times New Roman"/>
                <w:b/>
                <w:sz w:val="24"/>
                <w:szCs w:val="24"/>
              </w:rPr>
            </w:pPr>
            <w:r w:rsidRPr="00E430C1">
              <w:rPr>
                <w:rFonts w:ascii="Times New Roman" w:hAnsi="Times New Roman" w:cs="Times New Roman"/>
                <w:b/>
                <w:sz w:val="24"/>
                <w:szCs w:val="24"/>
              </w:rPr>
              <w:t>10-year potential</w:t>
            </w:r>
          </w:p>
        </w:tc>
        <w:tc>
          <w:tcPr>
            <w:tcW w:w="1962" w:type="dxa"/>
          </w:tcPr>
          <w:p w:rsidR="005C392E" w:rsidRPr="00E430C1" w:rsidRDefault="005C392E" w:rsidP="00333349">
            <w:pPr>
              <w:jc w:val="center"/>
              <w:rPr>
                <w:rFonts w:ascii="Times New Roman" w:hAnsi="Times New Roman" w:cs="Times New Roman"/>
                <w:b/>
                <w:sz w:val="24"/>
                <w:szCs w:val="24"/>
              </w:rPr>
            </w:pPr>
            <w:r w:rsidRPr="00E430C1">
              <w:rPr>
                <w:rFonts w:ascii="Times New Roman" w:hAnsi="Times New Roman" w:cs="Times New Roman"/>
                <w:b/>
                <w:sz w:val="24"/>
                <w:szCs w:val="24"/>
              </w:rPr>
              <w:t>2014-2015 Biennial Target</w:t>
            </w:r>
          </w:p>
        </w:tc>
        <w:tc>
          <w:tcPr>
            <w:tcW w:w="1962" w:type="dxa"/>
          </w:tcPr>
          <w:p w:rsidR="005C392E" w:rsidRPr="00E430C1" w:rsidRDefault="005C392E" w:rsidP="00333349">
            <w:pPr>
              <w:jc w:val="center"/>
              <w:rPr>
                <w:rFonts w:ascii="Times New Roman" w:hAnsi="Times New Roman" w:cs="Times New Roman"/>
                <w:b/>
                <w:sz w:val="24"/>
                <w:szCs w:val="24"/>
              </w:rPr>
            </w:pPr>
            <w:r w:rsidRPr="00E430C1">
              <w:rPr>
                <w:rFonts w:ascii="Times New Roman" w:hAnsi="Times New Roman" w:cs="Times New Roman"/>
                <w:b/>
                <w:sz w:val="24"/>
                <w:szCs w:val="24"/>
              </w:rPr>
              <w:t>2014-2015 Portfolio Total</w:t>
            </w:r>
          </w:p>
        </w:tc>
      </w:tr>
      <w:tr w:rsidR="005C392E" w:rsidRPr="00E430C1" w:rsidTr="00333349">
        <w:tc>
          <w:tcPr>
            <w:tcW w:w="1728" w:type="dxa"/>
          </w:tcPr>
          <w:p w:rsidR="005C392E" w:rsidRPr="00E430C1" w:rsidRDefault="005C392E" w:rsidP="00333349">
            <w:pPr>
              <w:rPr>
                <w:rFonts w:ascii="Times New Roman" w:hAnsi="Times New Roman" w:cs="Times New Roman"/>
                <w:b/>
                <w:sz w:val="24"/>
                <w:szCs w:val="24"/>
              </w:rPr>
            </w:pPr>
            <w:r w:rsidRPr="00E430C1">
              <w:rPr>
                <w:rFonts w:ascii="Times New Roman" w:hAnsi="Times New Roman" w:cs="Times New Roman"/>
                <w:b/>
                <w:sz w:val="24"/>
                <w:szCs w:val="24"/>
              </w:rPr>
              <w:t>Savings</w:t>
            </w:r>
          </w:p>
        </w:tc>
        <w:tc>
          <w:tcPr>
            <w:tcW w:w="1962" w:type="dxa"/>
          </w:tcPr>
          <w:p w:rsidR="005C392E" w:rsidRPr="00E430C1" w:rsidRDefault="005C392E" w:rsidP="00333349">
            <w:pPr>
              <w:jc w:val="center"/>
              <w:rPr>
                <w:rFonts w:ascii="Times New Roman" w:hAnsi="Times New Roman" w:cs="Times New Roman"/>
                <w:sz w:val="24"/>
                <w:szCs w:val="24"/>
              </w:rPr>
            </w:pPr>
            <w:r w:rsidRPr="00E430C1">
              <w:rPr>
                <w:rFonts w:ascii="Times New Roman" w:hAnsi="Times New Roman" w:cs="Times New Roman"/>
                <w:sz w:val="24"/>
                <w:szCs w:val="24"/>
              </w:rPr>
              <w:t xml:space="preserve">108,589 MWh (12.4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5C392E" w:rsidRPr="00E430C1" w:rsidRDefault="005C392E" w:rsidP="00333349">
            <w:pPr>
              <w:jc w:val="center"/>
              <w:rPr>
                <w:rFonts w:ascii="Times New Roman" w:hAnsi="Times New Roman" w:cs="Times New Roman"/>
                <w:sz w:val="24"/>
                <w:szCs w:val="24"/>
              </w:rPr>
            </w:pPr>
            <w:r w:rsidRPr="00E430C1">
              <w:rPr>
                <w:rFonts w:ascii="Times New Roman" w:hAnsi="Times New Roman" w:cs="Times New Roman"/>
                <w:sz w:val="24"/>
                <w:szCs w:val="24"/>
              </w:rPr>
              <w:t xml:space="preserve">404,736 MWh (46.2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5C392E" w:rsidRPr="00E430C1" w:rsidRDefault="005C392E" w:rsidP="00333349">
            <w:pPr>
              <w:jc w:val="center"/>
              <w:rPr>
                <w:rFonts w:ascii="Times New Roman" w:hAnsi="Times New Roman" w:cs="Times New Roman"/>
                <w:sz w:val="24"/>
                <w:szCs w:val="24"/>
              </w:rPr>
            </w:pPr>
            <w:r w:rsidRPr="00E430C1">
              <w:rPr>
                <w:rFonts w:ascii="Times New Roman" w:hAnsi="Times New Roman" w:cs="Times New Roman"/>
                <w:sz w:val="24"/>
                <w:szCs w:val="24"/>
              </w:rPr>
              <w:t>58,231 MWh</w:t>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 xml:space="preserve">(6.6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5C392E" w:rsidRPr="00E430C1" w:rsidRDefault="005C392E" w:rsidP="00333349">
            <w:pPr>
              <w:jc w:val="center"/>
              <w:rPr>
                <w:rFonts w:ascii="Times New Roman" w:hAnsi="Times New Roman" w:cs="Times New Roman"/>
                <w:sz w:val="24"/>
                <w:szCs w:val="24"/>
              </w:rPr>
            </w:pPr>
            <w:r w:rsidRPr="00E430C1">
              <w:rPr>
                <w:rFonts w:ascii="Times New Roman" w:hAnsi="Times New Roman" w:cs="Times New Roman"/>
                <w:sz w:val="24"/>
                <w:szCs w:val="24"/>
              </w:rPr>
              <w:t>67,137 MWh</w:t>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 xml:space="preserve">(7.7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r>
      <w:tr w:rsidR="00E86E04" w:rsidRPr="00E430C1" w:rsidTr="00333349">
        <w:tc>
          <w:tcPr>
            <w:tcW w:w="1728" w:type="dxa"/>
          </w:tcPr>
          <w:p w:rsidR="00E86E04" w:rsidRPr="00E430C1" w:rsidRDefault="00E86E04" w:rsidP="00333349">
            <w:pPr>
              <w:rPr>
                <w:rFonts w:ascii="Times New Roman" w:hAnsi="Times New Roman" w:cs="Times New Roman"/>
                <w:b/>
                <w:sz w:val="24"/>
                <w:szCs w:val="24"/>
              </w:rPr>
            </w:pPr>
            <w:r w:rsidRPr="00E430C1">
              <w:rPr>
                <w:rFonts w:ascii="Times New Roman" w:hAnsi="Times New Roman" w:cs="Times New Roman"/>
                <w:b/>
                <w:sz w:val="24"/>
                <w:szCs w:val="24"/>
              </w:rPr>
              <w:t>Budget</w:t>
            </w:r>
          </w:p>
        </w:tc>
        <w:tc>
          <w:tcPr>
            <w:tcW w:w="1962" w:type="dxa"/>
          </w:tcPr>
          <w:p w:rsidR="00E86E04" w:rsidRPr="00E430C1" w:rsidRDefault="005F0009" w:rsidP="00333349">
            <w:pPr>
              <w:jc w:val="center"/>
              <w:rPr>
                <w:rFonts w:ascii="Times New Roman" w:hAnsi="Times New Roman" w:cs="Times New Roman"/>
                <w:sz w:val="24"/>
                <w:szCs w:val="24"/>
              </w:rPr>
            </w:pPr>
            <w:r w:rsidRPr="00E430C1">
              <w:rPr>
                <w:rFonts w:ascii="Times New Roman" w:hAnsi="Times New Roman" w:cs="Times New Roman"/>
                <w:sz w:val="24"/>
                <w:szCs w:val="24"/>
              </w:rPr>
              <w:t>$27,086,578</w:t>
            </w:r>
            <w:r w:rsidRPr="00E430C1">
              <w:rPr>
                <w:rStyle w:val="FootnoteReference"/>
                <w:rFonts w:ascii="Times New Roman" w:hAnsi="Times New Roman" w:cs="Times New Roman"/>
                <w:sz w:val="24"/>
                <w:szCs w:val="24"/>
              </w:rPr>
              <w:footnoteReference w:id="17"/>
            </w:r>
          </w:p>
        </w:tc>
        <w:tc>
          <w:tcPr>
            <w:tcW w:w="1962" w:type="dxa"/>
          </w:tcPr>
          <w:p w:rsidR="00E86E04" w:rsidRPr="00E430C1" w:rsidRDefault="00E86E04" w:rsidP="00333349">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1962" w:type="dxa"/>
          </w:tcPr>
          <w:p w:rsidR="00E86E04" w:rsidRPr="00E430C1" w:rsidRDefault="00E86E04" w:rsidP="00333349">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1962" w:type="dxa"/>
          </w:tcPr>
          <w:p w:rsidR="00E86E04" w:rsidRPr="00E430C1" w:rsidRDefault="002525C6" w:rsidP="00333349">
            <w:pPr>
              <w:jc w:val="center"/>
              <w:rPr>
                <w:rFonts w:ascii="Times New Roman" w:hAnsi="Times New Roman" w:cs="Times New Roman"/>
                <w:sz w:val="24"/>
                <w:szCs w:val="24"/>
              </w:rPr>
            </w:pPr>
            <w:r w:rsidRPr="00E430C1">
              <w:rPr>
                <w:rFonts w:ascii="Times New Roman" w:hAnsi="Times New Roman" w:cs="Times New Roman"/>
                <w:sz w:val="24"/>
                <w:szCs w:val="24"/>
              </w:rPr>
              <w:t>$21,537,271</w:t>
            </w:r>
          </w:p>
        </w:tc>
      </w:tr>
    </w:tbl>
    <w:p w:rsidR="00333349" w:rsidRPr="00E430C1" w:rsidRDefault="00333349" w:rsidP="005C392E">
      <w:pPr>
        <w:rPr>
          <w:rFonts w:ascii="Times New Roman" w:hAnsi="Times New Roman" w:cs="Times New Roman"/>
          <w:sz w:val="24"/>
          <w:szCs w:val="24"/>
        </w:rPr>
      </w:pPr>
    </w:p>
    <w:p w:rsidR="00333349" w:rsidRPr="00E430C1" w:rsidRDefault="00386585" w:rsidP="005C392E">
      <w:pPr>
        <w:rPr>
          <w:rFonts w:ascii="Times New Roman" w:hAnsi="Times New Roman" w:cs="Times New Roman"/>
          <w:sz w:val="24"/>
          <w:szCs w:val="24"/>
        </w:rPr>
      </w:pPr>
      <w:r w:rsidRPr="00E430C1">
        <w:rPr>
          <w:rFonts w:ascii="Times New Roman" w:hAnsi="Times New Roman" w:cs="Times New Roman"/>
          <w:sz w:val="24"/>
          <w:szCs w:val="24"/>
        </w:rPr>
        <w:t xml:space="preserve">The </w:t>
      </w:r>
      <w:r w:rsidR="00543BD4" w:rsidRPr="00E430C1">
        <w:rPr>
          <w:rFonts w:ascii="Times New Roman" w:hAnsi="Times New Roman" w:cs="Times New Roman"/>
          <w:sz w:val="24"/>
          <w:szCs w:val="24"/>
        </w:rPr>
        <w:t xml:space="preserve">2014-2015 </w:t>
      </w:r>
      <w:r w:rsidRPr="00E430C1">
        <w:rPr>
          <w:rFonts w:ascii="Times New Roman" w:hAnsi="Times New Roman" w:cs="Times New Roman"/>
          <w:sz w:val="24"/>
          <w:szCs w:val="24"/>
        </w:rPr>
        <w:t>total portfolio savings</w:t>
      </w:r>
      <w:r w:rsidR="00543BD4" w:rsidRPr="00E430C1">
        <w:rPr>
          <w:rFonts w:ascii="Times New Roman" w:hAnsi="Times New Roman" w:cs="Times New Roman"/>
          <w:sz w:val="24"/>
          <w:szCs w:val="24"/>
        </w:rPr>
        <w:t xml:space="preserve"> represent a 38 percent reduction as compared to the previous biennium. The primary cause of this reduction is a substantial fall in natural gas costs which has, in turn, led to a</w:t>
      </w:r>
      <w:r w:rsidR="00CD0ECD" w:rsidRPr="00E430C1">
        <w:rPr>
          <w:rFonts w:ascii="Times New Roman" w:hAnsi="Times New Roman" w:cs="Times New Roman"/>
          <w:sz w:val="24"/>
          <w:szCs w:val="24"/>
        </w:rPr>
        <w:t xml:space="preserve"> decrease in electric avoided costs. As electric avoided costs are used in the economic screening of efficiency measures within the CPA, lower avoided costs cause a decrease in the quantity of conservation identified as cost-effective. The biennium-over-biennium decrease in achievable potential is not surprising.</w:t>
      </w:r>
    </w:p>
    <w:p w:rsidR="00333349" w:rsidRPr="00E430C1" w:rsidRDefault="00333349" w:rsidP="005C392E">
      <w:pPr>
        <w:rPr>
          <w:rFonts w:ascii="Times New Roman" w:hAnsi="Times New Roman" w:cs="Times New Roman"/>
          <w:sz w:val="24"/>
          <w:szCs w:val="24"/>
        </w:rPr>
      </w:pPr>
    </w:p>
    <w:p w:rsidR="005C392E" w:rsidRPr="00E430C1" w:rsidRDefault="008D65AF" w:rsidP="005C392E">
      <w:pPr>
        <w:rPr>
          <w:rFonts w:ascii="Times New Roman" w:hAnsi="Times New Roman" w:cs="Times New Roman"/>
          <w:sz w:val="24"/>
          <w:szCs w:val="24"/>
        </w:rPr>
      </w:pPr>
      <w:r w:rsidRPr="00E430C1">
        <w:rPr>
          <w:rFonts w:ascii="Times New Roman" w:hAnsi="Times New Roman" w:cs="Times New Roman"/>
          <w:sz w:val="24"/>
          <w:szCs w:val="24"/>
        </w:rPr>
        <w:t>Avista budgets</w:t>
      </w:r>
      <w:r w:rsidR="005C392E" w:rsidRPr="00E430C1">
        <w:rPr>
          <w:rFonts w:ascii="Times New Roman" w:hAnsi="Times New Roman" w:cs="Times New Roman"/>
          <w:sz w:val="24"/>
          <w:szCs w:val="24"/>
        </w:rPr>
        <w:t xml:space="preserve"> $10,565,980</w:t>
      </w:r>
      <w:r w:rsidRPr="00E430C1">
        <w:rPr>
          <w:rStyle w:val="FootnoteReference"/>
          <w:rFonts w:ascii="Times New Roman" w:hAnsi="Times New Roman" w:cs="Times New Roman"/>
          <w:sz w:val="24"/>
          <w:szCs w:val="24"/>
        </w:rPr>
        <w:footnoteReference w:id="18"/>
      </w:r>
      <w:r w:rsidR="005C392E" w:rsidRPr="00E430C1">
        <w:rPr>
          <w:rFonts w:ascii="Times New Roman" w:hAnsi="Times New Roman" w:cs="Times New Roman"/>
          <w:sz w:val="24"/>
          <w:szCs w:val="24"/>
        </w:rPr>
        <w:t xml:space="preserve"> in 2014 to achieve the t</w:t>
      </w:r>
      <w:r w:rsidR="00B00473" w:rsidRPr="00E430C1">
        <w:rPr>
          <w:rFonts w:ascii="Times New Roman" w:hAnsi="Times New Roman" w:cs="Times New Roman"/>
          <w:sz w:val="24"/>
          <w:szCs w:val="24"/>
        </w:rPr>
        <w:t>otal portfolio savings of 31,816 MWh</w:t>
      </w:r>
      <w:r w:rsidR="002E5687" w:rsidRPr="00E430C1">
        <w:rPr>
          <w:rFonts w:ascii="Times New Roman" w:hAnsi="Times New Roman" w:cs="Times New Roman"/>
          <w:sz w:val="24"/>
          <w:szCs w:val="24"/>
        </w:rPr>
        <w:t xml:space="preserve"> for the first year of the biennium</w:t>
      </w:r>
      <w:r w:rsidR="00B00473" w:rsidRPr="00E430C1">
        <w:rPr>
          <w:rFonts w:ascii="Times New Roman" w:hAnsi="Times New Roman" w:cs="Times New Roman"/>
          <w:sz w:val="24"/>
          <w:szCs w:val="24"/>
        </w:rPr>
        <w:t>.</w:t>
      </w:r>
      <w:r w:rsidR="00EA51F6" w:rsidRPr="00E430C1">
        <w:rPr>
          <w:rStyle w:val="FootnoteReference"/>
          <w:rFonts w:ascii="Times New Roman" w:hAnsi="Times New Roman" w:cs="Times New Roman"/>
          <w:sz w:val="24"/>
          <w:szCs w:val="24"/>
        </w:rPr>
        <w:footnoteReference w:id="19"/>
      </w:r>
      <w:r w:rsidR="00B00473" w:rsidRPr="00E430C1">
        <w:rPr>
          <w:rFonts w:ascii="Times New Roman" w:hAnsi="Times New Roman" w:cs="Times New Roman"/>
          <w:sz w:val="24"/>
          <w:szCs w:val="24"/>
        </w:rPr>
        <w:t xml:space="preserve"> </w:t>
      </w:r>
      <w:r w:rsidR="00182860" w:rsidRPr="00E430C1">
        <w:rPr>
          <w:rFonts w:ascii="Times New Roman" w:hAnsi="Times New Roman" w:cs="Times New Roman"/>
          <w:sz w:val="24"/>
          <w:szCs w:val="24"/>
        </w:rPr>
        <w:t>Avista’s 2014 budget is roughly 72 percent of the 2013 budget ($14,712,717), reflecting the lower acquisition potential relative to the previous biennium.</w:t>
      </w:r>
      <w:r w:rsidR="003F5F3F" w:rsidRPr="00E430C1">
        <w:rPr>
          <w:rFonts w:ascii="Times New Roman" w:hAnsi="Times New Roman" w:cs="Times New Roman"/>
          <w:sz w:val="24"/>
          <w:szCs w:val="24"/>
        </w:rPr>
        <w:t xml:space="preserve"> As proposed, the c</w:t>
      </w:r>
      <w:r w:rsidR="00C85815" w:rsidRPr="00E430C1">
        <w:rPr>
          <w:rFonts w:ascii="Times New Roman" w:hAnsi="Times New Roman" w:cs="Times New Roman"/>
          <w:sz w:val="24"/>
          <w:szCs w:val="24"/>
        </w:rPr>
        <w:t>ompany offers a cost-effective portfolio that is projected to exceed t</w:t>
      </w:r>
      <w:r w:rsidR="003F5F3F" w:rsidRPr="00E430C1">
        <w:rPr>
          <w:rFonts w:ascii="Times New Roman" w:hAnsi="Times New Roman" w:cs="Times New Roman"/>
          <w:sz w:val="24"/>
          <w:szCs w:val="24"/>
        </w:rPr>
        <w:t>he annual share of its</w:t>
      </w:r>
      <w:r w:rsidR="00C85815" w:rsidRPr="00E430C1">
        <w:rPr>
          <w:rFonts w:ascii="Times New Roman" w:hAnsi="Times New Roman" w:cs="Times New Roman"/>
          <w:sz w:val="24"/>
          <w:szCs w:val="24"/>
        </w:rPr>
        <w:t xml:space="preserve"> biennial target. </w:t>
      </w:r>
      <w:r w:rsidR="00B00473" w:rsidRPr="00E430C1">
        <w:rPr>
          <w:rFonts w:ascii="Times New Roman" w:hAnsi="Times New Roman" w:cs="Times New Roman"/>
          <w:sz w:val="24"/>
          <w:szCs w:val="24"/>
        </w:rPr>
        <w:t>Avista’s projected 2014 e</w:t>
      </w:r>
      <w:r w:rsidR="00395FF9" w:rsidRPr="00E430C1">
        <w:rPr>
          <w:rFonts w:ascii="Times New Roman" w:hAnsi="Times New Roman" w:cs="Times New Roman"/>
          <w:sz w:val="24"/>
          <w:szCs w:val="24"/>
        </w:rPr>
        <w:t>nd-use acquisition represents 54</w:t>
      </w:r>
      <w:r w:rsidR="00B00473" w:rsidRPr="00E430C1">
        <w:rPr>
          <w:rFonts w:ascii="Times New Roman" w:hAnsi="Times New Roman" w:cs="Times New Roman"/>
          <w:sz w:val="24"/>
          <w:szCs w:val="24"/>
        </w:rPr>
        <w:t xml:space="preserve"> per</w:t>
      </w:r>
      <w:r w:rsidR="00EA51F6" w:rsidRPr="00E430C1">
        <w:rPr>
          <w:rFonts w:ascii="Times New Roman" w:hAnsi="Times New Roman" w:cs="Times New Roman"/>
          <w:sz w:val="24"/>
          <w:szCs w:val="24"/>
        </w:rPr>
        <w:t>cent</w:t>
      </w:r>
      <w:r w:rsidR="00395FF9" w:rsidRPr="00E430C1">
        <w:rPr>
          <w:rStyle w:val="FootnoteReference"/>
          <w:rFonts w:ascii="Times New Roman" w:hAnsi="Times New Roman" w:cs="Times New Roman"/>
          <w:sz w:val="24"/>
          <w:szCs w:val="24"/>
        </w:rPr>
        <w:footnoteReference w:id="20"/>
      </w:r>
      <w:r w:rsidR="00EA51F6" w:rsidRPr="00E430C1">
        <w:rPr>
          <w:rFonts w:ascii="Times New Roman" w:hAnsi="Times New Roman" w:cs="Times New Roman"/>
          <w:sz w:val="24"/>
          <w:szCs w:val="24"/>
        </w:rPr>
        <w:t xml:space="preserve"> of the biennial potential and its</w:t>
      </w:r>
      <w:r w:rsidR="005C392E" w:rsidRPr="00E430C1">
        <w:rPr>
          <w:rFonts w:ascii="Times New Roman" w:hAnsi="Times New Roman" w:cs="Times New Roman"/>
          <w:sz w:val="24"/>
          <w:szCs w:val="24"/>
        </w:rPr>
        <w:t xml:space="preserve"> total portfolio </w:t>
      </w:r>
      <w:r w:rsidR="003F5F3F" w:rsidRPr="00E430C1">
        <w:rPr>
          <w:rFonts w:ascii="Times New Roman" w:hAnsi="Times New Roman" w:cs="Times New Roman"/>
          <w:sz w:val="24"/>
          <w:szCs w:val="24"/>
        </w:rPr>
        <w:t>is designed to achieve a TRC</w:t>
      </w:r>
      <w:r w:rsidR="005C392E" w:rsidRPr="00E430C1">
        <w:rPr>
          <w:rFonts w:ascii="Times New Roman" w:hAnsi="Times New Roman" w:cs="Times New Roman"/>
          <w:sz w:val="24"/>
          <w:szCs w:val="24"/>
        </w:rPr>
        <w:t xml:space="preserve"> ratio o</w:t>
      </w:r>
      <w:r w:rsidR="003F5F3F" w:rsidRPr="00E430C1">
        <w:rPr>
          <w:rFonts w:ascii="Times New Roman" w:hAnsi="Times New Roman" w:cs="Times New Roman"/>
          <w:sz w:val="24"/>
          <w:szCs w:val="24"/>
        </w:rPr>
        <w:t xml:space="preserve">f 1.09 and a </w:t>
      </w:r>
      <w:r w:rsidR="005C392E" w:rsidRPr="00E430C1">
        <w:rPr>
          <w:rFonts w:ascii="Times New Roman" w:hAnsi="Times New Roman" w:cs="Times New Roman"/>
          <w:sz w:val="24"/>
          <w:szCs w:val="24"/>
        </w:rPr>
        <w:t>UCT</w:t>
      </w:r>
      <w:r w:rsidR="00B00473" w:rsidRPr="00E430C1">
        <w:rPr>
          <w:rFonts w:ascii="Times New Roman" w:hAnsi="Times New Roman" w:cs="Times New Roman"/>
          <w:sz w:val="24"/>
          <w:szCs w:val="24"/>
        </w:rPr>
        <w:t xml:space="preserve"> ratio of 2.28</w:t>
      </w:r>
      <w:r w:rsidR="005C392E" w:rsidRPr="00E430C1">
        <w:rPr>
          <w:rFonts w:ascii="Times New Roman" w:hAnsi="Times New Roman" w:cs="Times New Roman"/>
          <w:sz w:val="24"/>
          <w:szCs w:val="24"/>
        </w:rPr>
        <w:t xml:space="preserve">. </w:t>
      </w:r>
    </w:p>
    <w:p w:rsidR="005C392E" w:rsidRPr="00E430C1" w:rsidRDefault="005C392E" w:rsidP="005C392E">
      <w:pPr>
        <w:rPr>
          <w:rFonts w:ascii="Times New Roman" w:hAnsi="Times New Roman" w:cs="Times New Roman"/>
          <w:b/>
          <w:sz w:val="24"/>
          <w:szCs w:val="24"/>
        </w:rPr>
      </w:pPr>
    </w:p>
    <w:p w:rsidR="00333349" w:rsidRPr="00E430C1" w:rsidRDefault="003F60AA" w:rsidP="005C392E">
      <w:pPr>
        <w:rPr>
          <w:rFonts w:ascii="Times New Roman" w:hAnsi="Times New Roman" w:cs="Times New Roman"/>
          <w:sz w:val="24"/>
          <w:szCs w:val="24"/>
        </w:rPr>
      </w:pPr>
      <w:r w:rsidRPr="00E430C1">
        <w:rPr>
          <w:rFonts w:ascii="Times New Roman" w:hAnsi="Times New Roman" w:cs="Times New Roman"/>
          <w:sz w:val="24"/>
          <w:szCs w:val="24"/>
        </w:rPr>
        <w:t xml:space="preserve">No </w:t>
      </w:r>
      <w:r w:rsidR="00D055E9">
        <w:rPr>
          <w:rFonts w:ascii="Times New Roman" w:hAnsi="Times New Roman" w:cs="Times New Roman"/>
          <w:sz w:val="24"/>
          <w:szCs w:val="24"/>
        </w:rPr>
        <w:t>major programmatic</w:t>
      </w:r>
      <w:r w:rsidRPr="00E430C1">
        <w:rPr>
          <w:rFonts w:ascii="Times New Roman" w:hAnsi="Times New Roman" w:cs="Times New Roman"/>
          <w:sz w:val="24"/>
          <w:szCs w:val="24"/>
        </w:rPr>
        <w:t xml:space="preserve"> revisions</w:t>
      </w:r>
      <w:r w:rsidR="00D055E9">
        <w:rPr>
          <w:rFonts w:ascii="Times New Roman" w:hAnsi="Times New Roman" w:cs="Times New Roman"/>
          <w:sz w:val="24"/>
          <w:szCs w:val="24"/>
        </w:rPr>
        <w:t xml:space="preserve"> other than those already approved by the Commission</w:t>
      </w:r>
      <w:r w:rsidR="00D055E9" w:rsidRPr="00E430C1">
        <w:rPr>
          <w:rStyle w:val="FootnoteReference"/>
          <w:rFonts w:ascii="Times New Roman" w:hAnsi="Times New Roman" w:cs="Times New Roman"/>
          <w:sz w:val="24"/>
          <w:szCs w:val="24"/>
        </w:rPr>
        <w:footnoteReference w:id="21"/>
      </w:r>
      <w:r w:rsidRPr="00E430C1">
        <w:rPr>
          <w:rFonts w:ascii="Times New Roman" w:hAnsi="Times New Roman" w:cs="Times New Roman"/>
          <w:sz w:val="24"/>
          <w:szCs w:val="24"/>
        </w:rPr>
        <w:t xml:space="preserve"> were identified </w:t>
      </w:r>
      <w:r w:rsidR="00D055E9">
        <w:rPr>
          <w:rFonts w:ascii="Times New Roman" w:hAnsi="Times New Roman" w:cs="Times New Roman"/>
          <w:sz w:val="24"/>
          <w:szCs w:val="24"/>
        </w:rPr>
        <w:t>in</w:t>
      </w:r>
      <w:r w:rsidRPr="00E430C1">
        <w:rPr>
          <w:rFonts w:ascii="Times New Roman" w:hAnsi="Times New Roman" w:cs="Times New Roman"/>
          <w:sz w:val="24"/>
          <w:szCs w:val="24"/>
        </w:rPr>
        <w:t xml:space="preserve"> the 2014 business plan. </w:t>
      </w:r>
    </w:p>
    <w:p w:rsidR="005C392E" w:rsidRPr="00E430C1" w:rsidRDefault="005C392E" w:rsidP="005C392E">
      <w:pPr>
        <w:rPr>
          <w:rFonts w:ascii="Times New Roman" w:hAnsi="Times New Roman" w:cs="Times New Roman"/>
          <w:i/>
          <w:sz w:val="24"/>
          <w:szCs w:val="24"/>
        </w:rPr>
      </w:pPr>
    </w:p>
    <w:p w:rsidR="002E5687" w:rsidRPr="00E430C1" w:rsidRDefault="002E5687" w:rsidP="005C392E">
      <w:pPr>
        <w:rPr>
          <w:rFonts w:ascii="Times New Roman" w:hAnsi="Times New Roman" w:cs="Times New Roman"/>
          <w:sz w:val="24"/>
          <w:szCs w:val="24"/>
        </w:rPr>
      </w:pPr>
      <w:r w:rsidRPr="00E430C1">
        <w:rPr>
          <w:rFonts w:ascii="Times New Roman" w:hAnsi="Times New Roman" w:cs="Times New Roman"/>
          <w:sz w:val="24"/>
          <w:szCs w:val="24"/>
        </w:rPr>
        <w:t xml:space="preserve">As with PSE, there are three issues within Avista’s BCP </w:t>
      </w:r>
      <w:r w:rsidR="006F1F10">
        <w:rPr>
          <w:rFonts w:ascii="Times New Roman" w:hAnsi="Times New Roman" w:cs="Times New Roman"/>
          <w:sz w:val="24"/>
          <w:szCs w:val="24"/>
        </w:rPr>
        <w:t>requiring discussion</w:t>
      </w:r>
      <w:r w:rsidRPr="00E430C1">
        <w:rPr>
          <w:rFonts w:ascii="Times New Roman" w:hAnsi="Times New Roman" w:cs="Times New Roman"/>
          <w:sz w:val="24"/>
          <w:szCs w:val="24"/>
        </w:rPr>
        <w:t>:</w:t>
      </w:r>
    </w:p>
    <w:p w:rsidR="002E5687" w:rsidRPr="00E430C1" w:rsidRDefault="002E5687" w:rsidP="005C392E">
      <w:pPr>
        <w:rPr>
          <w:rFonts w:ascii="Times New Roman" w:hAnsi="Times New Roman" w:cs="Times New Roman"/>
          <w:sz w:val="24"/>
          <w:szCs w:val="24"/>
        </w:rPr>
      </w:pPr>
    </w:p>
    <w:p w:rsidR="002E5687" w:rsidRPr="00E430C1" w:rsidRDefault="005C392E" w:rsidP="002E5687">
      <w:pPr>
        <w:pStyle w:val="ListParagraph"/>
        <w:numPr>
          <w:ilvl w:val="0"/>
          <w:numId w:val="18"/>
        </w:numPr>
        <w:rPr>
          <w:rFonts w:ascii="Times New Roman" w:hAnsi="Times New Roman" w:cs="Times New Roman"/>
          <w:sz w:val="24"/>
          <w:szCs w:val="24"/>
        </w:rPr>
      </w:pPr>
      <w:r w:rsidRPr="00E430C1">
        <w:rPr>
          <w:rFonts w:ascii="Times New Roman" w:hAnsi="Times New Roman" w:cs="Times New Roman"/>
          <w:sz w:val="24"/>
          <w:szCs w:val="24"/>
        </w:rPr>
        <w:t>Home Energy Reports</w:t>
      </w:r>
      <w:r w:rsidR="002E5687" w:rsidRPr="00E430C1">
        <w:rPr>
          <w:rFonts w:ascii="Times New Roman" w:hAnsi="Times New Roman" w:cs="Times New Roman"/>
          <w:sz w:val="24"/>
          <w:szCs w:val="24"/>
        </w:rPr>
        <w:t xml:space="preserve"> – </w:t>
      </w:r>
      <w:r w:rsidRPr="00E430C1">
        <w:rPr>
          <w:rFonts w:ascii="Times New Roman" w:hAnsi="Times New Roman" w:cs="Times New Roman"/>
          <w:sz w:val="24"/>
          <w:szCs w:val="24"/>
        </w:rPr>
        <w:t xml:space="preserve">In Avista’s 2013 CPA, behavioral measures did not pass the cost-effectiveness screen so they were not included as part of the economic potential. Subsequent to the completion of the CPA, costs declined such that now Avista can offer a cost-effective behavior-based program. Avista’s </w:t>
      </w:r>
      <w:r w:rsidR="00435E6E" w:rsidRPr="00E430C1">
        <w:rPr>
          <w:rFonts w:ascii="Times New Roman" w:hAnsi="Times New Roman" w:cs="Times New Roman"/>
          <w:sz w:val="24"/>
          <w:szCs w:val="24"/>
        </w:rPr>
        <w:t xml:space="preserve">proposed </w:t>
      </w:r>
      <w:r w:rsidRPr="00E430C1">
        <w:rPr>
          <w:rFonts w:ascii="Times New Roman" w:hAnsi="Times New Roman" w:cs="Times New Roman"/>
          <w:sz w:val="24"/>
          <w:szCs w:val="24"/>
        </w:rPr>
        <w:t>target</w:t>
      </w:r>
      <w:r w:rsidR="00435E6E" w:rsidRPr="00E430C1">
        <w:rPr>
          <w:rFonts w:ascii="Times New Roman" w:hAnsi="Times New Roman" w:cs="Times New Roman"/>
          <w:sz w:val="24"/>
          <w:szCs w:val="24"/>
        </w:rPr>
        <w:t>, however,</w:t>
      </w:r>
      <w:r w:rsidRPr="00E430C1">
        <w:rPr>
          <w:rFonts w:ascii="Times New Roman" w:hAnsi="Times New Roman" w:cs="Times New Roman"/>
          <w:sz w:val="24"/>
          <w:szCs w:val="24"/>
        </w:rPr>
        <w:t xml:space="preserve"> does not include the</w:t>
      </w:r>
      <w:r w:rsidR="00435E6E" w:rsidRPr="00E430C1">
        <w:rPr>
          <w:rFonts w:ascii="Times New Roman" w:hAnsi="Times New Roman" w:cs="Times New Roman"/>
          <w:sz w:val="24"/>
          <w:szCs w:val="24"/>
        </w:rPr>
        <w:t xml:space="preserve"> expected 5,164 MWh of </w:t>
      </w:r>
      <w:r w:rsidRPr="00E430C1">
        <w:rPr>
          <w:rFonts w:ascii="Times New Roman" w:hAnsi="Times New Roman" w:cs="Times New Roman"/>
          <w:sz w:val="24"/>
          <w:szCs w:val="24"/>
        </w:rPr>
        <w:t xml:space="preserve">savings from its Home Energy Reports program. </w:t>
      </w:r>
      <w:r w:rsidR="006F1F10">
        <w:rPr>
          <w:rFonts w:ascii="Times New Roman" w:hAnsi="Times New Roman" w:cs="Times New Roman"/>
          <w:sz w:val="24"/>
          <w:szCs w:val="24"/>
        </w:rPr>
        <w:t>It</w:t>
      </w:r>
      <w:r w:rsidRPr="00E430C1">
        <w:rPr>
          <w:rFonts w:ascii="Times New Roman" w:hAnsi="Times New Roman" w:cs="Times New Roman"/>
          <w:sz w:val="24"/>
          <w:szCs w:val="24"/>
        </w:rPr>
        <w:t xml:space="preserve"> is important to maintain</w:t>
      </w:r>
      <w:r w:rsidR="00435E6E" w:rsidRPr="00E430C1">
        <w:rPr>
          <w:rFonts w:ascii="Times New Roman" w:hAnsi="Times New Roman" w:cs="Times New Roman"/>
          <w:sz w:val="24"/>
          <w:szCs w:val="24"/>
        </w:rPr>
        <w:t xml:space="preserve"> a reasonable level of</w:t>
      </w:r>
      <w:r w:rsidRPr="00E430C1">
        <w:rPr>
          <w:rFonts w:ascii="Times New Roman" w:hAnsi="Times New Roman" w:cs="Times New Roman"/>
          <w:sz w:val="24"/>
          <w:szCs w:val="24"/>
        </w:rPr>
        <w:t xml:space="preserve"> consistency between target-setting and the application of acquired savings</w:t>
      </w:r>
      <w:r w:rsidR="008D65AF" w:rsidRPr="00E430C1">
        <w:rPr>
          <w:rFonts w:ascii="Times New Roman" w:hAnsi="Times New Roman" w:cs="Times New Roman"/>
          <w:sz w:val="24"/>
          <w:szCs w:val="24"/>
        </w:rPr>
        <w:t xml:space="preserve"> toward that target. As </w:t>
      </w:r>
      <w:r w:rsidR="00EF23C0">
        <w:rPr>
          <w:rFonts w:ascii="Times New Roman" w:hAnsi="Times New Roman" w:cs="Times New Roman"/>
          <w:sz w:val="24"/>
          <w:szCs w:val="24"/>
        </w:rPr>
        <w:t>discussed above</w:t>
      </w:r>
      <w:r w:rsidRPr="00E430C1">
        <w:rPr>
          <w:rFonts w:ascii="Times New Roman" w:hAnsi="Times New Roman" w:cs="Times New Roman"/>
          <w:sz w:val="24"/>
          <w:szCs w:val="24"/>
        </w:rPr>
        <w:t>,</w:t>
      </w:r>
      <w:r w:rsidR="008D65AF" w:rsidRPr="00E430C1">
        <w:rPr>
          <w:rFonts w:ascii="Times New Roman" w:hAnsi="Times New Roman" w:cs="Times New Roman"/>
          <w:sz w:val="24"/>
          <w:szCs w:val="24"/>
        </w:rPr>
        <w:t xml:space="preserve"> savings that a company intends to acquire </w:t>
      </w:r>
      <w:r w:rsidRPr="00E430C1">
        <w:rPr>
          <w:rFonts w:ascii="Times New Roman" w:hAnsi="Times New Roman" w:cs="Times New Roman"/>
          <w:sz w:val="24"/>
          <w:szCs w:val="24"/>
        </w:rPr>
        <w:t xml:space="preserve">should only be applied toward a target if </w:t>
      </w:r>
      <w:r w:rsidR="00435E6E" w:rsidRPr="00E430C1">
        <w:rPr>
          <w:rFonts w:ascii="Times New Roman" w:hAnsi="Times New Roman" w:cs="Times New Roman"/>
          <w:sz w:val="24"/>
          <w:szCs w:val="24"/>
        </w:rPr>
        <w:t xml:space="preserve">a reasonable estimate of </w:t>
      </w:r>
      <w:r w:rsidRPr="00E430C1">
        <w:rPr>
          <w:rFonts w:ascii="Times New Roman" w:hAnsi="Times New Roman" w:cs="Times New Roman"/>
          <w:sz w:val="24"/>
          <w:szCs w:val="24"/>
        </w:rPr>
        <w:t xml:space="preserve">those savings </w:t>
      </w:r>
      <w:r w:rsidR="00EF23C0" w:rsidRPr="00E430C1">
        <w:rPr>
          <w:rFonts w:ascii="Times New Roman" w:hAnsi="Times New Roman" w:cs="Times New Roman"/>
          <w:sz w:val="24"/>
          <w:szCs w:val="24"/>
        </w:rPr>
        <w:t>w</w:t>
      </w:r>
      <w:r w:rsidR="00EF23C0">
        <w:rPr>
          <w:rFonts w:ascii="Times New Roman" w:hAnsi="Times New Roman" w:cs="Times New Roman"/>
          <w:sz w:val="24"/>
          <w:szCs w:val="24"/>
        </w:rPr>
        <w:t>as</w:t>
      </w:r>
      <w:r w:rsidR="00EF23C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reflected in the target in the first place. </w:t>
      </w:r>
    </w:p>
    <w:p w:rsidR="002E5687" w:rsidRPr="00E430C1" w:rsidRDefault="002E5687" w:rsidP="002E5687">
      <w:pPr>
        <w:pStyle w:val="ListParagraph"/>
        <w:ind w:left="1080"/>
        <w:rPr>
          <w:rFonts w:ascii="Times New Roman" w:hAnsi="Times New Roman" w:cs="Times New Roman"/>
          <w:sz w:val="24"/>
          <w:szCs w:val="24"/>
        </w:rPr>
      </w:pPr>
    </w:p>
    <w:p w:rsidR="005C392E" w:rsidRPr="00E430C1" w:rsidRDefault="005C392E" w:rsidP="002E5687">
      <w:pPr>
        <w:pStyle w:val="ListParagraph"/>
        <w:ind w:left="1080"/>
        <w:rPr>
          <w:rFonts w:ascii="Times New Roman" w:hAnsi="Times New Roman" w:cs="Times New Roman"/>
          <w:sz w:val="24"/>
          <w:szCs w:val="24"/>
        </w:rPr>
      </w:pPr>
      <w:r w:rsidRPr="00E430C1">
        <w:rPr>
          <w:rFonts w:ascii="Times New Roman" w:hAnsi="Times New Roman" w:cs="Times New Roman"/>
          <w:sz w:val="24"/>
          <w:szCs w:val="24"/>
        </w:rPr>
        <w:t xml:space="preserve">As </w:t>
      </w:r>
      <w:r w:rsidR="00435E6E" w:rsidRPr="00E430C1">
        <w:rPr>
          <w:rFonts w:ascii="Times New Roman" w:hAnsi="Times New Roman" w:cs="Times New Roman"/>
          <w:sz w:val="24"/>
          <w:szCs w:val="24"/>
        </w:rPr>
        <w:t xml:space="preserve">the behavior-based </w:t>
      </w:r>
      <w:r w:rsidRPr="00E430C1">
        <w:rPr>
          <w:rFonts w:ascii="Times New Roman" w:hAnsi="Times New Roman" w:cs="Times New Roman"/>
          <w:sz w:val="24"/>
          <w:szCs w:val="24"/>
        </w:rPr>
        <w:t>savings are not reflected in Avista’s current target, it would not be appropriate to for Avista to claim those savings in its Biennial Conservation Report against the compliance target the Commission establishes in this docket. If Avista intends to apply Home Energy Reports savings toward the forthcoming biennial target, the target should be adjusted accordingly before approval. Given that Avista has been running its Home Energy Reports program for less than a year, considerable uncertainty still remains around expected program impact</w:t>
      </w:r>
      <w:r w:rsidR="00435E6E" w:rsidRPr="00E430C1">
        <w:rPr>
          <w:rFonts w:ascii="Times New Roman" w:hAnsi="Times New Roman" w:cs="Times New Roman"/>
          <w:sz w:val="24"/>
          <w:szCs w:val="24"/>
        </w:rPr>
        <w:t>, which may be as much as 16 percent of its total 2014 savings acquisition</w:t>
      </w:r>
      <w:r w:rsidRPr="00E430C1">
        <w:rPr>
          <w:rFonts w:ascii="Times New Roman" w:hAnsi="Times New Roman" w:cs="Times New Roman"/>
          <w:sz w:val="24"/>
          <w:szCs w:val="24"/>
        </w:rPr>
        <w:t xml:space="preserve">. Therefore, it is most appropriate to exclude savings from the Home Energy Reports program from both the 2014-2015 compliance </w:t>
      </w:r>
      <w:proofErr w:type="gramStart"/>
      <w:r w:rsidRPr="00E430C1">
        <w:rPr>
          <w:rFonts w:ascii="Times New Roman" w:hAnsi="Times New Roman" w:cs="Times New Roman"/>
          <w:sz w:val="24"/>
          <w:szCs w:val="24"/>
        </w:rPr>
        <w:t>target</w:t>
      </w:r>
      <w:proofErr w:type="gramEnd"/>
      <w:r w:rsidRPr="00E430C1">
        <w:rPr>
          <w:rFonts w:ascii="Times New Roman" w:hAnsi="Times New Roman" w:cs="Times New Roman"/>
          <w:sz w:val="24"/>
          <w:szCs w:val="24"/>
        </w:rPr>
        <w:t xml:space="preserve"> and the application of acquired savings toward that target. </w:t>
      </w:r>
      <w:r w:rsidR="00435E6E" w:rsidRPr="00E430C1">
        <w:rPr>
          <w:rFonts w:ascii="Times New Roman" w:hAnsi="Times New Roman" w:cs="Times New Roman"/>
          <w:sz w:val="24"/>
          <w:szCs w:val="24"/>
        </w:rPr>
        <w:t>Avista retains the responsibility for pursuing behavior-based savings as part of its obligation to “pursue all conservation that is cost-effective, reliable and feasible.”</w:t>
      </w:r>
      <w:r w:rsidR="00435E6E" w:rsidRPr="00E430C1">
        <w:rPr>
          <w:rStyle w:val="FootnoteReference"/>
          <w:rFonts w:ascii="Times New Roman" w:hAnsi="Times New Roman" w:cs="Times New Roman"/>
          <w:sz w:val="24"/>
          <w:szCs w:val="24"/>
        </w:rPr>
        <w:footnoteReference w:id="22"/>
      </w:r>
    </w:p>
    <w:p w:rsidR="005C392E" w:rsidRPr="00E430C1" w:rsidRDefault="005C392E" w:rsidP="005C392E">
      <w:pPr>
        <w:rPr>
          <w:rFonts w:ascii="Times New Roman" w:hAnsi="Times New Roman" w:cs="Times New Roman"/>
          <w:sz w:val="24"/>
          <w:szCs w:val="24"/>
        </w:rPr>
      </w:pPr>
    </w:p>
    <w:p w:rsidR="002E5687" w:rsidRPr="00E430C1" w:rsidRDefault="005C392E" w:rsidP="0000089C">
      <w:pPr>
        <w:pStyle w:val="ListParagraph"/>
        <w:numPr>
          <w:ilvl w:val="0"/>
          <w:numId w:val="18"/>
        </w:numPr>
        <w:rPr>
          <w:rFonts w:ascii="Times New Roman" w:hAnsi="Times New Roman" w:cs="Times New Roman"/>
          <w:sz w:val="24"/>
          <w:szCs w:val="24"/>
        </w:rPr>
      </w:pPr>
      <w:r w:rsidRPr="00E430C1">
        <w:rPr>
          <w:rFonts w:ascii="Times New Roman" w:hAnsi="Times New Roman" w:cs="Times New Roman"/>
          <w:sz w:val="24"/>
          <w:szCs w:val="24"/>
        </w:rPr>
        <w:t>UES Summary Table</w:t>
      </w:r>
      <w:r w:rsidR="002E5687" w:rsidRPr="00E430C1">
        <w:rPr>
          <w:rFonts w:ascii="Times New Roman" w:hAnsi="Times New Roman" w:cs="Times New Roman"/>
          <w:sz w:val="24"/>
          <w:szCs w:val="24"/>
        </w:rPr>
        <w:t xml:space="preserve"> –</w:t>
      </w:r>
      <w:r w:rsidR="00EF23C0">
        <w:rPr>
          <w:rFonts w:ascii="Times New Roman" w:hAnsi="Times New Roman" w:cs="Times New Roman"/>
          <w:sz w:val="24"/>
          <w:szCs w:val="24"/>
        </w:rPr>
        <w:t xml:space="preserve"> </w:t>
      </w:r>
      <w:r w:rsidRPr="00E430C1">
        <w:rPr>
          <w:rFonts w:ascii="Times New Roman" w:hAnsi="Times New Roman" w:cs="Times New Roman"/>
          <w:sz w:val="24"/>
          <w:szCs w:val="24"/>
        </w:rPr>
        <w:t xml:space="preserve">As discussed in the above section on CPAs, Staff could not readily determine the source of each UES that was used for the CPA, the justification for deviation from RTF values, or the unit conversion assumptions (e.g. </w:t>
      </w:r>
      <w:r w:rsidR="00435E6E" w:rsidRPr="00E430C1">
        <w:rPr>
          <w:rFonts w:ascii="Times New Roman" w:hAnsi="Times New Roman" w:cs="Times New Roman"/>
          <w:sz w:val="24"/>
          <w:szCs w:val="24"/>
        </w:rPr>
        <w:t>savings-per-</w:t>
      </w:r>
      <w:r w:rsidRPr="00E430C1">
        <w:rPr>
          <w:rFonts w:ascii="Times New Roman" w:hAnsi="Times New Roman" w:cs="Times New Roman"/>
          <w:sz w:val="24"/>
          <w:szCs w:val="24"/>
        </w:rPr>
        <w:t xml:space="preserve">unit versus </w:t>
      </w:r>
      <w:r w:rsidR="00435E6E" w:rsidRPr="00E430C1">
        <w:rPr>
          <w:rFonts w:ascii="Times New Roman" w:hAnsi="Times New Roman" w:cs="Times New Roman"/>
          <w:sz w:val="24"/>
          <w:szCs w:val="24"/>
        </w:rPr>
        <w:t>savings-per-</w:t>
      </w:r>
      <w:r w:rsidRPr="00E430C1">
        <w:rPr>
          <w:rFonts w:ascii="Times New Roman" w:hAnsi="Times New Roman" w:cs="Times New Roman"/>
          <w:sz w:val="24"/>
          <w:szCs w:val="24"/>
        </w:rPr>
        <w:t>household)</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As Avista is requesting to “lock” the UES values for the biennium, it seems </w:t>
      </w:r>
      <w:r w:rsidR="00435E6E" w:rsidRPr="00E430C1">
        <w:rPr>
          <w:rFonts w:ascii="Times New Roman" w:hAnsi="Times New Roman" w:cs="Times New Roman"/>
          <w:sz w:val="24"/>
          <w:szCs w:val="24"/>
        </w:rPr>
        <w:t xml:space="preserve">reasonable </w:t>
      </w:r>
      <w:r w:rsidRPr="00E430C1">
        <w:rPr>
          <w:rFonts w:ascii="Times New Roman" w:hAnsi="Times New Roman" w:cs="Times New Roman"/>
          <w:sz w:val="24"/>
          <w:szCs w:val="24"/>
        </w:rPr>
        <w:t xml:space="preserve">that the UES values that are being locked are clearly identified and defined at the outset. </w:t>
      </w:r>
    </w:p>
    <w:p w:rsidR="002E5687" w:rsidRPr="00E430C1" w:rsidRDefault="002E5687" w:rsidP="0000089C">
      <w:pPr>
        <w:pStyle w:val="ListParagraph"/>
        <w:ind w:left="1080"/>
        <w:rPr>
          <w:rFonts w:ascii="Times New Roman" w:hAnsi="Times New Roman" w:cs="Times New Roman"/>
          <w:sz w:val="24"/>
          <w:szCs w:val="24"/>
        </w:rPr>
      </w:pPr>
    </w:p>
    <w:p w:rsidR="005C392E" w:rsidRPr="00E430C1" w:rsidRDefault="005C392E" w:rsidP="0000089C">
      <w:pPr>
        <w:pStyle w:val="ListParagraph"/>
        <w:ind w:left="1080"/>
        <w:rPr>
          <w:rFonts w:ascii="Times New Roman" w:hAnsi="Times New Roman" w:cs="Times New Roman"/>
          <w:sz w:val="24"/>
          <w:szCs w:val="24"/>
        </w:rPr>
      </w:pPr>
      <w:r w:rsidRPr="00E430C1">
        <w:rPr>
          <w:rFonts w:ascii="Times New Roman" w:hAnsi="Times New Roman" w:cs="Times New Roman"/>
          <w:sz w:val="24"/>
          <w:szCs w:val="24"/>
        </w:rPr>
        <w:t xml:space="preserve">Staff asked that Avista produce a table of the UES being locked prior to recommending approval of the proposed target. The table should include, at a minimum, the UES </w:t>
      </w:r>
      <w:r w:rsidR="00333349" w:rsidRPr="00E430C1">
        <w:rPr>
          <w:rFonts w:ascii="Times New Roman" w:hAnsi="Times New Roman" w:cs="Times New Roman"/>
          <w:sz w:val="24"/>
          <w:szCs w:val="24"/>
        </w:rPr>
        <w:t xml:space="preserve">value </w:t>
      </w:r>
      <w:r w:rsidRPr="00E430C1">
        <w:rPr>
          <w:rFonts w:ascii="Times New Roman" w:hAnsi="Times New Roman" w:cs="Times New Roman"/>
          <w:sz w:val="24"/>
          <w:szCs w:val="24"/>
        </w:rPr>
        <w:t xml:space="preserve">used for the CPA as well as the source of the value being used (e.g. RTF, adjusted RTF, technical reference manual, etc.). </w:t>
      </w:r>
      <w:r w:rsidR="006F1F10">
        <w:rPr>
          <w:rFonts w:ascii="Times New Roman" w:hAnsi="Times New Roman" w:cs="Times New Roman"/>
          <w:sz w:val="24"/>
          <w:szCs w:val="24"/>
        </w:rPr>
        <w:t>O</w:t>
      </w:r>
      <w:r w:rsidRPr="00E430C1">
        <w:rPr>
          <w:rFonts w:ascii="Times New Roman" w:hAnsi="Times New Roman" w:cs="Times New Roman"/>
          <w:sz w:val="24"/>
          <w:szCs w:val="24"/>
        </w:rPr>
        <w:t xml:space="preserve">nce the UES </w:t>
      </w:r>
      <w:r w:rsidR="008652A9">
        <w:rPr>
          <w:rFonts w:ascii="Times New Roman" w:hAnsi="Times New Roman" w:cs="Times New Roman"/>
          <w:sz w:val="24"/>
          <w:szCs w:val="24"/>
        </w:rPr>
        <w:t xml:space="preserve">values </w:t>
      </w:r>
      <w:r w:rsidRPr="00E430C1">
        <w:rPr>
          <w:rFonts w:ascii="Times New Roman" w:hAnsi="Times New Roman" w:cs="Times New Roman"/>
          <w:sz w:val="24"/>
          <w:szCs w:val="24"/>
        </w:rPr>
        <w:t>are identified and defined, Avista’s target can</w:t>
      </w:r>
      <w:r w:rsidR="006F1F10">
        <w:rPr>
          <w:rFonts w:ascii="Times New Roman" w:hAnsi="Times New Roman" w:cs="Times New Roman"/>
          <w:sz w:val="24"/>
          <w:szCs w:val="24"/>
        </w:rPr>
        <w:t xml:space="preserve"> likely</w:t>
      </w:r>
      <w:r w:rsidRPr="00E430C1">
        <w:rPr>
          <w:rFonts w:ascii="Times New Roman" w:hAnsi="Times New Roman" w:cs="Times New Roman"/>
          <w:sz w:val="24"/>
          <w:szCs w:val="24"/>
        </w:rPr>
        <w:t xml:space="preserve"> be approved. As of the drafting of these comments, the company has not provided this UES table. </w:t>
      </w:r>
      <w:r w:rsidR="00E52D1C" w:rsidRPr="00E430C1">
        <w:rPr>
          <w:rFonts w:ascii="Times New Roman" w:hAnsi="Times New Roman" w:cs="Times New Roman"/>
          <w:sz w:val="24"/>
          <w:szCs w:val="24"/>
        </w:rPr>
        <w:t xml:space="preserve">In order for Staff to incorporate this table into the Staff memorandum outlining its recommendations, it will need to be completed and provided to Staff by December 10, 2013. </w:t>
      </w:r>
    </w:p>
    <w:p w:rsidR="007327FB" w:rsidRPr="00E430C1" w:rsidRDefault="007327FB" w:rsidP="007327FB">
      <w:pPr>
        <w:rPr>
          <w:rFonts w:ascii="Times New Roman" w:hAnsi="Times New Roman" w:cs="Times New Roman"/>
          <w:b/>
          <w:sz w:val="24"/>
          <w:szCs w:val="24"/>
        </w:rPr>
      </w:pPr>
    </w:p>
    <w:p w:rsidR="002E5687" w:rsidRPr="00E430C1" w:rsidRDefault="00B4524B" w:rsidP="0000089C">
      <w:pPr>
        <w:pStyle w:val="ListParagraph"/>
        <w:numPr>
          <w:ilvl w:val="0"/>
          <w:numId w:val="18"/>
        </w:numPr>
        <w:rPr>
          <w:rFonts w:ascii="Times New Roman" w:hAnsi="Times New Roman" w:cs="Times New Roman"/>
          <w:sz w:val="24"/>
          <w:szCs w:val="24"/>
        </w:rPr>
      </w:pPr>
      <w:r w:rsidRPr="00E430C1">
        <w:rPr>
          <w:rFonts w:ascii="Times New Roman" w:hAnsi="Times New Roman" w:cs="Times New Roman"/>
          <w:sz w:val="24"/>
          <w:szCs w:val="24"/>
        </w:rPr>
        <w:t>Use of the net-TRC</w:t>
      </w:r>
      <w:r w:rsidR="002E5687" w:rsidRPr="00E430C1">
        <w:rPr>
          <w:rFonts w:ascii="Times New Roman" w:hAnsi="Times New Roman" w:cs="Times New Roman"/>
          <w:sz w:val="24"/>
          <w:szCs w:val="24"/>
        </w:rPr>
        <w:t xml:space="preserve"> – </w:t>
      </w:r>
      <w:r w:rsidRPr="00E430C1">
        <w:rPr>
          <w:rFonts w:ascii="Times New Roman" w:hAnsi="Times New Roman" w:cs="Times New Roman"/>
          <w:sz w:val="24"/>
          <w:szCs w:val="24"/>
        </w:rPr>
        <w:t xml:space="preserve">Avista manages its </w:t>
      </w:r>
      <w:r w:rsidR="00450701" w:rsidRPr="00E430C1">
        <w:rPr>
          <w:rFonts w:ascii="Times New Roman" w:hAnsi="Times New Roman" w:cs="Times New Roman"/>
          <w:sz w:val="24"/>
          <w:szCs w:val="24"/>
        </w:rPr>
        <w:t xml:space="preserve">electric </w:t>
      </w:r>
      <w:r w:rsidRPr="00E430C1">
        <w:rPr>
          <w:rFonts w:ascii="Times New Roman" w:hAnsi="Times New Roman" w:cs="Times New Roman"/>
          <w:sz w:val="24"/>
          <w:szCs w:val="24"/>
        </w:rPr>
        <w:t xml:space="preserve">DSM portfolio to maximize the net TRC test performance. That is, </w:t>
      </w:r>
      <w:r w:rsidR="00450701" w:rsidRPr="00E430C1">
        <w:rPr>
          <w:rFonts w:ascii="Times New Roman" w:hAnsi="Times New Roman" w:cs="Times New Roman"/>
          <w:sz w:val="24"/>
          <w:szCs w:val="24"/>
        </w:rPr>
        <w:t xml:space="preserve">for planning purposes Avista applies a net-to-gross adjustment </w:t>
      </w:r>
      <w:r w:rsidR="00EC26D7" w:rsidRPr="00E430C1">
        <w:rPr>
          <w:rFonts w:ascii="Times New Roman" w:hAnsi="Times New Roman" w:cs="Times New Roman"/>
          <w:sz w:val="24"/>
          <w:szCs w:val="24"/>
        </w:rPr>
        <w:t>to a subset of the measures it offers</w:t>
      </w:r>
      <w:r w:rsidR="00450701" w:rsidRPr="00E430C1">
        <w:rPr>
          <w:rFonts w:ascii="Times New Roman" w:hAnsi="Times New Roman" w:cs="Times New Roman"/>
          <w:sz w:val="24"/>
          <w:szCs w:val="24"/>
        </w:rPr>
        <w:t>. In discussions within Avista’s Advisory Group, a concern was raised that this might be inconsistent with Council methodology given that the Council</w:t>
      </w:r>
      <w:r w:rsidR="00007F70" w:rsidRPr="00E430C1">
        <w:rPr>
          <w:rFonts w:ascii="Times New Roman" w:hAnsi="Times New Roman" w:cs="Times New Roman"/>
          <w:sz w:val="24"/>
          <w:szCs w:val="24"/>
        </w:rPr>
        <w:t>’s regional approach</w:t>
      </w:r>
      <w:r w:rsidR="00450701" w:rsidRPr="00E430C1">
        <w:rPr>
          <w:rFonts w:ascii="Times New Roman" w:hAnsi="Times New Roman" w:cs="Times New Roman"/>
          <w:sz w:val="24"/>
          <w:szCs w:val="24"/>
        </w:rPr>
        <w:t xml:space="preserve"> does not attempt to quantify </w:t>
      </w:r>
      <w:r w:rsidR="00007F70" w:rsidRPr="00E430C1">
        <w:rPr>
          <w:rFonts w:ascii="Times New Roman" w:hAnsi="Times New Roman" w:cs="Times New Roman"/>
          <w:sz w:val="24"/>
          <w:szCs w:val="24"/>
        </w:rPr>
        <w:t>savings achieved by customers outside of a utility service territory or by those customers who would have completed efficiency improvements in the absence of a utility program.</w:t>
      </w:r>
      <w:r w:rsidR="00EC26D7" w:rsidRPr="00E430C1">
        <w:rPr>
          <w:rFonts w:ascii="Times New Roman" w:hAnsi="Times New Roman" w:cs="Times New Roman"/>
          <w:sz w:val="24"/>
          <w:szCs w:val="24"/>
        </w:rPr>
        <w:t xml:space="preserve"> </w:t>
      </w:r>
      <w:r w:rsidR="00007F70" w:rsidRPr="00E430C1">
        <w:rPr>
          <w:rFonts w:ascii="Times New Roman" w:hAnsi="Times New Roman" w:cs="Times New Roman"/>
          <w:sz w:val="24"/>
          <w:szCs w:val="24"/>
        </w:rPr>
        <w:t>T</w:t>
      </w:r>
      <w:r w:rsidR="00EC26D7" w:rsidRPr="00E430C1">
        <w:rPr>
          <w:rFonts w:ascii="Times New Roman" w:hAnsi="Times New Roman" w:cs="Times New Roman"/>
          <w:sz w:val="24"/>
          <w:szCs w:val="24"/>
        </w:rPr>
        <w:t xml:space="preserve">herefore, </w:t>
      </w:r>
      <w:r w:rsidR="00007F70" w:rsidRPr="00E430C1">
        <w:rPr>
          <w:rFonts w:ascii="Times New Roman" w:hAnsi="Times New Roman" w:cs="Times New Roman"/>
          <w:sz w:val="24"/>
          <w:szCs w:val="24"/>
        </w:rPr>
        <w:t xml:space="preserve">the Council </w:t>
      </w:r>
      <w:r w:rsidR="00EC26D7" w:rsidRPr="00E430C1">
        <w:rPr>
          <w:rFonts w:ascii="Times New Roman" w:hAnsi="Times New Roman" w:cs="Times New Roman"/>
          <w:sz w:val="24"/>
          <w:szCs w:val="24"/>
        </w:rPr>
        <w:t>does not explicitly apply</w:t>
      </w:r>
      <w:r w:rsidR="00450701" w:rsidRPr="00E430C1">
        <w:rPr>
          <w:rFonts w:ascii="Times New Roman" w:hAnsi="Times New Roman" w:cs="Times New Roman"/>
          <w:sz w:val="24"/>
          <w:szCs w:val="24"/>
        </w:rPr>
        <w:t xml:space="preserve"> a</w:t>
      </w:r>
      <w:r w:rsidR="00EC26D7" w:rsidRPr="00E430C1">
        <w:rPr>
          <w:rFonts w:ascii="Times New Roman" w:hAnsi="Times New Roman" w:cs="Times New Roman"/>
          <w:sz w:val="24"/>
          <w:szCs w:val="24"/>
        </w:rPr>
        <w:t xml:space="preserve"> net-to-gross ratio. However, although the Counsel does not quantify</w:t>
      </w:r>
      <w:r w:rsidR="00007F70" w:rsidRPr="00E430C1">
        <w:rPr>
          <w:rFonts w:ascii="Times New Roman" w:hAnsi="Times New Roman" w:cs="Times New Roman"/>
          <w:sz w:val="24"/>
          <w:szCs w:val="24"/>
        </w:rPr>
        <w:t xml:space="preserve"> these</w:t>
      </w:r>
      <w:r w:rsidR="00EC26D7" w:rsidRPr="00E430C1">
        <w:rPr>
          <w:rFonts w:ascii="Times New Roman" w:hAnsi="Times New Roman" w:cs="Times New Roman"/>
          <w:sz w:val="24"/>
          <w:szCs w:val="24"/>
        </w:rPr>
        <w:t xml:space="preserve"> spillover and free rider</w:t>
      </w:r>
      <w:r w:rsidR="00007F70" w:rsidRPr="00E430C1">
        <w:rPr>
          <w:rFonts w:ascii="Times New Roman" w:hAnsi="Times New Roman" w:cs="Times New Roman"/>
          <w:sz w:val="24"/>
          <w:szCs w:val="24"/>
        </w:rPr>
        <w:t xml:space="preserve"> effect</w:t>
      </w:r>
      <w:r w:rsidR="00EC26D7" w:rsidRPr="00E430C1">
        <w:rPr>
          <w:rFonts w:ascii="Times New Roman" w:hAnsi="Times New Roman" w:cs="Times New Roman"/>
          <w:sz w:val="24"/>
          <w:szCs w:val="24"/>
        </w:rPr>
        <w:t xml:space="preserve">s, it does adjust its market baseline to account for current practice which </w:t>
      </w:r>
      <w:r w:rsidR="00007F70" w:rsidRPr="00E430C1">
        <w:rPr>
          <w:rFonts w:ascii="Times New Roman" w:hAnsi="Times New Roman" w:cs="Times New Roman"/>
          <w:sz w:val="24"/>
          <w:szCs w:val="24"/>
        </w:rPr>
        <w:t>likely addresses some portion of these effects</w:t>
      </w:r>
      <w:r w:rsidR="00EC26D7" w:rsidRPr="00E430C1">
        <w:rPr>
          <w:rFonts w:ascii="Times New Roman" w:hAnsi="Times New Roman" w:cs="Times New Roman"/>
          <w:sz w:val="24"/>
          <w:szCs w:val="24"/>
        </w:rPr>
        <w:t>. For this reason, Avista only applies a net-to-gross adjustment to measures that do not rely upon an RTF adjusted baseline.</w:t>
      </w:r>
    </w:p>
    <w:p w:rsidR="002E5687" w:rsidRPr="00E430C1" w:rsidRDefault="002E5687" w:rsidP="0000089C">
      <w:pPr>
        <w:pStyle w:val="ListParagraph"/>
        <w:ind w:left="1080"/>
        <w:rPr>
          <w:rFonts w:ascii="Times New Roman" w:hAnsi="Times New Roman" w:cs="Times New Roman"/>
          <w:sz w:val="24"/>
          <w:szCs w:val="24"/>
        </w:rPr>
      </w:pPr>
    </w:p>
    <w:p w:rsidR="002E5687" w:rsidRPr="00E430C1" w:rsidRDefault="003D5AD0" w:rsidP="0000089C">
      <w:pPr>
        <w:pStyle w:val="ListParagraph"/>
        <w:ind w:left="1080"/>
        <w:rPr>
          <w:rFonts w:ascii="Times New Roman" w:hAnsi="Times New Roman" w:cs="Times New Roman"/>
          <w:sz w:val="24"/>
          <w:szCs w:val="24"/>
        </w:rPr>
      </w:pPr>
      <w:r>
        <w:rPr>
          <w:rFonts w:ascii="Times New Roman" w:hAnsi="Times New Roman" w:cs="Times New Roman"/>
          <w:sz w:val="24"/>
          <w:szCs w:val="24"/>
        </w:rPr>
        <w:t>To</w:t>
      </w:r>
      <w:r w:rsidR="006C2D45" w:rsidRPr="00E430C1">
        <w:rPr>
          <w:rFonts w:ascii="Times New Roman" w:hAnsi="Times New Roman" w:cs="Times New Roman"/>
          <w:sz w:val="24"/>
          <w:szCs w:val="24"/>
        </w:rPr>
        <w:t xml:space="preserve"> the extent that</w:t>
      </w:r>
      <w:r w:rsidR="00A45E28" w:rsidRPr="00E430C1">
        <w:rPr>
          <w:rFonts w:ascii="Times New Roman" w:hAnsi="Times New Roman" w:cs="Times New Roman"/>
          <w:sz w:val="24"/>
          <w:szCs w:val="24"/>
        </w:rPr>
        <w:t xml:space="preserve"> Avista’s net-to-gross adjustment aligns with the Council’s adjusted market baseline, the adjustment is appropriate, but for planning purposes only. As long as spillover and free riders can be reasonably quantified within Avista’s service territory, it is appropriate to optimize a conservation portfolio using that information.</w:t>
      </w:r>
    </w:p>
    <w:p w:rsidR="002E5687" w:rsidRPr="00E430C1" w:rsidRDefault="002E5687" w:rsidP="0000089C">
      <w:pPr>
        <w:pStyle w:val="ListParagraph"/>
        <w:ind w:left="1080"/>
        <w:rPr>
          <w:rFonts w:ascii="Times New Roman" w:hAnsi="Times New Roman" w:cs="Times New Roman"/>
          <w:sz w:val="24"/>
          <w:szCs w:val="24"/>
        </w:rPr>
      </w:pPr>
    </w:p>
    <w:p w:rsidR="00EC26D7" w:rsidRPr="00E430C1" w:rsidRDefault="008652A9" w:rsidP="0000089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However, </w:t>
      </w:r>
      <w:r w:rsidR="00A45E28" w:rsidRPr="00E430C1">
        <w:rPr>
          <w:rFonts w:ascii="Times New Roman" w:hAnsi="Times New Roman" w:cs="Times New Roman"/>
          <w:sz w:val="24"/>
          <w:szCs w:val="24"/>
        </w:rPr>
        <w:t xml:space="preserve">Avista’s net-to-gross adjustment </w:t>
      </w:r>
      <w:r w:rsidR="00EF23C0">
        <w:rPr>
          <w:rFonts w:ascii="Times New Roman" w:hAnsi="Times New Roman" w:cs="Times New Roman"/>
          <w:sz w:val="24"/>
          <w:szCs w:val="24"/>
        </w:rPr>
        <w:t>may</w:t>
      </w:r>
      <w:r w:rsidR="003D5AD0">
        <w:rPr>
          <w:rFonts w:ascii="Times New Roman" w:hAnsi="Times New Roman" w:cs="Times New Roman"/>
          <w:sz w:val="24"/>
          <w:szCs w:val="24"/>
        </w:rPr>
        <w:t xml:space="preserve"> not </w:t>
      </w:r>
      <w:r w:rsidR="00A45E28" w:rsidRPr="00E430C1">
        <w:rPr>
          <w:rFonts w:ascii="Times New Roman" w:hAnsi="Times New Roman" w:cs="Times New Roman"/>
          <w:sz w:val="24"/>
          <w:szCs w:val="24"/>
        </w:rPr>
        <w:t>align neatly with the Council’s ad</w:t>
      </w:r>
      <w:r w:rsidR="003F617F">
        <w:rPr>
          <w:rFonts w:ascii="Times New Roman" w:hAnsi="Times New Roman" w:cs="Times New Roman"/>
          <w:sz w:val="24"/>
          <w:szCs w:val="24"/>
        </w:rPr>
        <w:t xml:space="preserve">justed market baseline, nor is </w:t>
      </w:r>
      <w:r w:rsidR="00A45E28" w:rsidRPr="00E430C1">
        <w:rPr>
          <w:rFonts w:ascii="Times New Roman" w:hAnsi="Times New Roman" w:cs="Times New Roman"/>
          <w:sz w:val="24"/>
          <w:szCs w:val="24"/>
        </w:rPr>
        <w:t>broad consensus that spillover and free riders have been reasonably quantified</w:t>
      </w:r>
      <w:r w:rsidR="002338A7" w:rsidRPr="00E430C1">
        <w:rPr>
          <w:rFonts w:ascii="Times New Roman" w:hAnsi="Times New Roman" w:cs="Times New Roman"/>
          <w:sz w:val="24"/>
          <w:szCs w:val="24"/>
        </w:rPr>
        <w:t xml:space="preserve"> for measures within Avista’s service territory</w:t>
      </w:r>
      <w:r w:rsidR="00A45E28" w:rsidRPr="00E430C1">
        <w:rPr>
          <w:rFonts w:ascii="Times New Roman" w:hAnsi="Times New Roman" w:cs="Times New Roman"/>
          <w:sz w:val="24"/>
          <w:szCs w:val="24"/>
        </w:rPr>
        <w:t xml:space="preserve">. </w:t>
      </w:r>
      <w:r w:rsidR="002338A7" w:rsidRPr="00E430C1">
        <w:rPr>
          <w:rFonts w:ascii="Times New Roman" w:hAnsi="Times New Roman" w:cs="Times New Roman"/>
          <w:sz w:val="24"/>
          <w:szCs w:val="24"/>
        </w:rPr>
        <w:t>Avista</w:t>
      </w:r>
      <w:r w:rsidR="003D5AD0">
        <w:rPr>
          <w:rFonts w:ascii="Times New Roman" w:hAnsi="Times New Roman" w:cs="Times New Roman"/>
          <w:sz w:val="24"/>
          <w:szCs w:val="24"/>
        </w:rPr>
        <w:t xml:space="preserve"> </w:t>
      </w:r>
      <w:r w:rsidR="00EF23C0">
        <w:rPr>
          <w:rFonts w:ascii="Times New Roman" w:hAnsi="Times New Roman" w:cs="Times New Roman"/>
          <w:sz w:val="24"/>
          <w:szCs w:val="24"/>
        </w:rPr>
        <w:t xml:space="preserve">may </w:t>
      </w:r>
      <w:r w:rsidR="002338A7" w:rsidRPr="00E430C1">
        <w:rPr>
          <w:rFonts w:ascii="Times New Roman" w:hAnsi="Times New Roman" w:cs="Times New Roman"/>
          <w:sz w:val="24"/>
          <w:szCs w:val="24"/>
        </w:rPr>
        <w:t>continue planning on a net-TRC basis, but</w:t>
      </w:r>
      <w:r w:rsidR="00A45E28" w:rsidRPr="00E430C1">
        <w:rPr>
          <w:rFonts w:ascii="Times New Roman" w:hAnsi="Times New Roman" w:cs="Times New Roman"/>
          <w:sz w:val="24"/>
          <w:szCs w:val="24"/>
        </w:rPr>
        <w:t xml:space="preserve"> this conversation</w:t>
      </w:r>
      <w:r w:rsidR="003D5AD0">
        <w:rPr>
          <w:rFonts w:ascii="Times New Roman" w:hAnsi="Times New Roman" w:cs="Times New Roman"/>
          <w:sz w:val="24"/>
          <w:szCs w:val="24"/>
        </w:rPr>
        <w:t xml:space="preserve"> should</w:t>
      </w:r>
      <w:r w:rsidR="00A45E28" w:rsidRPr="00E430C1">
        <w:rPr>
          <w:rFonts w:ascii="Times New Roman" w:hAnsi="Times New Roman" w:cs="Times New Roman"/>
          <w:sz w:val="24"/>
          <w:szCs w:val="24"/>
        </w:rPr>
        <w:t xml:space="preserve"> be taken up again by the Advisory Group in the coming year </w:t>
      </w:r>
      <w:r w:rsidR="002338A7" w:rsidRPr="00E430C1">
        <w:rPr>
          <w:rFonts w:ascii="Times New Roman" w:hAnsi="Times New Roman" w:cs="Times New Roman"/>
          <w:sz w:val="24"/>
          <w:szCs w:val="24"/>
        </w:rPr>
        <w:t xml:space="preserve">and </w:t>
      </w:r>
      <w:r w:rsidR="00A45E28" w:rsidRPr="00E430C1">
        <w:rPr>
          <w:rFonts w:ascii="Times New Roman" w:hAnsi="Times New Roman" w:cs="Times New Roman"/>
          <w:sz w:val="24"/>
          <w:szCs w:val="24"/>
        </w:rPr>
        <w:t>with the input from one o</w:t>
      </w:r>
      <w:r w:rsidR="002338A7" w:rsidRPr="00E430C1">
        <w:rPr>
          <w:rFonts w:ascii="Times New Roman" w:hAnsi="Times New Roman" w:cs="Times New Roman"/>
          <w:sz w:val="24"/>
          <w:szCs w:val="24"/>
        </w:rPr>
        <w:t>r more members of the Council. Avista</w:t>
      </w:r>
      <w:r w:rsidR="003D5AD0">
        <w:rPr>
          <w:rFonts w:ascii="Times New Roman" w:hAnsi="Times New Roman" w:cs="Times New Roman"/>
          <w:sz w:val="24"/>
          <w:szCs w:val="24"/>
        </w:rPr>
        <w:t xml:space="preserve"> should</w:t>
      </w:r>
      <w:r w:rsidR="002338A7" w:rsidRPr="00E430C1">
        <w:rPr>
          <w:rFonts w:ascii="Times New Roman" w:hAnsi="Times New Roman" w:cs="Times New Roman"/>
          <w:sz w:val="24"/>
          <w:szCs w:val="24"/>
        </w:rPr>
        <w:t xml:space="preserve"> continue</w:t>
      </w:r>
      <w:r w:rsidR="00A45E28" w:rsidRPr="00E430C1">
        <w:rPr>
          <w:rFonts w:ascii="Times New Roman" w:hAnsi="Times New Roman" w:cs="Times New Roman"/>
          <w:sz w:val="24"/>
          <w:szCs w:val="24"/>
        </w:rPr>
        <w:t xml:space="preserve"> </w:t>
      </w:r>
      <w:r w:rsidR="00007F70" w:rsidRPr="00E430C1">
        <w:rPr>
          <w:rFonts w:ascii="Times New Roman" w:hAnsi="Times New Roman" w:cs="Times New Roman"/>
          <w:sz w:val="24"/>
          <w:szCs w:val="24"/>
        </w:rPr>
        <w:t xml:space="preserve">to </w:t>
      </w:r>
      <w:r w:rsidR="00A45E28" w:rsidRPr="00E430C1">
        <w:rPr>
          <w:rFonts w:ascii="Times New Roman" w:hAnsi="Times New Roman" w:cs="Times New Roman"/>
          <w:sz w:val="24"/>
          <w:szCs w:val="24"/>
        </w:rPr>
        <w:t xml:space="preserve">report acquisition </w:t>
      </w:r>
      <w:r w:rsidR="002338A7" w:rsidRPr="00E430C1">
        <w:rPr>
          <w:rFonts w:ascii="Times New Roman" w:hAnsi="Times New Roman" w:cs="Times New Roman"/>
          <w:sz w:val="24"/>
          <w:szCs w:val="24"/>
        </w:rPr>
        <w:t xml:space="preserve">cost effectiveness </w:t>
      </w:r>
      <w:r w:rsidR="00A45E28" w:rsidRPr="00E430C1">
        <w:rPr>
          <w:rFonts w:ascii="Times New Roman" w:hAnsi="Times New Roman" w:cs="Times New Roman"/>
          <w:sz w:val="24"/>
          <w:szCs w:val="24"/>
        </w:rPr>
        <w:t>using a gross TRC</w:t>
      </w:r>
      <w:r w:rsidR="002338A7" w:rsidRPr="00E430C1">
        <w:rPr>
          <w:rFonts w:ascii="Times New Roman" w:hAnsi="Times New Roman" w:cs="Times New Roman"/>
          <w:sz w:val="24"/>
          <w:szCs w:val="24"/>
        </w:rPr>
        <w:t xml:space="preserve"> test.</w:t>
      </w:r>
    </w:p>
    <w:p w:rsidR="00B4524B" w:rsidRPr="00E430C1" w:rsidRDefault="00B4524B" w:rsidP="007327FB">
      <w:pPr>
        <w:rPr>
          <w:rFonts w:ascii="Times New Roman" w:hAnsi="Times New Roman" w:cs="Times New Roman"/>
          <w:b/>
          <w:sz w:val="24"/>
          <w:szCs w:val="24"/>
        </w:rPr>
      </w:pPr>
    </w:p>
    <w:p w:rsidR="007327FB" w:rsidRPr="00E430C1" w:rsidRDefault="007327FB" w:rsidP="00E36B70">
      <w:pPr>
        <w:pStyle w:val="Heading2"/>
      </w:pPr>
      <w:bookmarkStart w:id="17" w:name="_Toc373834560"/>
      <w:r w:rsidRPr="00E430C1">
        <w:t>PacifiCorp</w:t>
      </w:r>
      <w:bookmarkEnd w:id="17"/>
    </w:p>
    <w:p w:rsidR="007327FB" w:rsidRPr="00E430C1" w:rsidRDefault="007327FB" w:rsidP="007327FB">
      <w:pPr>
        <w:rPr>
          <w:rFonts w:ascii="Times New Roman" w:hAnsi="Times New Roman" w:cs="Times New Roman"/>
          <w:b/>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 xml:space="preserve">PacifiCorp’s 2013 Integrated Resource Plan (IRP) identified an initial 10-year conservation potential of 313,880 MWh (35.8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 in its Washington territory.</w:t>
      </w:r>
      <w:r w:rsidRPr="00E430C1">
        <w:rPr>
          <w:rStyle w:val="FootnoteReference"/>
          <w:rFonts w:ascii="Times New Roman" w:hAnsi="Times New Roman" w:cs="Times New Roman"/>
          <w:sz w:val="24"/>
          <w:szCs w:val="24"/>
        </w:rPr>
        <w:footnoteReference w:id="23"/>
      </w:r>
      <w:r w:rsidRPr="00E430C1">
        <w:rPr>
          <w:rFonts w:ascii="Times New Roman" w:hAnsi="Times New Roman" w:cs="Times New Roman"/>
          <w:sz w:val="24"/>
          <w:szCs w:val="24"/>
        </w:rPr>
        <w:t xml:space="preserve"> In preparing the 2014-2023 conservation forecast, the </w:t>
      </w:r>
      <w:r w:rsidR="006F1F10">
        <w:rPr>
          <w:rFonts w:ascii="Times New Roman" w:hAnsi="Times New Roman" w:cs="Times New Roman"/>
          <w:sz w:val="24"/>
          <w:szCs w:val="24"/>
        </w:rPr>
        <w:t>c</w:t>
      </w:r>
      <w:r w:rsidR="006F1F10" w:rsidRPr="00E430C1">
        <w:rPr>
          <w:rFonts w:ascii="Times New Roman" w:hAnsi="Times New Roman" w:cs="Times New Roman"/>
          <w:sz w:val="24"/>
          <w:szCs w:val="24"/>
        </w:rPr>
        <w:t xml:space="preserve">ompany </w:t>
      </w:r>
      <w:r w:rsidRPr="00E430C1">
        <w:rPr>
          <w:rFonts w:ascii="Times New Roman" w:hAnsi="Times New Roman" w:cs="Times New Roman"/>
          <w:sz w:val="24"/>
          <w:szCs w:val="24"/>
        </w:rPr>
        <w:t xml:space="preserve">made a number of adjustments that fall into three general categories: </w:t>
      </w:r>
      <w:r w:rsidR="002E5687" w:rsidRPr="00E430C1">
        <w:rPr>
          <w:rFonts w:ascii="Times New Roman" w:hAnsi="Times New Roman" w:cs="Times New Roman"/>
          <w:sz w:val="24"/>
          <w:szCs w:val="24"/>
        </w:rPr>
        <w:t>revised UES values</w:t>
      </w:r>
      <w:r w:rsidRPr="00E430C1">
        <w:rPr>
          <w:rFonts w:ascii="Times New Roman" w:hAnsi="Times New Roman" w:cs="Times New Roman"/>
          <w:sz w:val="24"/>
          <w:szCs w:val="24"/>
        </w:rPr>
        <w:t xml:space="preserve"> based on RTF updates or company program evaluations, the Home Energy Reports program (which was not included in the CPA), and conservation opportunities in production facilities that were assessed in another study</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On net, these adjustments increased the 10-year conservation forecast to </w:t>
      </w:r>
      <w:r w:rsidR="003A29F3" w:rsidRPr="00E430C1">
        <w:rPr>
          <w:rFonts w:ascii="Times New Roman" w:hAnsi="Times New Roman" w:cs="Times New Roman"/>
          <w:sz w:val="24"/>
          <w:szCs w:val="24"/>
        </w:rPr>
        <w:t>391,77</w:t>
      </w:r>
      <w:r w:rsidRPr="00E430C1">
        <w:rPr>
          <w:rFonts w:ascii="Times New Roman" w:hAnsi="Times New Roman" w:cs="Times New Roman"/>
          <w:sz w:val="24"/>
          <w:szCs w:val="24"/>
        </w:rPr>
        <w:t xml:space="preserve">7 </w:t>
      </w:r>
      <w:r w:rsidR="003A29F3" w:rsidRPr="00E430C1">
        <w:rPr>
          <w:rFonts w:ascii="Times New Roman" w:hAnsi="Times New Roman" w:cs="Times New Roman"/>
          <w:sz w:val="24"/>
          <w:szCs w:val="24"/>
        </w:rPr>
        <w:t>MWh (</w:t>
      </w:r>
      <w:r w:rsidRPr="00E430C1">
        <w:rPr>
          <w:rFonts w:ascii="Times New Roman" w:hAnsi="Times New Roman" w:cs="Times New Roman"/>
          <w:sz w:val="24"/>
          <w:szCs w:val="24"/>
        </w:rPr>
        <w:t>44.</w:t>
      </w:r>
      <w:r w:rsidR="003A29F3" w:rsidRPr="00E430C1">
        <w:rPr>
          <w:rFonts w:ascii="Times New Roman" w:hAnsi="Times New Roman" w:cs="Times New Roman"/>
          <w:sz w:val="24"/>
          <w:szCs w:val="24"/>
        </w:rPr>
        <w:t>7</w:t>
      </w:r>
      <w:r w:rsidRPr="00E430C1">
        <w:rPr>
          <w:rFonts w:ascii="Times New Roman" w:hAnsi="Times New Roman" w:cs="Times New Roman"/>
          <w:sz w:val="24"/>
          <w:szCs w:val="24"/>
        </w:rPr>
        <w:t xml:space="preserve">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r w:rsidRPr="00E430C1">
        <w:rPr>
          <w:rStyle w:val="FootnoteReference"/>
          <w:rFonts w:ascii="Times New Roman" w:hAnsi="Times New Roman" w:cs="Times New Roman"/>
          <w:sz w:val="24"/>
          <w:szCs w:val="24"/>
        </w:rPr>
        <w:footnoteReference w:id="24"/>
      </w:r>
    </w:p>
    <w:p w:rsidR="00301833" w:rsidRPr="00E430C1" w:rsidRDefault="00301833"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Virtually all of the conservation PacifiCorp identified was in the energy efficiency category</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No potential was identified in distribution efficiency, where the most common approach to achieving efficiency gains is conservation voltage reduction (reducing the flow</w:t>
      </w:r>
      <w:r w:rsidR="003A29F3" w:rsidRPr="00E430C1">
        <w:rPr>
          <w:rFonts w:ascii="Times New Roman" w:hAnsi="Times New Roman" w:cs="Times New Roman"/>
          <w:sz w:val="24"/>
          <w:szCs w:val="24"/>
        </w:rPr>
        <w:t xml:space="preserve"> of electricity on distribution </w:t>
      </w:r>
      <w:r w:rsidRPr="00E430C1">
        <w:rPr>
          <w:rFonts w:ascii="Times New Roman" w:hAnsi="Times New Roman" w:cs="Times New Roman"/>
          <w:sz w:val="24"/>
          <w:szCs w:val="24"/>
        </w:rPr>
        <w:t>lines, thereby reducing friction and line losses)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PacifiCorp, however, already operates its distribution system at a relatively low voltage</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w:t>
      </w:r>
      <w:r w:rsidR="006F1F10">
        <w:rPr>
          <w:rFonts w:ascii="Times New Roman" w:hAnsi="Times New Roman" w:cs="Times New Roman"/>
          <w:sz w:val="24"/>
          <w:szCs w:val="24"/>
        </w:rPr>
        <w:t>c</w:t>
      </w:r>
      <w:r w:rsidR="006F1F10" w:rsidRPr="00E430C1">
        <w:rPr>
          <w:rFonts w:ascii="Times New Roman" w:hAnsi="Times New Roman" w:cs="Times New Roman"/>
          <w:sz w:val="24"/>
          <w:szCs w:val="24"/>
        </w:rPr>
        <w:t xml:space="preserve">ompany </w:t>
      </w:r>
      <w:r w:rsidRPr="00E430C1">
        <w:rPr>
          <w:rFonts w:ascii="Times New Roman" w:hAnsi="Times New Roman" w:cs="Times New Roman"/>
          <w:sz w:val="24"/>
          <w:szCs w:val="24"/>
        </w:rPr>
        <w:t>conducted two pilot projects on Washington circuits in the current biennium to evaluate the potential for additional voltage reduction, but found that incremental efficiency gains were difficult to achieve and not cost-effective.</w:t>
      </w:r>
      <w:r w:rsidRPr="00E430C1">
        <w:rPr>
          <w:rStyle w:val="FootnoteReference"/>
          <w:rFonts w:ascii="Times New Roman" w:hAnsi="Times New Roman" w:cs="Times New Roman"/>
          <w:sz w:val="24"/>
          <w:szCs w:val="24"/>
        </w:rPr>
        <w:footnoteReference w:id="25"/>
      </w:r>
      <w:r w:rsidR="002D277B">
        <w:rPr>
          <w:rFonts w:ascii="Times New Roman" w:hAnsi="Times New Roman" w:cs="Times New Roman"/>
          <w:sz w:val="24"/>
          <w:szCs w:val="24"/>
        </w:rPr>
        <w:t xml:space="preserve">  </w:t>
      </w:r>
    </w:p>
    <w:p w:rsidR="00301833" w:rsidRPr="00E430C1" w:rsidRDefault="00301833" w:rsidP="00301833">
      <w:pPr>
        <w:rPr>
          <w:rFonts w:ascii="Times New Roman" w:hAnsi="Times New Roman" w:cs="Times New Roman"/>
          <w:sz w:val="24"/>
          <w:szCs w:val="24"/>
        </w:rPr>
      </w:pPr>
    </w:p>
    <w:p w:rsidR="002525C6"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PacifiCorp identified a small amount, up to 590 MWh, of production efficiency potential</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The potential gains are at jointly owned facilities, so the Company will need to obtain agreement from its counterparty at each facility before moving forward</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For that reason, PacifiCorp has assigned a range of 0-590 MWh for its production efficiency potential.</w:t>
      </w:r>
      <w:r w:rsidRPr="00E430C1">
        <w:rPr>
          <w:rStyle w:val="FootnoteReference"/>
          <w:rFonts w:ascii="Times New Roman" w:hAnsi="Times New Roman" w:cs="Times New Roman"/>
          <w:sz w:val="24"/>
          <w:szCs w:val="24"/>
        </w:rPr>
        <w:footnoteReference w:id="26"/>
      </w:r>
      <w:r w:rsidRPr="00E430C1">
        <w:rPr>
          <w:rFonts w:ascii="Times New Roman" w:hAnsi="Times New Roman" w:cs="Times New Roman"/>
          <w:sz w:val="24"/>
          <w:szCs w:val="24"/>
        </w:rPr>
        <w:t xml:space="preserve">  </w:t>
      </w:r>
      <w:r w:rsidR="008652A9">
        <w:rPr>
          <w:rFonts w:ascii="Times New Roman" w:hAnsi="Times New Roman" w:cs="Times New Roman"/>
          <w:sz w:val="24"/>
          <w:szCs w:val="24"/>
        </w:rPr>
        <w:t>The</w:t>
      </w:r>
      <w:r w:rsidR="006F1F10">
        <w:rPr>
          <w:rFonts w:ascii="Times New Roman" w:hAnsi="Times New Roman" w:cs="Times New Roman"/>
          <w:sz w:val="24"/>
          <w:szCs w:val="24"/>
        </w:rPr>
        <w:t xml:space="preserve"> company</w:t>
      </w:r>
      <w:r w:rsidR="003A29F3" w:rsidRPr="00E430C1">
        <w:rPr>
          <w:rFonts w:ascii="Times New Roman" w:hAnsi="Times New Roman" w:cs="Times New Roman"/>
          <w:sz w:val="24"/>
          <w:szCs w:val="24"/>
        </w:rPr>
        <w:t xml:space="preserve"> has applied that range to both its 10-year potential and two-year conservation target, resulting in a potential of 391,187 – 391,777 MWh and a target of 74,703 – 74,719 MWh. </w:t>
      </w:r>
    </w:p>
    <w:p w:rsidR="002525C6" w:rsidRPr="00E430C1" w:rsidRDefault="002525C6"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WAC 480-109-010(2</w:t>
      </w:r>
      <w:proofErr w:type="gramStart"/>
      <w:r w:rsidRPr="00E430C1">
        <w:rPr>
          <w:rFonts w:ascii="Times New Roman" w:hAnsi="Times New Roman" w:cs="Times New Roman"/>
          <w:sz w:val="24"/>
          <w:szCs w:val="24"/>
        </w:rPr>
        <w:t>)(</w:t>
      </w:r>
      <w:proofErr w:type="gramEnd"/>
      <w:r w:rsidRPr="00E430C1">
        <w:rPr>
          <w:rFonts w:ascii="Times New Roman" w:hAnsi="Times New Roman" w:cs="Times New Roman"/>
          <w:sz w:val="24"/>
          <w:szCs w:val="24"/>
        </w:rPr>
        <w:t>c) allows utilities to use ranges in their targets</w:t>
      </w:r>
      <w:r w:rsidR="00D928D8">
        <w:rPr>
          <w:rFonts w:ascii="Times New Roman" w:hAnsi="Times New Roman" w:cs="Times New Roman"/>
          <w:sz w:val="24"/>
          <w:szCs w:val="24"/>
        </w:rPr>
        <w:t>, not their 10-year potential</w:t>
      </w:r>
      <w:r w:rsidR="003A29F3" w:rsidRPr="00E430C1">
        <w:rPr>
          <w:rFonts w:ascii="Times New Roman" w:hAnsi="Times New Roman" w:cs="Times New Roman"/>
          <w:sz w:val="24"/>
          <w:szCs w:val="24"/>
        </w:rPr>
        <w:t xml:space="preserve">. </w:t>
      </w:r>
      <w:r w:rsidR="003D5AD0">
        <w:rPr>
          <w:rFonts w:ascii="Times New Roman" w:hAnsi="Times New Roman" w:cs="Times New Roman"/>
          <w:sz w:val="24"/>
          <w:szCs w:val="24"/>
        </w:rPr>
        <w:t>In practice, however</w:t>
      </w:r>
      <w:r w:rsidR="003A29F3" w:rsidRPr="00E430C1">
        <w:rPr>
          <w:rFonts w:ascii="Times New Roman" w:hAnsi="Times New Roman" w:cs="Times New Roman"/>
          <w:sz w:val="24"/>
          <w:szCs w:val="24"/>
        </w:rPr>
        <w:t>, if the Commission approves PacifiCorp’s proposed conservation target of 74,703 – 74,719</w:t>
      </w:r>
      <w:r w:rsidR="002525C6" w:rsidRPr="00E430C1">
        <w:rPr>
          <w:rFonts w:ascii="Times New Roman" w:hAnsi="Times New Roman" w:cs="Times New Roman"/>
          <w:sz w:val="24"/>
          <w:szCs w:val="24"/>
        </w:rPr>
        <w:t xml:space="preserve"> MWh</w:t>
      </w:r>
      <w:r w:rsidR="003A29F3" w:rsidRPr="00E430C1">
        <w:rPr>
          <w:rFonts w:ascii="Times New Roman" w:hAnsi="Times New Roman" w:cs="Times New Roman"/>
          <w:sz w:val="24"/>
          <w:szCs w:val="24"/>
        </w:rPr>
        <w:t xml:space="preserve">, the </w:t>
      </w:r>
      <w:r w:rsidR="003D5AD0">
        <w:rPr>
          <w:rFonts w:ascii="Times New Roman" w:hAnsi="Times New Roman" w:cs="Times New Roman"/>
          <w:sz w:val="24"/>
          <w:szCs w:val="24"/>
        </w:rPr>
        <w:t>c</w:t>
      </w:r>
      <w:r w:rsidR="003D5AD0" w:rsidRPr="00E430C1">
        <w:rPr>
          <w:rFonts w:ascii="Times New Roman" w:hAnsi="Times New Roman" w:cs="Times New Roman"/>
          <w:sz w:val="24"/>
          <w:szCs w:val="24"/>
        </w:rPr>
        <w:t xml:space="preserve">ompany </w:t>
      </w:r>
      <w:r w:rsidR="003A29F3" w:rsidRPr="00E430C1">
        <w:rPr>
          <w:rFonts w:ascii="Times New Roman" w:hAnsi="Times New Roman" w:cs="Times New Roman"/>
          <w:sz w:val="24"/>
          <w:szCs w:val="24"/>
        </w:rPr>
        <w:t>will only need</w:t>
      </w:r>
      <w:r w:rsidR="002525C6" w:rsidRPr="00E430C1">
        <w:rPr>
          <w:rFonts w:ascii="Times New Roman" w:hAnsi="Times New Roman" w:cs="Times New Roman"/>
          <w:sz w:val="24"/>
          <w:szCs w:val="24"/>
        </w:rPr>
        <w:t xml:space="preserve"> to achieve the low end of the range to be in compliance</w:t>
      </w:r>
      <w:r w:rsidR="004A6003" w:rsidRPr="00E430C1">
        <w:rPr>
          <w:rFonts w:ascii="Times New Roman" w:hAnsi="Times New Roman" w:cs="Times New Roman"/>
          <w:sz w:val="24"/>
          <w:szCs w:val="24"/>
        </w:rPr>
        <w:t xml:space="preserve">; </w:t>
      </w:r>
      <w:r w:rsidR="002525C6" w:rsidRPr="00E430C1">
        <w:rPr>
          <w:rFonts w:ascii="Times New Roman" w:hAnsi="Times New Roman" w:cs="Times New Roman"/>
          <w:sz w:val="24"/>
          <w:szCs w:val="24"/>
        </w:rPr>
        <w:t xml:space="preserve">the high end </w:t>
      </w:r>
      <w:r w:rsidR="004A6003" w:rsidRPr="00E430C1">
        <w:rPr>
          <w:rFonts w:ascii="Times New Roman" w:hAnsi="Times New Roman" w:cs="Times New Roman"/>
          <w:sz w:val="24"/>
          <w:szCs w:val="24"/>
        </w:rPr>
        <w:t>is</w:t>
      </w:r>
      <w:r w:rsidR="00167AE1" w:rsidRPr="00E430C1">
        <w:rPr>
          <w:rFonts w:ascii="Times New Roman" w:hAnsi="Times New Roman" w:cs="Times New Roman"/>
          <w:sz w:val="24"/>
          <w:szCs w:val="24"/>
        </w:rPr>
        <w:t xml:space="preserve"> irrelevant. </w:t>
      </w:r>
      <w:r w:rsidR="003D5AD0">
        <w:rPr>
          <w:rFonts w:ascii="Times New Roman" w:hAnsi="Times New Roman" w:cs="Times New Roman"/>
          <w:sz w:val="24"/>
          <w:szCs w:val="24"/>
        </w:rPr>
        <w:t>The</w:t>
      </w:r>
      <w:r w:rsidR="002525C6" w:rsidRPr="00E430C1">
        <w:rPr>
          <w:rFonts w:ascii="Times New Roman" w:hAnsi="Times New Roman" w:cs="Times New Roman"/>
          <w:sz w:val="24"/>
          <w:szCs w:val="24"/>
        </w:rPr>
        <w:t xml:space="preserve"> rationale behind </w:t>
      </w:r>
      <w:r w:rsidR="00B92DB8" w:rsidRPr="00E430C1">
        <w:rPr>
          <w:rFonts w:ascii="Times New Roman" w:hAnsi="Times New Roman" w:cs="Times New Roman"/>
          <w:sz w:val="24"/>
          <w:szCs w:val="24"/>
        </w:rPr>
        <w:t xml:space="preserve">PacifiCorp’s use of a range in </w:t>
      </w:r>
      <w:r w:rsidR="00D928D8">
        <w:rPr>
          <w:rFonts w:ascii="Times New Roman" w:hAnsi="Times New Roman" w:cs="Times New Roman"/>
          <w:sz w:val="24"/>
          <w:szCs w:val="24"/>
        </w:rPr>
        <w:t>its target</w:t>
      </w:r>
      <w:r w:rsidR="003D5AD0">
        <w:rPr>
          <w:rFonts w:ascii="Times New Roman" w:hAnsi="Times New Roman" w:cs="Times New Roman"/>
          <w:sz w:val="24"/>
          <w:szCs w:val="24"/>
        </w:rPr>
        <w:t xml:space="preserve"> seems reasonable</w:t>
      </w:r>
      <w:r w:rsidR="00B92DB8" w:rsidRPr="00E430C1">
        <w:rPr>
          <w:rFonts w:ascii="Times New Roman" w:hAnsi="Times New Roman" w:cs="Times New Roman"/>
          <w:sz w:val="24"/>
          <w:szCs w:val="24"/>
        </w:rPr>
        <w:t xml:space="preserve">, </w:t>
      </w:r>
      <w:r w:rsidR="002525C6" w:rsidRPr="00E430C1">
        <w:rPr>
          <w:rFonts w:ascii="Times New Roman" w:hAnsi="Times New Roman" w:cs="Times New Roman"/>
          <w:sz w:val="24"/>
          <w:szCs w:val="24"/>
        </w:rPr>
        <w:t xml:space="preserve">given that </w:t>
      </w:r>
      <w:r w:rsidR="001D03CB" w:rsidRPr="00E430C1">
        <w:rPr>
          <w:rFonts w:ascii="Times New Roman" w:hAnsi="Times New Roman" w:cs="Times New Roman"/>
          <w:sz w:val="24"/>
          <w:szCs w:val="24"/>
        </w:rPr>
        <w:t xml:space="preserve">the </w:t>
      </w:r>
      <w:r w:rsidR="006F1F10">
        <w:rPr>
          <w:rFonts w:ascii="Times New Roman" w:hAnsi="Times New Roman" w:cs="Times New Roman"/>
          <w:sz w:val="24"/>
          <w:szCs w:val="24"/>
        </w:rPr>
        <w:t>company</w:t>
      </w:r>
      <w:r w:rsidR="001D03CB" w:rsidRPr="00E430C1">
        <w:rPr>
          <w:rFonts w:ascii="Times New Roman" w:hAnsi="Times New Roman" w:cs="Times New Roman"/>
          <w:sz w:val="24"/>
          <w:szCs w:val="24"/>
        </w:rPr>
        <w:t>’s ability to achieve the production efficiency</w:t>
      </w:r>
      <w:r w:rsidR="00167AE1" w:rsidRPr="00E430C1">
        <w:rPr>
          <w:rFonts w:ascii="Times New Roman" w:hAnsi="Times New Roman" w:cs="Times New Roman"/>
          <w:sz w:val="24"/>
          <w:szCs w:val="24"/>
        </w:rPr>
        <w:t xml:space="preserve"> gains depends on a third party</w:t>
      </w:r>
      <w:r w:rsidR="00E430C1">
        <w:rPr>
          <w:rFonts w:ascii="Times New Roman" w:hAnsi="Times New Roman" w:cs="Times New Roman"/>
          <w:sz w:val="24"/>
          <w:szCs w:val="24"/>
        </w:rPr>
        <w:t xml:space="preserve">. </w:t>
      </w:r>
    </w:p>
    <w:p w:rsidR="00167AE1" w:rsidRPr="00E430C1" w:rsidRDefault="00167AE1" w:rsidP="00301833">
      <w:pPr>
        <w:rPr>
          <w:rFonts w:ascii="Times New Roman" w:hAnsi="Times New Roman" w:cs="Times New Roman"/>
          <w:sz w:val="24"/>
          <w:szCs w:val="24"/>
        </w:rPr>
      </w:pPr>
    </w:p>
    <w:p w:rsidR="00167AE1" w:rsidRPr="00E430C1" w:rsidRDefault="00167AE1" w:rsidP="00301833">
      <w:pPr>
        <w:rPr>
          <w:rFonts w:ascii="Times New Roman" w:hAnsi="Times New Roman" w:cs="Times New Roman"/>
          <w:sz w:val="24"/>
          <w:szCs w:val="24"/>
        </w:rPr>
      </w:pPr>
      <w:r w:rsidRPr="00E430C1">
        <w:rPr>
          <w:rFonts w:ascii="Times New Roman" w:hAnsi="Times New Roman" w:cs="Times New Roman"/>
          <w:sz w:val="24"/>
          <w:szCs w:val="24"/>
        </w:rPr>
        <w:t xml:space="preserve">There are two issues at stake: ensuring that PacifiCorp is not </w:t>
      </w:r>
      <w:r w:rsidR="00D82FF7" w:rsidRPr="00E430C1">
        <w:rPr>
          <w:rFonts w:ascii="Times New Roman" w:hAnsi="Times New Roman" w:cs="Times New Roman"/>
          <w:sz w:val="24"/>
          <w:szCs w:val="24"/>
        </w:rPr>
        <w:t xml:space="preserve">unduly </w:t>
      </w:r>
      <w:r w:rsidRPr="00E430C1">
        <w:rPr>
          <w:rFonts w:ascii="Times New Roman" w:hAnsi="Times New Roman" w:cs="Times New Roman"/>
          <w:sz w:val="24"/>
          <w:szCs w:val="24"/>
        </w:rPr>
        <w:t>held accountable for the actions of third parties and ensuring</w:t>
      </w:r>
      <w:r w:rsidR="002D722B" w:rsidRPr="00E430C1">
        <w:rPr>
          <w:rFonts w:ascii="Times New Roman" w:hAnsi="Times New Roman" w:cs="Times New Roman"/>
          <w:sz w:val="24"/>
          <w:szCs w:val="24"/>
        </w:rPr>
        <w:t xml:space="preserve"> that</w:t>
      </w:r>
      <w:r w:rsidRPr="00E430C1">
        <w:rPr>
          <w:rFonts w:ascii="Times New Roman" w:hAnsi="Times New Roman" w:cs="Times New Roman"/>
          <w:sz w:val="24"/>
          <w:szCs w:val="24"/>
        </w:rPr>
        <w:t xml:space="preserve"> the </w:t>
      </w:r>
      <w:r w:rsidR="006F1F10">
        <w:rPr>
          <w:rFonts w:ascii="Times New Roman" w:hAnsi="Times New Roman" w:cs="Times New Roman"/>
          <w:sz w:val="24"/>
          <w:szCs w:val="24"/>
        </w:rPr>
        <w:t>company</w:t>
      </w:r>
      <w:r w:rsidRPr="00E430C1">
        <w:rPr>
          <w:rFonts w:ascii="Times New Roman" w:hAnsi="Times New Roman" w:cs="Times New Roman"/>
          <w:sz w:val="24"/>
          <w:szCs w:val="24"/>
        </w:rPr>
        <w:t xml:space="preserve"> remains properly incentivized to pursue all </w:t>
      </w:r>
      <w:r w:rsidR="004A6003" w:rsidRPr="00E430C1">
        <w:rPr>
          <w:rFonts w:ascii="Times New Roman" w:hAnsi="Times New Roman" w:cs="Times New Roman"/>
          <w:sz w:val="24"/>
          <w:szCs w:val="24"/>
        </w:rPr>
        <w:t>viable</w:t>
      </w:r>
      <w:r w:rsidRPr="00E430C1">
        <w:rPr>
          <w:rFonts w:ascii="Times New Roman" w:hAnsi="Times New Roman" w:cs="Times New Roman"/>
          <w:sz w:val="24"/>
          <w:szCs w:val="24"/>
        </w:rPr>
        <w:t xml:space="preserve"> conservation. </w:t>
      </w:r>
      <w:r w:rsidR="00BB3F97">
        <w:rPr>
          <w:rFonts w:ascii="Times New Roman" w:hAnsi="Times New Roman" w:cs="Times New Roman"/>
          <w:sz w:val="24"/>
          <w:szCs w:val="24"/>
        </w:rPr>
        <w:t>PacifiCorp’s full</w:t>
      </w:r>
      <w:r w:rsidR="004A6003" w:rsidRPr="00E430C1">
        <w:rPr>
          <w:rFonts w:ascii="Times New Roman" w:hAnsi="Times New Roman" w:cs="Times New Roman"/>
          <w:sz w:val="24"/>
          <w:szCs w:val="24"/>
        </w:rPr>
        <w:t xml:space="preserve"> 10-year potential</w:t>
      </w:r>
      <w:r w:rsidR="00BB3F97">
        <w:rPr>
          <w:rFonts w:ascii="Times New Roman" w:hAnsi="Times New Roman" w:cs="Times New Roman"/>
          <w:sz w:val="24"/>
          <w:szCs w:val="24"/>
        </w:rPr>
        <w:t xml:space="preserve"> is</w:t>
      </w:r>
      <w:r w:rsidR="004A6003" w:rsidRPr="00E430C1">
        <w:rPr>
          <w:rFonts w:ascii="Times New Roman" w:hAnsi="Times New Roman" w:cs="Times New Roman"/>
          <w:sz w:val="24"/>
          <w:szCs w:val="24"/>
        </w:rPr>
        <w:t xml:space="preserve"> 391,</w:t>
      </w:r>
      <w:r w:rsidRPr="00E430C1">
        <w:rPr>
          <w:rFonts w:ascii="Times New Roman" w:hAnsi="Times New Roman" w:cs="Times New Roman"/>
          <w:sz w:val="24"/>
          <w:szCs w:val="24"/>
        </w:rPr>
        <w:t>777 MWh</w:t>
      </w:r>
      <w:r w:rsidR="00BB3F97">
        <w:rPr>
          <w:rFonts w:ascii="Times New Roman" w:hAnsi="Times New Roman" w:cs="Times New Roman"/>
          <w:sz w:val="24"/>
          <w:szCs w:val="24"/>
        </w:rPr>
        <w:t>. Staff could accept</w:t>
      </w:r>
      <w:r w:rsidRPr="00E430C1">
        <w:rPr>
          <w:rFonts w:ascii="Times New Roman" w:hAnsi="Times New Roman" w:cs="Times New Roman"/>
          <w:sz w:val="24"/>
          <w:szCs w:val="24"/>
        </w:rPr>
        <w:t xml:space="preserve"> the low end of the two-year target, 74,703</w:t>
      </w:r>
      <w:r w:rsidR="004A6003" w:rsidRPr="00E430C1">
        <w:rPr>
          <w:rFonts w:ascii="Times New Roman" w:hAnsi="Times New Roman" w:cs="Times New Roman"/>
          <w:sz w:val="24"/>
          <w:szCs w:val="24"/>
        </w:rPr>
        <w:t xml:space="preserve"> MWh</w:t>
      </w:r>
      <w:r w:rsidRPr="00E430C1">
        <w:rPr>
          <w:rFonts w:ascii="Times New Roman" w:hAnsi="Times New Roman" w:cs="Times New Roman"/>
          <w:sz w:val="24"/>
          <w:szCs w:val="24"/>
        </w:rPr>
        <w:t xml:space="preserve">. This </w:t>
      </w:r>
      <w:r w:rsidR="004A6003" w:rsidRPr="00E430C1">
        <w:rPr>
          <w:rFonts w:ascii="Times New Roman" w:hAnsi="Times New Roman" w:cs="Times New Roman"/>
          <w:sz w:val="24"/>
          <w:szCs w:val="24"/>
        </w:rPr>
        <w:t>recognizes production efficiency</w:t>
      </w:r>
      <w:r w:rsidRPr="00E430C1">
        <w:rPr>
          <w:rFonts w:ascii="Times New Roman" w:hAnsi="Times New Roman" w:cs="Times New Roman"/>
          <w:sz w:val="24"/>
          <w:szCs w:val="24"/>
        </w:rPr>
        <w:t xml:space="preserve"> </w:t>
      </w:r>
      <w:r w:rsidR="002D722B" w:rsidRPr="00E430C1">
        <w:rPr>
          <w:rFonts w:ascii="Times New Roman" w:hAnsi="Times New Roman" w:cs="Times New Roman"/>
          <w:sz w:val="24"/>
          <w:szCs w:val="24"/>
        </w:rPr>
        <w:t xml:space="preserve">as a long-term </w:t>
      </w:r>
      <w:r w:rsidR="004A6003" w:rsidRPr="00E430C1">
        <w:rPr>
          <w:rFonts w:ascii="Times New Roman" w:hAnsi="Times New Roman" w:cs="Times New Roman"/>
          <w:sz w:val="24"/>
          <w:szCs w:val="24"/>
        </w:rPr>
        <w:t>conservation</w:t>
      </w:r>
      <w:r w:rsidR="008652A9">
        <w:rPr>
          <w:rFonts w:ascii="Times New Roman" w:hAnsi="Times New Roman" w:cs="Times New Roman"/>
          <w:sz w:val="24"/>
          <w:szCs w:val="24"/>
        </w:rPr>
        <w:t xml:space="preserve"> opportunity and encourages the</w:t>
      </w:r>
      <w:r w:rsidR="006F1F10">
        <w:rPr>
          <w:rFonts w:ascii="Times New Roman" w:hAnsi="Times New Roman" w:cs="Times New Roman"/>
          <w:sz w:val="24"/>
          <w:szCs w:val="24"/>
        </w:rPr>
        <w:t xml:space="preserve"> company</w:t>
      </w:r>
      <w:r w:rsidR="004A6003" w:rsidRPr="00E430C1">
        <w:rPr>
          <w:rFonts w:ascii="Times New Roman" w:hAnsi="Times New Roman" w:cs="Times New Roman"/>
          <w:sz w:val="24"/>
          <w:szCs w:val="24"/>
        </w:rPr>
        <w:t xml:space="preserve"> to pursue it</w:t>
      </w:r>
      <w:r w:rsidRPr="00E430C1">
        <w:rPr>
          <w:rFonts w:ascii="Times New Roman" w:hAnsi="Times New Roman" w:cs="Times New Roman"/>
          <w:sz w:val="24"/>
          <w:szCs w:val="24"/>
        </w:rPr>
        <w:t xml:space="preserve">, but does not bind the </w:t>
      </w:r>
      <w:r w:rsidR="006F1F10">
        <w:rPr>
          <w:rFonts w:ascii="Times New Roman" w:hAnsi="Times New Roman" w:cs="Times New Roman"/>
          <w:sz w:val="24"/>
          <w:szCs w:val="24"/>
        </w:rPr>
        <w:t>company</w:t>
      </w:r>
      <w:r w:rsidRPr="00E430C1">
        <w:rPr>
          <w:rFonts w:ascii="Times New Roman" w:hAnsi="Times New Roman" w:cs="Times New Roman"/>
          <w:sz w:val="24"/>
          <w:szCs w:val="24"/>
        </w:rPr>
        <w:t xml:space="preserve"> to </w:t>
      </w:r>
      <w:r w:rsidR="003D5AD0">
        <w:rPr>
          <w:rFonts w:ascii="Times New Roman" w:hAnsi="Times New Roman" w:cs="Times New Roman"/>
          <w:sz w:val="24"/>
          <w:szCs w:val="24"/>
        </w:rPr>
        <w:t>achieve</w:t>
      </w:r>
      <w:r w:rsidR="00BB3F97">
        <w:rPr>
          <w:rFonts w:ascii="Times New Roman" w:hAnsi="Times New Roman" w:cs="Times New Roman"/>
          <w:sz w:val="24"/>
          <w:szCs w:val="24"/>
        </w:rPr>
        <w:t xml:space="preserve"> these particular</w:t>
      </w:r>
      <w:r w:rsidR="003D5AD0">
        <w:rPr>
          <w:rFonts w:ascii="Times New Roman" w:hAnsi="Times New Roman" w:cs="Times New Roman"/>
          <w:sz w:val="24"/>
          <w:szCs w:val="24"/>
        </w:rPr>
        <w:t xml:space="preserve"> savings</w:t>
      </w:r>
      <w:r w:rsidR="00BB3F97">
        <w:rPr>
          <w:rFonts w:ascii="Times New Roman" w:hAnsi="Times New Roman" w:cs="Times New Roman"/>
          <w:sz w:val="24"/>
          <w:szCs w:val="24"/>
        </w:rPr>
        <w:t xml:space="preserve"> within the next </w:t>
      </w:r>
      <w:r w:rsidR="004A6003" w:rsidRPr="00E430C1">
        <w:rPr>
          <w:rFonts w:ascii="Times New Roman" w:hAnsi="Times New Roman" w:cs="Times New Roman"/>
          <w:sz w:val="24"/>
          <w:szCs w:val="24"/>
        </w:rPr>
        <w:t xml:space="preserve">biennium. </w:t>
      </w:r>
    </w:p>
    <w:p w:rsidR="00301833" w:rsidRPr="00E430C1" w:rsidRDefault="00301833" w:rsidP="00301833">
      <w:pPr>
        <w:rPr>
          <w:rFonts w:ascii="Times New Roman" w:hAnsi="Times New Roman" w:cs="Times New Roman"/>
          <w:sz w:val="24"/>
          <w:szCs w:val="24"/>
        </w:rPr>
      </w:pPr>
    </w:p>
    <w:p w:rsidR="00301833" w:rsidRPr="00E430C1" w:rsidRDefault="004A6003" w:rsidP="00301833">
      <w:pPr>
        <w:rPr>
          <w:rFonts w:ascii="Times New Roman" w:hAnsi="Times New Roman" w:cs="Times New Roman"/>
          <w:sz w:val="24"/>
          <w:szCs w:val="24"/>
        </w:rPr>
      </w:pPr>
      <w:r w:rsidRPr="00E430C1">
        <w:rPr>
          <w:rFonts w:ascii="Times New Roman" w:hAnsi="Times New Roman" w:cs="Times New Roman"/>
          <w:sz w:val="24"/>
          <w:szCs w:val="24"/>
        </w:rPr>
        <w:t>Under this method</w:t>
      </w:r>
      <w:r w:rsidR="00301833" w:rsidRPr="00E430C1">
        <w:rPr>
          <w:rFonts w:ascii="Times New Roman" w:hAnsi="Times New Roman" w:cs="Times New Roman"/>
          <w:sz w:val="24"/>
          <w:szCs w:val="24"/>
        </w:rPr>
        <w:t xml:space="preserve">, PacifiCorp’s achievable potential for the 2014-2015 </w:t>
      </w:r>
      <w:proofErr w:type="gramStart"/>
      <w:r w:rsidR="00301833" w:rsidRPr="00E430C1">
        <w:rPr>
          <w:rFonts w:ascii="Times New Roman" w:hAnsi="Times New Roman" w:cs="Times New Roman"/>
          <w:sz w:val="24"/>
          <w:szCs w:val="24"/>
        </w:rPr>
        <w:t>biennium</w:t>
      </w:r>
      <w:proofErr w:type="gramEnd"/>
      <w:r w:rsidR="00301833" w:rsidRPr="00E430C1">
        <w:rPr>
          <w:rFonts w:ascii="Times New Roman" w:hAnsi="Times New Roman" w:cs="Times New Roman"/>
          <w:sz w:val="24"/>
          <w:szCs w:val="24"/>
        </w:rPr>
        <w:t xml:space="preserve"> is 89,016 MWh</w:t>
      </w:r>
      <w:r w:rsidR="00DD0510" w:rsidRPr="00E430C1">
        <w:rPr>
          <w:rFonts w:ascii="Times New Roman" w:hAnsi="Times New Roman" w:cs="Times New Roman"/>
          <w:sz w:val="24"/>
          <w:szCs w:val="24"/>
        </w:rPr>
        <w:t xml:space="preserve">. </w:t>
      </w:r>
      <w:r w:rsidR="00301833" w:rsidRPr="00E430C1">
        <w:rPr>
          <w:rFonts w:ascii="Times New Roman" w:hAnsi="Times New Roman" w:cs="Times New Roman"/>
          <w:sz w:val="24"/>
          <w:szCs w:val="24"/>
        </w:rPr>
        <w:t>After removin</w:t>
      </w:r>
      <w:r w:rsidR="008652A9">
        <w:rPr>
          <w:rFonts w:ascii="Times New Roman" w:hAnsi="Times New Roman" w:cs="Times New Roman"/>
          <w:sz w:val="24"/>
          <w:szCs w:val="24"/>
        </w:rPr>
        <w:t>g NEEA’s projected savings, the</w:t>
      </w:r>
      <w:r w:rsidR="006F1F10">
        <w:rPr>
          <w:rFonts w:ascii="Times New Roman" w:hAnsi="Times New Roman" w:cs="Times New Roman"/>
          <w:sz w:val="24"/>
          <w:szCs w:val="24"/>
        </w:rPr>
        <w:t xml:space="preserve"> company</w:t>
      </w:r>
      <w:r w:rsidR="00301833" w:rsidRPr="00E430C1">
        <w:rPr>
          <w:rFonts w:ascii="Times New Roman" w:hAnsi="Times New Roman" w:cs="Times New Roman"/>
          <w:sz w:val="24"/>
          <w:szCs w:val="24"/>
        </w:rPr>
        <w:t>’s conservation target is 74,703</w:t>
      </w:r>
      <w:r w:rsidR="008652A9">
        <w:rPr>
          <w:rFonts w:ascii="Times New Roman" w:hAnsi="Times New Roman" w:cs="Times New Roman"/>
          <w:sz w:val="24"/>
          <w:szCs w:val="24"/>
        </w:rPr>
        <w:t xml:space="preserve"> </w:t>
      </w:r>
      <w:r w:rsidR="00301833" w:rsidRPr="00E430C1">
        <w:rPr>
          <w:rFonts w:ascii="Times New Roman" w:hAnsi="Times New Roman" w:cs="Times New Roman"/>
          <w:sz w:val="24"/>
          <w:szCs w:val="24"/>
        </w:rPr>
        <w:t xml:space="preserve">MWh (8.5 </w:t>
      </w:r>
      <w:proofErr w:type="spellStart"/>
      <w:r w:rsidR="00301833" w:rsidRPr="00E430C1">
        <w:rPr>
          <w:rFonts w:ascii="Times New Roman" w:hAnsi="Times New Roman" w:cs="Times New Roman"/>
          <w:sz w:val="24"/>
          <w:szCs w:val="24"/>
        </w:rPr>
        <w:t>aMW</w:t>
      </w:r>
      <w:proofErr w:type="spellEnd"/>
      <w:r w:rsidR="00301833" w:rsidRPr="00E430C1">
        <w:rPr>
          <w:rFonts w:ascii="Times New Roman" w:hAnsi="Times New Roman" w:cs="Times New Roman"/>
          <w:sz w:val="24"/>
          <w:szCs w:val="24"/>
        </w:rPr>
        <w:t>).</w:t>
      </w:r>
      <w:r w:rsidR="00301833" w:rsidRPr="00E430C1">
        <w:rPr>
          <w:rStyle w:val="FootnoteReference"/>
          <w:rFonts w:ascii="Times New Roman" w:hAnsi="Times New Roman" w:cs="Times New Roman"/>
          <w:sz w:val="24"/>
          <w:szCs w:val="24"/>
        </w:rPr>
        <w:footnoteReference w:id="27"/>
      </w:r>
      <w:r w:rsidR="002D277B">
        <w:rPr>
          <w:rFonts w:ascii="Times New Roman" w:hAnsi="Times New Roman" w:cs="Times New Roman"/>
          <w:sz w:val="24"/>
          <w:szCs w:val="24"/>
        </w:rPr>
        <w:t xml:space="preserve">  </w:t>
      </w:r>
      <w:r w:rsidR="00301833" w:rsidRPr="00E430C1">
        <w:rPr>
          <w:rFonts w:ascii="Times New Roman" w:hAnsi="Times New Roman" w:cs="Times New Roman"/>
          <w:sz w:val="24"/>
          <w:szCs w:val="24"/>
        </w:rPr>
        <w:t xml:space="preserve">In its 2014-2015 DSM Business Plan, PacifiCorp projects that it will exceed its </w:t>
      </w:r>
      <w:r w:rsidR="008652A9">
        <w:rPr>
          <w:rFonts w:ascii="Times New Roman" w:hAnsi="Times New Roman" w:cs="Times New Roman"/>
          <w:sz w:val="24"/>
          <w:szCs w:val="24"/>
        </w:rPr>
        <w:t xml:space="preserve">biennial conservation </w:t>
      </w:r>
      <w:r w:rsidR="00301833" w:rsidRPr="00E430C1">
        <w:rPr>
          <w:rFonts w:ascii="Times New Roman" w:hAnsi="Times New Roman" w:cs="Times New Roman"/>
          <w:sz w:val="24"/>
          <w:szCs w:val="24"/>
        </w:rPr>
        <w:t>target by about 5.5 percent, achieving total conservation of 78,861 MWh (9</w:t>
      </w:r>
      <w:r w:rsidR="008652A9">
        <w:rPr>
          <w:rFonts w:ascii="Times New Roman" w:hAnsi="Times New Roman" w:cs="Times New Roman"/>
          <w:sz w:val="24"/>
          <w:szCs w:val="24"/>
        </w:rPr>
        <w:t>.0</w:t>
      </w:r>
      <w:r w:rsidR="00301833" w:rsidRPr="00E430C1">
        <w:rPr>
          <w:rFonts w:ascii="Times New Roman" w:hAnsi="Times New Roman" w:cs="Times New Roman"/>
          <w:sz w:val="24"/>
          <w:szCs w:val="24"/>
        </w:rPr>
        <w:t xml:space="preserve"> </w:t>
      </w:r>
      <w:proofErr w:type="spellStart"/>
      <w:r w:rsidR="00301833" w:rsidRPr="00E430C1">
        <w:rPr>
          <w:rFonts w:ascii="Times New Roman" w:hAnsi="Times New Roman" w:cs="Times New Roman"/>
          <w:sz w:val="24"/>
          <w:szCs w:val="24"/>
        </w:rPr>
        <w:t>aMW</w:t>
      </w:r>
      <w:proofErr w:type="spellEnd"/>
      <w:r w:rsidR="00301833" w:rsidRPr="00E430C1">
        <w:rPr>
          <w:rFonts w:ascii="Times New Roman" w:hAnsi="Times New Roman" w:cs="Times New Roman"/>
          <w:sz w:val="24"/>
          <w:szCs w:val="24"/>
        </w:rPr>
        <w:t>).</w:t>
      </w:r>
      <w:r w:rsidR="00301833" w:rsidRPr="00E430C1">
        <w:rPr>
          <w:rStyle w:val="FootnoteReference"/>
          <w:rFonts w:ascii="Times New Roman" w:hAnsi="Times New Roman" w:cs="Times New Roman"/>
          <w:sz w:val="24"/>
          <w:szCs w:val="24"/>
        </w:rPr>
        <w:footnoteReference w:id="28"/>
      </w:r>
      <w:r w:rsidR="00301833" w:rsidRPr="00E430C1">
        <w:rPr>
          <w:rFonts w:ascii="Times New Roman" w:hAnsi="Times New Roman" w:cs="Times New Roman"/>
          <w:sz w:val="24"/>
          <w:szCs w:val="24"/>
        </w:rPr>
        <w:t xml:space="preserve"> </w:t>
      </w:r>
    </w:p>
    <w:p w:rsidR="00301833" w:rsidRPr="00E430C1" w:rsidRDefault="00301833"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b/>
          <w:sz w:val="24"/>
          <w:szCs w:val="24"/>
        </w:rPr>
      </w:pPr>
    </w:p>
    <w:p w:rsidR="00CE2B98" w:rsidRDefault="00CE2B98" w:rsidP="00CE2B98">
      <w:pPr>
        <w:pStyle w:val="Caption"/>
      </w:pPr>
      <w:bookmarkStart w:id="18" w:name="_Toc373818915"/>
      <w:proofErr w:type="gramStart"/>
      <w:r>
        <w:t xml:space="preserve">Table </w:t>
      </w:r>
      <w:proofErr w:type="gramEnd"/>
      <w:r w:rsidR="00F60B1A">
        <w:fldChar w:fldCharType="begin"/>
      </w:r>
      <w:r w:rsidR="00F60B1A">
        <w:instrText xml:space="preserve"> SEQ Table \* ARABIC </w:instrText>
      </w:r>
      <w:r w:rsidR="00F60B1A">
        <w:fldChar w:fldCharType="separate"/>
      </w:r>
      <w:r w:rsidR="00F60B1A">
        <w:rPr>
          <w:noProof/>
        </w:rPr>
        <w:t>3</w:t>
      </w:r>
      <w:r w:rsidR="00F60B1A">
        <w:rPr>
          <w:noProof/>
        </w:rPr>
        <w:fldChar w:fldCharType="end"/>
      </w:r>
      <w:proofErr w:type="gramStart"/>
      <w:r w:rsidRPr="0094533F">
        <w:t>.</w:t>
      </w:r>
      <w:proofErr w:type="gramEnd"/>
      <w:r w:rsidRPr="0094533F">
        <w:t xml:space="preserve"> PacifiCorp Conservation Savings and Budgets</w:t>
      </w:r>
      <w:bookmarkEnd w:id="18"/>
    </w:p>
    <w:tbl>
      <w:tblPr>
        <w:tblStyle w:val="TableGrid"/>
        <w:tblW w:w="0" w:type="auto"/>
        <w:tblLook w:val="04A0" w:firstRow="1" w:lastRow="0" w:firstColumn="1" w:lastColumn="0" w:noHBand="0" w:noVBand="1"/>
      </w:tblPr>
      <w:tblGrid>
        <w:gridCol w:w="1728"/>
        <w:gridCol w:w="1962"/>
        <w:gridCol w:w="1962"/>
        <w:gridCol w:w="2106"/>
        <w:gridCol w:w="1818"/>
      </w:tblGrid>
      <w:tr w:rsidR="00301833" w:rsidRPr="00E430C1" w:rsidTr="0006565D">
        <w:tc>
          <w:tcPr>
            <w:tcW w:w="1728" w:type="dxa"/>
          </w:tcPr>
          <w:p w:rsidR="00301833" w:rsidRPr="00E430C1" w:rsidRDefault="00301833" w:rsidP="0006565D">
            <w:pPr>
              <w:jc w:val="center"/>
              <w:rPr>
                <w:rFonts w:ascii="Times New Roman" w:hAnsi="Times New Roman" w:cs="Times New Roman"/>
                <w:b/>
                <w:sz w:val="24"/>
                <w:szCs w:val="24"/>
              </w:rPr>
            </w:pPr>
          </w:p>
        </w:tc>
        <w:tc>
          <w:tcPr>
            <w:tcW w:w="1962" w:type="dxa"/>
          </w:tcPr>
          <w:p w:rsidR="00301833" w:rsidRPr="00E430C1" w:rsidRDefault="00301833"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2012-2013 Biennial Target</w:t>
            </w:r>
          </w:p>
        </w:tc>
        <w:tc>
          <w:tcPr>
            <w:tcW w:w="1962" w:type="dxa"/>
          </w:tcPr>
          <w:p w:rsidR="00301833" w:rsidRPr="00E430C1" w:rsidRDefault="00301833"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2014-2023</w:t>
            </w:r>
          </w:p>
          <w:p w:rsidR="00301833" w:rsidRPr="00E430C1" w:rsidRDefault="00301833" w:rsidP="0006565D">
            <w:pPr>
              <w:jc w:val="center"/>
              <w:rPr>
                <w:rFonts w:ascii="Times New Roman" w:hAnsi="Times New Roman" w:cs="Times New Roman"/>
                <w:b/>
                <w:sz w:val="24"/>
                <w:szCs w:val="24"/>
              </w:rPr>
            </w:pPr>
            <w:r w:rsidRPr="00E430C1">
              <w:rPr>
                <w:rFonts w:ascii="Times New Roman" w:hAnsi="Times New Roman" w:cs="Times New Roman"/>
                <w:b/>
                <w:sz w:val="24"/>
                <w:szCs w:val="24"/>
              </w:rPr>
              <w:t>10-year potential</w:t>
            </w:r>
          </w:p>
        </w:tc>
        <w:tc>
          <w:tcPr>
            <w:tcW w:w="2106" w:type="dxa"/>
          </w:tcPr>
          <w:p w:rsidR="00301833" w:rsidRPr="00E430C1" w:rsidRDefault="00301833"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2014-2015 Biennial Target</w:t>
            </w:r>
          </w:p>
        </w:tc>
        <w:tc>
          <w:tcPr>
            <w:tcW w:w="1818" w:type="dxa"/>
          </w:tcPr>
          <w:p w:rsidR="00301833" w:rsidRPr="00E430C1" w:rsidRDefault="00301833"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2014-2015 Portfolio Total</w:t>
            </w:r>
          </w:p>
        </w:tc>
      </w:tr>
      <w:tr w:rsidR="00301833" w:rsidRPr="00E430C1" w:rsidTr="0006565D">
        <w:tc>
          <w:tcPr>
            <w:tcW w:w="1728" w:type="dxa"/>
          </w:tcPr>
          <w:p w:rsidR="00301833" w:rsidRPr="00E430C1" w:rsidRDefault="00301833" w:rsidP="0006565D">
            <w:pPr>
              <w:rPr>
                <w:rFonts w:ascii="Times New Roman" w:hAnsi="Times New Roman" w:cs="Times New Roman"/>
                <w:b/>
                <w:sz w:val="24"/>
                <w:szCs w:val="24"/>
              </w:rPr>
            </w:pPr>
            <w:r w:rsidRPr="00E430C1">
              <w:rPr>
                <w:rFonts w:ascii="Times New Roman" w:hAnsi="Times New Roman" w:cs="Times New Roman"/>
                <w:b/>
                <w:sz w:val="24"/>
                <w:szCs w:val="24"/>
              </w:rPr>
              <w:t>Savings</w:t>
            </w:r>
          </w:p>
        </w:tc>
        <w:tc>
          <w:tcPr>
            <w:tcW w:w="1962"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77,964 MWh </w:t>
            </w:r>
          </w:p>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(8.9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391,187 – 391,777 MWh (44.6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2106"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74,703 – </w:t>
            </w:r>
          </w:p>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74,719 MWh </w:t>
            </w:r>
          </w:p>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(8.5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818"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93,193 MWh </w:t>
            </w:r>
          </w:p>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(10.6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r>
      <w:tr w:rsidR="00301833" w:rsidRPr="00E430C1" w:rsidTr="0006565D">
        <w:tc>
          <w:tcPr>
            <w:tcW w:w="1728" w:type="dxa"/>
          </w:tcPr>
          <w:p w:rsidR="00301833" w:rsidRPr="00E430C1" w:rsidRDefault="00301833" w:rsidP="0006565D">
            <w:pPr>
              <w:rPr>
                <w:rFonts w:ascii="Times New Roman" w:hAnsi="Times New Roman" w:cs="Times New Roman"/>
                <w:b/>
                <w:sz w:val="24"/>
                <w:szCs w:val="24"/>
              </w:rPr>
            </w:pPr>
            <w:r w:rsidRPr="00E430C1">
              <w:rPr>
                <w:rFonts w:ascii="Times New Roman" w:hAnsi="Times New Roman" w:cs="Times New Roman"/>
                <w:b/>
                <w:sz w:val="24"/>
                <w:szCs w:val="24"/>
              </w:rPr>
              <w:t>Budget</w:t>
            </w:r>
          </w:p>
        </w:tc>
        <w:tc>
          <w:tcPr>
            <w:tcW w:w="1962"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$19,005,571</w:t>
            </w:r>
          </w:p>
        </w:tc>
        <w:tc>
          <w:tcPr>
            <w:tcW w:w="1962"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2106"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1818"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$20,724,657</w:t>
            </w:r>
          </w:p>
        </w:tc>
      </w:tr>
    </w:tbl>
    <w:p w:rsidR="00301833" w:rsidRPr="00E430C1" w:rsidRDefault="00301833"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 xml:space="preserve">At the total portfolio level, which includes NEEA savings, PacifiCorp projects that it will achieve </w:t>
      </w:r>
      <w:r w:rsidR="00D82FF7" w:rsidRPr="00E430C1">
        <w:rPr>
          <w:rFonts w:ascii="Times New Roman" w:hAnsi="Times New Roman" w:cs="Times New Roman"/>
          <w:sz w:val="24"/>
          <w:szCs w:val="24"/>
        </w:rPr>
        <w:t>93,193 MWh</w:t>
      </w:r>
      <w:r w:rsidRPr="00E430C1">
        <w:rPr>
          <w:rFonts w:ascii="Times New Roman" w:hAnsi="Times New Roman" w:cs="Times New Roman"/>
          <w:sz w:val="24"/>
          <w:szCs w:val="24"/>
        </w:rPr>
        <w:t xml:space="preserve"> of savings over the biennium, at a cost of $20,724,657</w:t>
      </w:r>
      <w:r w:rsidR="00DD0510" w:rsidRPr="00E430C1">
        <w:rPr>
          <w:rFonts w:ascii="Times New Roman" w:hAnsi="Times New Roman" w:cs="Times New Roman"/>
          <w:sz w:val="24"/>
          <w:szCs w:val="24"/>
        </w:rPr>
        <w:t xml:space="preserve">. </w:t>
      </w:r>
      <w:r w:rsidR="00AB7E7B" w:rsidRPr="00E430C1">
        <w:rPr>
          <w:rFonts w:ascii="Times New Roman" w:hAnsi="Times New Roman" w:cs="Times New Roman"/>
          <w:sz w:val="24"/>
          <w:szCs w:val="24"/>
        </w:rPr>
        <w:t>Cost-</w:t>
      </w:r>
      <w:r w:rsidRPr="00E430C1">
        <w:rPr>
          <w:rFonts w:ascii="Times New Roman" w:hAnsi="Times New Roman" w:cs="Times New Roman"/>
          <w:sz w:val="24"/>
          <w:szCs w:val="24"/>
        </w:rPr>
        <w:t>effectiveness tests performed by a third party found that PacifiCorp’s planned portfolio, when applying the Council’s 10 percent conservation adder, achieves a TRC of 1.70 and a UTC of 2.42.</w:t>
      </w:r>
      <w:r w:rsidRPr="00E430C1">
        <w:rPr>
          <w:rStyle w:val="FootnoteReference"/>
          <w:rFonts w:ascii="Times New Roman" w:hAnsi="Times New Roman" w:cs="Times New Roman"/>
          <w:sz w:val="24"/>
          <w:szCs w:val="24"/>
        </w:rPr>
        <w:footnoteReference w:id="29"/>
      </w:r>
    </w:p>
    <w:p w:rsidR="00301833" w:rsidRPr="00E430C1" w:rsidRDefault="00301833"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PacifiCorp’s business plan contains a number of program changes to help achieve the target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most significant of these is the </w:t>
      </w:r>
      <w:r w:rsidR="006F1F10">
        <w:rPr>
          <w:rFonts w:ascii="Times New Roman" w:hAnsi="Times New Roman" w:cs="Times New Roman"/>
          <w:sz w:val="24"/>
          <w:szCs w:val="24"/>
        </w:rPr>
        <w:t>company</w:t>
      </w:r>
      <w:r w:rsidRPr="00E430C1">
        <w:rPr>
          <w:rFonts w:ascii="Times New Roman" w:hAnsi="Times New Roman" w:cs="Times New Roman"/>
          <w:sz w:val="24"/>
          <w:szCs w:val="24"/>
        </w:rPr>
        <w:t>’s request to streamline its two commercial and industrial energy efficiency tariffs into one.</w:t>
      </w:r>
      <w:r w:rsidRPr="00E430C1">
        <w:rPr>
          <w:rStyle w:val="FootnoteReference"/>
          <w:rFonts w:ascii="Times New Roman" w:hAnsi="Times New Roman" w:cs="Times New Roman"/>
          <w:sz w:val="24"/>
          <w:szCs w:val="24"/>
        </w:rPr>
        <w:footnoteReference w:id="30"/>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In addition to streamlining administration and reducing confusion, the proposed tariff includes a number of new and increased measures designed to remove barriers and allow more participation</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PacifiCorp is quadrupling its customer incentive for heat pump water heaters, from $150 to $600, to increase customer participation</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w:t>
      </w:r>
      <w:r w:rsidR="006F1F10">
        <w:rPr>
          <w:rFonts w:ascii="Times New Roman" w:hAnsi="Times New Roman" w:cs="Times New Roman"/>
          <w:sz w:val="24"/>
          <w:szCs w:val="24"/>
        </w:rPr>
        <w:t>company</w:t>
      </w:r>
      <w:r w:rsidRPr="00E430C1">
        <w:rPr>
          <w:rFonts w:ascii="Times New Roman" w:hAnsi="Times New Roman" w:cs="Times New Roman"/>
          <w:sz w:val="24"/>
          <w:szCs w:val="24"/>
        </w:rPr>
        <w:t xml:space="preserve"> will also add a $1,000 bonus incentive for customers that install a list of five designated measures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The rest of the program changes are based on new information from t</w:t>
      </w:r>
      <w:r w:rsidR="008652A9">
        <w:rPr>
          <w:rFonts w:ascii="Times New Roman" w:hAnsi="Times New Roman" w:cs="Times New Roman"/>
          <w:sz w:val="24"/>
          <w:szCs w:val="24"/>
        </w:rPr>
        <w:t>he RTF, Energy Star program and</w:t>
      </w:r>
      <w:r w:rsidR="006F1F10">
        <w:rPr>
          <w:rFonts w:ascii="Times New Roman" w:hAnsi="Times New Roman" w:cs="Times New Roman"/>
          <w:sz w:val="24"/>
          <w:szCs w:val="24"/>
        </w:rPr>
        <w:t xml:space="preserve"> company</w:t>
      </w:r>
      <w:r w:rsidRPr="00E430C1">
        <w:rPr>
          <w:rFonts w:ascii="Times New Roman" w:hAnsi="Times New Roman" w:cs="Times New Roman"/>
          <w:sz w:val="24"/>
          <w:szCs w:val="24"/>
        </w:rPr>
        <w:t xml:space="preserve"> program evaluations, and are minor in detail</w:t>
      </w:r>
      <w:r w:rsidR="00DD0510" w:rsidRPr="00E430C1">
        <w:rPr>
          <w:rFonts w:ascii="Times New Roman" w:hAnsi="Times New Roman" w:cs="Times New Roman"/>
          <w:sz w:val="24"/>
          <w:szCs w:val="24"/>
        </w:rPr>
        <w:t xml:space="preserve">. </w:t>
      </w:r>
      <w:r w:rsidR="003D5AD0">
        <w:rPr>
          <w:rFonts w:ascii="Times New Roman" w:hAnsi="Times New Roman" w:cs="Times New Roman"/>
          <w:sz w:val="24"/>
          <w:szCs w:val="24"/>
        </w:rPr>
        <w:t>T</w:t>
      </w:r>
      <w:r w:rsidRPr="00E430C1">
        <w:rPr>
          <w:rFonts w:ascii="Times New Roman" w:hAnsi="Times New Roman" w:cs="Times New Roman"/>
          <w:sz w:val="24"/>
          <w:szCs w:val="24"/>
        </w:rPr>
        <w:t xml:space="preserve">hese changes </w:t>
      </w:r>
      <w:r w:rsidR="003D5AD0">
        <w:rPr>
          <w:rFonts w:ascii="Times New Roman" w:hAnsi="Times New Roman" w:cs="Times New Roman"/>
          <w:sz w:val="24"/>
          <w:szCs w:val="24"/>
        </w:rPr>
        <w:t>appear reasonable</w:t>
      </w:r>
      <w:r w:rsidRPr="00E430C1">
        <w:rPr>
          <w:rFonts w:ascii="Times New Roman" w:hAnsi="Times New Roman" w:cs="Times New Roman"/>
          <w:sz w:val="24"/>
          <w:szCs w:val="24"/>
        </w:rPr>
        <w:t>.</w:t>
      </w:r>
    </w:p>
    <w:p w:rsidR="00301833" w:rsidRPr="00E430C1" w:rsidRDefault="00301833"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PacifiCorp’s efforts to engage its advisory group in the planning process and the thoroughness of the BCP as filed</w:t>
      </w:r>
      <w:r w:rsidR="00926D0B">
        <w:rPr>
          <w:rFonts w:ascii="Times New Roman" w:hAnsi="Times New Roman" w:cs="Times New Roman"/>
          <w:sz w:val="24"/>
          <w:szCs w:val="24"/>
        </w:rPr>
        <w:t xml:space="preserve"> are appreciated</w:t>
      </w:r>
      <w:r w:rsidR="00DD0510" w:rsidRPr="00E430C1">
        <w:rPr>
          <w:rFonts w:ascii="Times New Roman" w:hAnsi="Times New Roman" w:cs="Times New Roman"/>
          <w:sz w:val="24"/>
          <w:szCs w:val="24"/>
        </w:rPr>
        <w:t xml:space="preserve">. </w:t>
      </w:r>
      <w:r w:rsidR="00926D0B">
        <w:rPr>
          <w:rFonts w:ascii="Times New Roman" w:hAnsi="Times New Roman" w:cs="Times New Roman"/>
          <w:sz w:val="24"/>
          <w:szCs w:val="24"/>
        </w:rPr>
        <w:t>However,</w:t>
      </w:r>
      <w:r w:rsidR="008652A9">
        <w:rPr>
          <w:rFonts w:ascii="Times New Roman" w:hAnsi="Times New Roman" w:cs="Times New Roman"/>
          <w:sz w:val="24"/>
          <w:szCs w:val="24"/>
        </w:rPr>
        <w:t xml:space="preserve"> PacifiCorp’s P</w:t>
      </w:r>
      <w:r w:rsidRPr="00E430C1">
        <w:rPr>
          <w:rFonts w:ascii="Times New Roman" w:hAnsi="Times New Roman" w:cs="Times New Roman"/>
          <w:sz w:val="24"/>
          <w:szCs w:val="24"/>
        </w:rPr>
        <w:t xml:space="preserve">lan </w:t>
      </w:r>
      <w:r w:rsidR="00926D0B">
        <w:rPr>
          <w:rFonts w:ascii="Times New Roman" w:hAnsi="Times New Roman" w:cs="Times New Roman"/>
          <w:sz w:val="24"/>
          <w:szCs w:val="24"/>
        </w:rPr>
        <w:t xml:space="preserve">does </w:t>
      </w:r>
      <w:r w:rsidRPr="00E430C1">
        <w:rPr>
          <w:rFonts w:ascii="Times New Roman" w:hAnsi="Times New Roman" w:cs="Times New Roman"/>
          <w:sz w:val="24"/>
          <w:szCs w:val="24"/>
        </w:rPr>
        <w:t>not tak</w:t>
      </w:r>
      <w:r w:rsidR="00926D0B">
        <w:rPr>
          <w:rFonts w:ascii="Times New Roman" w:hAnsi="Times New Roman" w:cs="Times New Roman"/>
          <w:sz w:val="24"/>
          <w:szCs w:val="24"/>
        </w:rPr>
        <w:t>e</w:t>
      </w:r>
      <w:r w:rsidRPr="00E430C1">
        <w:rPr>
          <w:rFonts w:ascii="Times New Roman" w:hAnsi="Times New Roman" w:cs="Times New Roman"/>
          <w:sz w:val="24"/>
          <w:szCs w:val="24"/>
        </w:rPr>
        <w:t xml:space="preserve"> advantage of the Commission’s stipulation that allows for up to 10 percent of the conservation budget to be spent on “programs whose savings impact has not yet been measured … (including) educational, behavior change, and pilot projects.”</w:t>
      </w:r>
      <w:r w:rsidRPr="00E430C1">
        <w:rPr>
          <w:rStyle w:val="FootnoteReference"/>
          <w:rFonts w:ascii="Times New Roman" w:hAnsi="Times New Roman" w:cs="Times New Roman"/>
          <w:sz w:val="24"/>
          <w:szCs w:val="24"/>
        </w:rPr>
        <w:footnoteReference w:id="31"/>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This stipulation is meant to encourage utility investment in cutting-edge technologies and programs that could further move the energy efficiency market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However, in the upcoming biennium, PacifiCorp only plans to spend 0.6 percent of its budget on such programs.</w:t>
      </w:r>
      <w:r w:rsidRPr="00E430C1">
        <w:rPr>
          <w:rStyle w:val="FootnoteReference"/>
          <w:rFonts w:ascii="Times New Roman" w:hAnsi="Times New Roman" w:cs="Times New Roman"/>
          <w:sz w:val="24"/>
          <w:szCs w:val="24"/>
        </w:rPr>
        <w:footnoteReference w:id="32"/>
      </w:r>
      <w:r w:rsidR="002D277B">
        <w:rPr>
          <w:rFonts w:ascii="Times New Roman" w:hAnsi="Times New Roman" w:cs="Times New Roman"/>
          <w:sz w:val="24"/>
          <w:szCs w:val="24"/>
        </w:rPr>
        <w:t xml:space="preserve">  </w:t>
      </w:r>
      <w:r w:rsidR="00926D0B">
        <w:rPr>
          <w:rFonts w:ascii="Times New Roman" w:hAnsi="Times New Roman" w:cs="Times New Roman"/>
          <w:sz w:val="24"/>
          <w:szCs w:val="24"/>
        </w:rPr>
        <w:t>The</w:t>
      </w:r>
      <w:r w:rsidRPr="00E430C1">
        <w:rPr>
          <w:rFonts w:ascii="Times New Roman" w:hAnsi="Times New Roman" w:cs="Times New Roman"/>
          <w:sz w:val="24"/>
          <w:szCs w:val="24"/>
        </w:rPr>
        <w:t xml:space="preserve"> </w:t>
      </w:r>
      <w:r w:rsidR="00926D0B">
        <w:rPr>
          <w:rFonts w:ascii="Times New Roman" w:hAnsi="Times New Roman" w:cs="Times New Roman"/>
          <w:sz w:val="24"/>
          <w:szCs w:val="24"/>
        </w:rPr>
        <w:t>c</w:t>
      </w:r>
      <w:r w:rsidR="00926D0B" w:rsidRPr="00E430C1">
        <w:rPr>
          <w:rFonts w:ascii="Times New Roman" w:hAnsi="Times New Roman" w:cs="Times New Roman"/>
          <w:sz w:val="24"/>
          <w:szCs w:val="24"/>
        </w:rPr>
        <w:t xml:space="preserve">ompany </w:t>
      </w:r>
      <w:r w:rsidR="00926D0B">
        <w:rPr>
          <w:rFonts w:ascii="Times New Roman" w:hAnsi="Times New Roman" w:cs="Times New Roman"/>
          <w:sz w:val="24"/>
          <w:szCs w:val="24"/>
        </w:rPr>
        <w:t xml:space="preserve">should </w:t>
      </w:r>
      <w:r w:rsidRPr="00E430C1">
        <w:rPr>
          <w:rFonts w:ascii="Times New Roman" w:hAnsi="Times New Roman" w:cs="Times New Roman"/>
          <w:sz w:val="24"/>
          <w:szCs w:val="24"/>
        </w:rPr>
        <w:t>be more proactive in looking for innovative conservation opportunities.</w:t>
      </w:r>
    </w:p>
    <w:p w:rsidR="007327FB" w:rsidRPr="00E430C1" w:rsidRDefault="007327FB" w:rsidP="007D7659">
      <w:pPr>
        <w:pStyle w:val="Heading1"/>
      </w:pPr>
      <w:bookmarkStart w:id="19" w:name="_Toc373834561"/>
      <w:r w:rsidRPr="00E430C1">
        <w:t>COMMON ISSUES</w:t>
      </w:r>
      <w:r w:rsidR="00AB7E7B" w:rsidRPr="00E430C1">
        <w:t xml:space="preserve"> IN PROGRAM IMPLEMENTATION</w:t>
      </w:r>
      <w:bookmarkEnd w:id="19"/>
    </w:p>
    <w:p w:rsidR="007327FB" w:rsidRPr="00E430C1" w:rsidRDefault="007327FB" w:rsidP="007327FB">
      <w:pPr>
        <w:rPr>
          <w:rFonts w:ascii="Times New Roman" w:hAnsi="Times New Roman" w:cs="Times New Roman"/>
          <w:sz w:val="24"/>
          <w:szCs w:val="24"/>
        </w:rPr>
      </w:pPr>
    </w:p>
    <w:p w:rsidR="007327FB" w:rsidRPr="00E430C1" w:rsidRDefault="00926D0B" w:rsidP="00D82FF7">
      <w:pPr>
        <w:rPr>
          <w:rFonts w:ascii="Times New Roman" w:hAnsi="Times New Roman" w:cs="Times New Roman"/>
          <w:b/>
          <w:sz w:val="24"/>
          <w:szCs w:val="24"/>
        </w:rPr>
      </w:pPr>
      <w:r>
        <w:rPr>
          <w:rFonts w:ascii="Times New Roman" w:hAnsi="Times New Roman" w:cs="Times New Roman"/>
          <w:sz w:val="24"/>
          <w:szCs w:val="24"/>
        </w:rPr>
        <w:t>There are</w:t>
      </w:r>
      <w:r w:rsidR="007327FB" w:rsidRPr="00E430C1">
        <w:rPr>
          <w:rFonts w:ascii="Times New Roman" w:hAnsi="Times New Roman" w:cs="Times New Roman"/>
          <w:sz w:val="24"/>
          <w:szCs w:val="24"/>
        </w:rPr>
        <w:t xml:space="preserve"> two additional issues</w:t>
      </w:r>
      <w:r w:rsidR="00AB7E7B" w:rsidRPr="00E430C1">
        <w:rPr>
          <w:rFonts w:ascii="Times New Roman" w:hAnsi="Times New Roman" w:cs="Times New Roman"/>
          <w:sz w:val="24"/>
          <w:szCs w:val="24"/>
        </w:rPr>
        <w:t xml:space="preserve"> related to program implementation</w:t>
      </w:r>
      <w:r w:rsidR="007327FB" w:rsidRPr="00E430C1">
        <w:rPr>
          <w:rFonts w:ascii="Times New Roman" w:hAnsi="Times New Roman" w:cs="Times New Roman"/>
          <w:sz w:val="24"/>
          <w:szCs w:val="24"/>
        </w:rPr>
        <w:t xml:space="preserve"> requiring attention across the utilities: treatment of savings from behavioral programs run by </w:t>
      </w:r>
      <w:proofErr w:type="spellStart"/>
      <w:r w:rsidR="007327FB" w:rsidRPr="00E430C1">
        <w:rPr>
          <w:rFonts w:ascii="Times New Roman" w:hAnsi="Times New Roman" w:cs="Times New Roman"/>
          <w:sz w:val="24"/>
          <w:szCs w:val="24"/>
        </w:rPr>
        <w:t>Opower</w:t>
      </w:r>
      <w:proofErr w:type="spellEnd"/>
      <w:r w:rsidR="007327FB" w:rsidRPr="00E430C1">
        <w:rPr>
          <w:rFonts w:ascii="Times New Roman" w:hAnsi="Times New Roman" w:cs="Times New Roman"/>
          <w:sz w:val="24"/>
          <w:szCs w:val="24"/>
        </w:rPr>
        <w:t>; and application of unit energy savings (UES) values during the biennium.</w:t>
      </w:r>
    </w:p>
    <w:p w:rsidR="007327FB" w:rsidRPr="00E430C1" w:rsidRDefault="007327FB" w:rsidP="00E36B70">
      <w:pPr>
        <w:pStyle w:val="Heading2"/>
      </w:pPr>
      <w:bookmarkStart w:id="20" w:name="_Toc373834562"/>
      <w:proofErr w:type="spellStart"/>
      <w:r w:rsidRPr="00E430C1">
        <w:t>Opower</w:t>
      </w:r>
      <w:proofErr w:type="spellEnd"/>
      <w:r w:rsidRPr="00E430C1">
        <w:t xml:space="preserve"> savings</w:t>
      </w:r>
      <w:bookmarkEnd w:id="20"/>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During the 2012-2013 biennium, Avista and PacifiCorp joined PSE in offering Home Energy Reports to certain customers through third-party contractor </w:t>
      </w:r>
      <w:proofErr w:type="spellStart"/>
      <w:r w:rsidRPr="00E430C1">
        <w:rPr>
          <w:rFonts w:ascii="Times New Roman" w:hAnsi="Times New Roman" w:cs="Times New Roman"/>
          <w:sz w:val="24"/>
          <w:szCs w:val="24"/>
        </w:rPr>
        <w:t>Opower</w:t>
      </w:r>
      <w:proofErr w:type="spellEnd"/>
      <w:r w:rsid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Avista and PacifiCorp are engaged in pilot projects for the service; PSE began its pilot in 2008 and has since incorporated Home Energy Reports into its conservation target for the current biennium.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Home Energy Reports </w:t>
      </w:r>
      <w:r w:rsidR="00AB7E7B" w:rsidRPr="00E430C1">
        <w:rPr>
          <w:rFonts w:ascii="Times New Roman" w:hAnsi="Times New Roman" w:cs="Times New Roman"/>
          <w:sz w:val="24"/>
          <w:szCs w:val="24"/>
        </w:rPr>
        <w:t xml:space="preserve">is </w:t>
      </w:r>
      <w:r w:rsidRPr="00E430C1">
        <w:rPr>
          <w:rFonts w:ascii="Times New Roman" w:hAnsi="Times New Roman" w:cs="Times New Roman"/>
          <w:sz w:val="24"/>
          <w:szCs w:val="24"/>
        </w:rPr>
        <w:t>a behavioral program, consisting of a detailed billing statement that shows how the customer’s usage is trending over time and how it compares to other customers in the surrounding area. The goal of this program is to provide a social incentive for high-usage customers to become more efficient.</w:t>
      </w:r>
      <w:r w:rsidRPr="00E430C1">
        <w:rPr>
          <w:rStyle w:val="FootnoteReference"/>
          <w:rFonts w:ascii="Times New Roman" w:hAnsi="Times New Roman" w:cs="Times New Roman"/>
          <w:sz w:val="24"/>
          <w:szCs w:val="24"/>
        </w:rPr>
        <w:footnoteReference w:id="33"/>
      </w:r>
      <w:r w:rsidRPr="00E430C1">
        <w:rPr>
          <w:rFonts w:ascii="Times New Roman" w:hAnsi="Times New Roman" w:cs="Times New Roman"/>
          <w:sz w:val="24"/>
          <w:szCs w:val="24"/>
        </w:rPr>
        <w:t xml:space="preserve"> The reports also provide simple, energy-saving tips to further encourage conservation and participation in utility rebate programs.</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Home Energy Reports can be a highly cost-effective source of savings. In the upcoming biennium, for example, PacifiCorp projects that its Home Energy Reports conservation savings will cost 2.6 cents per </w:t>
      </w:r>
      <w:r w:rsidR="007D7659">
        <w:rPr>
          <w:rFonts w:ascii="Times New Roman" w:hAnsi="Times New Roman" w:cs="Times New Roman"/>
          <w:sz w:val="24"/>
          <w:szCs w:val="24"/>
        </w:rPr>
        <w:t>kWh</w:t>
      </w:r>
      <w:r w:rsidRPr="00E430C1">
        <w:rPr>
          <w:rFonts w:ascii="Times New Roman" w:hAnsi="Times New Roman" w:cs="Times New Roman"/>
          <w:sz w:val="24"/>
          <w:szCs w:val="24"/>
        </w:rPr>
        <w:t>,</w:t>
      </w:r>
      <w:r w:rsidRPr="00E430C1">
        <w:rPr>
          <w:rStyle w:val="FootnoteReference"/>
          <w:rFonts w:ascii="Times New Roman" w:hAnsi="Times New Roman" w:cs="Times New Roman"/>
          <w:sz w:val="24"/>
          <w:szCs w:val="24"/>
        </w:rPr>
        <w:footnoteReference w:id="34"/>
      </w:r>
      <w:r w:rsidRPr="00E430C1">
        <w:rPr>
          <w:rFonts w:ascii="Times New Roman" w:hAnsi="Times New Roman" w:cs="Times New Roman"/>
          <w:sz w:val="24"/>
          <w:szCs w:val="24"/>
        </w:rPr>
        <w:t xml:space="preserve"> while PSE projects a cost of about 5 cents per </w:t>
      </w:r>
      <w:r w:rsidR="007D7659">
        <w:rPr>
          <w:rFonts w:ascii="Times New Roman" w:hAnsi="Times New Roman" w:cs="Times New Roman"/>
          <w:sz w:val="24"/>
          <w:szCs w:val="24"/>
        </w:rPr>
        <w:t>kWh</w:t>
      </w:r>
      <w:r w:rsidRPr="00E430C1">
        <w:rPr>
          <w:rFonts w:ascii="Times New Roman" w:hAnsi="Times New Roman" w:cs="Times New Roman"/>
          <w:sz w:val="24"/>
          <w:szCs w:val="24"/>
        </w:rPr>
        <w:t>.</w:t>
      </w:r>
      <w:r w:rsidRPr="00E430C1">
        <w:rPr>
          <w:rStyle w:val="FootnoteReference"/>
          <w:rFonts w:ascii="Times New Roman" w:hAnsi="Times New Roman" w:cs="Times New Roman"/>
          <w:sz w:val="24"/>
          <w:szCs w:val="24"/>
        </w:rPr>
        <w:t xml:space="preserve"> </w:t>
      </w:r>
      <w:r w:rsidRPr="00E430C1">
        <w:rPr>
          <w:rStyle w:val="FootnoteReference"/>
          <w:rFonts w:ascii="Times New Roman" w:hAnsi="Times New Roman" w:cs="Times New Roman"/>
          <w:sz w:val="24"/>
          <w:szCs w:val="24"/>
        </w:rPr>
        <w:footnoteReference w:id="35"/>
      </w:r>
      <w:r w:rsidRPr="00E430C1">
        <w:rPr>
          <w:rStyle w:val="FootnoteReference"/>
          <w:rFonts w:ascii="Times New Roman" w:hAnsi="Times New Roman" w:cs="Times New Roman"/>
          <w:sz w:val="24"/>
          <w:szCs w:val="24"/>
        </w:rPr>
        <w:t>,</w:t>
      </w:r>
      <w:r w:rsidRPr="00E430C1">
        <w:rPr>
          <w:rStyle w:val="FootnoteReference"/>
          <w:rFonts w:ascii="Times New Roman" w:hAnsi="Times New Roman" w:cs="Times New Roman"/>
          <w:sz w:val="24"/>
          <w:szCs w:val="24"/>
        </w:rPr>
        <w:footnoteReference w:id="36"/>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Although all three companies are using the same contractor, each company uses a different methodology for determining the savings that can be attributed to the Home Energy Reports. </w:t>
      </w:r>
      <w:r w:rsidR="00926D0B">
        <w:rPr>
          <w:rFonts w:ascii="Times New Roman" w:hAnsi="Times New Roman" w:cs="Times New Roman"/>
          <w:sz w:val="24"/>
          <w:szCs w:val="24"/>
        </w:rPr>
        <w:t>There should be</w:t>
      </w:r>
      <w:r w:rsidRPr="00E430C1">
        <w:rPr>
          <w:rFonts w:ascii="Times New Roman" w:hAnsi="Times New Roman" w:cs="Times New Roman"/>
          <w:sz w:val="24"/>
          <w:szCs w:val="24"/>
        </w:rPr>
        <w:t xml:space="preserve"> some consistency in how the companies measure and report the savings from their Home Energy Report</w:t>
      </w:r>
      <w:r w:rsidR="00063F2D">
        <w:rPr>
          <w:rFonts w:ascii="Times New Roman" w:hAnsi="Times New Roman" w:cs="Times New Roman"/>
          <w:sz w:val="24"/>
          <w:szCs w:val="24"/>
        </w:rPr>
        <w:t>s</w:t>
      </w:r>
      <w:r w:rsidRPr="00E430C1">
        <w:rPr>
          <w:rFonts w:ascii="Times New Roman" w:hAnsi="Times New Roman" w:cs="Times New Roman"/>
          <w:sz w:val="24"/>
          <w:szCs w:val="24"/>
        </w:rPr>
        <w:t xml:space="preserve"> programs. However, </w:t>
      </w:r>
      <w:r w:rsidR="00926D0B">
        <w:rPr>
          <w:rFonts w:ascii="Times New Roman" w:hAnsi="Times New Roman" w:cs="Times New Roman"/>
          <w:sz w:val="24"/>
          <w:szCs w:val="24"/>
        </w:rPr>
        <w:t>there is no</w:t>
      </w:r>
      <w:r w:rsidRPr="00E430C1">
        <w:rPr>
          <w:rFonts w:ascii="Times New Roman" w:hAnsi="Times New Roman" w:cs="Times New Roman"/>
          <w:sz w:val="24"/>
          <w:szCs w:val="24"/>
        </w:rPr>
        <w:t xml:space="preserve"> preferred methodology at this time, because resolution of the following three issues requires additional data and program experience:</w:t>
      </w:r>
    </w:p>
    <w:p w:rsidR="007327FB" w:rsidRPr="00E430C1" w:rsidRDefault="007327FB" w:rsidP="007327FB">
      <w:pPr>
        <w:rPr>
          <w:rFonts w:ascii="Times New Roman" w:hAnsi="Times New Roman" w:cs="Times New Roman"/>
          <w:sz w:val="24"/>
          <w:szCs w:val="24"/>
        </w:rPr>
      </w:pPr>
    </w:p>
    <w:p w:rsidR="007327FB" w:rsidRPr="00E430C1" w:rsidRDefault="007327FB" w:rsidP="007327FB">
      <w:pPr>
        <w:pStyle w:val="ListParagraph"/>
        <w:numPr>
          <w:ilvl w:val="0"/>
          <w:numId w:val="16"/>
        </w:numPr>
        <w:rPr>
          <w:rFonts w:ascii="Times New Roman" w:hAnsi="Times New Roman" w:cs="Times New Roman"/>
          <w:sz w:val="24"/>
          <w:szCs w:val="24"/>
        </w:rPr>
      </w:pPr>
      <w:r w:rsidRPr="00E430C1">
        <w:rPr>
          <w:rFonts w:ascii="Times New Roman" w:hAnsi="Times New Roman" w:cs="Times New Roman"/>
          <w:b/>
          <w:sz w:val="24"/>
          <w:szCs w:val="24"/>
        </w:rPr>
        <w:t>Persistence:</w:t>
      </w:r>
      <w:r w:rsidRPr="00E430C1">
        <w:rPr>
          <w:rFonts w:ascii="Times New Roman" w:hAnsi="Times New Roman" w:cs="Times New Roman"/>
          <w:sz w:val="24"/>
          <w:szCs w:val="24"/>
        </w:rPr>
        <w:t xml:space="preserve"> How long the savings achieved through behavior modification last. If customers stop receiving the reports, to what degree will they relapse into previous, inefficient behavior? How much of a customer’s conservation savings in a given year are a result of that year’s Home Energy Reports, and how much of those savings were driven by reports received in a previous year? The persistence question affects the amount of savings that a utility will claim from the program each year.</w:t>
      </w:r>
    </w:p>
    <w:p w:rsidR="007327FB" w:rsidRPr="00E430C1" w:rsidRDefault="007327FB" w:rsidP="007327FB">
      <w:pPr>
        <w:pStyle w:val="ListParagraph"/>
        <w:rPr>
          <w:rFonts w:ascii="Times New Roman" w:hAnsi="Times New Roman" w:cs="Times New Roman"/>
          <w:sz w:val="24"/>
          <w:szCs w:val="24"/>
        </w:rPr>
      </w:pPr>
    </w:p>
    <w:p w:rsidR="007327FB" w:rsidRPr="00E430C1" w:rsidRDefault="007327FB" w:rsidP="007327FB">
      <w:pPr>
        <w:pStyle w:val="ListParagraph"/>
        <w:numPr>
          <w:ilvl w:val="0"/>
          <w:numId w:val="16"/>
        </w:numPr>
        <w:rPr>
          <w:rFonts w:ascii="Times New Roman" w:hAnsi="Times New Roman" w:cs="Times New Roman"/>
          <w:sz w:val="24"/>
          <w:szCs w:val="24"/>
        </w:rPr>
      </w:pPr>
      <w:r w:rsidRPr="00E430C1">
        <w:rPr>
          <w:rFonts w:ascii="Times New Roman" w:hAnsi="Times New Roman" w:cs="Times New Roman"/>
          <w:b/>
          <w:sz w:val="24"/>
          <w:szCs w:val="24"/>
        </w:rPr>
        <w:t xml:space="preserve">Measure life: </w:t>
      </w:r>
      <w:r w:rsidRPr="00E430C1">
        <w:rPr>
          <w:rFonts w:ascii="Times New Roman" w:hAnsi="Times New Roman" w:cs="Times New Roman"/>
          <w:sz w:val="24"/>
          <w:szCs w:val="24"/>
        </w:rPr>
        <w:t>How often a company needs to “re-purchase” the savings from its customers. This is closely related to the persistence rate. If persistence is very low, then most or all of the conservation that the Home Energy Reports create in a given year will be attributable to program expenditures in that year. If persistence is higher, then the conservation achieved in a given year will be attributable to program expenditures over multiple years. The measure life question has implications for evaluating the cost-effectiveness of the Home Energy Reports.</w:t>
      </w:r>
    </w:p>
    <w:p w:rsidR="007327FB" w:rsidRPr="00E430C1" w:rsidRDefault="007327FB" w:rsidP="007327FB">
      <w:pPr>
        <w:pStyle w:val="ListParagraph"/>
        <w:rPr>
          <w:rFonts w:ascii="Times New Roman" w:hAnsi="Times New Roman" w:cs="Times New Roman"/>
          <w:sz w:val="24"/>
          <w:szCs w:val="24"/>
        </w:rPr>
      </w:pPr>
    </w:p>
    <w:p w:rsidR="007327FB" w:rsidRPr="00E430C1" w:rsidRDefault="007327FB" w:rsidP="007327FB">
      <w:pPr>
        <w:pStyle w:val="ListParagraph"/>
        <w:numPr>
          <w:ilvl w:val="0"/>
          <w:numId w:val="16"/>
        </w:numPr>
        <w:rPr>
          <w:rFonts w:ascii="Times New Roman" w:hAnsi="Times New Roman" w:cs="Times New Roman"/>
          <w:sz w:val="24"/>
          <w:szCs w:val="24"/>
        </w:rPr>
      </w:pPr>
      <w:r w:rsidRPr="00E430C1">
        <w:rPr>
          <w:rFonts w:ascii="Times New Roman" w:hAnsi="Times New Roman" w:cs="Times New Roman"/>
          <w:b/>
          <w:sz w:val="24"/>
          <w:szCs w:val="24"/>
        </w:rPr>
        <w:t xml:space="preserve">Program overlap: </w:t>
      </w:r>
      <w:r w:rsidRPr="00E430C1">
        <w:rPr>
          <w:rFonts w:ascii="Times New Roman" w:hAnsi="Times New Roman" w:cs="Times New Roman"/>
          <w:sz w:val="24"/>
          <w:szCs w:val="24"/>
        </w:rPr>
        <w:t xml:space="preserve">If a Home Energy Report inspires a customer to become more efficient by taking advantage of a utility-sponsored program to upgrade one of their appliances, how does the utility ensure that the savings are only counted once? </w:t>
      </w:r>
      <w:r w:rsidR="00DB797A" w:rsidRPr="00E430C1">
        <w:rPr>
          <w:rFonts w:ascii="Times New Roman" w:hAnsi="Times New Roman" w:cs="Times New Roman"/>
          <w:sz w:val="24"/>
          <w:szCs w:val="24"/>
        </w:rPr>
        <w:t>The program overlap issue has portfolio-wide implications in assuring that each utility’s reported conservation is accurate.</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Developing a consistent treatment of </w:t>
      </w:r>
      <w:proofErr w:type="spellStart"/>
      <w:r w:rsidRPr="00E430C1">
        <w:rPr>
          <w:rFonts w:ascii="Times New Roman" w:hAnsi="Times New Roman" w:cs="Times New Roman"/>
          <w:sz w:val="24"/>
          <w:szCs w:val="24"/>
        </w:rPr>
        <w:t>Opower</w:t>
      </w:r>
      <w:proofErr w:type="spellEnd"/>
      <w:r w:rsidRPr="00E430C1">
        <w:rPr>
          <w:rFonts w:ascii="Times New Roman" w:hAnsi="Times New Roman" w:cs="Times New Roman"/>
          <w:sz w:val="24"/>
          <w:szCs w:val="24"/>
        </w:rPr>
        <w:t xml:space="preserve"> savings will require additional time and information. It may be appropriate at a later date to work with the companies to develop a consistent methodology, as was done with NEEA savings in the current biennium. During the 2014-2015 biennium, Staff intends to review program evaluations from the companies and discuss with the conservation advisory groups options for promoting consistent treatment in future biennia.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The following summaries describe each company’s methodology for calculating </w:t>
      </w:r>
      <w:proofErr w:type="spellStart"/>
      <w:r w:rsidRPr="00E430C1">
        <w:rPr>
          <w:rFonts w:ascii="Times New Roman" w:hAnsi="Times New Roman" w:cs="Times New Roman"/>
          <w:sz w:val="24"/>
          <w:szCs w:val="24"/>
        </w:rPr>
        <w:t>Opower</w:t>
      </w:r>
      <w:proofErr w:type="spellEnd"/>
      <w:r w:rsidRPr="00E430C1">
        <w:rPr>
          <w:rFonts w:ascii="Times New Roman" w:hAnsi="Times New Roman" w:cs="Times New Roman"/>
          <w:sz w:val="24"/>
          <w:szCs w:val="24"/>
        </w:rPr>
        <w:t xml:space="preserve"> savings:</w:t>
      </w:r>
    </w:p>
    <w:p w:rsidR="007327FB" w:rsidRPr="00E430C1" w:rsidRDefault="007327FB" w:rsidP="007327FB">
      <w:pPr>
        <w:rPr>
          <w:rFonts w:ascii="Times New Roman" w:hAnsi="Times New Roman" w:cs="Times New Roman"/>
          <w:sz w:val="24"/>
          <w:szCs w:val="24"/>
        </w:rPr>
      </w:pPr>
    </w:p>
    <w:p w:rsidR="007327FB" w:rsidRPr="00E430C1" w:rsidRDefault="007327FB" w:rsidP="007327FB">
      <w:pPr>
        <w:pStyle w:val="ListParagraph"/>
        <w:numPr>
          <w:ilvl w:val="0"/>
          <w:numId w:val="15"/>
        </w:numPr>
        <w:rPr>
          <w:rFonts w:ascii="Times New Roman" w:hAnsi="Times New Roman" w:cs="Times New Roman"/>
          <w:sz w:val="24"/>
          <w:szCs w:val="24"/>
        </w:rPr>
      </w:pPr>
      <w:r w:rsidRPr="00E430C1">
        <w:rPr>
          <w:rFonts w:ascii="Times New Roman" w:hAnsi="Times New Roman" w:cs="Times New Roman"/>
          <w:b/>
          <w:sz w:val="24"/>
          <w:szCs w:val="24"/>
        </w:rPr>
        <w:t xml:space="preserve">Avista: </w:t>
      </w:r>
      <w:r w:rsidRPr="00E430C1">
        <w:rPr>
          <w:rFonts w:ascii="Times New Roman" w:hAnsi="Times New Roman" w:cs="Times New Roman"/>
          <w:sz w:val="24"/>
          <w:szCs w:val="24"/>
        </w:rPr>
        <w:t>Uses a two-year measure life, with a</w:t>
      </w:r>
      <w:r w:rsidR="007176A3" w:rsidRPr="00E430C1">
        <w:rPr>
          <w:rFonts w:ascii="Times New Roman" w:hAnsi="Times New Roman" w:cs="Times New Roman"/>
          <w:sz w:val="24"/>
          <w:szCs w:val="24"/>
        </w:rPr>
        <w:t>n assumed persistence rate of 100 percent between consecutive years</w:t>
      </w:r>
      <w:r w:rsidRPr="00E430C1">
        <w:rPr>
          <w:rFonts w:ascii="Times New Roman" w:hAnsi="Times New Roman" w:cs="Times New Roman"/>
          <w:sz w:val="24"/>
          <w:szCs w:val="24"/>
        </w:rPr>
        <w:t>. Avista’s Home Energy Report</w:t>
      </w:r>
      <w:r w:rsidR="00AB7E7B" w:rsidRPr="00E430C1">
        <w:rPr>
          <w:rFonts w:ascii="Times New Roman" w:hAnsi="Times New Roman" w:cs="Times New Roman"/>
          <w:sz w:val="24"/>
          <w:szCs w:val="24"/>
        </w:rPr>
        <w:t>s</w:t>
      </w:r>
      <w:r w:rsidRPr="00E430C1">
        <w:rPr>
          <w:rFonts w:ascii="Times New Roman" w:hAnsi="Times New Roman" w:cs="Times New Roman"/>
          <w:sz w:val="24"/>
          <w:szCs w:val="24"/>
        </w:rPr>
        <w:t xml:space="preserve"> program will be evaluated on a two-year cycle, with the expenditures in year one of the biennium creating all of the conservation in year one and </w:t>
      </w:r>
      <w:r w:rsidR="007176A3" w:rsidRPr="00E430C1">
        <w:rPr>
          <w:rFonts w:ascii="Times New Roman" w:hAnsi="Times New Roman" w:cs="Times New Roman"/>
          <w:sz w:val="24"/>
          <w:szCs w:val="24"/>
        </w:rPr>
        <w:t xml:space="preserve">roughly </w:t>
      </w:r>
      <w:r w:rsidRPr="00E430C1">
        <w:rPr>
          <w:rFonts w:ascii="Times New Roman" w:hAnsi="Times New Roman" w:cs="Times New Roman"/>
          <w:sz w:val="24"/>
          <w:szCs w:val="24"/>
        </w:rPr>
        <w:t>62 percent of the conservation in year two.</w:t>
      </w:r>
      <w:r w:rsidR="007B16B9" w:rsidRPr="00E430C1">
        <w:rPr>
          <w:rStyle w:val="FootnoteReference"/>
          <w:rFonts w:ascii="Times New Roman" w:hAnsi="Times New Roman" w:cs="Times New Roman"/>
          <w:sz w:val="24"/>
          <w:szCs w:val="24"/>
        </w:rPr>
        <w:footnoteReference w:id="37"/>
      </w:r>
      <w:r w:rsidRPr="00E430C1">
        <w:rPr>
          <w:rFonts w:ascii="Times New Roman" w:hAnsi="Times New Roman" w:cs="Times New Roman"/>
          <w:sz w:val="24"/>
          <w:szCs w:val="24"/>
        </w:rPr>
        <w:t xml:space="preserve"> The remaining 38 percent of year two conservation will be </w:t>
      </w:r>
      <w:r w:rsidR="007176A3" w:rsidRPr="00E430C1">
        <w:rPr>
          <w:rFonts w:ascii="Times New Roman" w:hAnsi="Times New Roman" w:cs="Times New Roman"/>
          <w:sz w:val="24"/>
          <w:szCs w:val="24"/>
        </w:rPr>
        <w:t>increme</w:t>
      </w:r>
      <w:r w:rsidR="002A0401" w:rsidRPr="00E430C1">
        <w:rPr>
          <w:rFonts w:ascii="Times New Roman" w:hAnsi="Times New Roman" w:cs="Times New Roman"/>
          <w:sz w:val="24"/>
          <w:szCs w:val="24"/>
        </w:rPr>
        <w:t xml:space="preserve">ntal </w:t>
      </w:r>
      <w:proofErr w:type="gramStart"/>
      <w:r w:rsidR="002A0401" w:rsidRPr="00E430C1">
        <w:rPr>
          <w:rFonts w:ascii="Times New Roman" w:hAnsi="Times New Roman" w:cs="Times New Roman"/>
          <w:sz w:val="24"/>
          <w:szCs w:val="24"/>
        </w:rPr>
        <w:t>to year one persistence</w:t>
      </w:r>
      <w:proofErr w:type="gramEnd"/>
      <w:r w:rsidR="002A0401" w:rsidRPr="00E430C1">
        <w:rPr>
          <w:rFonts w:ascii="Times New Roman" w:hAnsi="Times New Roman" w:cs="Times New Roman"/>
          <w:sz w:val="24"/>
          <w:szCs w:val="24"/>
        </w:rPr>
        <w:t>,</w:t>
      </w:r>
      <w:r w:rsidR="007176A3" w:rsidRPr="00E430C1">
        <w:rPr>
          <w:rFonts w:ascii="Times New Roman" w:hAnsi="Times New Roman" w:cs="Times New Roman"/>
          <w:sz w:val="24"/>
          <w:szCs w:val="24"/>
        </w:rPr>
        <w:t xml:space="preserve"> </w:t>
      </w:r>
      <w:r w:rsidRPr="00E430C1">
        <w:rPr>
          <w:rFonts w:ascii="Times New Roman" w:hAnsi="Times New Roman" w:cs="Times New Roman"/>
          <w:sz w:val="24"/>
          <w:szCs w:val="24"/>
        </w:rPr>
        <w:t>attributable to year two expenditures</w:t>
      </w:r>
      <w:r w:rsidR="002A0401" w:rsidRPr="00E430C1">
        <w:rPr>
          <w:rFonts w:ascii="Times New Roman" w:hAnsi="Times New Roman" w:cs="Times New Roman"/>
          <w:sz w:val="24"/>
          <w:szCs w:val="24"/>
        </w:rPr>
        <w:t>, and itself persistent into year three</w:t>
      </w:r>
      <w:r w:rsidRPr="00E430C1">
        <w:rPr>
          <w:rFonts w:ascii="Times New Roman" w:hAnsi="Times New Roman" w:cs="Times New Roman"/>
          <w:sz w:val="24"/>
          <w:szCs w:val="24"/>
        </w:rPr>
        <w:t>. To account</w:t>
      </w:r>
      <w:r w:rsidR="00F5184B" w:rsidRPr="00E430C1">
        <w:rPr>
          <w:rFonts w:ascii="Times New Roman" w:hAnsi="Times New Roman" w:cs="Times New Roman"/>
          <w:sz w:val="24"/>
          <w:szCs w:val="24"/>
        </w:rPr>
        <w:t xml:space="preserve"> for program overlap, Avista plans to discount its reported savings from Home Energy Reports by 2 percent.</w:t>
      </w:r>
      <w:r w:rsidR="00F5184B" w:rsidRPr="00E430C1">
        <w:rPr>
          <w:rStyle w:val="FootnoteReference"/>
          <w:rFonts w:ascii="Times New Roman" w:hAnsi="Times New Roman" w:cs="Times New Roman"/>
          <w:sz w:val="24"/>
          <w:szCs w:val="24"/>
        </w:rPr>
        <w:footnoteReference w:id="38"/>
      </w:r>
    </w:p>
    <w:p w:rsidR="007327FB" w:rsidRPr="00E430C1" w:rsidRDefault="007327FB" w:rsidP="007327FB">
      <w:pPr>
        <w:pStyle w:val="ListParagraph"/>
        <w:rPr>
          <w:rFonts w:ascii="Times New Roman" w:hAnsi="Times New Roman" w:cs="Times New Roman"/>
          <w:sz w:val="24"/>
          <w:szCs w:val="24"/>
        </w:rPr>
      </w:pPr>
    </w:p>
    <w:p w:rsidR="007327FB" w:rsidRPr="00E430C1" w:rsidRDefault="007327FB" w:rsidP="007327FB">
      <w:pPr>
        <w:pStyle w:val="ListParagraph"/>
        <w:numPr>
          <w:ilvl w:val="0"/>
          <w:numId w:val="15"/>
        </w:numPr>
        <w:rPr>
          <w:rFonts w:ascii="Times New Roman" w:hAnsi="Times New Roman" w:cs="Times New Roman"/>
          <w:sz w:val="24"/>
          <w:szCs w:val="24"/>
        </w:rPr>
      </w:pPr>
      <w:r w:rsidRPr="00E430C1">
        <w:rPr>
          <w:rFonts w:ascii="Times New Roman" w:hAnsi="Times New Roman" w:cs="Times New Roman"/>
          <w:b/>
          <w:sz w:val="24"/>
          <w:szCs w:val="24"/>
        </w:rPr>
        <w:t>PacifiCorp:</w:t>
      </w:r>
      <w:r w:rsidRPr="00E430C1">
        <w:rPr>
          <w:rFonts w:ascii="Times New Roman" w:hAnsi="Times New Roman" w:cs="Times New Roman"/>
          <w:sz w:val="24"/>
          <w:szCs w:val="24"/>
        </w:rPr>
        <w:t xml:space="preserve"> Uses a one-year measure life, with an assumed persistence rate of 0 percent. That means that the company’s Home Energy Report</w:t>
      </w:r>
      <w:r w:rsidR="00AB7E7B" w:rsidRPr="00E430C1">
        <w:rPr>
          <w:rFonts w:ascii="Times New Roman" w:hAnsi="Times New Roman" w:cs="Times New Roman"/>
          <w:sz w:val="24"/>
          <w:szCs w:val="24"/>
        </w:rPr>
        <w:t>s</w:t>
      </w:r>
      <w:r w:rsidRPr="00E430C1">
        <w:rPr>
          <w:rFonts w:ascii="Times New Roman" w:hAnsi="Times New Roman" w:cs="Times New Roman"/>
          <w:sz w:val="24"/>
          <w:szCs w:val="24"/>
        </w:rPr>
        <w:t xml:space="preserve"> program will be evaluated on a one-year cycle, with each year’s expenditures creating all of the conservation for that year. To account for program overlap, PacifiCorp discounts its reported conservation from Home Energy Reports by 7 percent.</w:t>
      </w:r>
      <w:r w:rsidRPr="00E430C1">
        <w:rPr>
          <w:rStyle w:val="FootnoteReference"/>
          <w:rFonts w:ascii="Times New Roman" w:hAnsi="Times New Roman" w:cs="Times New Roman"/>
          <w:sz w:val="24"/>
          <w:szCs w:val="24"/>
        </w:rPr>
        <w:footnoteReference w:id="39"/>
      </w:r>
    </w:p>
    <w:p w:rsidR="007327FB" w:rsidRPr="00E430C1" w:rsidRDefault="007327FB" w:rsidP="007327FB">
      <w:pPr>
        <w:pStyle w:val="ListParagraph"/>
        <w:rPr>
          <w:rFonts w:ascii="Times New Roman" w:hAnsi="Times New Roman" w:cs="Times New Roman"/>
          <w:sz w:val="24"/>
          <w:szCs w:val="24"/>
        </w:rPr>
      </w:pPr>
    </w:p>
    <w:p w:rsidR="007327FB" w:rsidRPr="00E430C1" w:rsidRDefault="007327FB" w:rsidP="007327FB">
      <w:pPr>
        <w:pStyle w:val="ListParagraph"/>
        <w:numPr>
          <w:ilvl w:val="0"/>
          <w:numId w:val="15"/>
        </w:numPr>
        <w:rPr>
          <w:rFonts w:ascii="Times New Roman" w:hAnsi="Times New Roman" w:cs="Times New Roman"/>
          <w:sz w:val="24"/>
          <w:szCs w:val="24"/>
        </w:rPr>
      </w:pPr>
      <w:r w:rsidRPr="00E430C1">
        <w:rPr>
          <w:rFonts w:ascii="Times New Roman" w:hAnsi="Times New Roman" w:cs="Times New Roman"/>
          <w:b/>
          <w:sz w:val="24"/>
          <w:szCs w:val="24"/>
        </w:rPr>
        <w:t xml:space="preserve">PSE: </w:t>
      </w:r>
      <w:r w:rsidRPr="00E430C1">
        <w:rPr>
          <w:rFonts w:ascii="Times New Roman" w:hAnsi="Times New Roman" w:cs="Times New Roman"/>
          <w:sz w:val="24"/>
          <w:szCs w:val="24"/>
        </w:rPr>
        <w:t>Uses a two-year measure life, with an assumed persistence rate of 100 percent within the biennium and 0 percent between biennia. That means that the company’s Home Energy Report</w:t>
      </w:r>
      <w:r w:rsidR="00AB7E7B" w:rsidRPr="00E430C1">
        <w:rPr>
          <w:rFonts w:ascii="Times New Roman" w:hAnsi="Times New Roman" w:cs="Times New Roman"/>
          <w:sz w:val="24"/>
          <w:szCs w:val="24"/>
        </w:rPr>
        <w:t>s</w:t>
      </w:r>
      <w:r w:rsidRPr="00E430C1">
        <w:rPr>
          <w:rFonts w:ascii="Times New Roman" w:hAnsi="Times New Roman" w:cs="Times New Roman"/>
          <w:sz w:val="24"/>
          <w:szCs w:val="24"/>
        </w:rPr>
        <w:t xml:space="preserve"> program will be evaluated on a two-year cycle, with the expenditures in year one of the biennium driving all conservation in year one and the same amount of conservation in year two. Any incremental gains in year two will be attributable to year two expenditures. All measurement resets with the next biennium. To account for program overlap, PSE subtracts savings attributed to other incentive programs, which resulted in a discount of about 2 percent to 2012 Home Energy Report</w:t>
      </w:r>
      <w:r w:rsidR="00AB7E7B" w:rsidRPr="00E430C1">
        <w:rPr>
          <w:rFonts w:ascii="Times New Roman" w:hAnsi="Times New Roman" w:cs="Times New Roman"/>
          <w:sz w:val="24"/>
          <w:szCs w:val="24"/>
        </w:rPr>
        <w:t>s</w:t>
      </w:r>
      <w:r w:rsidRPr="00E430C1">
        <w:rPr>
          <w:rFonts w:ascii="Times New Roman" w:hAnsi="Times New Roman" w:cs="Times New Roman"/>
          <w:sz w:val="24"/>
          <w:szCs w:val="24"/>
        </w:rPr>
        <w:t xml:space="preserve"> savings.</w:t>
      </w:r>
      <w:r w:rsidRPr="00E430C1">
        <w:rPr>
          <w:rStyle w:val="FootnoteReference"/>
          <w:rFonts w:ascii="Times New Roman" w:hAnsi="Times New Roman" w:cs="Times New Roman"/>
          <w:sz w:val="24"/>
          <w:szCs w:val="24"/>
        </w:rPr>
        <w:footnoteReference w:id="40"/>
      </w:r>
      <w:r w:rsidRPr="00E430C1">
        <w:rPr>
          <w:rFonts w:ascii="Times New Roman" w:hAnsi="Times New Roman" w:cs="Times New Roman"/>
          <w:sz w:val="24"/>
          <w:szCs w:val="24"/>
        </w:rPr>
        <w:t xml:space="preserve"> </w:t>
      </w:r>
    </w:p>
    <w:p w:rsidR="007327FB" w:rsidRPr="00E430C1" w:rsidRDefault="007327FB" w:rsidP="007327FB">
      <w:pPr>
        <w:pStyle w:val="ListParagraph"/>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In addition to obtaining continued program data, companies must use the data they gather. PSE’s initial Home Energy Reports pilot suspended the reports for a quarter of households in the program after two years, and is tracking the persistence of savings within those households. </w:t>
      </w:r>
      <w:r w:rsidR="006F1F10">
        <w:rPr>
          <w:rFonts w:ascii="Times New Roman" w:hAnsi="Times New Roman" w:cs="Times New Roman"/>
          <w:sz w:val="24"/>
          <w:szCs w:val="24"/>
        </w:rPr>
        <w:t>T</w:t>
      </w:r>
      <w:r w:rsidRPr="00E430C1">
        <w:rPr>
          <w:rFonts w:ascii="Times New Roman" w:hAnsi="Times New Roman" w:cs="Times New Roman"/>
          <w:sz w:val="24"/>
          <w:szCs w:val="24"/>
        </w:rPr>
        <w:t xml:space="preserve">his is a valuable study, </w:t>
      </w:r>
      <w:r w:rsidR="006F1F10">
        <w:rPr>
          <w:rFonts w:ascii="Times New Roman" w:hAnsi="Times New Roman" w:cs="Times New Roman"/>
          <w:sz w:val="24"/>
          <w:szCs w:val="24"/>
        </w:rPr>
        <w:t>yet</w:t>
      </w:r>
      <w:r w:rsidRPr="00E430C1">
        <w:rPr>
          <w:rFonts w:ascii="Times New Roman" w:hAnsi="Times New Roman" w:cs="Times New Roman"/>
          <w:sz w:val="24"/>
          <w:szCs w:val="24"/>
        </w:rPr>
        <w:t xml:space="preserve"> PSE’s methodology for measuring its Home Energy Report</w:t>
      </w:r>
      <w:r w:rsidR="00063F2D">
        <w:rPr>
          <w:rFonts w:ascii="Times New Roman" w:hAnsi="Times New Roman" w:cs="Times New Roman"/>
          <w:sz w:val="24"/>
          <w:szCs w:val="24"/>
        </w:rPr>
        <w:t>s</w:t>
      </w:r>
      <w:r w:rsidRPr="00E430C1">
        <w:rPr>
          <w:rFonts w:ascii="Times New Roman" w:hAnsi="Times New Roman" w:cs="Times New Roman"/>
          <w:sz w:val="24"/>
          <w:szCs w:val="24"/>
        </w:rPr>
        <w:t xml:space="preserve"> savings does not seem to reflect the persistence levels found by the study. Staff is committed to working with the companies to devise a reasonable and consistent approach, and the success of this effort depends on the companies acting on the information they gather. </w:t>
      </w:r>
    </w:p>
    <w:p w:rsidR="007327FB" w:rsidRPr="00E430C1" w:rsidRDefault="007327FB" w:rsidP="007327FB">
      <w:pPr>
        <w:pStyle w:val="ListParagraph"/>
        <w:ind w:left="0"/>
        <w:rPr>
          <w:rFonts w:ascii="Times New Roman" w:hAnsi="Times New Roman" w:cs="Times New Roman"/>
          <w:b/>
          <w:sz w:val="24"/>
          <w:szCs w:val="24"/>
        </w:rPr>
      </w:pPr>
    </w:p>
    <w:p w:rsidR="007327FB" w:rsidRPr="00E430C1" w:rsidRDefault="007327FB" w:rsidP="00E36B70">
      <w:pPr>
        <w:pStyle w:val="Heading2"/>
      </w:pPr>
      <w:bookmarkStart w:id="21" w:name="_Toc373834563"/>
      <w:r w:rsidRPr="00E430C1">
        <w:t>Locked Unit Energy Savings (UES) values</w:t>
      </w:r>
      <w:bookmarkEnd w:id="21"/>
    </w:p>
    <w:p w:rsidR="007327FB" w:rsidRPr="00E430C1" w:rsidRDefault="007327FB" w:rsidP="007327FB">
      <w:pPr>
        <w:rPr>
          <w:rFonts w:ascii="Times New Roman" w:hAnsi="Times New Roman" w:cs="Times New Roman"/>
          <w:b/>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UES values refer to the expected savings an energy efficiency widget will achieve as compared to the market baseline. UES values tend to decrease over time as market baselines are pushed progressively higher. As a result, UES updates can occur after the target has been established but before biennial acquisition is reported.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During the development of these BCPs, a question arose as to whether these updated UES values should be incorporated into the calculation of savings a company reports at the end of the biennium. The problem associated with such a requirement is that by incorporating updated UES values into the calculation of savings that a company applies toward its target, there would be a mismatch between the assumptions used for target setting and the assumptions used for reporting achievement</w:t>
      </w:r>
      <w:r w:rsidR="00333349" w:rsidRPr="00E430C1">
        <w:rPr>
          <w:rFonts w:ascii="Times New Roman" w:hAnsi="Times New Roman" w:cs="Times New Roman"/>
          <w:sz w:val="24"/>
          <w:szCs w:val="24"/>
        </w:rPr>
        <w:t xml:space="preserve"> toward that target</w:t>
      </w:r>
      <w:r w:rsidRPr="00E430C1">
        <w:rPr>
          <w:rFonts w:ascii="Times New Roman" w:hAnsi="Times New Roman" w:cs="Times New Roman"/>
          <w:sz w:val="24"/>
          <w:szCs w:val="24"/>
        </w:rPr>
        <w:t xml:space="preserve">. </w:t>
      </w:r>
      <w:r w:rsidR="007D7659">
        <w:rPr>
          <w:rFonts w:ascii="Times New Roman" w:hAnsi="Times New Roman" w:cs="Times New Roman"/>
          <w:sz w:val="24"/>
          <w:szCs w:val="24"/>
        </w:rPr>
        <w:t>I</w:t>
      </w:r>
      <w:r w:rsidRPr="00E430C1">
        <w:rPr>
          <w:rFonts w:ascii="Times New Roman" w:hAnsi="Times New Roman" w:cs="Times New Roman"/>
          <w:sz w:val="24"/>
          <w:szCs w:val="24"/>
        </w:rPr>
        <w:t>ntra-biennial UES updates could contribute to a higher risk of a company not meeting its target, specifically if that updated UES is used for calculating savings toward the biennial target.</w:t>
      </w:r>
    </w:p>
    <w:p w:rsidR="007327FB" w:rsidRPr="00E430C1" w:rsidRDefault="007327FB" w:rsidP="007327FB">
      <w:pPr>
        <w:rPr>
          <w:rFonts w:ascii="Times New Roman" w:hAnsi="Times New Roman" w:cs="Times New Roman"/>
          <w:sz w:val="24"/>
          <w:szCs w:val="24"/>
        </w:rPr>
      </w:pPr>
    </w:p>
    <w:p w:rsidR="007327FB" w:rsidRPr="00E430C1" w:rsidRDefault="007D7659" w:rsidP="007327FB">
      <w:pPr>
        <w:rPr>
          <w:rFonts w:ascii="Times New Roman" w:hAnsi="Times New Roman" w:cs="Times New Roman"/>
          <w:sz w:val="24"/>
          <w:szCs w:val="24"/>
        </w:rPr>
      </w:pPr>
      <w:r>
        <w:rPr>
          <w:rFonts w:ascii="Times New Roman" w:hAnsi="Times New Roman" w:cs="Times New Roman"/>
          <w:sz w:val="24"/>
          <w:szCs w:val="24"/>
        </w:rPr>
        <w:t>This</w:t>
      </w:r>
      <w:r w:rsidR="007327FB" w:rsidRPr="00E430C1">
        <w:rPr>
          <w:rFonts w:ascii="Times New Roman" w:hAnsi="Times New Roman" w:cs="Times New Roman"/>
          <w:sz w:val="24"/>
          <w:szCs w:val="24"/>
        </w:rPr>
        <w:t xml:space="preserve"> risk is due to </w:t>
      </w:r>
      <w:r>
        <w:rPr>
          <w:rFonts w:ascii="Times New Roman" w:hAnsi="Times New Roman" w:cs="Times New Roman"/>
          <w:sz w:val="24"/>
          <w:szCs w:val="24"/>
        </w:rPr>
        <w:t xml:space="preserve">at least some </w:t>
      </w:r>
      <w:r w:rsidR="007327FB" w:rsidRPr="00E430C1">
        <w:rPr>
          <w:rFonts w:ascii="Times New Roman" w:hAnsi="Times New Roman" w:cs="Times New Roman"/>
          <w:sz w:val="24"/>
          <w:szCs w:val="24"/>
        </w:rPr>
        <w:t xml:space="preserve">factors exogenous to the company. However, </w:t>
      </w:r>
      <w:r>
        <w:rPr>
          <w:rFonts w:ascii="Times New Roman" w:hAnsi="Times New Roman" w:cs="Times New Roman"/>
          <w:sz w:val="24"/>
          <w:szCs w:val="24"/>
        </w:rPr>
        <w:t xml:space="preserve">there is no information on </w:t>
      </w:r>
      <w:r w:rsidR="007327FB" w:rsidRPr="00E430C1">
        <w:rPr>
          <w:rFonts w:ascii="Times New Roman" w:hAnsi="Times New Roman" w:cs="Times New Roman"/>
          <w:sz w:val="24"/>
          <w:szCs w:val="24"/>
        </w:rPr>
        <w:t>whether this risk is substantial. Therefore, in the June 1, 2016, Biennial Conservation Reports, the companies</w:t>
      </w:r>
      <w:r w:rsidR="003225FF" w:rsidRPr="00E430C1">
        <w:rPr>
          <w:rFonts w:ascii="Times New Roman" w:hAnsi="Times New Roman" w:cs="Times New Roman"/>
          <w:sz w:val="24"/>
          <w:szCs w:val="24"/>
        </w:rPr>
        <w:t xml:space="preserve"> proposing to use locked UES values</w:t>
      </w:r>
      <w:r w:rsidR="00646B2D">
        <w:rPr>
          <w:rFonts w:ascii="Times New Roman" w:hAnsi="Times New Roman" w:cs="Times New Roman"/>
          <w:sz w:val="24"/>
          <w:szCs w:val="24"/>
        </w:rPr>
        <w:t xml:space="preserve"> should</w:t>
      </w:r>
      <w:r w:rsidR="007327FB" w:rsidRPr="00E430C1">
        <w:rPr>
          <w:rFonts w:ascii="Times New Roman" w:hAnsi="Times New Roman" w:cs="Times New Roman"/>
          <w:sz w:val="24"/>
          <w:szCs w:val="24"/>
        </w:rPr>
        <w:t xml:space="preserve"> report two sets of savings: one using fixed UES and the other using updated UES. </w:t>
      </w:r>
      <w:r w:rsidR="00646B2D">
        <w:rPr>
          <w:rFonts w:ascii="Times New Roman" w:hAnsi="Times New Roman" w:cs="Times New Roman"/>
          <w:sz w:val="24"/>
          <w:szCs w:val="24"/>
        </w:rPr>
        <w:t>In addition, for</w:t>
      </w:r>
      <w:r w:rsidR="007327FB" w:rsidRPr="00E430C1">
        <w:rPr>
          <w:rFonts w:ascii="Times New Roman" w:hAnsi="Times New Roman" w:cs="Times New Roman"/>
          <w:sz w:val="24"/>
          <w:szCs w:val="24"/>
        </w:rPr>
        <w:t xml:space="preserve"> the 2014-2015 </w:t>
      </w:r>
      <w:proofErr w:type="gramStart"/>
      <w:r w:rsidR="007327FB" w:rsidRPr="00E430C1">
        <w:rPr>
          <w:rFonts w:ascii="Times New Roman" w:hAnsi="Times New Roman" w:cs="Times New Roman"/>
          <w:sz w:val="24"/>
          <w:szCs w:val="24"/>
        </w:rPr>
        <w:t>biennium</w:t>
      </w:r>
      <w:proofErr w:type="gramEnd"/>
      <w:r w:rsidR="007327FB" w:rsidRPr="00E430C1">
        <w:rPr>
          <w:rFonts w:ascii="Times New Roman" w:hAnsi="Times New Roman" w:cs="Times New Roman"/>
          <w:sz w:val="24"/>
          <w:szCs w:val="24"/>
        </w:rPr>
        <w:t xml:space="preserve"> only, the Commission</w:t>
      </w:r>
      <w:r w:rsidR="00646B2D">
        <w:rPr>
          <w:rFonts w:ascii="Times New Roman" w:hAnsi="Times New Roman" w:cs="Times New Roman"/>
          <w:sz w:val="24"/>
          <w:szCs w:val="24"/>
        </w:rPr>
        <w:t xml:space="preserve"> could</w:t>
      </w:r>
      <w:r w:rsidR="007327FB" w:rsidRPr="00E430C1">
        <w:rPr>
          <w:rFonts w:ascii="Times New Roman" w:hAnsi="Times New Roman" w:cs="Times New Roman"/>
          <w:sz w:val="24"/>
          <w:szCs w:val="24"/>
        </w:rPr>
        <w:t xml:space="preserve"> allow the companies to apply savings toward the target that are calculated using the same UES assumptions that were used during target setting.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b/>
          <w:sz w:val="24"/>
          <w:szCs w:val="24"/>
        </w:rPr>
      </w:pPr>
      <w:r w:rsidRPr="00E430C1">
        <w:rPr>
          <w:rFonts w:ascii="Times New Roman" w:hAnsi="Times New Roman" w:cs="Times New Roman"/>
          <w:sz w:val="24"/>
          <w:szCs w:val="24"/>
        </w:rPr>
        <w:t xml:space="preserve">Regardless of whether updated UES will be used for reporting progress toward the target, it is important to use the most accurate, up-to-date information possible when developing an annual business plan. </w:t>
      </w:r>
      <w:r w:rsidR="004B615F">
        <w:rPr>
          <w:rFonts w:ascii="Times New Roman" w:hAnsi="Times New Roman" w:cs="Times New Roman"/>
          <w:sz w:val="24"/>
          <w:szCs w:val="24"/>
        </w:rPr>
        <w:t>To accomplish this goal, a</w:t>
      </w:r>
      <w:r w:rsidRPr="00E430C1">
        <w:rPr>
          <w:rFonts w:ascii="Times New Roman" w:hAnsi="Times New Roman" w:cs="Times New Roman"/>
          <w:sz w:val="24"/>
          <w:szCs w:val="24"/>
        </w:rPr>
        <w:t xml:space="preserve">nnual UES updates </w:t>
      </w:r>
      <w:r w:rsidR="004B615F">
        <w:rPr>
          <w:rFonts w:ascii="Times New Roman" w:hAnsi="Times New Roman" w:cs="Times New Roman"/>
          <w:sz w:val="24"/>
          <w:szCs w:val="24"/>
        </w:rPr>
        <w:t xml:space="preserve">must </w:t>
      </w:r>
      <w:r w:rsidRPr="00E430C1">
        <w:rPr>
          <w:rFonts w:ascii="Times New Roman" w:hAnsi="Times New Roman" w:cs="Times New Roman"/>
          <w:sz w:val="24"/>
          <w:szCs w:val="24"/>
        </w:rPr>
        <w:t xml:space="preserve">be performed and incorporated into the annual business plans. </w:t>
      </w:r>
    </w:p>
    <w:p w:rsidR="007327FB" w:rsidRPr="00E430C1" w:rsidRDefault="007327FB" w:rsidP="007D7659">
      <w:pPr>
        <w:pStyle w:val="Heading1"/>
      </w:pPr>
      <w:bookmarkStart w:id="22" w:name="_Toc373834564"/>
      <w:r w:rsidRPr="00E430C1">
        <w:t>CONCLUSION</w:t>
      </w:r>
      <w:bookmarkEnd w:id="22"/>
    </w:p>
    <w:p w:rsidR="007327FB" w:rsidRPr="00E430C1" w:rsidRDefault="007327FB" w:rsidP="007327FB">
      <w:pPr>
        <w:rPr>
          <w:rFonts w:ascii="Times New Roman" w:hAnsi="Times New Roman" w:cs="Times New Roman"/>
          <w:b/>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Staff </w:t>
      </w:r>
      <w:r w:rsidR="00493968" w:rsidRPr="00E430C1">
        <w:rPr>
          <w:rFonts w:ascii="Times New Roman" w:hAnsi="Times New Roman" w:cs="Times New Roman"/>
          <w:sz w:val="24"/>
          <w:szCs w:val="24"/>
        </w:rPr>
        <w:t>will present its final recommendation</w:t>
      </w:r>
      <w:r w:rsidR="00280F4C">
        <w:rPr>
          <w:rFonts w:ascii="Times New Roman" w:hAnsi="Times New Roman" w:cs="Times New Roman"/>
          <w:sz w:val="24"/>
          <w:szCs w:val="24"/>
        </w:rPr>
        <w:t>s</w:t>
      </w:r>
      <w:r w:rsidR="00493968" w:rsidRPr="00E430C1">
        <w:rPr>
          <w:rFonts w:ascii="Times New Roman" w:hAnsi="Times New Roman" w:cs="Times New Roman"/>
          <w:sz w:val="24"/>
          <w:szCs w:val="24"/>
        </w:rPr>
        <w:t xml:space="preserve"> at the December 18, 2013, Open Meeting</w:t>
      </w:r>
      <w:r w:rsidR="00280F4C">
        <w:rPr>
          <w:rFonts w:ascii="Times New Roman" w:hAnsi="Times New Roman" w:cs="Times New Roman"/>
          <w:sz w:val="24"/>
          <w:szCs w:val="24"/>
        </w:rPr>
        <w:t>, after stakeholder comments have been received and reviewed</w:t>
      </w:r>
      <w:r w:rsidRPr="00E430C1">
        <w:rPr>
          <w:rFonts w:ascii="Times New Roman" w:hAnsi="Times New Roman" w:cs="Times New Roman"/>
          <w:sz w:val="24"/>
          <w:szCs w:val="24"/>
        </w:rPr>
        <w:t>.</w:t>
      </w:r>
    </w:p>
    <w:p w:rsidR="007327FB" w:rsidRPr="00E430C1" w:rsidRDefault="007327FB" w:rsidP="007327FB">
      <w:pPr>
        <w:rPr>
          <w:rFonts w:ascii="Times New Roman" w:hAnsi="Times New Roman" w:cs="Times New Roman"/>
          <w:sz w:val="24"/>
          <w:szCs w:val="24"/>
        </w:rPr>
      </w:pPr>
    </w:p>
    <w:p w:rsidR="00727096" w:rsidRPr="00CE2B98" w:rsidRDefault="00727096" w:rsidP="007327FB">
      <w:pPr>
        <w:rPr>
          <w:rFonts w:ascii="Times New Roman" w:hAnsi="Times New Roman" w:cs="Times New Roman"/>
          <w:sz w:val="24"/>
          <w:szCs w:val="24"/>
        </w:rPr>
      </w:pPr>
    </w:p>
    <w:sectPr w:rsidR="00727096" w:rsidRPr="00CE2B98" w:rsidSect="00F60B1A">
      <w:footerReference w:type="default" r:id="rId12"/>
      <w:pgSz w:w="12240" w:h="15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8C7" w:rsidRDefault="003D48C7" w:rsidP="00A161A7">
      <w:r>
        <w:separator/>
      </w:r>
    </w:p>
  </w:endnote>
  <w:endnote w:type="continuationSeparator" w:id="0">
    <w:p w:rsidR="003D48C7" w:rsidRDefault="003D48C7" w:rsidP="00A1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95365"/>
      <w:docPartObj>
        <w:docPartGallery w:val="Page Numbers (Bottom of Page)"/>
        <w:docPartUnique/>
      </w:docPartObj>
    </w:sdtPr>
    <w:sdtEndPr>
      <w:rPr>
        <w:rFonts w:ascii="Times New Roman" w:hAnsi="Times New Roman" w:cs="Times New Roman"/>
        <w:noProof/>
      </w:rPr>
    </w:sdtEndPr>
    <w:sdtContent>
      <w:p w:rsidR="00D928D8" w:rsidRPr="009E53A9" w:rsidRDefault="00D928D8">
        <w:pPr>
          <w:pStyle w:val="Footer"/>
          <w:jc w:val="right"/>
          <w:rPr>
            <w:rFonts w:ascii="Times New Roman" w:hAnsi="Times New Roman" w:cs="Times New Roman"/>
          </w:rPr>
        </w:pPr>
        <w:r w:rsidRPr="009E53A9">
          <w:rPr>
            <w:rFonts w:ascii="Times New Roman" w:hAnsi="Times New Roman" w:cs="Times New Roman"/>
          </w:rPr>
          <w:fldChar w:fldCharType="begin"/>
        </w:r>
        <w:r w:rsidRPr="009E53A9">
          <w:rPr>
            <w:rFonts w:ascii="Times New Roman" w:hAnsi="Times New Roman" w:cs="Times New Roman"/>
          </w:rPr>
          <w:instrText xml:space="preserve"> PAGE   \* MERGEFORMAT </w:instrText>
        </w:r>
        <w:r w:rsidRPr="009E53A9">
          <w:rPr>
            <w:rFonts w:ascii="Times New Roman" w:hAnsi="Times New Roman" w:cs="Times New Roman"/>
          </w:rPr>
          <w:fldChar w:fldCharType="separate"/>
        </w:r>
        <w:r w:rsidR="00F60B1A">
          <w:rPr>
            <w:rFonts w:ascii="Times New Roman" w:hAnsi="Times New Roman" w:cs="Times New Roman"/>
            <w:noProof/>
          </w:rPr>
          <w:t>1</w:t>
        </w:r>
        <w:r w:rsidRPr="009E53A9">
          <w:rPr>
            <w:rFonts w:ascii="Times New Roman" w:hAnsi="Times New Roman" w:cs="Times New Roman"/>
            <w:noProof/>
          </w:rPr>
          <w:fldChar w:fldCharType="end"/>
        </w:r>
      </w:p>
    </w:sdtContent>
  </w:sdt>
  <w:p w:rsidR="00D928D8" w:rsidRDefault="00D92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8C7" w:rsidRDefault="003D48C7" w:rsidP="00A161A7">
      <w:r>
        <w:separator/>
      </w:r>
    </w:p>
  </w:footnote>
  <w:footnote w:type="continuationSeparator" w:id="0">
    <w:p w:rsidR="003D48C7" w:rsidRDefault="003D48C7" w:rsidP="00A161A7">
      <w:r>
        <w:continuationSeparator/>
      </w:r>
    </w:p>
  </w:footnote>
  <w:footnote w:id="1">
    <w:p w:rsidR="00D928D8" w:rsidRPr="009F699B" w:rsidRDefault="00D928D8">
      <w:pPr>
        <w:pStyle w:val="FootnoteText"/>
        <w:rPr>
          <w:rFonts w:ascii="Times New Roman" w:hAnsi="Times New Roman" w:cs="Times New Roman"/>
        </w:rPr>
      </w:pPr>
      <w:r w:rsidRPr="009F699B">
        <w:rPr>
          <w:rStyle w:val="FootnoteReference"/>
          <w:rFonts w:ascii="Times New Roman" w:hAnsi="Times New Roman" w:cs="Times New Roman"/>
        </w:rPr>
        <w:footnoteRef/>
      </w:r>
      <w:r w:rsidRPr="009F699B">
        <w:rPr>
          <w:rFonts w:ascii="Times New Roman" w:hAnsi="Times New Roman" w:cs="Times New Roman"/>
        </w:rPr>
        <w:t xml:space="preserve"> </w:t>
      </w:r>
      <w:proofErr w:type="gramStart"/>
      <w:r w:rsidRPr="009F699B">
        <w:rPr>
          <w:rFonts w:ascii="Times New Roman" w:hAnsi="Times New Roman" w:cs="Times New Roman"/>
        </w:rPr>
        <w:t>RCW 19.285</w:t>
      </w:r>
      <w:r>
        <w:rPr>
          <w:rFonts w:ascii="Times New Roman" w:hAnsi="Times New Roman" w:cs="Times New Roman"/>
        </w:rPr>
        <w:t>.</w:t>
      </w:r>
      <w:proofErr w:type="gramEnd"/>
    </w:p>
  </w:footnote>
  <w:footnote w:id="2">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RCW 19.285.040(1</w:t>
      </w:r>
      <w:proofErr w:type="gramStart"/>
      <w:r w:rsidRPr="00F5184B">
        <w:rPr>
          <w:rFonts w:ascii="Times New Roman" w:hAnsi="Times New Roman" w:cs="Times New Roman"/>
        </w:rPr>
        <w:t>)(</w:t>
      </w:r>
      <w:proofErr w:type="gramEnd"/>
      <w:r w:rsidRPr="00F5184B">
        <w:rPr>
          <w:rFonts w:ascii="Times New Roman" w:hAnsi="Times New Roman" w:cs="Times New Roman"/>
        </w:rPr>
        <w:t>a)</w:t>
      </w:r>
      <w:r>
        <w:rPr>
          <w:rFonts w:ascii="Times New Roman" w:hAnsi="Times New Roman" w:cs="Times New Roman"/>
        </w:rPr>
        <w:t>.</w:t>
      </w:r>
    </w:p>
  </w:footnote>
  <w:footnote w:id="3">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RCW 19.285.040(1)</w:t>
      </w:r>
      <w:r>
        <w:rPr>
          <w:rFonts w:ascii="Times New Roman" w:hAnsi="Times New Roman" w:cs="Times New Roman"/>
        </w:rPr>
        <w:t>.</w:t>
      </w:r>
      <w:proofErr w:type="gramEnd"/>
    </w:p>
  </w:footnote>
  <w:footnote w:id="4">
    <w:p w:rsidR="00D928D8" w:rsidRPr="00F5184B" w:rsidRDefault="00D928D8" w:rsidP="00C51D0D">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The Commission’s rules allow a company to base its CPA on either the company’s own Integrated Resource Plan (IRP) or on the company’s prorated share of the Council’s regional target, based on sales volume. See WAC 480-109-010(1). Each company used its IRP.</w:t>
      </w:r>
    </w:p>
  </w:footnote>
  <w:footnote w:id="5">
    <w:p w:rsidR="00D928D8" w:rsidRPr="00F5184B" w:rsidRDefault="00D928D8" w:rsidP="00C51D0D">
      <w:pPr>
        <w:widowControl w:val="0"/>
        <w:autoSpaceDE w:val="0"/>
        <w:autoSpaceDN w:val="0"/>
        <w:adjustRightInd w:val="0"/>
        <w:spacing w:after="19"/>
        <w:rPr>
          <w:rFonts w:ascii="Times New Roman" w:hAnsi="Times New Roman" w:cs="Times New Roman"/>
          <w:i/>
          <w:sz w:val="20"/>
          <w:szCs w:val="20"/>
        </w:rPr>
      </w:pPr>
      <w:r w:rsidRPr="00F5184B">
        <w:rPr>
          <w:rStyle w:val="FootnoteReference"/>
          <w:rFonts w:ascii="Times New Roman" w:hAnsi="Times New Roman" w:cs="Times New Roman"/>
          <w:sz w:val="20"/>
          <w:szCs w:val="20"/>
        </w:rPr>
        <w:footnoteRef/>
      </w:r>
      <w:r w:rsidRPr="00F5184B">
        <w:rPr>
          <w:rFonts w:ascii="Times New Roman" w:hAnsi="Times New Roman" w:cs="Times New Roman"/>
          <w:sz w:val="20"/>
          <w:szCs w:val="20"/>
        </w:rPr>
        <w:t xml:space="preserve"> </w:t>
      </w:r>
      <w:r w:rsidRPr="00F5184B">
        <w:rPr>
          <w:rFonts w:ascii="Times New Roman" w:hAnsi="Times New Roman" w:cs="Times New Roman"/>
          <w:i/>
          <w:sz w:val="20"/>
          <w:szCs w:val="20"/>
        </w:rPr>
        <w:t>In re Pacific Power &amp; Light Company’s 2012-2021 Ten-Year Achievable Conservation Potential and 2012-2013 Biennial Conservation Target Under RCW 19.285.040 and WAC 480</w:t>
      </w:r>
      <w:r w:rsidRPr="00F5184B">
        <w:rPr>
          <w:rFonts w:ascii="Times New Roman" w:hAnsi="Times New Roman" w:cs="Times New Roman"/>
          <w:i/>
          <w:sz w:val="20"/>
          <w:szCs w:val="20"/>
        </w:rPr>
        <w:noBreakHyphen/>
        <w:t>109</w:t>
      </w:r>
      <w:r w:rsidRPr="00F5184B">
        <w:rPr>
          <w:rFonts w:ascii="Times New Roman" w:hAnsi="Times New Roman" w:cs="Times New Roman"/>
          <w:i/>
          <w:sz w:val="20"/>
          <w:szCs w:val="20"/>
        </w:rPr>
        <w:noBreakHyphen/>
        <w:t xml:space="preserve">010 </w:t>
      </w:r>
      <w:r w:rsidRPr="00F5184B">
        <w:rPr>
          <w:rFonts w:ascii="Times New Roman" w:hAnsi="Times New Roman" w:cs="Times New Roman"/>
          <w:sz w:val="20"/>
          <w:szCs w:val="20"/>
        </w:rPr>
        <w:t xml:space="preserve">Docket UE-111880, Order 01 at ¶ 27; </w:t>
      </w:r>
      <w:r w:rsidRPr="00F5184B">
        <w:rPr>
          <w:rFonts w:ascii="Times New Roman" w:hAnsi="Times New Roman" w:cs="Times New Roman"/>
          <w:i/>
          <w:sz w:val="20"/>
          <w:szCs w:val="20"/>
        </w:rPr>
        <w:t>Puget Sound Energy, Inc</w:t>
      </w:r>
      <w:r>
        <w:rPr>
          <w:rFonts w:ascii="Times New Roman" w:hAnsi="Times New Roman" w:cs="Times New Roman"/>
          <w:i/>
          <w:sz w:val="20"/>
          <w:szCs w:val="20"/>
        </w:rPr>
        <w:t>.</w:t>
      </w:r>
      <w:r w:rsidRPr="00F5184B">
        <w:rPr>
          <w:rFonts w:ascii="Times New Roman" w:hAnsi="Times New Roman" w:cs="Times New Roman"/>
          <w:i/>
          <w:sz w:val="20"/>
          <w:szCs w:val="20"/>
        </w:rPr>
        <w:t>’s 2012-2021 Ten-Year Achievable Conservation Potential and 2012-2013 Biennial Conservation Target Under RCW 19.285.040 and WAC 480</w:t>
      </w:r>
      <w:r w:rsidRPr="00F5184B">
        <w:rPr>
          <w:rFonts w:ascii="Times New Roman" w:hAnsi="Times New Roman" w:cs="Times New Roman"/>
          <w:i/>
          <w:sz w:val="20"/>
          <w:szCs w:val="20"/>
        </w:rPr>
        <w:noBreakHyphen/>
        <w:t>109</w:t>
      </w:r>
      <w:r w:rsidRPr="00F5184B">
        <w:rPr>
          <w:rFonts w:ascii="Times New Roman" w:hAnsi="Times New Roman" w:cs="Times New Roman"/>
          <w:i/>
          <w:sz w:val="20"/>
          <w:szCs w:val="20"/>
        </w:rPr>
        <w:noBreakHyphen/>
        <w:t xml:space="preserve">010 </w:t>
      </w:r>
      <w:r w:rsidRPr="00F5184B">
        <w:rPr>
          <w:rFonts w:ascii="Times New Roman" w:hAnsi="Times New Roman" w:cs="Times New Roman"/>
          <w:sz w:val="20"/>
          <w:szCs w:val="20"/>
        </w:rPr>
        <w:t xml:space="preserve">Docket UE-111881, Order 01 at ¶ 35; </w:t>
      </w:r>
      <w:r w:rsidRPr="00F5184B">
        <w:rPr>
          <w:rFonts w:ascii="Times New Roman" w:hAnsi="Times New Roman" w:cs="Times New Roman"/>
          <w:i/>
          <w:sz w:val="20"/>
          <w:szCs w:val="20"/>
        </w:rPr>
        <w:t>Avista Corporation’s 2012-2021 Ten-Year Achievable Conservation Potential and 2012-2013 Biennial Conservation Target Under RCW 19.285.040 and WAC 480</w:t>
      </w:r>
      <w:r w:rsidRPr="00F5184B">
        <w:rPr>
          <w:rFonts w:ascii="Times New Roman" w:hAnsi="Times New Roman" w:cs="Times New Roman"/>
          <w:i/>
          <w:sz w:val="20"/>
          <w:szCs w:val="20"/>
        </w:rPr>
        <w:noBreakHyphen/>
        <w:t>109</w:t>
      </w:r>
      <w:r w:rsidRPr="00F5184B">
        <w:rPr>
          <w:rFonts w:ascii="Times New Roman" w:hAnsi="Times New Roman" w:cs="Times New Roman"/>
          <w:i/>
          <w:sz w:val="20"/>
          <w:szCs w:val="20"/>
        </w:rPr>
        <w:noBreakHyphen/>
        <w:t>010</w:t>
      </w:r>
      <w:r w:rsidRPr="00F5184B">
        <w:rPr>
          <w:rFonts w:ascii="Times New Roman" w:hAnsi="Times New Roman" w:cs="Times New Roman"/>
          <w:sz w:val="20"/>
          <w:szCs w:val="20"/>
        </w:rPr>
        <w:t xml:space="preserve"> Docket UE-111882</w:t>
      </w:r>
      <w:r>
        <w:rPr>
          <w:rFonts w:ascii="Times New Roman" w:hAnsi="Times New Roman" w:cs="Times New Roman"/>
          <w:sz w:val="20"/>
          <w:szCs w:val="20"/>
        </w:rPr>
        <w:t xml:space="preserve">, </w:t>
      </w:r>
      <w:r w:rsidRPr="00F5184B">
        <w:rPr>
          <w:rFonts w:ascii="Times New Roman" w:hAnsi="Times New Roman" w:cs="Times New Roman"/>
          <w:sz w:val="20"/>
          <w:szCs w:val="20"/>
        </w:rPr>
        <w:t>Order 01 at ¶ 28.</w:t>
      </w:r>
    </w:p>
  </w:footnote>
  <w:footnote w:id="6">
    <w:p w:rsidR="00D928D8" w:rsidRPr="00F5184B" w:rsidRDefault="00D928D8" w:rsidP="00DA1807">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WAC 480-109-010</w:t>
      </w:r>
      <w:r>
        <w:rPr>
          <w:rFonts w:ascii="Times New Roman" w:hAnsi="Times New Roman" w:cs="Times New Roman"/>
        </w:rPr>
        <w:t>(1</w:t>
      </w:r>
      <w:proofErr w:type="gramStart"/>
      <w:r>
        <w:rPr>
          <w:rFonts w:ascii="Times New Roman" w:hAnsi="Times New Roman" w:cs="Times New Roman"/>
        </w:rPr>
        <w:t>)</w:t>
      </w:r>
      <w:r w:rsidRPr="00F5184B">
        <w:rPr>
          <w:rFonts w:ascii="Times New Roman" w:hAnsi="Times New Roman" w:cs="Times New Roman"/>
        </w:rPr>
        <w:t>(</w:t>
      </w:r>
      <w:proofErr w:type="gramEnd"/>
      <w:r w:rsidRPr="00F5184B">
        <w:rPr>
          <w:rFonts w:ascii="Times New Roman" w:hAnsi="Times New Roman" w:cs="Times New Roman"/>
        </w:rPr>
        <w:t>b)(</w:t>
      </w:r>
      <w:proofErr w:type="spellStart"/>
      <w:r w:rsidRPr="00F5184B">
        <w:rPr>
          <w:rFonts w:ascii="Times New Roman" w:hAnsi="Times New Roman" w:cs="Times New Roman"/>
        </w:rPr>
        <w:t>i</w:t>
      </w:r>
      <w:proofErr w:type="spellEnd"/>
      <w:r w:rsidRPr="00F5184B">
        <w:rPr>
          <w:rFonts w:ascii="Times New Roman" w:hAnsi="Times New Roman" w:cs="Times New Roman"/>
        </w:rPr>
        <w:t>).</w:t>
      </w:r>
    </w:p>
  </w:footnote>
  <w:footnote w:id="7">
    <w:p w:rsidR="00D928D8" w:rsidRPr="00F5184B" w:rsidRDefault="00D928D8" w:rsidP="00DA1807">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DocketUE-111881, Order 01 at ¶ 35.</w:t>
      </w:r>
      <w:proofErr w:type="gramEnd"/>
    </w:p>
  </w:footnote>
  <w:footnote w:id="8">
    <w:p w:rsidR="00D928D8" w:rsidRPr="00F5184B" w:rsidRDefault="00D928D8" w:rsidP="00DA1807">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UE-111882</w:t>
      </w:r>
      <w:r>
        <w:rPr>
          <w:rFonts w:ascii="Times New Roman" w:hAnsi="Times New Roman" w:cs="Times New Roman"/>
        </w:rPr>
        <w:t>,</w:t>
      </w:r>
      <w:r w:rsidRPr="00F5184B">
        <w:rPr>
          <w:rFonts w:ascii="Times New Roman" w:hAnsi="Times New Roman" w:cs="Times New Roman"/>
        </w:rPr>
        <w:t xml:space="preserve"> Order 01 at ¶ 28.</w:t>
      </w:r>
    </w:p>
    <w:p w:rsidR="00D928D8" w:rsidRPr="00F5184B" w:rsidRDefault="00D928D8" w:rsidP="00DA1807">
      <w:pPr>
        <w:pStyle w:val="FootnoteText"/>
        <w:rPr>
          <w:rFonts w:ascii="Times New Roman" w:hAnsi="Times New Roman" w:cs="Times New Roman"/>
        </w:rPr>
      </w:pPr>
    </w:p>
  </w:footnote>
  <w:footnote w:id="9">
    <w:p w:rsidR="00D928D8" w:rsidRPr="00626536" w:rsidRDefault="00D928D8">
      <w:pPr>
        <w:pStyle w:val="FootnoteText"/>
        <w:rPr>
          <w:rFonts w:ascii="Times New Roman" w:hAnsi="Times New Roman" w:cs="Times New Roman"/>
        </w:rPr>
      </w:pPr>
      <w:r w:rsidRPr="00626536">
        <w:rPr>
          <w:rStyle w:val="FootnoteReference"/>
          <w:rFonts w:ascii="Times New Roman" w:hAnsi="Times New Roman" w:cs="Times New Roman"/>
        </w:rPr>
        <w:footnoteRef/>
      </w:r>
      <w:r w:rsidRPr="00626536">
        <w:rPr>
          <w:rFonts w:ascii="Times New Roman" w:hAnsi="Times New Roman" w:cs="Times New Roman"/>
        </w:rPr>
        <w:t xml:space="preserve"> </w:t>
      </w:r>
      <w:r>
        <w:rPr>
          <w:rFonts w:ascii="Times New Roman" w:hAnsi="Times New Roman" w:cs="Times New Roman"/>
        </w:rPr>
        <w:t>Since 2012</w:t>
      </w:r>
      <w:r w:rsidRPr="00626536">
        <w:rPr>
          <w:rFonts w:ascii="Times New Roman" w:hAnsi="Times New Roman" w:cs="Times New Roman"/>
        </w:rPr>
        <w:t xml:space="preserve">, representation on NEEA’s board for investor-owned utilities switched from Vice Presidents to Directors. That is, </w:t>
      </w:r>
      <w:r>
        <w:rPr>
          <w:rFonts w:ascii="Times New Roman" w:hAnsi="Times New Roman" w:cs="Times New Roman"/>
        </w:rPr>
        <w:t>in December 2011, Avista appointed Director of Customer Energy Management</w:t>
      </w:r>
      <w:r w:rsidRPr="00576BAE">
        <w:rPr>
          <w:rFonts w:ascii="Times New Roman" w:hAnsi="Times New Roman" w:cs="Times New Roman"/>
        </w:rPr>
        <w:t xml:space="preserve"> </w:t>
      </w:r>
      <w:r>
        <w:rPr>
          <w:rFonts w:ascii="Times New Roman" w:hAnsi="Times New Roman" w:cs="Times New Roman"/>
        </w:rPr>
        <w:t>Bruce Folsom, to replace Vice President and Chief Strategy Officer Roger Woodworth. In March of 2013,</w:t>
      </w:r>
      <w:r w:rsidRPr="00626536">
        <w:rPr>
          <w:rFonts w:ascii="Times New Roman" w:hAnsi="Times New Roman" w:cs="Times New Roman"/>
        </w:rPr>
        <w:t xml:space="preserve"> PSE</w:t>
      </w:r>
      <w:r>
        <w:rPr>
          <w:rFonts w:ascii="Times New Roman" w:hAnsi="Times New Roman" w:cs="Times New Roman"/>
        </w:rPr>
        <w:t xml:space="preserve"> appointed</w:t>
      </w:r>
      <w:r w:rsidRPr="00626536">
        <w:rPr>
          <w:rFonts w:ascii="Times New Roman" w:hAnsi="Times New Roman" w:cs="Times New Roman"/>
        </w:rPr>
        <w:t xml:space="preserve"> </w:t>
      </w:r>
      <w:r>
        <w:rPr>
          <w:rFonts w:ascii="Times New Roman" w:hAnsi="Times New Roman" w:cs="Times New Roman"/>
        </w:rPr>
        <w:t xml:space="preserve">Director of Customer Energy Management </w:t>
      </w:r>
      <w:r w:rsidRPr="00626536">
        <w:rPr>
          <w:rFonts w:ascii="Times New Roman" w:hAnsi="Times New Roman" w:cs="Times New Roman"/>
        </w:rPr>
        <w:t xml:space="preserve">Bob </w:t>
      </w:r>
      <w:proofErr w:type="spellStart"/>
      <w:r w:rsidRPr="00626536">
        <w:rPr>
          <w:rFonts w:ascii="Times New Roman" w:hAnsi="Times New Roman" w:cs="Times New Roman"/>
        </w:rPr>
        <w:t>Stolarski</w:t>
      </w:r>
      <w:proofErr w:type="spellEnd"/>
      <w:r>
        <w:rPr>
          <w:rFonts w:ascii="Times New Roman" w:hAnsi="Times New Roman" w:cs="Times New Roman"/>
        </w:rPr>
        <w:t xml:space="preserve"> to replace </w:t>
      </w:r>
      <w:r w:rsidRPr="00626536">
        <w:rPr>
          <w:rFonts w:ascii="Times New Roman" w:hAnsi="Times New Roman" w:cs="Times New Roman"/>
        </w:rPr>
        <w:t>Vice President</w:t>
      </w:r>
      <w:r>
        <w:rPr>
          <w:rFonts w:ascii="Times New Roman" w:hAnsi="Times New Roman" w:cs="Times New Roman"/>
        </w:rPr>
        <w:t xml:space="preserve"> of Energy Efficiency Services Cal Shirley</w:t>
      </w:r>
      <w:r w:rsidRPr="00626536">
        <w:rPr>
          <w:rFonts w:ascii="Times New Roman" w:hAnsi="Times New Roman" w:cs="Times New Roman"/>
        </w:rPr>
        <w:t>.</w:t>
      </w:r>
      <w:r>
        <w:rPr>
          <w:rFonts w:ascii="Times New Roman" w:hAnsi="Times New Roman" w:cs="Times New Roman"/>
        </w:rPr>
        <w:t xml:space="preserve"> PacifiCorp, on the other hand, appointed Vice President of Finance and Demand-Side Management Kathryn </w:t>
      </w:r>
      <w:proofErr w:type="spellStart"/>
      <w:r>
        <w:rPr>
          <w:rFonts w:ascii="Times New Roman" w:hAnsi="Times New Roman" w:cs="Times New Roman"/>
        </w:rPr>
        <w:t>Hymas</w:t>
      </w:r>
      <w:proofErr w:type="spellEnd"/>
      <w:r>
        <w:rPr>
          <w:rFonts w:ascii="Times New Roman" w:hAnsi="Times New Roman" w:cs="Times New Roman"/>
        </w:rPr>
        <w:t xml:space="preserve"> to replace Vice President of Customer and Community Affairs Pat Egan.</w:t>
      </w:r>
    </w:p>
  </w:footnote>
  <w:footnote w:id="10">
    <w:p w:rsidR="00D928D8" w:rsidRPr="003972C5" w:rsidRDefault="00D928D8">
      <w:pPr>
        <w:pStyle w:val="FootnoteText"/>
        <w:rPr>
          <w:rFonts w:ascii="Times New Roman" w:hAnsi="Times New Roman" w:cs="Times New Roman"/>
        </w:rPr>
      </w:pPr>
      <w:r w:rsidRPr="003972C5">
        <w:rPr>
          <w:rStyle w:val="FootnoteReference"/>
          <w:rFonts w:ascii="Times New Roman" w:hAnsi="Times New Roman" w:cs="Times New Roman"/>
        </w:rPr>
        <w:footnoteRef/>
      </w:r>
      <w:r w:rsidRPr="003972C5">
        <w:rPr>
          <w:rFonts w:ascii="Times New Roman" w:hAnsi="Times New Roman" w:cs="Times New Roman"/>
        </w:rPr>
        <w:t xml:space="preserve"> Further discussion of the </w:t>
      </w:r>
      <w:proofErr w:type="spellStart"/>
      <w:r w:rsidRPr="003972C5">
        <w:rPr>
          <w:rFonts w:ascii="Times New Roman" w:hAnsi="Times New Roman" w:cs="Times New Roman"/>
        </w:rPr>
        <w:t>Opower</w:t>
      </w:r>
      <w:proofErr w:type="spellEnd"/>
      <w:r w:rsidRPr="003972C5">
        <w:rPr>
          <w:rFonts w:ascii="Times New Roman" w:hAnsi="Times New Roman" w:cs="Times New Roman"/>
        </w:rPr>
        <w:t xml:space="preserve"> Home Energy Reports initiative is included </w:t>
      </w:r>
      <w:r>
        <w:rPr>
          <w:rFonts w:ascii="Times New Roman" w:hAnsi="Times New Roman" w:cs="Times New Roman"/>
        </w:rPr>
        <w:t>in the “</w:t>
      </w:r>
      <w:proofErr w:type="spellStart"/>
      <w:r>
        <w:rPr>
          <w:rFonts w:ascii="Times New Roman" w:hAnsi="Times New Roman" w:cs="Times New Roman"/>
        </w:rPr>
        <w:t>Opower</w:t>
      </w:r>
      <w:proofErr w:type="spellEnd"/>
      <w:r>
        <w:rPr>
          <w:rFonts w:ascii="Times New Roman" w:hAnsi="Times New Roman" w:cs="Times New Roman"/>
        </w:rPr>
        <w:t xml:space="preserve"> Savings” section</w:t>
      </w:r>
      <w:r w:rsidRPr="003972C5">
        <w:rPr>
          <w:rFonts w:ascii="Times New Roman" w:hAnsi="Times New Roman" w:cs="Times New Roman"/>
        </w:rPr>
        <w:t xml:space="preserve"> of these comments.</w:t>
      </w:r>
    </w:p>
  </w:footnote>
  <w:footnote w:id="11">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UE-132043, PSE 2014-2015 Biennial Conservation Plan, page 49.</w:t>
      </w:r>
    </w:p>
  </w:footnote>
  <w:footnote w:id="12">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r>
        <w:rPr>
          <w:rFonts w:ascii="Times New Roman" w:hAnsi="Times New Roman" w:cs="Times New Roman"/>
        </w:rPr>
        <w:t xml:space="preserve">Docket </w:t>
      </w:r>
      <w:r w:rsidRPr="00F5184B">
        <w:rPr>
          <w:rFonts w:ascii="Times New Roman" w:hAnsi="Times New Roman" w:cs="Times New Roman"/>
        </w:rPr>
        <w:t xml:space="preserve">UE-111880, Order 01, </w:t>
      </w:r>
      <w:proofErr w:type="gramStart"/>
      <w:r w:rsidRPr="00F5184B">
        <w:rPr>
          <w:rFonts w:ascii="Times New Roman" w:hAnsi="Times New Roman" w:cs="Times New Roman"/>
        </w:rPr>
        <w:t>condition</w:t>
      </w:r>
      <w:proofErr w:type="gramEnd"/>
      <w:r w:rsidRPr="00F5184B">
        <w:rPr>
          <w:rFonts w:ascii="Times New Roman" w:hAnsi="Times New Roman" w:cs="Times New Roman"/>
        </w:rPr>
        <w:t xml:space="preserve"> 11(d).</w:t>
      </w:r>
    </w:p>
  </w:footnote>
  <w:footnote w:id="13">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RCW 19.285.040(1).</w:t>
      </w:r>
      <w:proofErr w:type="gramEnd"/>
    </w:p>
  </w:footnote>
  <w:footnote w:id="14">
    <w:p w:rsidR="00D928D8" w:rsidRPr="00F5184B" w:rsidRDefault="00D928D8" w:rsidP="005C392E">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Avista’s 2013 IRP is filed with the Commission under Docket UE-121421.</w:t>
      </w:r>
    </w:p>
  </w:footnote>
  <w:footnote w:id="15">
    <w:p w:rsidR="00D928D8" w:rsidRPr="00F5184B" w:rsidRDefault="00D928D8" w:rsidP="005C392E">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This potential differs from the potential reported in Avista’s BCP (394,200 MWh) due to an error in the calculation of 2023 cumulative pumping savings within the CPA. This error was acknowledged in the Company’s response to</w:t>
      </w:r>
      <w:r>
        <w:rPr>
          <w:rFonts w:ascii="Times New Roman" w:hAnsi="Times New Roman" w:cs="Times New Roman"/>
        </w:rPr>
        <w:t xml:space="preserve"> informal</w:t>
      </w:r>
      <w:r w:rsidRPr="00F5184B">
        <w:rPr>
          <w:rFonts w:ascii="Times New Roman" w:hAnsi="Times New Roman" w:cs="Times New Roman"/>
        </w:rPr>
        <w:t xml:space="preserve"> Staff </w:t>
      </w:r>
      <w:r>
        <w:rPr>
          <w:rFonts w:ascii="Times New Roman" w:hAnsi="Times New Roman" w:cs="Times New Roman"/>
        </w:rPr>
        <w:t>data request</w:t>
      </w:r>
      <w:r w:rsidRPr="00F5184B">
        <w:rPr>
          <w:rFonts w:ascii="Times New Roman" w:hAnsi="Times New Roman" w:cs="Times New Roman"/>
        </w:rPr>
        <w:t xml:space="preserve"> 01. The </w:t>
      </w:r>
      <w:proofErr w:type="gramStart"/>
      <w:r w:rsidRPr="00F5184B">
        <w:rPr>
          <w:rFonts w:ascii="Times New Roman" w:hAnsi="Times New Roman" w:cs="Times New Roman"/>
        </w:rPr>
        <w:t xml:space="preserve">correct </w:t>
      </w:r>
      <w:r>
        <w:rPr>
          <w:rFonts w:ascii="Times New Roman" w:hAnsi="Times New Roman" w:cs="Times New Roman"/>
        </w:rPr>
        <w:t xml:space="preserve"> 10</w:t>
      </w:r>
      <w:proofErr w:type="gramEnd"/>
      <w:r>
        <w:rPr>
          <w:rFonts w:ascii="Times New Roman" w:hAnsi="Times New Roman" w:cs="Times New Roman"/>
        </w:rPr>
        <w:t>-year</w:t>
      </w:r>
      <w:r w:rsidRPr="00F5184B">
        <w:rPr>
          <w:rFonts w:ascii="Times New Roman" w:hAnsi="Times New Roman" w:cs="Times New Roman"/>
        </w:rPr>
        <w:t xml:space="preserve"> potential is 404,736 MWh.</w:t>
      </w:r>
    </w:p>
  </w:footnote>
  <w:footnote w:id="16">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Avista, 2014-2015 Biennial Conservation Plan, page 5.</w:t>
      </w:r>
      <w:proofErr w:type="gramEnd"/>
    </w:p>
  </w:footnote>
  <w:footnote w:id="17">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Based on 2012 and 2013 DSM Business Plan budgets of $12,373,861 and $14,712,717, respectively.</w:t>
      </w:r>
      <w:proofErr w:type="gramEnd"/>
    </w:p>
  </w:footnote>
  <w:footnote w:id="18">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Avista 2014 DSM Business Plan, page 64.</w:t>
      </w:r>
    </w:p>
  </w:footnote>
  <w:footnote w:id="19">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Avista 2014 DSM Business Plan, page 51.</w:t>
      </w:r>
      <w:r>
        <w:rPr>
          <w:rFonts w:ascii="Times New Roman" w:hAnsi="Times New Roman" w:cs="Times New Roman"/>
        </w:rPr>
        <w:t xml:space="preserve"> This total includes savings associated with fuel efficiency programs. After removing fuel efficiency programs, the total qualifying savings projection is 31,194 MWh. Avista files annual business plans, so the details for 2015 are not fully included in Avista’s BCP.</w:t>
      </w:r>
    </w:p>
  </w:footnote>
  <w:footnote w:id="20">
    <w:p w:rsidR="00D928D8" w:rsidRPr="00395FF9" w:rsidRDefault="00D928D8">
      <w:pPr>
        <w:pStyle w:val="FootnoteText"/>
        <w:rPr>
          <w:rFonts w:ascii="Times New Roman" w:hAnsi="Times New Roman" w:cs="Times New Roman"/>
        </w:rPr>
      </w:pPr>
      <w:r w:rsidRPr="00395FF9">
        <w:rPr>
          <w:rStyle w:val="FootnoteReference"/>
          <w:rFonts w:ascii="Times New Roman" w:hAnsi="Times New Roman" w:cs="Times New Roman"/>
        </w:rPr>
        <w:footnoteRef/>
      </w:r>
      <w:r w:rsidRPr="00395FF9">
        <w:rPr>
          <w:rFonts w:ascii="Times New Roman" w:hAnsi="Times New Roman" w:cs="Times New Roman"/>
        </w:rPr>
        <w:t xml:space="preserve"> This percentage does not include fuel efficiency programs. The 57 percent that Avista reports on page 52 of its 2014 DSM Business Plan includes savings from fuel efficiency programs which cannot be claimed against the biennial target.</w:t>
      </w:r>
    </w:p>
  </w:footnote>
  <w:footnote w:id="21">
    <w:p w:rsidR="00D928D8" w:rsidRPr="00F5184B" w:rsidRDefault="00D928D8" w:rsidP="00D055E9">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UE-131217, effective August 15, 2013.</w:t>
      </w:r>
    </w:p>
  </w:footnote>
  <w:footnote w:id="22">
    <w:p w:rsidR="00D928D8" w:rsidRPr="00F5184B" w:rsidRDefault="00D928D8" w:rsidP="00435E6E">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RCW 19.285.040(1).</w:t>
      </w:r>
      <w:proofErr w:type="gramEnd"/>
    </w:p>
  </w:footnote>
  <w:footnote w:id="23">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UE-131047, PacifiCorp Biennial Conservation Plan, pg. 12.</w:t>
      </w:r>
    </w:p>
  </w:footnote>
  <w:footnote w:id="24">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UE-131047, PacifiCorp Biennial Conservation Plan, pgs. 17-26.</w:t>
      </w:r>
    </w:p>
  </w:footnote>
  <w:footnote w:id="25">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UE-131047, PacifiCorp Biennial Conservation Plan, pg. 23.</w:t>
      </w:r>
    </w:p>
  </w:footnote>
  <w:footnote w:id="26">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For a more thorough discussion of the location and size of the potential production efficiency gains and the relevant ownership structures, see Docket UE-131047, PacifiCorp Biennial Conservation Plan, pgs. 24-25.</w:t>
      </w:r>
    </w:p>
  </w:footnote>
  <w:footnote w:id="27">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For more information on how the PacifiCorp treated NEEA savings in setting its target, see Docket UE-131047, PacifiCorp Biennial Conservation Plan pgs. 27-31.</w:t>
      </w:r>
    </w:p>
  </w:footnote>
  <w:footnote w:id="28">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Docket UE-131047, PacifiCorp Biennial Conservation Plan, Appendix 7 (PacifiCorp Demand-side Management 2014-2015 Business Plan – Washington), pg. 4.</w:t>
      </w:r>
      <w:proofErr w:type="gramEnd"/>
    </w:p>
  </w:footnote>
  <w:footnote w:id="29">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Docket UE-131047, PacifiCorp Biennial Conservation Plan, Appendix 7 (PacifiCorp Demand-side Management 2014-2015 Business Plan – Washington), pg. A1-3.</w:t>
      </w:r>
      <w:proofErr w:type="gramEnd"/>
    </w:p>
  </w:footnote>
  <w:footnote w:id="30">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PacifiCorp filed this tariff in Docket UE-132083 on Nov. 12, 2013.</w:t>
      </w:r>
    </w:p>
  </w:footnote>
  <w:footnote w:id="31">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UE-111880, Order 01 at paragraph 28, condition 7(d).</w:t>
      </w:r>
    </w:p>
  </w:footnote>
  <w:footnote w:id="32">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See PacifiCorp’s Biennial Conservation Plan, pg. 50.</w:t>
      </w:r>
    </w:p>
  </w:footnote>
  <w:footnote w:id="33">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See Moore, Michal C., “The Role of Energy Efficiency in Electric Power Systems: Lessons from Experiments in the US.”</w:t>
      </w:r>
    </w:p>
  </w:footnote>
  <w:footnote w:id="34">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See PacifiCorp’s 2014-2015 DSM Business Plan, pg. 4. PacifiCorp projects 10,885 MWh of savings from home energy reports, at a budget cost of $288,000.</w:t>
      </w:r>
    </w:p>
  </w:footnote>
  <w:footnote w:id="35">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See spreadsheet titled “2-Year View: PSE Conservation Rider Savings Goals and Budgets, 2014-2015,” located in Vol. 2, Exhibit 1 of the company’s filing. PSE projects 6,420 MWh of savings from home energy reports, at a budgeted cost of $320,300.</w:t>
      </w:r>
    </w:p>
  </w:footnote>
  <w:footnote w:id="36">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These per-</w:t>
      </w:r>
      <w:r>
        <w:rPr>
          <w:rFonts w:ascii="Times New Roman" w:hAnsi="Times New Roman" w:cs="Times New Roman"/>
        </w:rPr>
        <w:t>kWh</w:t>
      </w:r>
      <w:r w:rsidRPr="00F5184B">
        <w:rPr>
          <w:rFonts w:ascii="Times New Roman" w:hAnsi="Times New Roman" w:cs="Times New Roman"/>
        </w:rPr>
        <w:t xml:space="preserve"> costs should not be compared to one another, as they are the result of different assumptions and methodologies employed by PacifiCorp and PSE. They are included here only for illustrative purposes and should not be directly compared. </w:t>
      </w:r>
      <w:r>
        <w:rPr>
          <w:rFonts w:ascii="Times New Roman" w:hAnsi="Times New Roman" w:cs="Times New Roman"/>
        </w:rPr>
        <w:t>Avista has not provided</w:t>
      </w:r>
      <w:r w:rsidRPr="00F5184B">
        <w:rPr>
          <w:rFonts w:ascii="Times New Roman" w:hAnsi="Times New Roman" w:cs="Times New Roman"/>
        </w:rPr>
        <w:t xml:space="preserve"> similar per-</w:t>
      </w:r>
      <w:r>
        <w:rPr>
          <w:rFonts w:ascii="Times New Roman" w:hAnsi="Times New Roman" w:cs="Times New Roman"/>
        </w:rPr>
        <w:t>kWh</w:t>
      </w:r>
      <w:r w:rsidRPr="00F5184B">
        <w:rPr>
          <w:rFonts w:ascii="Times New Roman" w:hAnsi="Times New Roman" w:cs="Times New Roman"/>
        </w:rPr>
        <w:t xml:space="preserve"> information.</w:t>
      </w:r>
    </w:p>
  </w:footnote>
  <w:footnote w:id="37">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UE-132045, Avista 2014 DSM Business Plan, </w:t>
      </w:r>
      <w:proofErr w:type="spellStart"/>
      <w:proofErr w:type="gramStart"/>
      <w:r w:rsidRPr="00F5184B">
        <w:rPr>
          <w:rFonts w:ascii="Times New Roman" w:hAnsi="Times New Roman" w:cs="Times New Roman"/>
        </w:rPr>
        <w:t>pg</w:t>
      </w:r>
      <w:proofErr w:type="spellEnd"/>
      <w:proofErr w:type="gramEnd"/>
      <w:r w:rsidRPr="00F5184B">
        <w:rPr>
          <w:rFonts w:ascii="Times New Roman" w:hAnsi="Times New Roman" w:cs="Times New Roman"/>
        </w:rPr>
        <w:t xml:space="preserve"> 42.</w:t>
      </w:r>
    </w:p>
  </w:footnote>
  <w:footnote w:id="38">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Avista provided this figure in response to a Staff data request. The company tentatively settled on 2 percent after consulting with </w:t>
      </w:r>
      <w:proofErr w:type="spellStart"/>
      <w:r w:rsidRPr="00F5184B">
        <w:rPr>
          <w:rFonts w:ascii="Times New Roman" w:hAnsi="Times New Roman" w:cs="Times New Roman"/>
        </w:rPr>
        <w:t>Opower</w:t>
      </w:r>
      <w:proofErr w:type="spellEnd"/>
      <w:r w:rsidRPr="00F5184B">
        <w:rPr>
          <w:rFonts w:ascii="Times New Roman" w:hAnsi="Times New Roman" w:cs="Times New Roman"/>
        </w:rPr>
        <w:t>; Avista plans to update this figure based on the pilot program findings.</w:t>
      </w:r>
    </w:p>
  </w:footnote>
  <w:footnote w:id="39">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PacifiCorp arrived at the 7 percent figure after consulting with </w:t>
      </w:r>
      <w:proofErr w:type="spellStart"/>
      <w:r w:rsidRPr="00F5184B">
        <w:rPr>
          <w:rFonts w:ascii="Times New Roman" w:hAnsi="Times New Roman" w:cs="Times New Roman"/>
        </w:rPr>
        <w:t>Opower</w:t>
      </w:r>
      <w:proofErr w:type="spellEnd"/>
      <w:r w:rsidRPr="00F5184B">
        <w:rPr>
          <w:rFonts w:ascii="Times New Roman" w:hAnsi="Times New Roman" w:cs="Times New Roman"/>
        </w:rPr>
        <w:t xml:space="preserve"> program evaluations done by other utilities (including PSE and Sacramento Municipal Utility District), which found that program overlap ranged from 3-5 percent. The company picked the high end of the range and added an additional 2 percent to maintain a conservative projection. PacifiCorp will update this figure based on the evaluation of its pilot program.</w:t>
      </w:r>
    </w:p>
  </w:footnote>
  <w:footnote w:id="40">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PSE established this figure through a survey of its Home Energy Report</w:t>
      </w:r>
      <w:r>
        <w:rPr>
          <w:rFonts w:ascii="Times New Roman" w:hAnsi="Times New Roman" w:cs="Times New Roman"/>
        </w:rPr>
        <w:t>s</w:t>
      </w:r>
      <w:r w:rsidRPr="00F5184B">
        <w:rPr>
          <w:rFonts w:ascii="Times New Roman" w:hAnsi="Times New Roman" w:cs="Times New Roman"/>
        </w:rPr>
        <w:t xml:space="preserve"> customers to find out the specific ways that customers were conserving energy.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8CD"/>
    <w:multiLevelType w:val="hybridMultilevel"/>
    <w:tmpl w:val="C40C821E"/>
    <w:lvl w:ilvl="0" w:tplc="0409000F">
      <w:start w:val="1"/>
      <w:numFmt w:val="decimal"/>
      <w:lvlText w:val="%1."/>
      <w:lvlJc w:val="left"/>
      <w:pPr>
        <w:ind w:left="720" w:hanging="360"/>
      </w:pPr>
    </w:lvl>
    <w:lvl w:ilvl="1" w:tplc="68C4B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F51E1"/>
    <w:multiLevelType w:val="hybridMultilevel"/>
    <w:tmpl w:val="5E683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715698"/>
    <w:multiLevelType w:val="hybridMultilevel"/>
    <w:tmpl w:val="FE3274C8"/>
    <w:lvl w:ilvl="0" w:tplc="ED74290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F36B6"/>
    <w:multiLevelType w:val="hybridMultilevel"/>
    <w:tmpl w:val="303C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826F0"/>
    <w:multiLevelType w:val="hybridMultilevel"/>
    <w:tmpl w:val="E4F2D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47BB1"/>
    <w:multiLevelType w:val="hybridMultilevel"/>
    <w:tmpl w:val="93E2B494"/>
    <w:lvl w:ilvl="0" w:tplc="163C3CAA">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600552"/>
    <w:multiLevelType w:val="hybridMultilevel"/>
    <w:tmpl w:val="A38CCF42"/>
    <w:lvl w:ilvl="0" w:tplc="38A2F50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911B1"/>
    <w:multiLevelType w:val="hybridMultilevel"/>
    <w:tmpl w:val="75083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A3B43"/>
    <w:multiLevelType w:val="hybridMultilevel"/>
    <w:tmpl w:val="63DA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3A4407"/>
    <w:multiLevelType w:val="hybridMultilevel"/>
    <w:tmpl w:val="C7C69F52"/>
    <w:lvl w:ilvl="0" w:tplc="68C4BC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3F467F"/>
    <w:multiLevelType w:val="hybridMultilevel"/>
    <w:tmpl w:val="73EEE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1F3D93"/>
    <w:multiLevelType w:val="hybridMultilevel"/>
    <w:tmpl w:val="7B340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26291"/>
    <w:multiLevelType w:val="hybridMultilevel"/>
    <w:tmpl w:val="B6F0A6E0"/>
    <w:lvl w:ilvl="0" w:tplc="A8E01038">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ACA4716"/>
    <w:multiLevelType w:val="hybridMultilevel"/>
    <w:tmpl w:val="6778C472"/>
    <w:lvl w:ilvl="0" w:tplc="EEEC8E30">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04635A7"/>
    <w:multiLevelType w:val="hybridMultilevel"/>
    <w:tmpl w:val="C7C69F52"/>
    <w:lvl w:ilvl="0" w:tplc="68C4BC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E025E"/>
    <w:multiLevelType w:val="hybridMultilevel"/>
    <w:tmpl w:val="0172B3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0628DD"/>
    <w:multiLevelType w:val="hybridMultilevel"/>
    <w:tmpl w:val="C6E4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CE46CF"/>
    <w:multiLevelType w:val="hybridMultilevel"/>
    <w:tmpl w:val="90F48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CFA13C2"/>
    <w:multiLevelType w:val="hybridMultilevel"/>
    <w:tmpl w:val="80EA3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2F6A3D"/>
    <w:multiLevelType w:val="hybridMultilevel"/>
    <w:tmpl w:val="E076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0"/>
  </w:num>
  <w:num w:numId="7">
    <w:abstractNumId w:val="4"/>
  </w:num>
  <w:num w:numId="8">
    <w:abstractNumId w:val="9"/>
  </w:num>
  <w:num w:numId="9">
    <w:abstractNumId w:val="14"/>
  </w:num>
  <w:num w:numId="10">
    <w:abstractNumId w:val="8"/>
  </w:num>
  <w:num w:numId="11">
    <w:abstractNumId w:val="11"/>
  </w:num>
  <w:num w:numId="12">
    <w:abstractNumId w:val="15"/>
  </w:num>
  <w:num w:numId="13">
    <w:abstractNumId w:val="12"/>
  </w:num>
  <w:num w:numId="14">
    <w:abstractNumId w:val="13"/>
  </w:num>
  <w:num w:numId="15">
    <w:abstractNumId w:val="3"/>
  </w:num>
  <w:num w:numId="16">
    <w:abstractNumId w:val="19"/>
  </w:num>
  <w:num w:numId="17">
    <w:abstractNumId w:val="10"/>
  </w:num>
  <w:num w:numId="18">
    <w:abstractNumId w:val="1"/>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52"/>
    <w:rsid w:val="0000089C"/>
    <w:rsid w:val="00007F70"/>
    <w:rsid w:val="00022C46"/>
    <w:rsid w:val="000568B4"/>
    <w:rsid w:val="00063F2D"/>
    <w:rsid w:val="0006565D"/>
    <w:rsid w:val="000774B9"/>
    <w:rsid w:val="0008362D"/>
    <w:rsid w:val="000932DC"/>
    <w:rsid w:val="000E640C"/>
    <w:rsid w:val="000F0E63"/>
    <w:rsid w:val="00103B81"/>
    <w:rsid w:val="001211A3"/>
    <w:rsid w:val="00127E0B"/>
    <w:rsid w:val="00137697"/>
    <w:rsid w:val="00167AE1"/>
    <w:rsid w:val="0017602A"/>
    <w:rsid w:val="00182860"/>
    <w:rsid w:val="001B2FBB"/>
    <w:rsid w:val="001C5AB1"/>
    <w:rsid w:val="001D03CB"/>
    <w:rsid w:val="001D7E96"/>
    <w:rsid w:val="001E1D7A"/>
    <w:rsid w:val="001F3622"/>
    <w:rsid w:val="001F5535"/>
    <w:rsid w:val="00217FD5"/>
    <w:rsid w:val="002338A7"/>
    <w:rsid w:val="002525C6"/>
    <w:rsid w:val="00266D51"/>
    <w:rsid w:val="00276EA7"/>
    <w:rsid w:val="00280F4C"/>
    <w:rsid w:val="00292172"/>
    <w:rsid w:val="002A0401"/>
    <w:rsid w:val="002C039A"/>
    <w:rsid w:val="002C6DCE"/>
    <w:rsid w:val="002D277B"/>
    <w:rsid w:val="002D722B"/>
    <w:rsid w:val="002E5687"/>
    <w:rsid w:val="003000A6"/>
    <w:rsid w:val="00301833"/>
    <w:rsid w:val="003030ED"/>
    <w:rsid w:val="0031485B"/>
    <w:rsid w:val="003225FF"/>
    <w:rsid w:val="00326C4F"/>
    <w:rsid w:val="00333349"/>
    <w:rsid w:val="0034725B"/>
    <w:rsid w:val="00347ADE"/>
    <w:rsid w:val="00386585"/>
    <w:rsid w:val="00395FF9"/>
    <w:rsid w:val="003972C5"/>
    <w:rsid w:val="003A15B9"/>
    <w:rsid w:val="003A29F3"/>
    <w:rsid w:val="003A7FE3"/>
    <w:rsid w:val="003B105E"/>
    <w:rsid w:val="003B6158"/>
    <w:rsid w:val="003C2B21"/>
    <w:rsid w:val="003C5134"/>
    <w:rsid w:val="003C643D"/>
    <w:rsid w:val="003D48C7"/>
    <w:rsid w:val="003D5AD0"/>
    <w:rsid w:val="003F5F3F"/>
    <w:rsid w:val="003F60AA"/>
    <w:rsid w:val="003F617F"/>
    <w:rsid w:val="00411C8A"/>
    <w:rsid w:val="004121AB"/>
    <w:rsid w:val="0041662B"/>
    <w:rsid w:val="00434DCB"/>
    <w:rsid w:val="00435E6E"/>
    <w:rsid w:val="00450701"/>
    <w:rsid w:val="00475786"/>
    <w:rsid w:val="0049249C"/>
    <w:rsid w:val="00493968"/>
    <w:rsid w:val="004A6003"/>
    <w:rsid w:val="004B615F"/>
    <w:rsid w:val="004C41F9"/>
    <w:rsid w:val="004C53B9"/>
    <w:rsid w:val="00521E46"/>
    <w:rsid w:val="0052389E"/>
    <w:rsid w:val="00543BD4"/>
    <w:rsid w:val="00552600"/>
    <w:rsid w:val="00571090"/>
    <w:rsid w:val="00576BAE"/>
    <w:rsid w:val="005A6C74"/>
    <w:rsid w:val="005C392E"/>
    <w:rsid w:val="005C7BBC"/>
    <w:rsid w:val="005D65D0"/>
    <w:rsid w:val="005E164D"/>
    <w:rsid w:val="005F0009"/>
    <w:rsid w:val="005F0ED6"/>
    <w:rsid w:val="00626536"/>
    <w:rsid w:val="00646B2D"/>
    <w:rsid w:val="006726B8"/>
    <w:rsid w:val="00672F7B"/>
    <w:rsid w:val="006A41EE"/>
    <w:rsid w:val="006B3BCD"/>
    <w:rsid w:val="006C2D45"/>
    <w:rsid w:val="006E41D7"/>
    <w:rsid w:val="006F1F10"/>
    <w:rsid w:val="006F3BC2"/>
    <w:rsid w:val="006F4780"/>
    <w:rsid w:val="006F61F6"/>
    <w:rsid w:val="007176A3"/>
    <w:rsid w:val="00717C47"/>
    <w:rsid w:val="00727096"/>
    <w:rsid w:val="007327FB"/>
    <w:rsid w:val="00755F94"/>
    <w:rsid w:val="00761F04"/>
    <w:rsid w:val="00793150"/>
    <w:rsid w:val="00793ADA"/>
    <w:rsid w:val="007A191E"/>
    <w:rsid w:val="007A4A66"/>
    <w:rsid w:val="007B16B9"/>
    <w:rsid w:val="007C2C47"/>
    <w:rsid w:val="007D0AD1"/>
    <w:rsid w:val="007D7659"/>
    <w:rsid w:val="007E3C03"/>
    <w:rsid w:val="00820162"/>
    <w:rsid w:val="00833215"/>
    <w:rsid w:val="00842B86"/>
    <w:rsid w:val="008652A9"/>
    <w:rsid w:val="00894B20"/>
    <w:rsid w:val="00895437"/>
    <w:rsid w:val="008A719E"/>
    <w:rsid w:val="008B2758"/>
    <w:rsid w:val="008D65AF"/>
    <w:rsid w:val="008F0599"/>
    <w:rsid w:val="00925A34"/>
    <w:rsid w:val="00926D0B"/>
    <w:rsid w:val="00937914"/>
    <w:rsid w:val="0094305A"/>
    <w:rsid w:val="00962AF5"/>
    <w:rsid w:val="00977CF8"/>
    <w:rsid w:val="0099738B"/>
    <w:rsid w:val="009E53A9"/>
    <w:rsid w:val="009E5A67"/>
    <w:rsid w:val="009F04CF"/>
    <w:rsid w:val="009F699B"/>
    <w:rsid w:val="00A04E12"/>
    <w:rsid w:val="00A070F8"/>
    <w:rsid w:val="00A161A7"/>
    <w:rsid w:val="00A21C2A"/>
    <w:rsid w:val="00A44161"/>
    <w:rsid w:val="00A45E28"/>
    <w:rsid w:val="00A56253"/>
    <w:rsid w:val="00A759D3"/>
    <w:rsid w:val="00A81D7E"/>
    <w:rsid w:val="00A84C2A"/>
    <w:rsid w:val="00A87FDC"/>
    <w:rsid w:val="00A971AA"/>
    <w:rsid w:val="00AA4AF7"/>
    <w:rsid w:val="00AB7E7B"/>
    <w:rsid w:val="00AD3312"/>
    <w:rsid w:val="00AD42C1"/>
    <w:rsid w:val="00AE273E"/>
    <w:rsid w:val="00B00473"/>
    <w:rsid w:val="00B13041"/>
    <w:rsid w:val="00B2623B"/>
    <w:rsid w:val="00B41F29"/>
    <w:rsid w:val="00B4524B"/>
    <w:rsid w:val="00B45794"/>
    <w:rsid w:val="00B810DE"/>
    <w:rsid w:val="00B91CF0"/>
    <w:rsid w:val="00B92DB8"/>
    <w:rsid w:val="00BB3F97"/>
    <w:rsid w:val="00BE2219"/>
    <w:rsid w:val="00BE3A89"/>
    <w:rsid w:val="00C30A1B"/>
    <w:rsid w:val="00C43B59"/>
    <w:rsid w:val="00C51D0D"/>
    <w:rsid w:val="00C62B69"/>
    <w:rsid w:val="00C77872"/>
    <w:rsid w:val="00C83AF3"/>
    <w:rsid w:val="00C85815"/>
    <w:rsid w:val="00CA7249"/>
    <w:rsid w:val="00CD0ECD"/>
    <w:rsid w:val="00CD187C"/>
    <w:rsid w:val="00CD30B3"/>
    <w:rsid w:val="00CE2B98"/>
    <w:rsid w:val="00CF4A09"/>
    <w:rsid w:val="00D0022C"/>
    <w:rsid w:val="00D055E9"/>
    <w:rsid w:val="00D259BB"/>
    <w:rsid w:val="00D378C0"/>
    <w:rsid w:val="00D805EA"/>
    <w:rsid w:val="00D82FF7"/>
    <w:rsid w:val="00D8365C"/>
    <w:rsid w:val="00D928D8"/>
    <w:rsid w:val="00DA1807"/>
    <w:rsid w:val="00DA1B86"/>
    <w:rsid w:val="00DA2E93"/>
    <w:rsid w:val="00DB5552"/>
    <w:rsid w:val="00DB797A"/>
    <w:rsid w:val="00DD0510"/>
    <w:rsid w:val="00DD2A47"/>
    <w:rsid w:val="00DE6C89"/>
    <w:rsid w:val="00DF0D98"/>
    <w:rsid w:val="00E23596"/>
    <w:rsid w:val="00E323B1"/>
    <w:rsid w:val="00E3507F"/>
    <w:rsid w:val="00E36B70"/>
    <w:rsid w:val="00E430C1"/>
    <w:rsid w:val="00E5052B"/>
    <w:rsid w:val="00E52D1C"/>
    <w:rsid w:val="00E62680"/>
    <w:rsid w:val="00E64278"/>
    <w:rsid w:val="00E73C79"/>
    <w:rsid w:val="00E86E04"/>
    <w:rsid w:val="00E87552"/>
    <w:rsid w:val="00E92135"/>
    <w:rsid w:val="00EA51F6"/>
    <w:rsid w:val="00EA7DF1"/>
    <w:rsid w:val="00EB0E7B"/>
    <w:rsid w:val="00EB206E"/>
    <w:rsid w:val="00EC26D7"/>
    <w:rsid w:val="00ED7748"/>
    <w:rsid w:val="00EF23C0"/>
    <w:rsid w:val="00F06977"/>
    <w:rsid w:val="00F21B68"/>
    <w:rsid w:val="00F27C36"/>
    <w:rsid w:val="00F5184B"/>
    <w:rsid w:val="00F569DA"/>
    <w:rsid w:val="00F60B1A"/>
    <w:rsid w:val="00F62A78"/>
    <w:rsid w:val="00FD1FA2"/>
    <w:rsid w:val="00FD28AA"/>
    <w:rsid w:val="00FF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FB"/>
  </w:style>
  <w:style w:type="paragraph" w:styleId="Heading1">
    <w:name w:val="heading 1"/>
    <w:basedOn w:val="Normal"/>
    <w:next w:val="Normal"/>
    <w:link w:val="Heading1Char"/>
    <w:uiPriority w:val="9"/>
    <w:qFormat/>
    <w:rsid w:val="007D7659"/>
    <w:pPr>
      <w:keepNext/>
      <w:keepLines/>
      <w:numPr>
        <w:numId w:val="20"/>
      </w:numPr>
      <w:spacing w:before="48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E36B70"/>
    <w:pPr>
      <w:keepNext/>
      <w:keepLines/>
      <w:spacing w:before="200"/>
      <w:outlineLvl w:val="1"/>
    </w:pPr>
    <w:rPr>
      <w:rFonts w:ascii="Times New Roman" w:eastAsiaTheme="majorEastAsia" w:hAnsi="Times New Roman" w:cs="Times New Roman"/>
      <w:b/>
      <w:bCs/>
      <w:sz w:val="24"/>
      <w:szCs w:val="24"/>
      <w:u w:val="single"/>
    </w:rPr>
  </w:style>
  <w:style w:type="paragraph" w:styleId="Heading3">
    <w:name w:val="heading 3"/>
    <w:basedOn w:val="Normal"/>
    <w:next w:val="Normal"/>
    <w:link w:val="Heading3Char"/>
    <w:uiPriority w:val="9"/>
    <w:unhideWhenUsed/>
    <w:qFormat/>
    <w:rsid w:val="00FD1FA2"/>
    <w:pPr>
      <w:keepNext/>
      <w:keepLines/>
      <w:spacing w:before="20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rsid w:val="001376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659"/>
    <w:rPr>
      <w:rFonts w:ascii="Times New Roman" w:eastAsiaTheme="majorEastAsia" w:hAnsi="Times New Roman" w:cs="Times New Roman"/>
      <w:b/>
      <w:bCs/>
      <w:sz w:val="24"/>
      <w:szCs w:val="24"/>
    </w:rPr>
  </w:style>
  <w:style w:type="paragraph" w:styleId="FootnoteText">
    <w:name w:val="footnote text"/>
    <w:basedOn w:val="Normal"/>
    <w:link w:val="FootnoteTextChar"/>
    <w:uiPriority w:val="99"/>
    <w:semiHidden/>
    <w:unhideWhenUsed/>
    <w:rsid w:val="00A161A7"/>
    <w:rPr>
      <w:sz w:val="20"/>
      <w:szCs w:val="20"/>
    </w:rPr>
  </w:style>
  <w:style w:type="character" w:customStyle="1" w:styleId="FootnoteTextChar">
    <w:name w:val="Footnote Text Char"/>
    <w:basedOn w:val="DefaultParagraphFont"/>
    <w:link w:val="FootnoteText"/>
    <w:uiPriority w:val="99"/>
    <w:semiHidden/>
    <w:rsid w:val="00A161A7"/>
    <w:rPr>
      <w:sz w:val="20"/>
      <w:szCs w:val="20"/>
    </w:rPr>
  </w:style>
  <w:style w:type="character" w:styleId="FootnoteReference">
    <w:name w:val="footnote reference"/>
    <w:basedOn w:val="DefaultParagraphFont"/>
    <w:uiPriority w:val="99"/>
    <w:semiHidden/>
    <w:unhideWhenUsed/>
    <w:rsid w:val="00A161A7"/>
    <w:rPr>
      <w:vertAlign w:val="superscript"/>
    </w:rPr>
  </w:style>
  <w:style w:type="paragraph" w:styleId="ListParagraph">
    <w:name w:val="List Paragraph"/>
    <w:basedOn w:val="Normal"/>
    <w:uiPriority w:val="34"/>
    <w:qFormat/>
    <w:rsid w:val="00411C8A"/>
    <w:pPr>
      <w:ind w:left="720"/>
      <w:contextualSpacing/>
    </w:pPr>
  </w:style>
  <w:style w:type="character" w:styleId="CommentReference">
    <w:name w:val="annotation reference"/>
    <w:basedOn w:val="DefaultParagraphFont"/>
    <w:uiPriority w:val="99"/>
    <w:semiHidden/>
    <w:unhideWhenUsed/>
    <w:rsid w:val="00A759D3"/>
    <w:rPr>
      <w:sz w:val="16"/>
      <w:szCs w:val="16"/>
    </w:rPr>
  </w:style>
  <w:style w:type="paragraph" w:styleId="CommentText">
    <w:name w:val="annotation text"/>
    <w:basedOn w:val="Normal"/>
    <w:link w:val="CommentTextChar"/>
    <w:uiPriority w:val="99"/>
    <w:semiHidden/>
    <w:unhideWhenUsed/>
    <w:rsid w:val="00A759D3"/>
    <w:rPr>
      <w:sz w:val="20"/>
      <w:szCs w:val="20"/>
    </w:rPr>
  </w:style>
  <w:style w:type="character" w:customStyle="1" w:styleId="CommentTextChar">
    <w:name w:val="Comment Text Char"/>
    <w:basedOn w:val="DefaultParagraphFont"/>
    <w:link w:val="CommentText"/>
    <w:uiPriority w:val="99"/>
    <w:semiHidden/>
    <w:rsid w:val="00A759D3"/>
    <w:rPr>
      <w:sz w:val="20"/>
      <w:szCs w:val="20"/>
    </w:rPr>
  </w:style>
  <w:style w:type="paragraph" w:styleId="CommentSubject">
    <w:name w:val="annotation subject"/>
    <w:basedOn w:val="CommentText"/>
    <w:next w:val="CommentText"/>
    <w:link w:val="CommentSubjectChar"/>
    <w:uiPriority w:val="99"/>
    <w:semiHidden/>
    <w:unhideWhenUsed/>
    <w:rsid w:val="00A759D3"/>
    <w:rPr>
      <w:b/>
      <w:bCs/>
    </w:rPr>
  </w:style>
  <w:style w:type="character" w:customStyle="1" w:styleId="CommentSubjectChar">
    <w:name w:val="Comment Subject Char"/>
    <w:basedOn w:val="CommentTextChar"/>
    <w:link w:val="CommentSubject"/>
    <w:uiPriority w:val="99"/>
    <w:semiHidden/>
    <w:rsid w:val="00A759D3"/>
    <w:rPr>
      <w:b/>
      <w:bCs/>
      <w:sz w:val="20"/>
      <w:szCs w:val="20"/>
    </w:rPr>
  </w:style>
  <w:style w:type="paragraph" w:styleId="BalloonText">
    <w:name w:val="Balloon Text"/>
    <w:basedOn w:val="Normal"/>
    <w:link w:val="BalloonTextChar"/>
    <w:uiPriority w:val="99"/>
    <w:semiHidden/>
    <w:unhideWhenUsed/>
    <w:rsid w:val="00A759D3"/>
    <w:rPr>
      <w:rFonts w:ascii="Tahoma" w:hAnsi="Tahoma" w:cs="Tahoma"/>
      <w:sz w:val="16"/>
      <w:szCs w:val="16"/>
    </w:rPr>
  </w:style>
  <w:style w:type="character" w:customStyle="1" w:styleId="BalloonTextChar">
    <w:name w:val="Balloon Text Char"/>
    <w:basedOn w:val="DefaultParagraphFont"/>
    <w:link w:val="BalloonText"/>
    <w:uiPriority w:val="99"/>
    <w:semiHidden/>
    <w:rsid w:val="00A759D3"/>
    <w:rPr>
      <w:rFonts w:ascii="Tahoma" w:hAnsi="Tahoma" w:cs="Tahoma"/>
      <w:sz w:val="16"/>
      <w:szCs w:val="16"/>
    </w:rPr>
  </w:style>
  <w:style w:type="table" w:styleId="TableGrid">
    <w:name w:val="Table Grid"/>
    <w:basedOn w:val="TableNormal"/>
    <w:uiPriority w:val="59"/>
    <w:rsid w:val="00C43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53A9"/>
    <w:pPr>
      <w:tabs>
        <w:tab w:val="center" w:pos="4680"/>
        <w:tab w:val="right" w:pos="9360"/>
      </w:tabs>
    </w:pPr>
  </w:style>
  <w:style w:type="character" w:customStyle="1" w:styleId="HeaderChar">
    <w:name w:val="Header Char"/>
    <w:basedOn w:val="DefaultParagraphFont"/>
    <w:link w:val="Header"/>
    <w:uiPriority w:val="99"/>
    <w:rsid w:val="009E53A9"/>
  </w:style>
  <w:style w:type="paragraph" w:styleId="Footer">
    <w:name w:val="footer"/>
    <w:basedOn w:val="Normal"/>
    <w:link w:val="FooterChar"/>
    <w:uiPriority w:val="99"/>
    <w:unhideWhenUsed/>
    <w:rsid w:val="009E53A9"/>
    <w:pPr>
      <w:tabs>
        <w:tab w:val="center" w:pos="4680"/>
        <w:tab w:val="right" w:pos="9360"/>
      </w:tabs>
    </w:pPr>
  </w:style>
  <w:style w:type="character" w:customStyle="1" w:styleId="FooterChar">
    <w:name w:val="Footer Char"/>
    <w:basedOn w:val="DefaultParagraphFont"/>
    <w:link w:val="Footer"/>
    <w:uiPriority w:val="99"/>
    <w:rsid w:val="009E53A9"/>
  </w:style>
  <w:style w:type="character" w:styleId="Strong">
    <w:name w:val="Strong"/>
    <w:basedOn w:val="DefaultParagraphFont"/>
    <w:uiPriority w:val="22"/>
    <w:qFormat/>
    <w:rsid w:val="008A719E"/>
    <w:rPr>
      <w:b/>
      <w:bCs/>
    </w:rPr>
  </w:style>
  <w:style w:type="character" w:customStyle="1" w:styleId="Heading2Char">
    <w:name w:val="Heading 2 Char"/>
    <w:basedOn w:val="DefaultParagraphFont"/>
    <w:link w:val="Heading2"/>
    <w:uiPriority w:val="9"/>
    <w:rsid w:val="00E36B70"/>
    <w:rPr>
      <w:rFonts w:ascii="Times New Roman" w:eastAsiaTheme="majorEastAsia" w:hAnsi="Times New Roman" w:cs="Times New Roman"/>
      <w:b/>
      <w:bCs/>
      <w:sz w:val="24"/>
      <w:szCs w:val="24"/>
      <w:u w:val="single"/>
    </w:rPr>
  </w:style>
  <w:style w:type="character" w:customStyle="1" w:styleId="Heading3Char">
    <w:name w:val="Heading 3 Char"/>
    <w:basedOn w:val="DefaultParagraphFont"/>
    <w:link w:val="Heading3"/>
    <w:uiPriority w:val="9"/>
    <w:rsid w:val="00FD1FA2"/>
    <w:rPr>
      <w:rFonts w:ascii="Times New Roman" w:eastAsiaTheme="majorEastAsia" w:hAnsi="Times New Roman" w:cs="Times New Roman"/>
      <w:b/>
      <w:bCs/>
      <w:sz w:val="24"/>
      <w:szCs w:val="24"/>
    </w:rPr>
  </w:style>
  <w:style w:type="paragraph" w:styleId="TOCHeading">
    <w:name w:val="TOC Heading"/>
    <w:basedOn w:val="Heading1"/>
    <w:next w:val="Normal"/>
    <w:uiPriority w:val="39"/>
    <w:unhideWhenUsed/>
    <w:qFormat/>
    <w:rsid w:val="008A719E"/>
    <w:pPr>
      <w:spacing w:line="276" w:lineRule="auto"/>
      <w:outlineLvl w:val="9"/>
    </w:pPr>
    <w:rPr>
      <w:lang w:eastAsia="ja-JP"/>
    </w:rPr>
  </w:style>
  <w:style w:type="paragraph" w:styleId="TOC1">
    <w:name w:val="toc 1"/>
    <w:basedOn w:val="Normal"/>
    <w:next w:val="Normal"/>
    <w:autoRedefine/>
    <w:uiPriority w:val="39"/>
    <w:unhideWhenUsed/>
    <w:rsid w:val="008A719E"/>
    <w:pPr>
      <w:spacing w:after="100"/>
    </w:pPr>
  </w:style>
  <w:style w:type="paragraph" w:styleId="TOC2">
    <w:name w:val="toc 2"/>
    <w:basedOn w:val="Normal"/>
    <w:next w:val="Normal"/>
    <w:autoRedefine/>
    <w:uiPriority w:val="39"/>
    <w:unhideWhenUsed/>
    <w:rsid w:val="008A719E"/>
    <w:pPr>
      <w:spacing w:after="100"/>
      <w:ind w:left="220"/>
    </w:pPr>
  </w:style>
  <w:style w:type="paragraph" w:styleId="TOC3">
    <w:name w:val="toc 3"/>
    <w:basedOn w:val="Normal"/>
    <w:next w:val="Normal"/>
    <w:autoRedefine/>
    <w:uiPriority w:val="39"/>
    <w:unhideWhenUsed/>
    <w:rsid w:val="008A719E"/>
    <w:pPr>
      <w:spacing w:after="100"/>
      <w:ind w:left="440"/>
    </w:pPr>
  </w:style>
  <w:style w:type="character" w:styleId="Hyperlink">
    <w:name w:val="Hyperlink"/>
    <w:basedOn w:val="DefaultParagraphFont"/>
    <w:uiPriority w:val="99"/>
    <w:unhideWhenUsed/>
    <w:rsid w:val="008A719E"/>
    <w:rPr>
      <w:color w:val="0000FF" w:themeColor="hyperlink"/>
      <w:u w:val="single"/>
    </w:rPr>
  </w:style>
  <w:style w:type="paragraph" w:styleId="Caption">
    <w:name w:val="caption"/>
    <w:basedOn w:val="Normal"/>
    <w:next w:val="Normal"/>
    <w:uiPriority w:val="35"/>
    <w:unhideWhenUsed/>
    <w:qFormat/>
    <w:rsid w:val="00CE2B98"/>
    <w:pPr>
      <w:keepNext/>
      <w:spacing w:after="200"/>
    </w:pPr>
    <w:rPr>
      <w:rFonts w:ascii="Times New Roman" w:hAnsi="Times New Roman" w:cs="Times New Roman"/>
      <w:b/>
      <w:bCs/>
      <w:sz w:val="24"/>
      <w:szCs w:val="24"/>
    </w:rPr>
  </w:style>
  <w:style w:type="paragraph" w:styleId="TableofFigures">
    <w:name w:val="table of figures"/>
    <w:basedOn w:val="Normal"/>
    <w:next w:val="Normal"/>
    <w:uiPriority w:val="99"/>
    <w:unhideWhenUsed/>
    <w:rsid w:val="00761F04"/>
  </w:style>
  <w:style w:type="character" w:customStyle="1" w:styleId="Heading4Char">
    <w:name w:val="Heading 4 Char"/>
    <w:basedOn w:val="DefaultParagraphFont"/>
    <w:link w:val="Heading4"/>
    <w:uiPriority w:val="9"/>
    <w:rsid w:val="0013769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FB"/>
  </w:style>
  <w:style w:type="paragraph" w:styleId="Heading1">
    <w:name w:val="heading 1"/>
    <w:basedOn w:val="Normal"/>
    <w:next w:val="Normal"/>
    <w:link w:val="Heading1Char"/>
    <w:uiPriority w:val="9"/>
    <w:qFormat/>
    <w:rsid w:val="007D7659"/>
    <w:pPr>
      <w:keepNext/>
      <w:keepLines/>
      <w:numPr>
        <w:numId w:val="20"/>
      </w:numPr>
      <w:spacing w:before="48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E36B70"/>
    <w:pPr>
      <w:keepNext/>
      <w:keepLines/>
      <w:spacing w:before="200"/>
      <w:outlineLvl w:val="1"/>
    </w:pPr>
    <w:rPr>
      <w:rFonts w:ascii="Times New Roman" w:eastAsiaTheme="majorEastAsia" w:hAnsi="Times New Roman" w:cs="Times New Roman"/>
      <w:b/>
      <w:bCs/>
      <w:sz w:val="24"/>
      <w:szCs w:val="24"/>
      <w:u w:val="single"/>
    </w:rPr>
  </w:style>
  <w:style w:type="paragraph" w:styleId="Heading3">
    <w:name w:val="heading 3"/>
    <w:basedOn w:val="Normal"/>
    <w:next w:val="Normal"/>
    <w:link w:val="Heading3Char"/>
    <w:uiPriority w:val="9"/>
    <w:unhideWhenUsed/>
    <w:qFormat/>
    <w:rsid w:val="00FD1FA2"/>
    <w:pPr>
      <w:keepNext/>
      <w:keepLines/>
      <w:spacing w:before="20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rsid w:val="001376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659"/>
    <w:rPr>
      <w:rFonts w:ascii="Times New Roman" w:eastAsiaTheme="majorEastAsia" w:hAnsi="Times New Roman" w:cs="Times New Roman"/>
      <w:b/>
      <w:bCs/>
      <w:sz w:val="24"/>
      <w:szCs w:val="24"/>
    </w:rPr>
  </w:style>
  <w:style w:type="paragraph" w:styleId="FootnoteText">
    <w:name w:val="footnote text"/>
    <w:basedOn w:val="Normal"/>
    <w:link w:val="FootnoteTextChar"/>
    <w:uiPriority w:val="99"/>
    <w:semiHidden/>
    <w:unhideWhenUsed/>
    <w:rsid w:val="00A161A7"/>
    <w:rPr>
      <w:sz w:val="20"/>
      <w:szCs w:val="20"/>
    </w:rPr>
  </w:style>
  <w:style w:type="character" w:customStyle="1" w:styleId="FootnoteTextChar">
    <w:name w:val="Footnote Text Char"/>
    <w:basedOn w:val="DefaultParagraphFont"/>
    <w:link w:val="FootnoteText"/>
    <w:uiPriority w:val="99"/>
    <w:semiHidden/>
    <w:rsid w:val="00A161A7"/>
    <w:rPr>
      <w:sz w:val="20"/>
      <w:szCs w:val="20"/>
    </w:rPr>
  </w:style>
  <w:style w:type="character" w:styleId="FootnoteReference">
    <w:name w:val="footnote reference"/>
    <w:basedOn w:val="DefaultParagraphFont"/>
    <w:uiPriority w:val="99"/>
    <w:semiHidden/>
    <w:unhideWhenUsed/>
    <w:rsid w:val="00A161A7"/>
    <w:rPr>
      <w:vertAlign w:val="superscript"/>
    </w:rPr>
  </w:style>
  <w:style w:type="paragraph" w:styleId="ListParagraph">
    <w:name w:val="List Paragraph"/>
    <w:basedOn w:val="Normal"/>
    <w:uiPriority w:val="34"/>
    <w:qFormat/>
    <w:rsid w:val="00411C8A"/>
    <w:pPr>
      <w:ind w:left="720"/>
      <w:contextualSpacing/>
    </w:pPr>
  </w:style>
  <w:style w:type="character" w:styleId="CommentReference">
    <w:name w:val="annotation reference"/>
    <w:basedOn w:val="DefaultParagraphFont"/>
    <w:uiPriority w:val="99"/>
    <w:semiHidden/>
    <w:unhideWhenUsed/>
    <w:rsid w:val="00A759D3"/>
    <w:rPr>
      <w:sz w:val="16"/>
      <w:szCs w:val="16"/>
    </w:rPr>
  </w:style>
  <w:style w:type="paragraph" w:styleId="CommentText">
    <w:name w:val="annotation text"/>
    <w:basedOn w:val="Normal"/>
    <w:link w:val="CommentTextChar"/>
    <w:uiPriority w:val="99"/>
    <w:semiHidden/>
    <w:unhideWhenUsed/>
    <w:rsid w:val="00A759D3"/>
    <w:rPr>
      <w:sz w:val="20"/>
      <w:szCs w:val="20"/>
    </w:rPr>
  </w:style>
  <w:style w:type="character" w:customStyle="1" w:styleId="CommentTextChar">
    <w:name w:val="Comment Text Char"/>
    <w:basedOn w:val="DefaultParagraphFont"/>
    <w:link w:val="CommentText"/>
    <w:uiPriority w:val="99"/>
    <w:semiHidden/>
    <w:rsid w:val="00A759D3"/>
    <w:rPr>
      <w:sz w:val="20"/>
      <w:szCs w:val="20"/>
    </w:rPr>
  </w:style>
  <w:style w:type="paragraph" w:styleId="CommentSubject">
    <w:name w:val="annotation subject"/>
    <w:basedOn w:val="CommentText"/>
    <w:next w:val="CommentText"/>
    <w:link w:val="CommentSubjectChar"/>
    <w:uiPriority w:val="99"/>
    <w:semiHidden/>
    <w:unhideWhenUsed/>
    <w:rsid w:val="00A759D3"/>
    <w:rPr>
      <w:b/>
      <w:bCs/>
    </w:rPr>
  </w:style>
  <w:style w:type="character" w:customStyle="1" w:styleId="CommentSubjectChar">
    <w:name w:val="Comment Subject Char"/>
    <w:basedOn w:val="CommentTextChar"/>
    <w:link w:val="CommentSubject"/>
    <w:uiPriority w:val="99"/>
    <w:semiHidden/>
    <w:rsid w:val="00A759D3"/>
    <w:rPr>
      <w:b/>
      <w:bCs/>
      <w:sz w:val="20"/>
      <w:szCs w:val="20"/>
    </w:rPr>
  </w:style>
  <w:style w:type="paragraph" w:styleId="BalloonText">
    <w:name w:val="Balloon Text"/>
    <w:basedOn w:val="Normal"/>
    <w:link w:val="BalloonTextChar"/>
    <w:uiPriority w:val="99"/>
    <w:semiHidden/>
    <w:unhideWhenUsed/>
    <w:rsid w:val="00A759D3"/>
    <w:rPr>
      <w:rFonts w:ascii="Tahoma" w:hAnsi="Tahoma" w:cs="Tahoma"/>
      <w:sz w:val="16"/>
      <w:szCs w:val="16"/>
    </w:rPr>
  </w:style>
  <w:style w:type="character" w:customStyle="1" w:styleId="BalloonTextChar">
    <w:name w:val="Balloon Text Char"/>
    <w:basedOn w:val="DefaultParagraphFont"/>
    <w:link w:val="BalloonText"/>
    <w:uiPriority w:val="99"/>
    <w:semiHidden/>
    <w:rsid w:val="00A759D3"/>
    <w:rPr>
      <w:rFonts w:ascii="Tahoma" w:hAnsi="Tahoma" w:cs="Tahoma"/>
      <w:sz w:val="16"/>
      <w:szCs w:val="16"/>
    </w:rPr>
  </w:style>
  <w:style w:type="table" w:styleId="TableGrid">
    <w:name w:val="Table Grid"/>
    <w:basedOn w:val="TableNormal"/>
    <w:uiPriority w:val="59"/>
    <w:rsid w:val="00C43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53A9"/>
    <w:pPr>
      <w:tabs>
        <w:tab w:val="center" w:pos="4680"/>
        <w:tab w:val="right" w:pos="9360"/>
      </w:tabs>
    </w:pPr>
  </w:style>
  <w:style w:type="character" w:customStyle="1" w:styleId="HeaderChar">
    <w:name w:val="Header Char"/>
    <w:basedOn w:val="DefaultParagraphFont"/>
    <w:link w:val="Header"/>
    <w:uiPriority w:val="99"/>
    <w:rsid w:val="009E53A9"/>
  </w:style>
  <w:style w:type="paragraph" w:styleId="Footer">
    <w:name w:val="footer"/>
    <w:basedOn w:val="Normal"/>
    <w:link w:val="FooterChar"/>
    <w:uiPriority w:val="99"/>
    <w:unhideWhenUsed/>
    <w:rsid w:val="009E53A9"/>
    <w:pPr>
      <w:tabs>
        <w:tab w:val="center" w:pos="4680"/>
        <w:tab w:val="right" w:pos="9360"/>
      </w:tabs>
    </w:pPr>
  </w:style>
  <w:style w:type="character" w:customStyle="1" w:styleId="FooterChar">
    <w:name w:val="Footer Char"/>
    <w:basedOn w:val="DefaultParagraphFont"/>
    <w:link w:val="Footer"/>
    <w:uiPriority w:val="99"/>
    <w:rsid w:val="009E53A9"/>
  </w:style>
  <w:style w:type="character" w:styleId="Strong">
    <w:name w:val="Strong"/>
    <w:basedOn w:val="DefaultParagraphFont"/>
    <w:uiPriority w:val="22"/>
    <w:qFormat/>
    <w:rsid w:val="008A719E"/>
    <w:rPr>
      <w:b/>
      <w:bCs/>
    </w:rPr>
  </w:style>
  <w:style w:type="character" w:customStyle="1" w:styleId="Heading2Char">
    <w:name w:val="Heading 2 Char"/>
    <w:basedOn w:val="DefaultParagraphFont"/>
    <w:link w:val="Heading2"/>
    <w:uiPriority w:val="9"/>
    <w:rsid w:val="00E36B70"/>
    <w:rPr>
      <w:rFonts w:ascii="Times New Roman" w:eastAsiaTheme="majorEastAsia" w:hAnsi="Times New Roman" w:cs="Times New Roman"/>
      <w:b/>
      <w:bCs/>
      <w:sz w:val="24"/>
      <w:szCs w:val="24"/>
      <w:u w:val="single"/>
    </w:rPr>
  </w:style>
  <w:style w:type="character" w:customStyle="1" w:styleId="Heading3Char">
    <w:name w:val="Heading 3 Char"/>
    <w:basedOn w:val="DefaultParagraphFont"/>
    <w:link w:val="Heading3"/>
    <w:uiPriority w:val="9"/>
    <w:rsid w:val="00FD1FA2"/>
    <w:rPr>
      <w:rFonts w:ascii="Times New Roman" w:eastAsiaTheme="majorEastAsia" w:hAnsi="Times New Roman" w:cs="Times New Roman"/>
      <w:b/>
      <w:bCs/>
      <w:sz w:val="24"/>
      <w:szCs w:val="24"/>
    </w:rPr>
  </w:style>
  <w:style w:type="paragraph" w:styleId="TOCHeading">
    <w:name w:val="TOC Heading"/>
    <w:basedOn w:val="Heading1"/>
    <w:next w:val="Normal"/>
    <w:uiPriority w:val="39"/>
    <w:unhideWhenUsed/>
    <w:qFormat/>
    <w:rsid w:val="008A719E"/>
    <w:pPr>
      <w:spacing w:line="276" w:lineRule="auto"/>
      <w:outlineLvl w:val="9"/>
    </w:pPr>
    <w:rPr>
      <w:lang w:eastAsia="ja-JP"/>
    </w:rPr>
  </w:style>
  <w:style w:type="paragraph" w:styleId="TOC1">
    <w:name w:val="toc 1"/>
    <w:basedOn w:val="Normal"/>
    <w:next w:val="Normal"/>
    <w:autoRedefine/>
    <w:uiPriority w:val="39"/>
    <w:unhideWhenUsed/>
    <w:rsid w:val="008A719E"/>
    <w:pPr>
      <w:spacing w:after="100"/>
    </w:pPr>
  </w:style>
  <w:style w:type="paragraph" w:styleId="TOC2">
    <w:name w:val="toc 2"/>
    <w:basedOn w:val="Normal"/>
    <w:next w:val="Normal"/>
    <w:autoRedefine/>
    <w:uiPriority w:val="39"/>
    <w:unhideWhenUsed/>
    <w:rsid w:val="008A719E"/>
    <w:pPr>
      <w:spacing w:after="100"/>
      <w:ind w:left="220"/>
    </w:pPr>
  </w:style>
  <w:style w:type="paragraph" w:styleId="TOC3">
    <w:name w:val="toc 3"/>
    <w:basedOn w:val="Normal"/>
    <w:next w:val="Normal"/>
    <w:autoRedefine/>
    <w:uiPriority w:val="39"/>
    <w:unhideWhenUsed/>
    <w:rsid w:val="008A719E"/>
    <w:pPr>
      <w:spacing w:after="100"/>
      <w:ind w:left="440"/>
    </w:pPr>
  </w:style>
  <w:style w:type="character" w:styleId="Hyperlink">
    <w:name w:val="Hyperlink"/>
    <w:basedOn w:val="DefaultParagraphFont"/>
    <w:uiPriority w:val="99"/>
    <w:unhideWhenUsed/>
    <w:rsid w:val="008A719E"/>
    <w:rPr>
      <w:color w:val="0000FF" w:themeColor="hyperlink"/>
      <w:u w:val="single"/>
    </w:rPr>
  </w:style>
  <w:style w:type="paragraph" w:styleId="Caption">
    <w:name w:val="caption"/>
    <w:basedOn w:val="Normal"/>
    <w:next w:val="Normal"/>
    <w:uiPriority w:val="35"/>
    <w:unhideWhenUsed/>
    <w:qFormat/>
    <w:rsid w:val="00CE2B98"/>
    <w:pPr>
      <w:keepNext/>
      <w:spacing w:after="200"/>
    </w:pPr>
    <w:rPr>
      <w:rFonts w:ascii="Times New Roman" w:hAnsi="Times New Roman" w:cs="Times New Roman"/>
      <w:b/>
      <w:bCs/>
      <w:sz w:val="24"/>
      <w:szCs w:val="24"/>
    </w:rPr>
  </w:style>
  <w:style w:type="paragraph" w:styleId="TableofFigures">
    <w:name w:val="table of figures"/>
    <w:basedOn w:val="Normal"/>
    <w:next w:val="Normal"/>
    <w:uiPriority w:val="99"/>
    <w:unhideWhenUsed/>
    <w:rsid w:val="00761F04"/>
  </w:style>
  <w:style w:type="character" w:customStyle="1" w:styleId="Heading4Char">
    <w:name w:val="Heading 4 Char"/>
    <w:basedOn w:val="DefaultParagraphFont"/>
    <w:link w:val="Heading4"/>
    <w:uiPriority w:val="9"/>
    <w:rsid w:val="0013769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2534">
      <w:bodyDiv w:val="1"/>
      <w:marLeft w:val="0"/>
      <w:marRight w:val="0"/>
      <w:marTop w:val="0"/>
      <w:marBottom w:val="0"/>
      <w:divBdr>
        <w:top w:val="none" w:sz="0" w:space="0" w:color="auto"/>
        <w:left w:val="none" w:sz="0" w:space="0" w:color="auto"/>
        <w:bottom w:val="none" w:sz="0" w:space="0" w:color="auto"/>
        <w:right w:val="none" w:sz="0" w:space="0" w:color="auto"/>
      </w:divBdr>
    </w:div>
    <w:div w:id="483739924">
      <w:bodyDiv w:val="1"/>
      <w:marLeft w:val="0"/>
      <w:marRight w:val="0"/>
      <w:marTop w:val="0"/>
      <w:marBottom w:val="0"/>
      <w:divBdr>
        <w:top w:val="none" w:sz="0" w:space="0" w:color="auto"/>
        <w:left w:val="none" w:sz="0" w:space="0" w:color="auto"/>
        <w:bottom w:val="none" w:sz="0" w:space="0" w:color="auto"/>
        <w:right w:val="none" w:sz="0" w:space="0" w:color="auto"/>
      </w:divBdr>
    </w:div>
    <w:div w:id="746193155">
      <w:bodyDiv w:val="1"/>
      <w:marLeft w:val="0"/>
      <w:marRight w:val="0"/>
      <w:marTop w:val="0"/>
      <w:marBottom w:val="0"/>
      <w:divBdr>
        <w:top w:val="none" w:sz="0" w:space="0" w:color="auto"/>
        <w:left w:val="none" w:sz="0" w:space="0" w:color="auto"/>
        <w:bottom w:val="none" w:sz="0" w:space="0" w:color="auto"/>
        <w:right w:val="none" w:sz="0" w:space="0" w:color="auto"/>
      </w:divBdr>
    </w:div>
    <w:div w:id="967472199">
      <w:bodyDiv w:val="1"/>
      <w:marLeft w:val="0"/>
      <w:marRight w:val="0"/>
      <w:marTop w:val="0"/>
      <w:marBottom w:val="0"/>
      <w:divBdr>
        <w:top w:val="none" w:sz="0" w:space="0" w:color="auto"/>
        <w:left w:val="none" w:sz="0" w:space="0" w:color="auto"/>
        <w:bottom w:val="none" w:sz="0" w:space="0" w:color="auto"/>
        <w:right w:val="none" w:sz="0" w:space="0" w:color="auto"/>
      </w:divBdr>
    </w:div>
    <w:div w:id="14122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2013-12-04T08:00:00+00:00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F62DD-B936-4ACA-9B75-22FAFCD15E52}"/>
</file>

<file path=customXml/itemProps2.xml><?xml version="1.0" encoding="utf-8"?>
<ds:datastoreItem xmlns:ds="http://schemas.openxmlformats.org/officeDocument/2006/customXml" ds:itemID="{47D4EED1-4701-4564-9FD2-63B2832ED487}"/>
</file>

<file path=customXml/itemProps3.xml><?xml version="1.0" encoding="utf-8"?>
<ds:datastoreItem xmlns:ds="http://schemas.openxmlformats.org/officeDocument/2006/customXml" ds:itemID="{50E8B033-D798-451D-AF10-B3F3689D1D0E}"/>
</file>

<file path=customXml/itemProps4.xml><?xml version="1.0" encoding="utf-8"?>
<ds:datastoreItem xmlns:ds="http://schemas.openxmlformats.org/officeDocument/2006/customXml" ds:itemID="{351A2631-473F-41E1-B1B2-8428A2B8A6F5}"/>
</file>

<file path=customXml/itemProps5.xml><?xml version="1.0" encoding="utf-8"?>
<ds:datastoreItem xmlns:ds="http://schemas.openxmlformats.org/officeDocument/2006/customXml" ds:itemID="{86B56ED0-AD11-4B91-BD94-BB492D752082}"/>
</file>

<file path=docProps/app.xml><?xml version="1.0" encoding="utf-8"?>
<Properties xmlns="http://schemas.openxmlformats.org/officeDocument/2006/extended-properties" xmlns:vt="http://schemas.openxmlformats.org/officeDocument/2006/docPropsVTypes">
  <Template>Normal.dotm</Template>
  <TotalTime>2</TotalTime>
  <Pages>18</Pages>
  <Words>7146</Words>
  <Characters>40734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BCP Staff Comments - Draft</vt:lpstr>
    </vt:vector>
  </TitlesOfParts>
  <Company>Washington Utilities and Transportation Commission</Company>
  <LinksUpToDate>false</LinksUpToDate>
  <CharactersWithSpaces>47785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BCP Staff Comments - Draft</dc:title>
  <dc:creator>Cebulko, Bradley (UTC)</dc:creator>
  <cp:lastModifiedBy>DeMarco, Betsy (UTC)</cp:lastModifiedBy>
  <cp:revision>3</cp:revision>
  <cp:lastPrinted>2013-12-03T22:42:00Z</cp:lastPrinted>
  <dcterms:created xsi:type="dcterms:W3CDTF">2013-12-03T22:42:00Z</dcterms:created>
  <dcterms:modified xsi:type="dcterms:W3CDTF">2013-12-03T22:43:00Z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0x0101006E56B4D1795A2E4DB2F0B01679ED314A0083F0D969DD9F084AA5D21488C6E96563</vt:lpwstr>
  </property>
  <property fmtid="{D5CDD505-2E9C-101B-9397-08002B2CF9AE}" pid="3" name="_docset_NoMedatataSyncRequired">
    <vt:lpwstr>False</vt:lpwstr>
  </property>
</Properties>
</file>