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E85" w:rsidRPr="00A70F28" w:rsidRDefault="00BB2E85">
      <w:pPr>
        <w:pStyle w:val="BodyText"/>
        <w:jc w:val="center"/>
        <w:rPr>
          <w:b/>
          <w:bCs/>
        </w:rPr>
      </w:pPr>
      <w:r w:rsidRPr="00A70F28">
        <w:rPr>
          <w:b/>
          <w:bCs/>
        </w:rPr>
        <w:t xml:space="preserve">BEFORE THE </w:t>
      </w:r>
      <w:smartTag w:uri="urn:schemas-microsoft-com:office:smarttags" w:element="place">
        <w:smartTag w:uri="urn:schemas-microsoft-com:office:smarttags" w:element="PlaceName">
          <w:r w:rsidRPr="00A70F28">
            <w:rPr>
              <w:b/>
              <w:bCs/>
            </w:rPr>
            <w:t>WASHINGTON</w:t>
          </w:r>
        </w:smartTag>
        <w:r w:rsidRPr="00A70F28">
          <w:rPr>
            <w:b/>
            <w:bCs/>
          </w:rPr>
          <w:t xml:space="preserve"> </w:t>
        </w:r>
        <w:smartTag w:uri="urn:schemas-microsoft-com:office:smarttags" w:element="PlaceType">
          <w:r w:rsidRPr="00A70F28">
            <w:rPr>
              <w:b/>
              <w:bCs/>
            </w:rPr>
            <w:t>STATE</w:t>
          </w:r>
        </w:smartTag>
      </w:smartTag>
    </w:p>
    <w:p w:rsidR="00BB2E85" w:rsidRDefault="00BB2E85">
      <w:pPr>
        <w:pStyle w:val="BodyText"/>
        <w:jc w:val="center"/>
        <w:rPr>
          <w:b/>
          <w:bCs/>
        </w:rPr>
      </w:pPr>
      <w:r w:rsidRPr="00A70F28">
        <w:rPr>
          <w:b/>
          <w:bCs/>
        </w:rPr>
        <w:t>UTILITIES AND TRANSPORTATION COMMISSION</w:t>
      </w:r>
    </w:p>
    <w:p w:rsidR="00085F52" w:rsidRPr="00A70F28" w:rsidRDefault="00085F52">
      <w:pPr>
        <w:pStyle w:val="BodyText"/>
        <w:jc w:val="center"/>
        <w:rPr>
          <w:b/>
          <w:bCs/>
        </w:rPr>
      </w:pPr>
    </w:p>
    <w:p w:rsidR="00BB2E85" w:rsidRPr="00A70F28" w:rsidRDefault="00BB2E85">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BB2E85" w:rsidRPr="00A70F28" w:rsidTr="005F41B1">
        <w:trPr>
          <w:trHeight w:val="4476"/>
        </w:trPr>
        <w:tc>
          <w:tcPr>
            <w:tcW w:w="4008" w:type="dxa"/>
            <w:tcBorders>
              <w:right w:val="nil"/>
            </w:tcBorders>
          </w:tcPr>
          <w:p w:rsidR="00BB2E85" w:rsidRPr="00A70F28" w:rsidRDefault="00BB2E85">
            <w:pPr>
              <w:pStyle w:val="BodyText"/>
            </w:pPr>
          </w:p>
          <w:p w:rsidR="00BB2E85" w:rsidRPr="00A70F28" w:rsidRDefault="00FE71F9">
            <w:pPr>
              <w:pStyle w:val="BodyText"/>
            </w:pPr>
            <w:r>
              <w:t xml:space="preserve">TOWN OF </w:t>
            </w:r>
            <w:r w:rsidR="006F36CA">
              <w:t>SPANGLE</w:t>
            </w:r>
            <w:r w:rsidR="00362D6A">
              <w:t>,</w:t>
            </w:r>
          </w:p>
          <w:p w:rsidR="00BB2E85" w:rsidRDefault="00BB2E85">
            <w:pPr>
              <w:pStyle w:val="BodyText"/>
            </w:pPr>
          </w:p>
          <w:p w:rsidR="00BB2E85" w:rsidRPr="00A70F28" w:rsidRDefault="00BB2E85">
            <w:pPr>
              <w:pStyle w:val="BodyText"/>
            </w:pPr>
            <w:r w:rsidRPr="00A70F28">
              <w:t xml:space="preserve">                 Petitioner,</w:t>
            </w:r>
          </w:p>
          <w:p w:rsidR="00BB2E85" w:rsidRPr="00A70F28" w:rsidRDefault="00BB2E85">
            <w:pPr>
              <w:pStyle w:val="BodyText"/>
            </w:pPr>
          </w:p>
          <w:p w:rsidR="008B3E70" w:rsidRDefault="008B3E70">
            <w:pPr>
              <w:pStyle w:val="BodyText"/>
            </w:pPr>
            <w:r>
              <w:t xml:space="preserve">                 v.</w:t>
            </w:r>
          </w:p>
          <w:p w:rsidR="008B3E70" w:rsidRDefault="008B3E70">
            <w:pPr>
              <w:pStyle w:val="BodyText"/>
            </w:pPr>
          </w:p>
          <w:p w:rsidR="008B3E70" w:rsidRDefault="00730E8A">
            <w:pPr>
              <w:pStyle w:val="BodyText"/>
            </w:pPr>
            <w:r>
              <w:t>WASHINGTON AND IDAHO RAILROAD and WASHINGTON STATE DEPARTMENT OF TRANSPORTATION</w:t>
            </w:r>
            <w:r w:rsidR="00362D6A">
              <w:t>,</w:t>
            </w:r>
          </w:p>
          <w:p w:rsidR="008B3E70" w:rsidRDefault="008B3E70">
            <w:pPr>
              <w:pStyle w:val="BodyText"/>
            </w:pPr>
          </w:p>
          <w:p w:rsidR="008B3E70" w:rsidRPr="00A70F28" w:rsidRDefault="008B3E70">
            <w:pPr>
              <w:pStyle w:val="BodyText"/>
            </w:pPr>
            <w:r>
              <w:t xml:space="preserve">                 Respondent</w:t>
            </w:r>
            <w:r w:rsidR="00730E8A">
              <w:t>s</w:t>
            </w:r>
          </w:p>
          <w:p w:rsidR="00362D6A" w:rsidRDefault="00BB2E85">
            <w:pPr>
              <w:pStyle w:val="BodyText"/>
              <w:rPr>
                <w:b/>
                <w:bCs/>
              </w:rPr>
            </w:pPr>
            <w:r w:rsidRPr="00A70F28">
              <w:t xml:space="preserve"> . . . . . . . . . . . . . . . . . . . . . . . . . . . . . . .</w:t>
            </w:r>
          </w:p>
          <w:p w:rsidR="00362D6A" w:rsidRDefault="00362D6A" w:rsidP="00362D6A"/>
          <w:p w:rsidR="00BB2E85" w:rsidRPr="00362D6A" w:rsidRDefault="00BB2E85" w:rsidP="00362D6A"/>
        </w:tc>
        <w:tc>
          <w:tcPr>
            <w:tcW w:w="500" w:type="dxa"/>
            <w:tcBorders>
              <w:top w:val="nil"/>
              <w:left w:val="nil"/>
              <w:bottom w:val="nil"/>
              <w:right w:val="nil"/>
            </w:tcBorders>
          </w:tcPr>
          <w:p w:rsidR="00BB2E85" w:rsidRPr="00A70F28" w:rsidRDefault="00BB2E85">
            <w:pPr>
              <w:pStyle w:val="BodyText"/>
              <w:jc w:val="center"/>
            </w:pPr>
            <w:r w:rsidRPr="00A70F28">
              <w:t>)</w:t>
            </w:r>
            <w:r w:rsidRPr="00A70F28">
              <w:br/>
              <w:t>)</w:t>
            </w:r>
            <w:r w:rsidRPr="00A70F28">
              <w:br/>
              <w:t>)</w:t>
            </w:r>
            <w:r w:rsidRPr="00A70F28">
              <w:br/>
              <w:t>)</w:t>
            </w:r>
            <w:r w:rsidRPr="00A70F28">
              <w:br/>
              <w:t>)</w:t>
            </w:r>
            <w:r w:rsidRPr="00A70F28">
              <w:br/>
              <w:t>)</w:t>
            </w:r>
            <w:r w:rsidRPr="00A70F28">
              <w:br/>
              <w:t>)</w:t>
            </w:r>
            <w:r w:rsidRPr="00A70F28">
              <w:br/>
              <w:t>)</w:t>
            </w:r>
            <w:r w:rsidRPr="00A70F28">
              <w:br/>
              <w:t>)</w:t>
            </w:r>
            <w:r w:rsidRPr="00A70F28">
              <w:br/>
              <w:t>)</w:t>
            </w:r>
          </w:p>
          <w:p w:rsidR="00BB2E85" w:rsidRPr="00A70F28" w:rsidRDefault="00BB2E85">
            <w:pPr>
              <w:pStyle w:val="BodyText"/>
              <w:jc w:val="center"/>
            </w:pPr>
            <w:r w:rsidRPr="00A70F28">
              <w:t>)</w:t>
            </w:r>
          </w:p>
          <w:p w:rsidR="00BB2E85" w:rsidRPr="00A70F28" w:rsidRDefault="00BB2E85">
            <w:pPr>
              <w:pStyle w:val="BodyText"/>
              <w:jc w:val="center"/>
            </w:pPr>
            <w:r w:rsidRPr="00A70F28">
              <w:t>)</w:t>
            </w:r>
          </w:p>
          <w:p w:rsidR="00671EBC" w:rsidRDefault="00671EBC">
            <w:pPr>
              <w:pStyle w:val="BodyText"/>
              <w:jc w:val="center"/>
            </w:pPr>
            <w:r>
              <w:t>)</w:t>
            </w:r>
          </w:p>
          <w:p w:rsidR="005F41B1" w:rsidRDefault="005F41B1">
            <w:pPr>
              <w:pStyle w:val="BodyText"/>
              <w:jc w:val="center"/>
            </w:pPr>
            <w:r>
              <w:t>)</w:t>
            </w:r>
          </w:p>
          <w:p w:rsidR="00BB2E85" w:rsidRPr="00A70F28" w:rsidRDefault="00BB2E85">
            <w:pPr>
              <w:pStyle w:val="BodyText"/>
              <w:jc w:val="center"/>
            </w:pPr>
          </w:p>
        </w:tc>
        <w:tc>
          <w:tcPr>
            <w:tcW w:w="4348" w:type="dxa"/>
            <w:tcBorders>
              <w:left w:val="nil"/>
            </w:tcBorders>
          </w:tcPr>
          <w:p w:rsidR="00BB2E85" w:rsidRPr="00A70F28" w:rsidRDefault="00BB2E85">
            <w:r w:rsidRPr="00A70F28">
              <w:t>DOCKET TR-</w:t>
            </w:r>
            <w:r w:rsidR="006F36CA">
              <w:t>110978</w:t>
            </w:r>
          </w:p>
          <w:p w:rsidR="00BB2E85" w:rsidRPr="00A70F28" w:rsidRDefault="00BB2E85">
            <w:pPr>
              <w:rPr>
                <w:b/>
                <w:bCs/>
              </w:rPr>
            </w:pPr>
          </w:p>
          <w:p w:rsidR="00BB2E85" w:rsidRPr="00A70F28" w:rsidRDefault="00BB2E85">
            <w:r w:rsidRPr="00A70F28">
              <w:t>ORDER 0</w:t>
            </w:r>
            <w:r w:rsidR="00C379F2">
              <w:t>2</w:t>
            </w:r>
          </w:p>
          <w:p w:rsidR="00BB2E85" w:rsidRPr="00A70F28" w:rsidRDefault="00BB2E85">
            <w:pPr>
              <w:pStyle w:val="Header"/>
              <w:tabs>
                <w:tab w:val="clear" w:pos="8300"/>
              </w:tabs>
            </w:pPr>
          </w:p>
          <w:p w:rsidR="00BB2E85" w:rsidRDefault="004C125A">
            <w:r>
              <w:t xml:space="preserve">ORDER </w:t>
            </w:r>
            <w:r w:rsidR="00EC0486">
              <w:t xml:space="preserve">APPROVING </w:t>
            </w:r>
            <w:r w:rsidR="008257DE">
              <w:t xml:space="preserve">AMENDED </w:t>
            </w:r>
            <w:r>
              <w:t xml:space="preserve">PETITION FOR PEDESTRIAN IMPROVEMENTS AT </w:t>
            </w:r>
            <w:r w:rsidR="006F36CA">
              <w:t>THE 3</w:t>
            </w:r>
            <w:r w:rsidR="006F36CA" w:rsidRPr="006F36CA">
              <w:rPr>
                <w:vertAlign w:val="superscript"/>
              </w:rPr>
              <w:t>rd</w:t>
            </w:r>
            <w:r w:rsidR="006F36CA">
              <w:t xml:space="preserve"> STREET CROSSING IN SPANGLE</w:t>
            </w:r>
            <w:r w:rsidR="00730E8A">
              <w:t xml:space="preserve"> </w:t>
            </w:r>
          </w:p>
          <w:p w:rsidR="00D10E57" w:rsidRDefault="00D10E57"/>
          <w:p w:rsidR="00D10E57" w:rsidRDefault="00D10E57"/>
          <w:p w:rsidR="00F87709" w:rsidRPr="00A70F28" w:rsidRDefault="00F87709"/>
          <w:p w:rsidR="00BB2E85" w:rsidRDefault="00BB2E85">
            <w:r w:rsidRPr="00A70F28">
              <w:t xml:space="preserve">USDOT: </w:t>
            </w:r>
            <w:r w:rsidR="006F36CA">
              <w:t>059001Y</w:t>
            </w:r>
          </w:p>
          <w:p w:rsidR="00BB2E85" w:rsidRPr="00A70F28" w:rsidRDefault="00BB2E85" w:rsidP="006F36CA"/>
        </w:tc>
      </w:tr>
    </w:tbl>
    <w:p w:rsidR="00BB2E85" w:rsidRPr="00A70F28" w:rsidRDefault="00BB2E85">
      <w:pPr>
        <w:pStyle w:val="SectionHeading"/>
        <w:rPr>
          <w:szCs w:val="24"/>
        </w:rPr>
      </w:pPr>
      <w:r w:rsidRPr="00A70F28">
        <w:rPr>
          <w:szCs w:val="24"/>
        </w:rPr>
        <w:t>BACKGROUND</w:t>
      </w:r>
    </w:p>
    <w:p w:rsidR="00EC0486" w:rsidRDefault="00BB2E85">
      <w:pPr>
        <w:pStyle w:val="NumberedParagraph"/>
        <w:spacing w:line="288" w:lineRule="auto"/>
        <w:rPr>
          <w:iCs/>
        </w:rPr>
      </w:pPr>
      <w:r w:rsidRPr="00A70F28">
        <w:rPr>
          <w:iCs/>
        </w:rPr>
        <w:t xml:space="preserve">On </w:t>
      </w:r>
      <w:r w:rsidR="00730E8A">
        <w:rPr>
          <w:iCs/>
        </w:rPr>
        <w:t xml:space="preserve">May </w:t>
      </w:r>
      <w:r w:rsidR="00973BF6">
        <w:rPr>
          <w:iCs/>
        </w:rPr>
        <w:t>2</w:t>
      </w:r>
      <w:r w:rsidR="001879D6">
        <w:rPr>
          <w:iCs/>
        </w:rPr>
        <w:t>7</w:t>
      </w:r>
      <w:r w:rsidR="00AE38EE" w:rsidRPr="00A70F28">
        <w:rPr>
          <w:iCs/>
        </w:rPr>
        <w:t>, 20</w:t>
      </w:r>
      <w:r w:rsidR="001879D6">
        <w:rPr>
          <w:iCs/>
        </w:rPr>
        <w:t>11</w:t>
      </w:r>
      <w:r w:rsidRPr="00A70F28">
        <w:rPr>
          <w:bCs/>
          <w:iCs/>
        </w:rPr>
        <w:t xml:space="preserve">, </w:t>
      </w:r>
      <w:r w:rsidR="002F1001">
        <w:rPr>
          <w:bCs/>
          <w:iCs/>
        </w:rPr>
        <w:t xml:space="preserve">the </w:t>
      </w:r>
      <w:r w:rsidR="006B5FEF">
        <w:rPr>
          <w:bCs/>
          <w:iCs/>
        </w:rPr>
        <w:t>T</w:t>
      </w:r>
      <w:r w:rsidR="00730E8A">
        <w:rPr>
          <w:bCs/>
          <w:iCs/>
        </w:rPr>
        <w:t>own</w:t>
      </w:r>
      <w:r w:rsidR="002F1001">
        <w:rPr>
          <w:bCs/>
          <w:iCs/>
        </w:rPr>
        <w:t xml:space="preserve"> of </w:t>
      </w:r>
      <w:r w:rsidR="001879D6">
        <w:rPr>
          <w:bCs/>
          <w:iCs/>
        </w:rPr>
        <w:t>Spangle</w:t>
      </w:r>
      <w:r w:rsidR="002F1001">
        <w:rPr>
          <w:bCs/>
          <w:iCs/>
        </w:rPr>
        <w:t xml:space="preserve"> </w:t>
      </w:r>
      <w:r w:rsidR="00D227C4">
        <w:rPr>
          <w:iCs/>
        </w:rPr>
        <w:t>(</w:t>
      </w:r>
      <w:r w:rsidR="006B5FEF">
        <w:rPr>
          <w:iCs/>
        </w:rPr>
        <w:t>To</w:t>
      </w:r>
      <w:r w:rsidR="00730E8A">
        <w:rPr>
          <w:iCs/>
        </w:rPr>
        <w:t>wn</w:t>
      </w:r>
      <w:r w:rsidR="00D227C4">
        <w:rPr>
          <w:iCs/>
        </w:rPr>
        <w:t xml:space="preserve">) </w:t>
      </w:r>
      <w:r w:rsidRPr="00A70F28">
        <w:rPr>
          <w:iCs/>
        </w:rPr>
        <w:t xml:space="preserve">filed a petition with the Commission, seeking approval to </w:t>
      </w:r>
      <w:r w:rsidR="002F1001">
        <w:rPr>
          <w:iCs/>
        </w:rPr>
        <w:t>install sidewalks</w:t>
      </w:r>
      <w:r w:rsidR="00FF1FDB">
        <w:t xml:space="preserve"> </w:t>
      </w:r>
      <w:r w:rsidRPr="00A70F28">
        <w:rPr>
          <w:iCs/>
        </w:rPr>
        <w:t>at a railroad-highway grade crossing</w:t>
      </w:r>
      <w:r w:rsidR="005D1CF6" w:rsidRPr="00A70F28">
        <w:rPr>
          <w:iCs/>
        </w:rPr>
        <w:t>.</w:t>
      </w:r>
      <w:r w:rsidR="005D1CF6">
        <w:rPr>
          <w:iCs/>
        </w:rPr>
        <w:t xml:space="preserve"> </w:t>
      </w:r>
      <w:r w:rsidRPr="00A70F28">
        <w:rPr>
          <w:iCs/>
        </w:rPr>
        <w:t xml:space="preserve">The crossing is identified as USDOT </w:t>
      </w:r>
      <w:r w:rsidR="00BC5F23">
        <w:rPr>
          <w:iCs/>
        </w:rPr>
        <w:t>059001Y</w:t>
      </w:r>
      <w:r w:rsidRPr="00A70F28">
        <w:rPr>
          <w:iCs/>
        </w:rPr>
        <w:t xml:space="preserve"> and located at </w:t>
      </w:r>
      <w:r w:rsidR="007E3ADC">
        <w:rPr>
          <w:iCs/>
        </w:rPr>
        <w:t xml:space="preserve">the intersection of </w:t>
      </w:r>
      <w:r w:rsidR="00BC5F23">
        <w:rPr>
          <w:iCs/>
        </w:rPr>
        <w:t>3</w:t>
      </w:r>
      <w:r w:rsidR="00BC5F23" w:rsidRPr="00BC5F23">
        <w:rPr>
          <w:iCs/>
          <w:vertAlign w:val="superscript"/>
        </w:rPr>
        <w:t>rd</w:t>
      </w:r>
      <w:r w:rsidR="00BC5F23">
        <w:rPr>
          <w:iCs/>
        </w:rPr>
        <w:t xml:space="preserve"> </w:t>
      </w:r>
      <w:r w:rsidR="00730E8A">
        <w:rPr>
          <w:iCs/>
        </w:rPr>
        <w:t>Street</w:t>
      </w:r>
      <w:r w:rsidR="008B3E70">
        <w:rPr>
          <w:iCs/>
        </w:rPr>
        <w:t xml:space="preserve"> </w:t>
      </w:r>
      <w:r w:rsidR="006D5B90">
        <w:rPr>
          <w:iCs/>
        </w:rPr>
        <w:t>a</w:t>
      </w:r>
      <w:r w:rsidR="007E3ADC">
        <w:rPr>
          <w:iCs/>
        </w:rPr>
        <w:t>nd</w:t>
      </w:r>
      <w:r w:rsidRPr="00A70F28">
        <w:rPr>
          <w:iCs/>
        </w:rPr>
        <w:t xml:space="preserve"> the </w:t>
      </w:r>
      <w:r w:rsidR="00BC5F23">
        <w:rPr>
          <w:iCs/>
        </w:rPr>
        <w:t>R</w:t>
      </w:r>
      <w:r w:rsidR="006E59C6">
        <w:rPr>
          <w:iCs/>
        </w:rPr>
        <w:t>espondent</w:t>
      </w:r>
      <w:r w:rsidRPr="00A70F28">
        <w:rPr>
          <w:iCs/>
        </w:rPr>
        <w:t>s</w:t>
      </w:r>
      <w:r w:rsidR="006E3C9A">
        <w:rPr>
          <w:iCs/>
        </w:rPr>
        <w:t>’</w:t>
      </w:r>
      <w:r w:rsidRPr="00A70F28">
        <w:rPr>
          <w:iCs/>
        </w:rPr>
        <w:t xml:space="preserve"> tracks in </w:t>
      </w:r>
      <w:r w:rsidR="00BC5F23">
        <w:rPr>
          <w:iCs/>
        </w:rPr>
        <w:t>Spangle</w:t>
      </w:r>
      <w:r w:rsidRPr="00A70F28">
        <w:rPr>
          <w:iCs/>
        </w:rPr>
        <w:t>, Washington.</w:t>
      </w:r>
      <w:r w:rsidR="006D5B90">
        <w:rPr>
          <w:iCs/>
        </w:rPr>
        <w:t xml:space="preserve"> </w:t>
      </w:r>
    </w:p>
    <w:p w:rsidR="00BB2E85" w:rsidRDefault="00EC0486">
      <w:pPr>
        <w:pStyle w:val="NumberedParagraph"/>
        <w:spacing w:line="288" w:lineRule="auto"/>
        <w:rPr>
          <w:iCs/>
        </w:rPr>
      </w:pPr>
      <w:r>
        <w:rPr>
          <w:iCs/>
        </w:rPr>
        <w:t xml:space="preserve">On </w:t>
      </w:r>
      <w:r w:rsidR="00BC5F23">
        <w:rPr>
          <w:iCs/>
        </w:rPr>
        <w:t>June 27, 2011</w:t>
      </w:r>
      <w:r>
        <w:rPr>
          <w:iCs/>
        </w:rPr>
        <w:t xml:space="preserve">, the Commission issued an Order approving the proposed changes to the </w:t>
      </w:r>
      <w:r w:rsidR="00BC5F23">
        <w:rPr>
          <w:iCs/>
        </w:rPr>
        <w:t>3</w:t>
      </w:r>
      <w:r w:rsidR="00BC5F23" w:rsidRPr="00BC5F23">
        <w:rPr>
          <w:iCs/>
          <w:vertAlign w:val="superscript"/>
        </w:rPr>
        <w:t>rd</w:t>
      </w:r>
      <w:r w:rsidR="00BC5F23">
        <w:rPr>
          <w:iCs/>
        </w:rPr>
        <w:t xml:space="preserve"> S</w:t>
      </w:r>
      <w:r>
        <w:rPr>
          <w:iCs/>
        </w:rPr>
        <w:t xml:space="preserve">treet crossing. The Order approved </w:t>
      </w:r>
      <w:r w:rsidR="00BC5F23">
        <w:rPr>
          <w:iCs/>
        </w:rPr>
        <w:t>i</w:t>
      </w:r>
      <w:r w:rsidR="003B7613">
        <w:rPr>
          <w:iCs/>
        </w:rPr>
        <w:t>nstalling a pedestrian sidewalk</w:t>
      </w:r>
      <w:r w:rsidR="00BC5F23">
        <w:rPr>
          <w:iCs/>
        </w:rPr>
        <w:t xml:space="preserve">, which will be located </w:t>
      </w:r>
      <w:r w:rsidR="00662501">
        <w:rPr>
          <w:iCs/>
        </w:rPr>
        <w:t xml:space="preserve">adjacent to the road </w:t>
      </w:r>
      <w:r w:rsidR="00BC5F23">
        <w:rPr>
          <w:iCs/>
        </w:rPr>
        <w:t xml:space="preserve">on the north side of the crossing. The sidewalks leading up to the </w:t>
      </w:r>
      <w:r w:rsidR="003B7613">
        <w:rPr>
          <w:iCs/>
        </w:rPr>
        <w:t xml:space="preserve">crossing will be five feet wide and concrete.  The crossing surface over the tracks will be made of concrete and be eight feet long.  </w:t>
      </w:r>
      <w:r w:rsidR="00AA7D10">
        <w:rPr>
          <w:iCs/>
        </w:rPr>
        <w:t>The</w:t>
      </w:r>
      <w:r w:rsidR="001A531E">
        <w:rPr>
          <w:iCs/>
        </w:rPr>
        <w:t xml:space="preserve"> new sidewalks and</w:t>
      </w:r>
      <w:r w:rsidR="00AA7D10">
        <w:rPr>
          <w:iCs/>
        </w:rPr>
        <w:t xml:space="preserve"> </w:t>
      </w:r>
      <w:r w:rsidR="003B7613">
        <w:rPr>
          <w:iCs/>
        </w:rPr>
        <w:t>crossing</w:t>
      </w:r>
      <w:r w:rsidR="00AA7D10">
        <w:rPr>
          <w:iCs/>
        </w:rPr>
        <w:t xml:space="preserve"> surface will </w:t>
      </w:r>
      <w:r>
        <w:rPr>
          <w:iCs/>
        </w:rPr>
        <w:t xml:space="preserve">provide pedestrians with a </w:t>
      </w:r>
      <w:r w:rsidR="009A5491">
        <w:rPr>
          <w:iCs/>
        </w:rPr>
        <w:t>smooth,</w:t>
      </w:r>
      <w:r w:rsidR="00AA7D10">
        <w:rPr>
          <w:iCs/>
        </w:rPr>
        <w:t xml:space="preserve"> continuous </w:t>
      </w:r>
      <w:r w:rsidR="003B7613">
        <w:rPr>
          <w:iCs/>
        </w:rPr>
        <w:t>walking surface</w:t>
      </w:r>
      <w:r w:rsidR="006E3C9A">
        <w:rPr>
          <w:iCs/>
        </w:rPr>
        <w:t xml:space="preserve"> to </w:t>
      </w:r>
      <w:r w:rsidR="00662501">
        <w:rPr>
          <w:iCs/>
        </w:rPr>
        <w:t>and a</w:t>
      </w:r>
      <w:r w:rsidR="006E3C9A">
        <w:rPr>
          <w:iCs/>
        </w:rPr>
        <w:t>cross the tracks</w:t>
      </w:r>
      <w:r w:rsidR="003B7613">
        <w:rPr>
          <w:iCs/>
        </w:rPr>
        <w:t xml:space="preserve">.  </w:t>
      </w:r>
      <w:r w:rsidR="006E3C9A">
        <w:rPr>
          <w:iCs/>
        </w:rPr>
        <w:t xml:space="preserve">Washington and Idaho Railroad will maintain the warning signs </w:t>
      </w:r>
      <w:r w:rsidR="00CF5891">
        <w:rPr>
          <w:iCs/>
        </w:rPr>
        <w:t xml:space="preserve">but upgrade them as required in Order 01.  In addition, Washington and Idaho Railroad should install </w:t>
      </w:r>
      <w:proofErr w:type="spellStart"/>
      <w:r w:rsidR="00CF5891">
        <w:rPr>
          <w:iCs/>
        </w:rPr>
        <w:t>retroreflective</w:t>
      </w:r>
      <w:proofErr w:type="spellEnd"/>
      <w:r w:rsidR="00CF5891">
        <w:rPr>
          <w:iCs/>
        </w:rPr>
        <w:t xml:space="preserve"> tape on the sign posts and additional cross</w:t>
      </w:r>
      <w:r w:rsidR="008D0F1B">
        <w:rPr>
          <w:iCs/>
        </w:rPr>
        <w:t xml:space="preserve"> </w:t>
      </w:r>
      <w:r w:rsidR="00CF5891">
        <w:rPr>
          <w:iCs/>
        </w:rPr>
        <w:t>buck</w:t>
      </w:r>
      <w:r w:rsidR="00D955F0">
        <w:rPr>
          <w:iCs/>
        </w:rPr>
        <w:t>s</w:t>
      </w:r>
      <w:r w:rsidR="00CF5891">
        <w:rPr>
          <w:iCs/>
        </w:rPr>
        <w:t xml:space="preserve"> on the back side of the e</w:t>
      </w:r>
      <w:r w:rsidR="00D955F0">
        <w:rPr>
          <w:iCs/>
        </w:rPr>
        <w:t>ach</w:t>
      </w:r>
      <w:r w:rsidR="00CF5891">
        <w:rPr>
          <w:iCs/>
        </w:rPr>
        <w:t xml:space="preserve"> cross</w:t>
      </w:r>
      <w:r w:rsidR="008D0F1B">
        <w:rPr>
          <w:iCs/>
        </w:rPr>
        <w:t xml:space="preserve"> </w:t>
      </w:r>
      <w:r w:rsidR="00CF5891">
        <w:rPr>
          <w:iCs/>
        </w:rPr>
        <w:t>buck</w:t>
      </w:r>
      <w:r w:rsidR="00D955F0">
        <w:rPr>
          <w:iCs/>
        </w:rPr>
        <w:t xml:space="preserve"> so the signs will be two-sided.  </w:t>
      </w:r>
      <w:bookmarkStart w:id="0" w:name="_GoBack"/>
      <w:bookmarkEnd w:id="0"/>
    </w:p>
    <w:p w:rsidR="003104E1" w:rsidRPr="003104E1" w:rsidRDefault="00973BF6" w:rsidP="001A531E">
      <w:pPr>
        <w:pStyle w:val="NumberedParagraph"/>
        <w:spacing w:line="288" w:lineRule="auto"/>
      </w:pPr>
      <w:r w:rsidRPr="003104E1">
        <w:rPr>
          <w:iCs/>
        </w:rPr>
        <w:t xml:space="preserve">On </w:t>
      </w:r>
      <w:r w:rsidR="003B7613">
        <w:rPr>
          <w:iCs/>
        </w:rPr>
        <w:t>March 2, 2012</w:t>
      </w:r>
      <w:r w:rsidRPr="003104E1">
        <w:rPr>
          <w:iCs/>
        </w:rPr>
        <w:t xml:space="preserve">, </w:t>
      </w:r>
      <w:r w:rsidR="00EC0486" w:rsidRPr="003104E1">
        <w:rPr>
          <w:iCs/>
        </w:rPr>
        <w:t>the Town notified the Commission that the</w:t>
      </w:r>
      <w:r w:rsidR="004F5CE3">
        <w:rPr>
          <w:iCs/>
        </w:rPr>
        <w:t>y want to deviate from the</w:t>
      </w:r>
      <w:r w:rsidR="00EC0486" w:rsidRPr="003104E1">
        <w:rPr>
          <w:iCs/>
        </w:rPr>
        <w:t xml:space="preserve"> </w:t>
      </w:r>
      <w:r w:rsidR="00AD5F85">
        <w:rPr>
          <w:iCs/>
        </w:rPr>
        <w:t>approved location of the sidewalk</w:t>
      </w:r>
      <w:r w:rsidR="001A531E" w:rsidRPr="003104E1">
        <w:rPr>
          <w:iCs/>
        </w:rPr>
        <w:t xml:space="preserve">. The town </w:t>
      </w:r>
      <w:r w:rsidR="008A40EA" w:rsidRPr="003104E1">
        <w:rPr>
          <w:iCs/>
        </w:rPr>
        <w:t xml:space="preserve">is now proposing </w:t>
      </w:r>
      <w:r w:rsidR="007A53FA" w:rsidRPr="003104E1">
        <w:rPr>
          <w:iCs/>
        </w:rPr>
        <w:t xml:space="preserve">to </w:t>
      </w:r>
      <w:r w:rsidR="004F5CE3">
        <w:rPr>
          <w:iCs/>
        </w:rPr>
        <w:t xml:space="preserve">relocate the sidewalk and crossing surface eight feet to the north of the road which will better align with the proposed crosswalk to the east on Ash Street.  The new sidewalk alignment provides a safer path of travel for pedestrians crossing Ash Street. </w:t>
      </w:r>
      <w:r w:rsidR="003104E1" w:rsidRPr="003104E1">
        <w:rPr>
          <w:iCs/>
        </w:rPr>
        <w:t xml:space="preserve">On </w:t>
      </w:r>
      <w:r w:rsidR="00890F40">
        <w:rPr>
          <w:iCs/>
        </w:rPr>
        <w:t>March 6 and 8</w:t>
      </w:r>
      <w:r w:rsidR="003104E1" w:rsidRPr="003104E1">
        <w:rPr>
          <w:iCs/>
        </w:rPr>
        <w:t>, 20</w:t>
      </w:r>
      <w:r w:rsidR="00890F40">
        <w:rPr>
          <w:iCs/>
        </w:rPr>
        <w:t>12</w:t>
      </w:r>
      <w:r w:rsidR="003104E1" w:rsidRPr="003104E1">
        <w:rPr>
          <w:iCs/>
        </w:rPr>
        <w:t xml:space="preserve">, </w:t>
      </w:r>
      <w:r w:rsidR="00B15BC9">
        <w:rPr>
          <w:iCs/>
        </w:rPr>
        <w:t xml:space="preserve">the </w:t>
      </w:r>
      <w:r w:rsidR="003104E1" w:rsidRPr="003104E1">
        <w:rPr>
          <w:iCs/>
        </w:rPr>
        <w:lastRenderedPageBreak/>
        <w:t>Washington and Idaho Railroad, the operator</w:t>
      </w:r>
      <w:r w:rsidR="00B15BC9">
        <w:rPr>
          <w:iCs/>
        </w:rPr>
        <w:t>,</w:t>
      </w:r>
      <w:r w:rsidR="003104E1" w:rsidRPr="003104E1">
        <w:rPr>
          <w:iCs/>
        </w:rPr>
        <w:t xml:space="preserve"> and the Washington State Department of Transportation, the owner</w:t>
      </w:r>
      <w:r w:rsidR="00890F40">
        <w:rPr>
          <w:iCs/>
        </w:rPr>
        <w:t xml:space="preserve"> of the rail line</w:t>
      </w:r>
      <w:r w:rsidR="00B15BC9">
        <w:rPr>
          <w:iCs/>
        </w:rPr>
        <w:t>,</w:t>
      </w:r>
      <w:r w:rsidR="003104E1" w:rsidRPr="003104E1">
        <w:rPr>
          <w:iCs/>
        </w:rPr>
        <w:t xml:space="preserve"> submitted statements of support to the amended petition.</w:t>
      </w:r>
    </w:p>
    <w:p w:rsidR="001A531E" w:rsidRPr="004A535E" w:rsidRDefault="003104E1" w:rsidP="001A531E">
      <w:pPr>
        <w:pStyle w:val="NumberedParagraph"/>
        <w:spacing w:line="288" w:lineRule="auto"/>
      </w:pPr>
      <w:r w:rsidRPr="00B15BC9">
        <w:rPr>
          <w:iCs/>
        </w:rPr>
        <w:t xml:space="preserve">The amended proposal will still provide pedestrians with a smooth walking surface and ensure safe travel across the crossing. </w:t>
      </w:r>
      <w:r w:rsidR="001A531E">
        <w:t>Staff recommends that the Commission approve the amended petition.</w:t>
      </w:r>
    </w:p>
    <w:p w:rsidR="00BB2E85" w:rsidRPr="00A70F28" w:rsidRDefault="00BB2E85">
      <w:pPr>
        <w:pStyle w:val="FindingsConclusions"/>
        <w:tabs>
          <w:tab w:val="clear" w:pos="0"/>
        </w:tabs>
        <w:spacing w:line="288" w:lineRule="auto"/>
        <w:ind w:left="1400" w:hanging="1400"/>
        <w:jc w:val="center"/>
      </w:pPr>
      <w:r w:rsidRPr="00A70F28">
        <w:rPr>
          <w:b/>
          <w:bCs/>
        </w:rPr>
        <w:t>FINDINGS AND CONCLUSIONS</w:t>
      </w:r>
    </w:p>
    <w:p w:rsidR="00BB2E85" w:rsidRPr="00A70F28" w:rsidRDefault="00BB2E85">
      <w:pPr>
        <w:pStyle w:val="FindingsConclusions"/>
        <w:tabs>
          <w:tab w:val="clear" w:pos="0"/>
        </w:tabs>
        <w:spacing w:line="288" w:lineRule="auto"/>
        <w:ind w:left="1400" w:hanging="1400"/>
        <w:jc w:val="center"/>
        <w:rPr>
          <w:b/>
          <w:bCs/>
        </w:rPr>
      </w:pPr>
    </w:p>
    <w:p w:rsidR="00BB2E85" w:rsidRPr="00A70F28" w:rsidRDefault="00BB2E85">
      <w:pPr>
        <w:pStyle w:val="NumberedParagraph"/>
        <w:spacing w:line="288" w:lineRule="auto"/>
        <w:ind w:left="700" w:hanging="1420"/>
      </w:pPr>
      <w:r w:rsidRPr="00A70F28">
        <w:t>(1)</w:t>
      </w:r>
      <w:r w:rsidRPr="00A70F28">
        <w:tab/>
        <w:t xml:space="preserve">The Washington Utilities and Transportation Commission is an agency of the State of </w:t>
      </w:r>
      <w:smartTag w:uri="urn:schemas-microsoft-com:office:smarttags" w:element="State">
        <w:r w:rsidRPr="00A70F28">
          <w:t>Washington</w:t>
        </w:r>
      </w:smartTag>
      <w:r w:rsidRPr="00A70F28">
        <w:t xml:space="preserve"> having jurisdiction over public railroad-highway grade crossings within the state of </w:t>
      </w:r>
      <w:smartTag w:uri="urn:schemas-microsoft-com:office:smarttags" w:element="place">
        <w:smartTag w:uri="urn:schemas-microsoft-com:office:smarttags" w:element="State">
          <w:r w:rsidRPr="00A70F28">
            <w:t>Washington</w:t>
          </w:r>
        </w:smartTag>
      </w:smartTag>
      <w:r w:rsidRPr="00A70F28">
        <w:t xml:space="preserve">. </w:t>
      </w:r>
      <w:r w:rsidRPr="00A70F28">
        <w:rPr>
          <w:i/>
          <w:iCs/>
        </w:rPr>
        <w:t xml:space="preserve">Chapter 81.53 RCW.  </w:t>
      </w:r>
    </w:p>
    <w:p w:rsidR="00BB2E85" w:rsidRPr="00A70F28" w:rsidRDefault="00BB2E85">
      <w:pPr>
        <w:pStyle w:val="NumberedParagraph"/>
        <w:spacing w:line="288" w:lineRule="auto"/>
        <w:ind w:left="700" w:hanging="1420"/>
      </w:pPr>
      <w:r w:rsidRPr="00A70F28">
        <w:t>(2)</w:t>
      </w:r>
      <w:r w:rsidRPr="00A70F28">
        <w:rPr>
          <w:b/>
          <w:bCs/>
        </w:rPr>
        <w:tab/>
      </w:r>
      <w:r w:rsidRPr="00A70F28">
        <w:t xml:space="preserve">The </w:t>
      </w:r>
      <w:r w:rsidR="00890F40">
        <w:t>3</w:t>
      </w:r>
      <w:r w:rsidR="00890F40" w:rsidRPr="00890F40">
        <w:rPr>
          <w:vertAlign w:val="superscript"/>
        </w:rPr>
        <w:t>rd</w:t>
      </w:r>
      <w:r w:rsidR="00890F40">
        <w:t xml:space="preserve"> </w:t>
      </w:r>
      <w:r w:rsidR="006B5FEF">
        <w:t>Street</w:t>
      </w:r>
      <w:r w:rsidRPr="00A70F28">
        <w:t xml:space="preserve"> grade crossing, identified as USDOT</w:t>
      </w:r>
      <w:r w:rsidR="00F94F46">
        <w:t xml:space="preserve"> </w:t>
      </w:r>
      <w:r w:rsidR="00890F40">
        <w:t>059001Y</w:t>
      </w:r>
      <w:r w:rsidRPr="00A70F28">
        <w:t xml:space="preserve"> is a public railroad-highway grade crossing within the state of Washington. </w:t>
      </w:r>
    </w:p>
    <w:p w:rsidR="007E3ADC" w:rsidRPr="00A70F28" w:rsidRDefault="00BB2E85" w:rsidP="00D227C4">
      <w:pPr>
        <w:pStyle w:val="NumberedParagraph"/>
        <w:spacing w:line="288" w:lineRule="auto"/>
        <w:ind w:left="700" w:hanging="1420"/>
      </w:pPr>
      <w:r w:rsidRPr="00A70F28">
        <w:t>(3)</w:t>
      </w:r>
      <w:r w:rsidRPr="00A70F28">
        <w:tab/>
        <w:t>WAC 480-62-150(</w:t>
      </w:r>
      <w:r w:rsidR="00BE5E69">
        <w:t>1</w:t>
      </w:r>
      <w:r w:rsidRPr="00A70F28">
        <w:t>)(</w:t>
      </w:r>
      <w:r w:rsidR="00BE5E69">
        <w:t>g</w:t>
      </w:r>
      <w:r w:rsidRPr="00A70F28">
        <w:t xml:space="preserve">) requires that the </w:t>
      </w:r>
      <w:r w:rsidR="00671EBC">
        <w:t>C</w:t>
      </w:r>
      <w:r w:rsidRPr="00A70F28">
        <w:t xml:space="preserve">ommission grant approval prior to any changes to </w:t>
      </w:r>
      <w:r w:rsidR="00BE5E69">
        <w:t>crossing surfaces</w:t>
      </w:r>
      <w:r w:rsidR="00DD3AFF">
        <w:t xml:space="preserve"> </w:t>
      </w:r>
      <w:r w:rsidRPr="00A70F28">
        <w:t>at public railroad-highway grade crossings within the state of Washington.</w:t>
      </w:r>
    </w:p>
    <w:p w:rsidR="00BB2E85" w:rsidRPr="00D227C4" w:rsidRDefault="007E3ADC" w:rsidP="007E3ADC">
      <w:pPr>
        <w:pStyle w:val="NumberedParagraph"/>
        <w:spacing w:line="288" w:lineRule="auto"/>
        <w:ind w:left="700" w:hanging="1420"/>
      </w:pPr>
      <w:r w:rsidRPr="00A70F28">
        <w:t>(</w:t>
      </w:r>
      <w:r w:rsidR="00D227C4">
        <w:t>4</w:t>
      </w:r>
      <w:r w:rsidRPr="00A70F28">
        <w:t>)</w:t>
      </w:r>
      <w:r w:rsidRPr="00A70F28">
        <w:tab/>
      </w:r>
      <w:r w:rsidRPr="00D227C4">
        <w:t xml:space="preserve">Commission Staff investigated the </w:t>
      </w:r>
      <w:r w:rsidR="008A40EA">
        <w:t xml:space="preserve">amended </w:t>
      </w:r>
      <w:r w:rsidRPr="00D227C4">
        <w:t>petition and</w:t>
      </w:r>
      <w:r w:rsidR="00D227C4" w:rsidRPr="00D227C4">
        <w:t xml:space="preserve"> recommended that it be granted</w:t>
      </w:r>
      <w:r w:rsidRPr="00D227C4">
        <w:t>.</w:t>
      </w:r>
      <w:r w:rsidR="00BB2E85" w:rsidRPr="00D227C4">
        <w:t xml:space="preserve">   </w:t>
      </w:r>
    </w:p>
    <w:p w:rsidR="001B7495" w:rsidRDefault="00BB2E85" w:rsidP="00464619">
      <w:pPr>
        <w:pStyle w:val="NumberedParagraph"/>
        <w:spacing w:line="288" w:lineRule="auto"/>
        <w:ind w:left="700" w:hanging="1420"/>
        <w:rPr>
          <w:bCs/>
          <w:iCs/>
        </w:rPr>
      </w:pPr>
      <w:r w:rsidRPr="00D227C4">
        <w:t>(</w:t>
      </w:r>
      <w:r w:rsidR="00D227C4" w:rsidRPr="00D227C4">
        <w:t>5</w:t>
      </w:r>
      <w:r w:rsidRPr="00D227C4">
        <w:t xml:space="preserve">)      </w:t>
      </w:r>
      <w:r w:rsidR="007E3ADC" w:rsidRPr="00D227C4">
        <w:t xml:space="preserve">After examination of the </w:t>
      </w:r>
      <w:r w:rsidR="00B15BC9">
        <w:t xml:space="preserve">amended </w:t>
      </w:r>
      <w:r w:rsidR="007E3ADC" w:rsidRPr="00D227C4">
        <w:t>petition filed by</w:t>
      </w:r>
      <w:r w:rsidR="007E3ADC" w:rsidRPr="00A70F28">
        <w:t xml:space="preserve"> the </w:t>
      </w:r>
      <w:r w:rsidR="00722B92">
        <w:t>T</w:t>
      </w:r>
      <w:r w:rsidR="006B5FEF">
        <w:t>own</w:t>
      </w:r>
      <w:r w:rsidR="00BE5E69">
        <w:t xml:space="preserve"> of </w:t>
      </w:r>
      <w:r w:rsidR="00890F40">
        <w:t>Spangle</w:t>
      </w:r>
      <w:r w:rsidR="00BE5E69">
        <w:t xml:space="preserve"> </w:t>
      </w:r>
      <w:r w:rsidR="007E3ADC" w:rsidRPr="00A70F28">
        <w:rPr>
          <w:iCs/>
        </w:rPr>
        <w:t xml:space="preserve">on </w:t>
      </w:r>
      <w:r w:rsidR="006B5FEF">
        <w:rPr>
          <w:iCs/>
        </w:rPr>
        <w:t xml:space="preserve">May </w:t>
      </w:r>
      <w:r w:rsidR="00BE5E69">
        <w:rPr>
          <w:iCs/>
        </w:rPr>
        <w:t>2</w:t>
      </w:r>
      <w:r w:rsidR="00890F40">
        <w:rPr>
          <w:iCs/>
        </w:rPr>
        <w:t>7</w:t>
      </w:r>
      <w:r w:rsidR="007E3ADC" w:rsidRPr="00A70F28">
        <w:rPr>
          <w:iCs/>
        </w:rPr>
        <w:t>, 20</w:t>
      </w:r>
      <w:r w:rsidR="00890F40">
        <w:rPr>
          <w:iCs/>
        </w:rPr>
        <w:t>11</w:t>
      </w:r>
      <w:r w:rsidR="007E3ADC" w:rsidRPr="00A70F28">
        <w:t>,</w:t>
      </w:r>
      <w:r w:rsidR="008A40EA">
        <w:t xml:space="preserve"> and revised on </w:t>
      </w:r>
      <w:r w:rsidR="00890F40">
        <w:t>March 2</w:t>
      </w:r>
      <w:r w:rsidR="008A40EA">
        <w:t>, 20</w:t>
      </w:r>
      <w:r w:rsidR="00890F40">
        <w:t>12</w:t>
      </w:r>
      <w:r w:rsidR="008A40EA">
        <w:t>,</w:t>
      </w:r>
      <w:r w:rsidR="007E3ADC" w:rsidRPr="00A70F28">
        <w:t xml:space="preserve"> and giving consideration to all relevant matters</w:t>
      </w:r>
      <w:r w:rsidR="007E3ADC">
        <w:t xml:space="preserve"> and for good cause shown, the C</w:t>
      </w:r>
      <w:r w:rsidR="007E3ADC" w:rsidRPr="00A70F28">
        <w:t>ommission grants th</w:t>
      </w:r>
      <w:r w:rsidR="007E3ADC">
        <w:t xml:space="preserve">e </w:t>
      </w:r>
      <w:r w:rsidR="008A40EA">
        <w:t xml:space="preserve">amended </w:t>
      </w:r>
      <w:r w:rsidR="007E3ADC">
        <w:t>petition.</w:t>
      </w:r>
    </w:p>
    <w:p w:rsidR="00BB2E85" w:rsidRPr="00A70F28" w:rsidRDefault="00BB2E85">
      <w:pPr>
        <w:pStyle w:val="SectionHeading"/>
        <w:spacing w:line="288" w:lineRule="auto"/>
        <w:rPr>
          <w:bCs w:val="0"/>
          <w:iCs/>
          <w:szCs w:val="24"/>
        </w:rPr>
      </w:pPr>
      <w:r w:rsidRPr="00A70F28">
        <w:rPr>
          <w:bCs w:val="0"/>
          <w:iCs/>
          <w:szCs w:val="24"/>
        </w:rPr>
        <w:t>O R D E R</w:t>
      </w:r>
    </w:p>
    <w:p w:rsidR="00BB2E85" w:rsidRDefault="00BB2E85">
      <w:pPr>
        <w:pStyle w:val="NumberedParagraph"/>
        <w:numPr>
          <w:ilvl w:val="0"/>
          <w:numId w:val="0"/>
        </w:numPr>
        <w:spacing w:line="288" w:lineRule="auto"/>
        <w:ind w:left="-720" w:firstLine="720"/>
        <w:rPr>
          <w:iCs/>
        </w:rPr>
      </w:pPr>
      <w:r w:rsidRPr="00A70F28">
        <w:rPr>
          <w:iCs/>
        </w:rPr>
        <w:t xml:space="preserve">THE COMMISSION ORDERS: </w:t>
      </w:r>
    </w:p>
    <w:p w:rsidR="00BB2E85" w:rsidRPr="00A70F28" w:rsidRDefault="00BB2E85" w:rsidP="0069134A">
      <w:pPr>
        <w:pStyle w:val="NumberedParagraph"/>
        <w:spacing w:line="288" w:lineRule="auto"/>
      </w:pPr>
      <w:r w:rsidRPr="00A70F28">
        <w:t xml:space="preserve">The </w:t>
      </w:r>
      <w:r w:rsidR="00B31F01">
        <w:t xml:space="preserve">amended </w:t>
      </w:r>
      <w:r w:rsidRPr="00A70F28">
        <w:t xml:space="preserve">petition </w:t>
      </w:r>
      <w:r w:rsidR="00892485" w:rsidRPr="00A70F28">
        <w:t xml:space="preserve">of </w:t>
      </w:r>
      <w:r w:rsidR="00892485">
        <w:t>the</w:t>
      </w:r>
      <w:r w:rsidR="00563DE2">
        <w:t xml:space="preserve"> </w:t>
      </w:r>
      <w:r w:rsidR="00722B92">
        <w:t>T</w:t>
      </w:r>
      <w:r w:rsidR="006B5FEF">
        <w:t>own</w:t>
      </w:r>
      <w:r w:rsidR="00BE5E69">
        <w:t xml:space="preserve"> of </w:t>
      </w:r>
      <w:r w:rsidR="00890F40">
        <w:t>Spangle</w:t>
      </w:r>
      <w:r w:rsidR="006B5FEF">
        <w:t xml:space="preserve"> </w:t>
      </w:r>
      <w:r w:rsidRPr="00A70F28">
        <w:t xml:space="preserve">to </w:t>
      </w:r>
      <w:r w:rsidR="00BE5E69">
        <w:t>install sidewalks</w:t>
      </w:r>
      <w:r w:rsidRPr="00A70F28">
        <w:t xml:space="preserve"> at a railroad-highway grade crossing, located at the intersection </w:t>
      </w:r>
      <w:r w:rsidR="00892485" w:rsidRPr="00A70F28">
        <w:t xml:space="preserve">of </w:t>
      </w:r>
      <w:r w:rsidR="00890F40">
        <w:t>3</w:t>
      </w:r>
      <w:r w:rsidR="00890F40" w:rsidRPr="00890F40">
        <w:rPr>
          <w:vertAlign w:val="superscript"/>
        </w:rPr>
        <w:t>rd</w:t>
      </w:r>
      <w:r w:rsidR="00890F40">
        <w:t xml:space="preserve"> </w:t>
      </w:r>
      <w:r w:rsidR="006B5FEF">
        <w:t>Street</w:t>
      </w:r>
      <w:r w:rsidRPr="00A70F28">
        <w:t xml:space="preserve"> and </w:t>
      </w:r>
      <w:r w:rsidR="00722B92">
        <w:t>Washington State Department of Transportation/</w:t>
      </w:r>
      <w:r w:rsidR="006B5FEF">
        <w:t>Washington and Idaho</w:t>
      </w:r>
      <w:r w:rsidR="00464619">
        <w:t xml:space="preserve"> Railroad</w:t>
      </w:r>
      <w:r w:rsidR="00362D6A">
        <w:t xml:space="preserve">’s </w:t>
      </w:r>
      <w:r w:rsidRPr="00A70F28">
        <w:t xml:space="preserve">tracks in </w:t>
      </w:r>
      <w:r w:rsidR="00890F40">
        <w:t>Spangle</w:t>
      </w:r>
      <w:r w:rsidRPr="00A70F28">
        <w:t>, Washington, is granted</w:t>
      </w:r>
      <w:r w:rsidR="005D1CF6" w:rsidRPr="00A70F28">
        <w:t>.</w:t>
      </w:r>
      <w:r w:rsidR="005D1CF6">
        <w:t xml:space="preserve"> </w:t>
      </w:r>
      <w:r w:rsidRPr="00A70F28">
        <w:t xml:space="preserve">Approval of the </w:t>
      </w:r>
      <w:r w:rsidR="00B31F01">
        <w:t xml:space="preserve">amended </w:t>
      </w:r>
      <w:r w:rsidRPr="00A70F28">
        <w:t>petition is subject to the following conditions:</w:t>
      </w:r>
    </w:p>
    <w:p w:rsidR="00BB2E85" w:rsidRDefault="00BE5E69">
      <w:pPr>
        <w:numPr>
          <w:ilvl w:val="1"/>
          <w:numId w:val="21"/>
        </w:numPr>
        <w:tabs>
          <w:tab w:val="left" w:pos="4900"/>
        </w:tabs>
      </w:pPr>
      <w:r>
        <w:t xml:space="preserve">The modifications must conform to those described in the </w:t>
      </w:r>
      <w:r w:rsidR="00B31F01">
        <w:t xml:space="preserve">amended </w:t>
      </w:r>
      <w:r>
        <w:t>petition.</w:t>
      </w:r>
    </w:p>
    <w:p w:rsidR="000F1C91" w:rsidRPr="00A70F28" w:rsidRDefault="000F1C91">
      <w:pPr>
        <w:numPr>
          <w:ilvl w:val="1"/>
          <w:numId w:val="21"/>
        </w:numPr>
        <w:tabs>
          <w:tab w:val="left" w:pos="4900"/>
        </w:tabs>
      </w:pPr>
      <w:r>
        <w:lastRenderedPageBreak/>
        <w:t>Traffic control devices must comply with all the applicable standards specified in the 2009 U.S. Department of Transportation Manual on Uniform Traffic Control Devices.</w:t>
      </w:r>
    </w:p>
    <w:p w:rsidR="00BB2E85" w:rsidRPr="00A70F28" w:rsidRDefault="00BB2E85">
      <w:pPr>
        <w:tabs>
          <w:tab w:val="left" w:pos="4900"/>
        </w:tabs>
        <w:rPr>
          <w:iCs/>
        </w:rPr>
      </w:pPr>
    </w:p>
    <w:p w:rsidR="00BB2E85" w:rsidRPr="007E3ADC" w:rsidRDefault="00BB2E85">
      <w:pPr>
        <w:numPr>
          <w:ilvl w:val="1"/>
          <w:numId w:val="21"/>
        </w:numPr>
        <w:tabs>
          <w:tab w:val="left" w:pos="4900"/>
        </w:tabs>
        <w:rPr>
          <w:iCs/>
        </w:rPr>
      </w:pPr>
      <w:r w:rsidRPr="00A70F28">
        <w:t xml:space="preserve">Upon completion of the </w:t>
      </w:r>
      <w:r w:rsidR="00BE5E69">
        <w:t>sidewalk</w:t>
      </w:r>
      <w:r w:rsidRPr="00A70F28">
        <w:t xml:space="preserve">s authorized herein, petitioner must notify the </w:t>
      </w:r>
      <w:r w:rsidR="00671EBC">
        <w:t>C</w:t>
      </w:r>
      <w:r w:rsidRPr="00A70F28">
        <w:t>ommission</w:t>
      </w:r>
      <w:r w:rsidR="005D1CF6" w:rsidRPr="00A70F28">
        <w:t xml:space="preserve">. </w:t>
      </w:r>
      <w:r w:rsidRPr="00A70F28">
        <w:t xml:space="preserve">Acceptance of the changes is subject to inspection by </w:t>
      </w:r>
      <w:r w:rsidR="00671EBC">
        <w:t>C</w:t>
      </w:r>
      <w:r w:rsidR="007657C5">
        <w:t xml:space="preserve">ommission </w:t>
      </w:r>
      <w:r w:rsidR="00671EBC">
        <w:t>S</w:t>
      </w:r>
      <w:r w:rsidRPr="00A70F28">
        <w:t>taff, verifying that the crossing is in full compliance with applicable laws, regulations, and the conditions specified herein.</w:t>
      </w:r>
    </w:p>
    <w:p w:rsidR="007E3ADC" w:rsidRDefault="007E3ADC" w:rsidP="007E3ADC">
      <w:pPr>
        <w:tabs>
          <w:tab w:val="left" w:pos="4900"/>
        </w:tabs>
        <w:rPr>
          <w:iCs/>
        </w:rPr>
      </w:pPr>
    </w:p>
    <w:p w:rsidR="00886DD2" w:rsidRPr="00A70F28" w:rsidRDefault="00886DD2" w:rsidP="00886DD2">
      <w:pPr>
        <w:pStyle w:val="NumberedParagraph"/>
        <w:numPr>
          <w:ilvl w:val="0"/>
          <w:numId w:val="0"/>
        </w:numPr>
        <w:spacing w:line="288" w:lineRule="auto"/>
        <w:rPr>
          <w:iCs/>
        </w:rPr>
      </w:pPr>
      <w:r w:rsidRPr="00A70F28">
        <w:rPr>
          <w:iCs/>
        </w:rPr>
        <w:t xml:space="preserve">The </w:t>
      </w:r>
      <w:r>
        <w:rPr>
          <w:iCs/>
        </w:rPr>
        <w:t xml:space="preserve">Commissioners, </w:t>
      </w:r>
      <w:r w:rsidRPr="00A70F28">
        <w:rPr>
          <w:iCs/>
        </w:rPr>
        <w:t>having determined that this filing complies with the requirements of WAC 480-62-150</w:t>
      </w:r>
      <w:r w:rsidR="00BE5E69" w:rsidRPr="00A70F28">
        <w:t>(</w:t>
      </w:r>
      <w:r w:rsidR="00BE5E69">
        <w:t>1</w:t>
      </w:r>
      <w:r w:rsidR="005D1CF6" w:rsidRPr="00A70F28">
        <w:t>) (</w:t>
      </w:r>
      <w:r w:rsidR="00BE5E69">
        <w:t>g</w:t>
      </w:r>
      <w:r w:rsidR="00BE5E69" w:rsidRPr="00A70F28">
        <w:t>)</w:t>
      </w:r>
      <w:r w:rsidR="00BE5E69">
        <w:rPr>
          <w:iCs/>
        </w:rPr>
        <w:t xml:space="preserve"> and</w:t>
      </w:r>
      <w:r w:rsidRPr="00A70F28">
        <w:rPr>
          <w:iCs/>
        </w:rPr>
        <w:t xml:space="preserve"> RCW 81.53.030</w:t>
      </w:r>
      <w:r>
        <w:rPr>
          <w:iCs/>
        </w:rPr>
        <w:t xml:space="preserve">, directed the Secretary to enter this </w:t>
      </w:r>
      <w:r w:rsidRPr="00A70F28">
        <w:rPr>
          <w:iCs/>
        </w:rPr>
        <w:t>Order.</w:t>
      </w:r>
    </w:p>
    <w:p w:rsidR="00BB2E85" w:rsidRPr="00A70F28" w:rsidRDefault="00BB2E85">
      <w:pPr>
        <w:spacing w:line="288" w:lineRule="auto"/>
        <w:rPr>
          <w:iCs/>
        </w:rPr>
      </w:pPr>
      <w:r w:rsidRPr="00A70F28">
        <w:rPr>
          <w:iCs/>
        </w:rPr>
        <w:t xml:space="preserve">DATED at Olympia, Washington, and effective </w:t>
      </w:r>
      <w:r w:rsidR="001879D6">
        <w:rPr>
          <w:iCs/>
        </w:rPr>
        <w:t>March 1</w:t>
      </w:r>
      <w:r w:rsidR="00890F40">
        <w:rPr>
          <w:iCs/>
        </w:rPr>
        <w:t>6</w:t>
      </w:r>
      <w:r w:rsidR="00671EBC">
        <w:rPr>
          <w:iCs/>
        </w:rPr>
        <w:t>,</w:t>
      </w:r>
      <w:r w:rsidR="00A70F28" w:rsidRPr="00A70F28">
        <w:rPr>
          <w:iCs/>
        </w:rPr>
        <w:t xml:space="preserve"> 20</w:t>
      </w:r>
      <w:r w:rsidR="001879D6">
        <w:rPr>
          <w:iCs/>
        </w:rPr>
        <w:t>12</w:t>
      </w:r>
      <w:r w:rsidRPr="00A70F28">
        <w:rPr>
          <w:iCs/>
        </w:rPr>
        <w:t>.</w:t>
      </w:r>
    </w:p>
    <w:p w:rsidR="00BB2E85" w:rsidRPr="00A70F28" w:rsidRDefault="00BB2E85">
      <w:pPr>
        <w:spacing w:line="288" w:lineRule="auto"/>
        <w:rPr>
          <w:iCs/>
        </w:rPr>
      </w:pPr>
    </w:p>
    <w:p w:rsidR="00BB2E85" w:rsidRPr="00A70F28" w:rsidRDefault="00BB2E85">
      <w:pPr>
        <w:spacing w:line="288" w:lineRule="auto"/>
        <w:jc w:val="center"/>
        <w:rPr>
          <w:iCs/>
        </w:rPr>
      </w:pPr>
      <w:smartTag w:uri="urn:schemas-microsoft-com:office:smarttags" w:element="place">
        <w:smartTag w:uri="urn:schemas-microsoft-com:office:smarttags" w:element="State">
          <w:r w:rsidRPr="00A70F28">
            <w:rPr>
              <w:iCs/>
            </w:rPr>
            <w:t>WASHINGTON</w:t>
          </w:r>
        </w:smartTag>
      </w:smartTag>
      <w:r w:rsidRPr="00A70F28">
        <w:rPr>
          <w:iCs/>
        </w:rPr>
        <w:t xml:space="preserve"> UTILITIES AND TRANSPORTATION COMMISSION</w:t>
      </w:r>
    </w:p>
    <w:p w:rsidR="00BB2E85" w:rsidRPr="00A70F28" w:rsidRDefault="00BB2E85">
      <w:pPr>
        <w:pStyle w:val="Header"/>
        <w:tabs>
          <w:tab w:val="clear" w:pos="8300"/>
        </w:tabs>
        <w:spacing w:line="288" w:lineRule="auto"/>
        <w:rPr>
          <w:iCs/>
        </w:rPr>
      </w:pPr>
    </w:p>
    <w:p w:rsidR="00BB2E85" w:rsidRPr="00A70F28" w:rsidRDefault="00BB2E85">
      <w:pPr>
        <w:spacing w:line="288" w:lineRule="auto"/>
        <w:rPr>
          <w:iCs/>
        </w:rPr>
      </w:pPr>
    </w:p>
    <w:p w:rsidR="00BB2E85" w:rsidRPr="00A70F28" w:rsidRDefault="00BB2E85">
      <w:pPr>
        <w:spacing w:line="288" w:lineRule="auto"/>
        <w:rPr>
          <w:iCs/>
        </w:rPr>
      </w:pPr>
    </w:p>
    <w:p w:rsidR="00BB2E85" w:rsidRDefault="00B31F01" w:rsidP="00A674B3">
      <w:pPr>
        <w:spacing w:line="288" w:lineRule="auto"/>
        <w:ind w:left="2880" w:firstLine="720"/>
      </w:pPr>
      <w:r>
        <w:t>DAVID W. DANNER</w:t>
      </w:r>
      <w:r w:rsidR="00BB2E85" w:rsidRPr="00A70F28">
        <w:t xml:space="preserve">, </w:t>
      </w:r>
      <w:r w:rsidR="00AE42FE">
        <w:t xml:space="preserve">Executive </w:t>
      </w:r>
      <w:r>
        <w:t xml:space="preserve">Director </w:t>
      </w:r>
    </w:p>
    <w:p w:rsidR="001879D6" w:rsidRDefault="001879D6" w:rsidP="00A674B3">
      <w:pPr>
        <w:spacing w:line="288" w:lineRule="auto"/>
        <w:ind w:left="2880" w:firstLine="720"/>
      </w:pPr>
    </w:p>
    <w:p w:rsidR="001879D6" w:rsidRDefault="001879D6" w:rsidP="00A674B3">
      <w:pPr>
        <w:spacing w:line="288" w:lineRule="auto"/>
        <w:ind w:left="2880" w:firstLine="720"/>
      </w:pPr>
    </w:p>
    <w:p w:rsidR="001879D6" w:rsidRPr="007E6E14" w:rsidRDefault="001879D6" w:rsidP="001879D6">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1879D6" w:rsidRPr="007E6E14" w:rsidRDefault="001879D6" w:rsidP="001879D6">
      <w:pPr>
        <w:spacing w:line="264" w:lineRule="auto"/>
        <w:rPr>
          <w:bCs/>
        </w:rPr>
      </w:pPr>
    </w:p>
    <w:p w:rsidR="001879D6" w:rsidRPr="007E6E14" w:rsidRDefault="001879D6" w:rsidP="001879D6">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1879D6" w:rsidRPr="007E6E14" w:rsidRDefault="001879D6" w:rsidP="001879D6">
      <w:pPr>
        <w:spacing w:line="264" w:lineRule="auto"/>
        <w:rPr>
          <w:bCs/>
        </w:rPr>
      </w:pPr>
    </w:p>
    <w:p w:rsidR="001879D6" w:rsidRDefault="001879D6" w:rsidP="001879D6">
      <w:pPr>
        <w:spacing w:line="264" w:lineRule="auto"/>
      </w:pPr>
      <w:r w:rsidRPr="007E6E14">
        <w:rPr>
          <w:bCs/>
        </w:rPr>
        <w:t>This notice and review process is pursuant to the provisions of RCW 80.01.030</w:t>
      </w:r>
      <w:r>
        <w:rPr>
          <w:bCs/>
        </w:rPr>
        <w:t xml:space="preserve"> and WAC 480-07-904(2) and (3).</w:t>
      </w:r>
      <w:r>
        <w:t xml:space="preserve"> </w:t>
      </w:r>
    </w:p>
    <w:p w:rsidR="001879D6" w:rsidRPr="00A70F28" w:rsidRDefault="001879D6" w:rsidP="001879D6">
      <w:pPr>
        <w:spacing w:line="288" w:lineRule="auto"/>
        <w:ind w:left="2880" w:firstLine="720"/>
      </w:pPr>
    </w:p>
    <w:sectPr w:rsidR="001879D6" w:rsidRPr="00A70F28">
      <w:headerReference w:type="default" r:id="rId9"/>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891" w:rsidRDefault="00CF5891">
      <w:r>
        <w:separator/>
      </w:r>
    </w:p>
  </w:endnote>
  <w:endnote w:type="continuationSeparator" w:id="0">
    <w:p w:rsidR="00CF5891" w:rsidRDefault="00CF5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891" w:rsidRDefault="00CF5891">
      <w:r>
        <w:separator/>
      </w:r>
    </w:p>
  </w:footnote>
  <w:footnote w:type="continuationSeparator" w:id="0">
    <w:p w:rsidR="00CF5891" w:rsidRDefault="00CF58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891" w:rsidRPr="00671EBC" w:rsidRDefault="00CF5891">
    <w:pPr>
      <w:pStyle w:val="Header"/>
      <w:rPr>
        <w:rStyle w:val="PageNumber"/>
        <w:b/>
        <w:sz w:val="20"/>
      </w:rPr>
    </w:pPr>
    <w:r w:rsidRPr="00671EBC">
      <w:rPr>
        <w:b/>
        <w:sz w:val="20"/>
      </w:rPr>
      <w:t>DOCKET TR-</w:t>
    </w:r>
    <w:r>
      <w:rPr>
        <w:b/>
        <w:sz w:val="20"/>
      </w:rPr>
      <w:t>110978</w:t>
    </w:r>
    <w:r w:rsidRPr="00671EBC">
      <w:rPr>
        <w:b/>
        <w:sz w:val="20"/>
      </w:rPr>
      <w:tab/>
      <w:t xml:space="preserve">PAGE </w:t>
    </w:r>
    <w:r w:rsidRPr="00671EBC">
      <w:rPr>
        <w:rStyle w:val="PageNumber"/>
        <w:b/>
        <w:sz w:val="20"/>
      </w:rPr>
      <w:fldChar w:fldCharType="begin"/>
    </w:r>
    <w:r w:rsidRPr="00671EBC">
      <w:rPr>
        <w:rStyle w:val="PageNumber"/>
        <w:b/>
        <w:sz w:val="20"/>
      </w:rPr>
      <w:instrText xml:space="preserve"> PAGE </w:instrText>
    </w:r>
    <w:r w:rsidRPr="00671EBC">
      <w:rPr>
        <w:rStyle w:val="PageNumber"/>
        <w:b/>
        <w:sz w:val="20"/>
      </w:rPr>
      <w:fldChar w:fldCharType="separate"/>
    </w:r>
    <w:r w:rsidR="008D0F1B">
      <w:rPr>
        <w:rStyle w:val="PageNumber"/>
        <w:b/>
        <w:noProof/>
        <w:sz w:val="20"/>
      </w:rPr>
      <w:t>2</w:t>
    </w:r>
    <w:r w:rsidRPr="00671EBC">
      <w:rPr>
        <w:rStyle w:val="PageNumber"/>
        <w:b/>
        <w:sz w:val="20"/>
      </w:rPr>
      <w:fldChar w:fldCharType="end"/>
    </w:r>
  </w:p>
  <w:p w:rsidR="00CF5891" w:rsidRPr="00671EBC" w:rsidRDefault="00CF5891">
    <w:pPr>
      <w:pStyle w:val="Header"/>
      <w:rPr>
        <w:rStyle w:val="PageNumber"/>
        <w:b/>
        <w:sz w:val="20"/>
      </w:rPr>
    </w:pPr>
    <w:r w:rsidRPr="00671EBC">
      <w:rPr>
        <w:rStyle w:val="PageNumber"/>
        <w:b/>
        <w:sz w:val="20"/>
      </w:rPr>
      <w:t>ORDER</w:t>
    </w:r>
    <w:r>
      <w:rPr>
        <w:rStyle w:val="PageNumber"/>
        <w:b/>
        <w:sz w:val="20"/>
      </w:rPr>
      <w:t xml:space="preserve"> </w:t>
    </w:r>
    <w:r w:rsidRPr="00671EBC">
      <w:rPr>
        <w:rStyle w:val="PageNumber"/>
        <w:b/>
        <w:sz w:val="20"/>
      </w:rPr>
      <w:t>0</w:t>
    </w:r>
    <w:r>
      <w:rPr>
        <w:rStyle w:val="PageNumber"/>
        <w:b/>
        <w:sz w:val="20"/>
      </w:rPr>
      <w:t>2</w:t>
    </w:r>
  </w:p>
  <w:p w:rsidR="00CF5891" w:rsidRPr="00671EBC" w:rsidRDefault="00CF5891">
    <w:pPr>
      <w:pStyle w:val="Header"/>
      <w:rPr>
        <w:rStyle w:val="PageNumber"/>
        <w:b/>
        <w:sz w:val="20"/>
      </w:rPr>
    </w:pPr>
  </w:p>
  <w:p w:rsidR="00CF5891" w:rsidRPr="00671EBC" w:rsidRDefault="00CF5891">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8"/>
  </w:num>
  <w:num w:numId="5">
    <w:abstractNumId w:val="2"/>
  </w:num>
  <w:num w:numId="6">
    <w:abstractNumId w:val="14"/>
  </w:num>
  <w:num w:numId="7">
    <w:abstractNumId w:val="5"/>
  </w:num>
  <w:num w:numId="8">
    <w:abstractNumId w:val="17"/>
  </w:num>
  <w:num w:numId="9">
    <w:abstractNumId w:val="9"/>
  </w:num>
  <w:num w:numId="10">
    <w:abstractNumId w:val="3"/>
  </w:num>
  <w:num w:numId="11">
    <w:abstractNumId w:val="13"/>
  </w:num>
  <w:num w:numId="12">
    <w:abstractNumId w:val="3"/>
  </w:num>
  <w:num w:numId="13">
    <w:abstractNumId w:val="15"/>
  </w:num>
  <w:num w:numId="14">
    <w:abstractNumId w:val="19"/>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8EE"/>
    <w:rsid w:val="0000648F"/>
    <w:rsid w:val="00033A09"/>
    <w:rsid w:val="000377F7"/>
    <w:rsid w:val="00046138"/>
    <w:rsid w:val="0006446B"/>
    <w:rsid w:val="0007353F"/>
    <w:rsid w:val="00085F52"/>
    <w:rsid w:val="0009340E"/>
    <w:rsid w:val="000C3D4C"/>
    <w:rsid w:val="000C5DFD"/>
    <w:rsid w:val="000F1C91"/>
    <w:rsid w:val="000F3A63"/>
    <w:rsid w:val="000F604F"/>
    <w:rsid w:val="00113EFC"/>
    <w:rsid w:val="00140BFF"/>
    <w:rsid w:val="0014203B"/>
    <w:rsid w:val="001879D6"/>
    <w:rsid w:val="00197AF2"/>
    <w:rsid w:val="001A531E"/>
    <w:rsid w:val="001B7495"/>
    <w:rsid w:val="001F6EE2"/>
    <w:rsid w:val="0023267E"/>
    <w:rsid w:val="00242F94"/>
    <w:rsid w:val="002B0796"/>
    <w:rsid w:val="002B44A5"/>
    <w:rsid w:val="002B506A"/>
    <w:rsid w:val="002E1668"/>
    <w:rsid w:val="002F1001"/>
    <w:rsid w:val="0030184B"/>
    <w:rsid w:val="003104E1"/>
    <w:rsid w:val="00340E2E"/>
    <w:rsid w:val="00342086"/>
    <w:rsid w:val="00362D6A"/>
    <w:rsid w:val="00373638"/>
    <w:rsid w:val="003856CA"/>
    <w:rsid w:val="0038654F"/>
    <w:rsid w:val="00392B15"/>
    <w:rsid w:val="003B7613"/>
    <w:rsid w:val="003D5F7B"/>
    <w:rsid w:val="003D6EF2"/>
    <w:rsid w:val="003F6252"/>
    <w:rsid w:val="00413E71"/>
    <w:rsid w:val="00415804"/>
    <w:rsid w:val="00440269"/>
    <w:rsid w:val="00464619"/>
    <w:rsid w:val="00476D99"/>
    <w:rsid w:val="00477B39"/>
    <w:rsid w:val="004809E8"/>
    <w:rsid w:val="004C125A"/>
    <w:rsid w:val="004E1D29"/>
    <w:rsid w:val="004F1181"/>
    <w:rsid w:val="004F5CE3"/>
    <w:rsid w:val="00520504"/>
    <w:rsid w:val="00523242"/>
    <w:rsid w:val="00533D07"/>
    <w:rsid w:val="005414AE"/>
    <w:rsid w:val="00563DE2"/>
    <w:rsid w:val="00575C93"/>
    <w:rsid w:val="005C07AB"/>
    <w:rsid w:val="005D1CF6"/>
    <w:rsid w:val="005D6416"/>
    <w:rsid w:val="005F09D9"/>
    <w:rsid w:val="005F39D5"/>
    <w:rsid w:val="005F41B1"/>
    <w:rsid w:val="00606D8F"/>
    <w:rsid w:val="00641BA4"/>
    <w:rsid w:val="00644427"/>
    <w:rsid w:val="006613D4"/>
    <w:rsid w:val="00662501"/>
    <w:rsid w:val="0066451D"/>
    <w:rsid w:val="00671EBC"/>
    <w:rsid w:val="0069117F"/>
    <w:rsid w:val="0069134A"/>
    <w:rsid w:val="006A785A"/>
    <w:rsid w:val="006B5FEF"/>
    <w:rsid w:val="006B7B6B"/>
    <w:rsid w:val="006D3DFC"/>
    <w:rsid w:val="006D5B90"/>
    <w:rsid w:val="006D6436"/>
    <w:rsid w:val="006E3C9A"/>
    <w:rsid w:val="006E59C6"/>
    <w:rsid w:val="006F36CA"/>
    <w:rsid w:val="00702069"/>
    <w:rsid w:val="00706CDF"/>
    <w:rsid w:val="00722B92"/>
    <w:rsid w:val="00726978"/>
    <w:rsid w:val="00730E8A"/>
    <w:rsid w:val="00741430"/>
    <w:rsid w:val="00744406"/>
    <w:rsid w:val="007657C5"/>
    <w:rsid w:val="007771D5"/>
    <w:rsid w:val="00784582"/>
    <w:rsid w:val="007A308C"/>
    <w:rsid w:val="007A53FA"/>
    <w:rsid w:val="007B343B"/>
    <w:rsid w:val="007E3ADC"/>
    <w:rsid w:val="007F06A6"/>
    <w:rsid w:val="007F4D45"/>
    <w:rsid w:val="008257DE"/>
    <w:rsid w:val="008439B8"/>
    <w:rsid w:val="00882161"/>
    <w:rsid w:val="00886DD2"/>
    <w:rsid w:val="00890F40"/>
    <w:rsid w:val="00892485"/>
    <w:rsid w:val="008A40EA"/>
    <w:rsid w:val="008B3E70"/>
    <w:rsid w:val="008C35BA"/>
    <w:rsid w:val="008C5449"/>
    <w:rsid w:val="008D0F1B"/>
    <w:rsid w:val="008D49D3"/>
    <w:rsid w:val="009012C5"/>
    <w:rsid w:val="0092123E"/>
    <w:rsid w:val="0092224A"/>
    <w:rsid w:val="00956589"/>
    <w:rsid w:val="00973BF6"/>
    <w:rsid w:val="009A5491"/>
    <w:rsid w:val="009B7C9B"/>
    <w:rsid w:val="009C2D35"/>
    <w:rsid w:val="009D028F"/>
    <w:rsid w:val="009E1D35"/>
    <w:rsid w:val="009F6592"/>
    <w:rsid w:val="00A26DB4"/>
    <w:rsid w:val="00A26EF5"/>
    <w:rsid w:val="00A36BF4"/>
    <w:rsid w:val="00A37E8A"/>
    <w:rsid w:val="00A674B3"/>
    <w:rsid w:val="00A70F28"/>
    <w:rsid w:val="00AA29A2"/>
    <w:rsid w:val="00AA614B"/>
    <w:rsid w:val="00AA7D10"/>
    <w:rsid w:val="00AB4723"/>
    <w:rsid w:val="00AD5F85"/>
    <w:rsid w:val="00AE38EE"/>
    <w:rsid w:val="00AE42FE"/>
    <w:rsid w:val="00B15AC0"/>
    <w:rsid w:val="00B15BC9"/>
    <w:rsid w:val="00B21087"/>
    <w:rsid w:val="00B26989"/>
    <w:rsid w:val="00B3067E"/>
    <w:rsid w:val="00B31F01"/>
    <w:rsid w:val="00B72F46"/>
    <w:rsid w:val="00B83D89"/>
    <w:rsid w:val="00BB2E85"/>
    <w:rsid w:val="00BC5F23"/>
    <w:rsid w:val="00BE5E69"/>
    <w:rsid w:val="00C206A9"/>
    <w:rsid w:val="00C26576"/>
    <w:rsid w:val="00C3745A"/>
    <w:rsid w:val="00C379F2"/>
    <w:rsid w:val="00C71DC4"/>
    <w:rsid w:val="00CA37EF"/>
    <w:rsid w:val="00CE73F0"/>
    <w:rsid w:val="00CF5891"/>
    <w:rsid w:val="00CF5F09"/>
    <w:rsid w:val="00D04AD5"/>
    <w:rsid w:val="00D10E57"/>
    <w:rsid w:val="00D227C4"/>
    <w:rsid w:val="00D518C2"/>
    <w:rsid w:val="00D91EC6"/>
    <w:rsid w:val="00D955F0"/>
    <w:rsid w:val="00DD3AFF"/>
    <w:rsid w:val="00DD6A80"/>
    <w:rsid w:val="00E04122"/>
    <w:rsid w:val="00E33C8D"/>
    <w:rsid w:val="00E36DDF"/>
    <w:rsid w:val="00E40450"/>
    <w:rsid w:val="00E7063A"/>
    <w:rsid w:val="00E739F6"/>
    <w:rsid w:val="00EA2020"/>
    <w:rsid w:val="00EA3043"/>
    <w:rsid w:val="00EA6167"/>
    <w:rsid w:val="00EC0486"/>
    <w:rsid w:val="00ED0602"/>
    <w:rsid w:val="00EF224C"/>
    <w:rsid w:val="00F0016E"/>
    <w:rsid w:val="00F05140"/>
    <w:rsid w:val="00F20CFE"/>
    <w:rsid w:val="00F55831"/>
    <w:rsid w:val="00F55E75"/>
    <w:rsid w:val="00F87709"/>
    <w:rsid w:val="00F94F46"/>
    <w:rsid w:val="00FD5DDF"/>
    <w:rsid w:val="00FE71F9"/>
    <w:rsid w:val="00FF1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461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461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2011-05-27T07:00:00+00:00</OpenedDate>
    <Date1 xmlns="dc463f71-b30c-4ab2-9473-d307f9d35888">2012-03-16T07:00:00+00:00</Date1>
    <IsDocumentOrder xmlns="dc463f71-b30c-4ab2-9473-d307f9d35888">true</IsDocumentOrder>
    <IsHighlyConfidential xmlns="dc463f71-b30c-4ab2-9473-d307f9d35888">false</IsHighlyConfidential>
    <CaseCompanyNames xmlns="dc463f71-b30c-4ab2-9473-d307f9d35888">Town of Spangle</CaseCompanyNames>
    <DocketNumber xmlns="dc463f71-b30c-4ab2-9473-d307f9d35888">110978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54F05419F9DFA429A0161D99D206FBA" ma:contentTypeVersion="143" ma:contentTypeDescription="" ma:contentTypeScope="" ma:versionID="fdd116582a0e1bd51d9b45a6fb57718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38066A-5EC4-4879-AE3C-CFE5ACDD53E6}"/>
</file>

<file path=customXml/itemProps2.xml><?xml version="1.0" encoding="utf-8"?>
<ds:datastoreItem xmlns:ds="http://schemas.openxmlformats.org/officeDocument/2006/customXml" ds:itemID="{AF917B57-A5F7-49BC-A7C7-42AF5FF9D088}"/>
</file>

<file path=customXml/itemProps3.xml><?xml version="1.0" encoding="utf-8"?>
<ds:datastoreItem xmlns:ds="http://schemas.openxmlformats.org/officeDocument/2006/customXml" ds:itemID="{DCD685BE-9332-44A4-B8CA-54D9272B297C}"/>
</file>

<file path=customXml/itemProps4.xml><?xml version="1.0" encoding="utf-8"?>
<ds:datastoreItem xmlns:ds="http://schemas.openxmlformats.org/officeDocument/2006/customXml" ds:itemID="{89E88708-676C-4537-B904-76E8BC6195B1}"/>
</file>

<file path=customXml/itemProps5.xml><?xml version="1.0" encoding="utf-8"?>
<ds:datastoreItem xmlns:ds="http://schemas.openxmlformats.org/officeDocument/2006/customXml" ds:itemID="{B8255C90-666A-4F5E-B96B-234F2C47FC3B}"/>
</file>

<file path=docProps/app.xml><?xml version="1.0" encoding="utf-8"?>
<Properties xmlns="http://schemas.openxmlformats.org/officeDocument/2006/extended-properties" xmlns:vt="http://schemas.openxmlformats.org/officeDocument/2006/docPropsVTypes">
  <Template>~0595283</Template>
  <TotalTime>161</TotalTime>
  <Pages>3</Pages>
  <Words>914</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Order Template Master Template</vt:lpstr>
    </vt:vector>
  </TitlesOfParts>
  <Company>WUTC</Company>
  <LinksUpToDate>false</LinksUpToDate>
  <CharactersWithSpaces>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Template Master Template</dc:title>
  <dc:creator>Administrator</dc:creator>
  <dc:description>This template has the layout and styles needed for most orders.</dc:description>
  <cp:lastModifiedBy>Hunter, Kathy (UTC)</cp:lastModifiedBy>
  <cp:revision>11</cp:revision>
  <cp:lastPrinted>2008-06-30T16:25:00Z</cp:lastPrinted>
  <dcterms:created xsi:type="dcterms:W3CDTF">2012-03-12T22:15:00Z</dcterms:created>
  <dcterms:modified xsi:type="dcterms:W3CDTF">2012-03-15T22:07:00Z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0x0101006E56B4D1795A2E4DB2F0B01679ED314A00554F05419F9DFA429A0161D99D206FBA</vt:lpwstr>
  </property>
  <property fmtid="{D5CDD505-2E9C-101B-9397-08002B2CF9AE}" pid="3" name="_docset_NoMedatataSyncRequired">
    <vt:lpwstr>False</vt:lpwstr>
  </property>
</Properties>
</file>