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1F7CAC" w:rsidRDefault="00934D2B">
      <w:pPr>
        <w:pStyle w:val="BodyText"/>
        <w:rPr>
          <w:b/>
          <w:bCs/>
        </w:rPr>
      </w:pPr>
      <w:r w:rsidRPr="001F7CAC">
        <w:rPr>
          <w:b/>
          <w:bCs/>
        </w:rPr>
        <w:t>BEFORE THE WASHINGTON STATE</w:t>
      </w:r>
    </w:p>
    <w:p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8D3DDB">
        <w:rPr>
          <w:b/>
          <w:bCs/>
        </w:rPr>
        <w:t>COMMISSION</w:t>
      </w:r>
    </w:p>
    <w:p w:rsidR="00934D2B" w:rsidRPr="001F7CAC" w:rsidRDefault="00934D2B">
      <w:pPr>
        <w:pStyle w:val="BodyText"/>
        <w:rPr>
          <w:b/>
          <w:bCs/>
        </w:rPr>
      </w:pPr>
    </w:p>
    <w:tbl>
      <w:tblPr>
        <w:tblW w:w="8408" w:type="dxa"/>
        <w:tblLook w:val="0000"/>
      </w:tblPr>
      <w:tblGrid>
        <w:gridCol w:w="4008"/>
        <w:gridCol w:w="600"/>
        <w:gridCol w:w="3800"/>
      </w:tblGrid>
      <w:tr w:rsidR="00934D2B" w:rsidRPr="001F7CAC">
        <w:tc>
          <w:tcPr>
            <w:tcW w:w="4008" w:type="dxa"/>
          </w:tcPr>
          <w:p w:rsidR="00934D2B" w:rsidRPr="001F7CAC" w:rsidRDefault="00934D2B" w:rsidP="00FC42A4">
            <w:pPr>
              <w:pStyle w:val="Header"/>
            </w:pPr>
            <w:r w:rsidRPr="001F7CAC">
              <w:t>In the Matter of the Petition of</w:t>
            </w:r>
          </w:p>
          <w:p w:rsidR="00934D2B" w:rsidRPr="001F7CAC" w:rsidRDefault="00934D2B" w:rsidP="00FC42A4">
            <w:pPr>
              <w:pStyle w:val="Header"/>
            </w:pPr>
          </w:p>
          <w:p w:rsidR="008D3DDB" w:rsidRPr="008D3DDB" w:rsidRDefault="008D3DDB" w:rsidP="008D3DDB">
            <w:pPr>
              <w:pStyle w:val="Header"/>
            </w:pPr>
            <w:smartTag w:uri="urn:schemas-microsoft-com:office:smarttags" w:element="State">
              <w:smartTag w:uri="urn:schemas-microsoft-com:office:smarttags" w:element="place">
                <w:r w:rsidRPr="008D3DDB">
                  <w:t>WASHINGTON</w:t>
                </w:r>
              </w:smartTag>
            </w:smartTag>
            <w:r w:rsidRPr="008D3DDB">
              <w:t xml:space="preserve"> UTILITIES AND TRANSPORTATION </w:t>
            </w:r>
            <w:r>
              <w:t>COMMISSION</w:t>
            </w:r>
            <w:r w:rsidRPr="008D3DDB">
              <w:t>,</w:t>
            </w:r>
          </w:p>
          <w:p w:rsidR="008D3DDB" w:rsidRPr="008D3DDB" w:rsidRDefault="008D3DDB" w:rsidP="008D3DDB">
            <w:pPr>
              <w:pStyle w:val="Header"/>
            </w:pPr>
          </w:p>
          <w:p w:rsidR="008D3DDB" w:rsidRPr="008D3DDB" w:rsidRDefault="008D3DDB" w:rsidP="002F4AC1">
            <w:pPr>
              <w:pStyle w:val="Header"/>
              <w:jc w:val="center"/>
            </w:pPr>
            <w:r w:rsidRPr="008D3DDB">
              <w:t>Complainant,</w:t>
            </w:r>
          </w:p>
          <w:p w:rsidR="008D3DDB" w:rsidRPr="008D3DDB" w:rsidRDefault="008D3DDB" w:rsidP="008D3DDB">
            <w:pPr>
              <w:pStyle w:val="Header"/>
            </w:pPr>
          </w:p>
          <w:p w:rsidR="008D3DDB" w:rsidRPr="008D3DDB" w:rsidRDefault="008D3DDB" w:rsidP="008D3DDB">
            <w:pPr>
              <w:pStyle w:val="Header"/>
            </w:pPr>
            <w:r w:rsidRPr="008D3DDB">
              <w:t>v.</w:t>
            </w:r>
          </w:p>
          <w:p w:rsidR="008D3DDB" w:rsidRDefault="008D3DDB" w:rsidP="008D3DDB">
            <w:pPr>
              <w:pStyle w:val="Header"/>
            </w:pPr>
          </w:p>
          <w:p w:rsidR="008D3DDB" w:rsidRPr="008D3DDB" w:rsidRDefault="00240C49" w:rsidP="008D3DDB">
            <w:pPr>
              <w:pStyle w:val="Header"/>
            </w:pPr>
            <w:r>
              <w:t>HAROLD LEMAY ENTERPRISES</w:t>
            </w:r>
            <w:r w:rsidR="008D3DDB" w:rsidRPr="001F7CAC">
              <w:t>, INC.</w:t>
            </w:r>
            <w:r w:rsidR="00A93A47">
              <w:t>,</w:t>
            </w:r>
            <w:r w:rsidR="008D3DDB" w:rsidRPr="001F7CAC">
              <w:t xml:space="preserve"> D/B/A </w:t>
            </w:r>
            <w:r>
              <w:t>PIERCE COUNTY REFUSE</w:t>
            </w:r>
            <w:r w:rsidR="008D3DDB">
              <w:t>,</w:t>
            </w:r>
            <w:r w:rsidR="00B72DB9">
              <w:t xml:space="preserve"> G-98</w:t>
            </w:r>
          </w:p>
          <w:p w:rsidR="008D3DDB" w:rsidRPr="008D3DDB" w:rsidRDefault="002D0A8E" w:rsidP="008D3DDB">
            <w:pPr>
              <w:pStyle w:val="Header"/>
            </w:pPr>
            <w:r w:rsidRPr="008D3DDB">
              <w:fldChar w:fldCharType="begin"/>
            </w:r>
            <w:r w:rsidR="008D3DDB" w:rsidRPr="008D3DDB">
              <w:instrText xml:space="preserve"> ASK acronym1 "Enter company 1's Short Name" \* MERGEFORMAT </w:instrText>
            </w:r>
            <w:r w:rsidRPr="008D3DDB">
              <w:fldChar w:fldCharType="separate"/>
            </w:r>
            <w:bookmarkStart w:id="0" w:name="acronym1"/>
            <w:r w:rsidR="008D3DDB">
              <w:t>Co. 1</w:t>
            </w:r>
            <w:bookmarkEnd w:id="0"/>
            <w:r w:rsidRPr="008D3DDB">
              <w:fldChar w:fldCharType="end"/>
            </w:r>
          </w:p>
          <w:p w:rsidR="008D3DDB" w:rsidRPr="008D3DDB" w:rsidRDefault="008D3DDB" w:rsidP="002F4AC1">
            <w:pPr>
              <w:pStyle w:val="Header"/>
              <w:jc w:val="center"/>
            </w:pPr>
            <w:r w:rsidRPr="008D3DDB">
              <w:t>Respondent.</w:t>
            </w:r>
          </w:p>
          <w:p w:rsidR="005206B8" w:rsidRPr="001F7CAC" w:rsidRDefault="00E5641E" w:rsidP="005206B8">
            <w:pPr>
              <w:pStyle w:val="Header"/>
            </w:pPr>
            <w:r w:rsidRPr="001F7CAC">
              <w:t>. . . . . . . . . . . . . . . . . . . . . . . . . . . . . . . .</w:t>
            </w:r>
          </w:p>
        </w:tc>
        <w:tc>
          <w:tcPr>
            <w:tcW w:w="600" w:type="dxa"/>
          </w:tcPr>
          <w:p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rsidR="00934D2B" w:rsidRPr="001F7CAC" w:rsidRDefault="00934D2B" w:rsidP="00D648D4">
            <w:pPr>
              <w:jc w:val="center"/>
            </w:pPr>
            <w:r w:rsidRPr="001F7CAC">
              <w:t>)</w:t>
            </w:r>
          </w:p>
          <w:p w:rsidR="00934D2B" w:rsidRPr="001F7CAC" w:rsidRDefault="00934D2B" w:rsidP="00D648D4">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CC1217" w:rsidRPr="001F7CAC" w:rsidRDefault="00CC1217" w:rsidP="00CC1217">
            <w:pPr>
              <w:jc w:val="center"/>
            </w:pPr>
            <w:r w:rsidRPr="001F7CAC">
              <w:t>)</w:t>
            </w:r>
          </w:p>
          <w:p w:rsidR="002E0A61" w:rsidRPr="001F7CAC" w:rsidRDefault="002E0A61" w:rsidP="00CC1217">
            <w:pPr>
              <w:jc w:val="center"/>
            </w:pPr>
            <w:r w:rsidRPr="001F7CAC">
              <w:t>)</w:t>
            </w:r>
          </w:p>
          <w:p w:rsidR="0075716B" w:rsidRDefault="0075716B" w:rsidP="00CC1217">
            <w:pPr>
              <w:jc w:val="center"/>
            </w:pPr>
            <w:r>
              <w:t>)</w:t>
            </w:r>
          </w:p>
          <w:p w:rsidR="00E409AD" w:rsidRDefault="00E409AD">
            <w:pPr>
              <w:jc w:val="center"/>
            </w:pPr>
          </w:p>
        </w:tc>
        <w:tc>
          <w:tcPr>
            <w:tcW w:w="3800" w:type="dxa"/>
          </w:tcPr>
          <w:p w:rsidR="00934D2B" w:rsidRPr="001F7CAC" w:rsidRDefault="00934D2B" w:rsidP="00D648D4">
            <w:r w:rsidRPr="001F7CAC">
              <w:t xml:space="preserve">DOCKET </w:t>
            </w:r>
            <w:r w:rsidR="00FA57C5" w:rsidRPr="001F7CAC">
              <w:t>TG-</w:t>
            </w:r>
            <w:r w:rsidR="00DB089A" w:rsidRPr="001F7CAC">
              <w:t>1</w:t>
            </w:r>
            <w:r w:rsidR="00240C49">
              <w:t>10103</w:t>
            </w:r>
          </w:p>
          <w:p w:rsidR="00934D2B" w:rsidRPr="001F7CAC" w:rsidRDefault="00934D2B" w:rsidP="00FC42A4"/>
          <w:p w:rsidR="00934D2B" w:rsidRPr="001F7CAC" w:rsidRDefault="00934D2B" w:rsidP="00D648D4">
            <w:r w:rsidRPr="001F7CAC">
              <w:t xml:space="preserve">ORDER </w:t>
            </w:r>
            <w:r w:rsidR="00FA57C5" w:rsidRPr="001F7CAC">
              <w:t>0</w:t>
            </w:r>
            <w:r w:rsidR="00240C49">
              <w:t>1</w:t>
            </w:r>
          </w:p>
          <w:p w:rsidR="00934D2B" w:rsidRPr="001F7CAC" w:rsidRDefault="00934D2B" w:rsidP="00FC42A4"/>
          <w:p w:rsidR="005206B8" w:rsidRPr="001F7CAC" w:rsidRDefault="005206B8" w:rsidP="00796500"/>
          <w:p w:rsidR="002E0A61" w:rsidRPr="001F7CAC" w:rsidRDefault="002E0A61" w:rsidP="00BE7B4C"/>
          <w:p w:rsidR="00A92460" w:rsidRDefault="00A92460" w:rsidP="00A92460"/>
          <w:p w:rsidR="00A92460" w:rsidRDefault="00A92460" w:rsidP="00A92460"/>
          <w:p w:rsidR="00BD1210" w:rsidRPr="001F7CAC" w:rsidRDefault="008D3DDB" w:rsidP="00337064">
            <w:r w:rsidRPr="008D3DDB">
              <w:t>COMPLAINT AND ORDER SUSPENDING TARIFF</w:t>
            </w:r>
            <w:r w:rsidR="00A13584">
              <w:t>;</w:t>
            </w:r>
            <w:r>
              <w:t xml:space="preserve"> </w:t>
            </w:r>
            <w:r w:rsidR="00A13584">
              <w:t xml:space="preserve">ALLOWING RATES </w:t>
            </w:r>
            <w:r>
              <w:t>AND</w:t>
            </w:r>
            <w:r w:rsidRPr="008D3DDB">
              <w:t xml:space="preserve"> </w:t>
            </w:r>
            <w:r w:rsidR="00E21B12" w:rsidRPr="001F7CAC">
              <w:t xml:space="preserve">REVENUE SHARING </w:t>
            </w:r>
            <w:r w:rsidR="00A13584">
              <w:t>ON A TEMPORARY BASIS</w:t>
            </w:r>
            <w:r>
              <w:t>,</w:t>
            </w:r>
            <w:r w:rsidR="00E21B12" w:rsidRPr="001F7CAC">
              <w:t xml:space="preserve"> SUBJECT TO REFUND</w:t>
            </w:r>
            <w:r w:rsidR="006C6E11">
              <w:t>;</w:t>
            </w:r>
            <w:r w:rsidR="00DD659B">
              <w:t xml:space="preserve"> </w:t>
            </w:r>
            <w:r w:rsidR="00337064">
              <w:t xml:space="preserve">AND </w:t>
            </w:r>
            <w:r w:rsidR="00240C49" w:rsidRPr="00D868C5">
              <w:t xml:space="preserve">GRANTING EXEMPTION </w:t>
            </w:r>
            <w:r w:rsidR="00240C49">
              <w:t xml:space="preserve">FROM RULE </w:t>
            </w:r>
          </w:p>
        </w:tc>
      </w:tr>
    </w:tbl>
    <w:p w:rsidR="00934D2B" w:rsidRPr="001F7CAC" w:rsidRDefault="00934D2B">
      <w:pPr>
        <w:pStyle w:val="Heading2"/>
        <w:rPr>
          <w:b/>
          <w:bCs/>
          <w:u w:val="none"/>
        </w:rPr>
      </w:pPr>
      <w:r w:rsidRPr="001F7CAC">
        <w:rPr>
          <w:b/>
          <w:bCs/>
          <w:u w:val="none"/>
        </w:rPr>
        <w:t>BACKGROUND</w:t>
      </w:r>
    </w:p>
    <w:p w:rsidR="00934D2B" w:rsidRPr="001F7CAC" w:rsidRDefault="00934D2B">
      <w:pPr>
        <w:pStyle w:val="Header"/>
        <w:tabs>
          <w:tab w:val="clear" w:pos="4320"/>
          <w:tab w:val="clear" w:pos="8640"/>
        </w:tabs>
      </w:pPr>
    </w:p>
    <w:p w:rsidR="00A92460" w:rsidRDefault="00A92460" w:rsidP="00A92460">
      <w:pPr>
        <w:numPr>
          <w:ilvl w:val="0"/>
          <w:numId w:val="68"/>
        </w:numPr>
        <w:spacing w:after="60" w:line="288" w:lineRule="auto"/>
      </w:pPr>
      <w:r w:rsidRPr="00D868C5">
        <w:t>On</w:t>
      </w:r>
      <w:r>
        <w:t xml:space="preserve"> January 13, 201</w:t>
      </w:r>
      <w:r w:rsidR="00BD43D4">
        <w:t>1</w:t>
      </w:r>
      <w:r w:rsidRPr="00D868C5">
        <w:t xml:space="preserve">, </w:t>
      </w:r>
      <w:r>
        <w:t xml:space="preserve">Harold LeMay Enterprises, Inc., d/b/a Pierce County Refuse </w:t>
      </w:r>
      <w:r w:rsidRPr="00D868C5">
        <w:t>(</w:t>
      </w:r>
      <w:r>
        <w:t xml:space="preserve">LeMay </w:t>
      </w:r>
      <w:r w:rsidRPr="00522C0F">
        <w:t>or Company</w:t>
      </w:r>
      <w:r w:rsidRPr="00D868C5">
        <w:t>)</w:t>
      </w:r>
      <w:r>
        <w:t>,</w:t>
      </w:r>
      <w:r w:rsidRPr="00D868C5">
        <w:t xml:space="preserve"> filed with the </w:t>
      </w:r>
      <w:r>
        <w:t xml:space="preserve">Washington Utilities and Transportation </w:t>
      </w:r>
      <w:r w:rsidRPr="00D868C5">
        <w:t xml:space="preserve">Commission </w:t>
      </w:r>
      <w:r>
        <w:t xml:space="preserve">(Commission) </w:t>
      </w:r>
      <w:r w:rsidRPr="007131BA">
        <w:t>revisions to i</w:t>
      </w:r>
      <w:r>
        <w:t>ts currently effective Tariff No. 9</w:t>
      </w:r>
      <w:r w:rsidR="00C835B5">
        <w:t>, pages 1, 16, 21, 22, 26, 30, 32, 33, 34 and 35 to</w:t>
      </w:r>
      <w:r>
        <w:t>:</w:t>
      </w:r>
    </w:p>
    <w:p w:rsidR="00A92460" w:rsidRDefault="00A92460" w:rsidP="00A92460">
      <w:pPr>
        <w:pStyle w:val="ListParagraph"/>
        <w:numPr>
          <w:ilvl w:val="0"/>
          <w:numId w:val="70"/>
        </w:numPr>
        <w:spacing w:before="120" w:after="120" w:line="288" w:lineRule="auto"/>
        <w:ind w:left="547"/>
      </w:pPr>
      <w:r>
        <w:t>Increase rates due to a disposal fee increase from $1</w:t>
      </w:r>
      <w:r w:rsidR="00BD43D4">
        <w:t>12.94</w:t>
      </w:r>
      <w:r>
        <w:t xml:space="preserve"> per ton to $</w:t>
      </w:r>
      <w:r w:rsidR="00BD43D4">
        <w:t>123.29</w:t>
      </w:r>
      <w:r>
        <w:t xml:space="preserve"> per ton effective March 1, 201</w:t>
      </w:r>
      <w:r w:rsidR="00BD43D4">
        <w:t>1</w:t>
      </w:r>
      <w:r>
        <w:t xml:space="preserve">, as communicated to the Company </w:t>
      </w:r>
      <w:r w:rsidR="006C6E11">
        <w:t>by</w:t>
      </w:r>
      <w:r>
        <w:t xml:space="preserve"> </w:t>
      </w:r>
      <w:r w:rsidRPr="001A6366">
        <w:t>Pierce County Recycling, Composting and Disposal, LLC</w:t>
      </w:r>
      <w:r>
        <w:t>,</w:t>
      </w:r>
      <w:r w:rsidRPr="001A6366">
        <w:t xml:space="preserve"> d</w:t>
      </w:r>
      <w:r>
        <w:t>/</w:t>
      </w:r>
      <w:r w:rsidRPr="001A6366">
        <w:t>b</w:t>
      </w:r>
      <w:r>
        <w:t>/</w:t>
      </w:r>
      <w:r w:rsidRPr="001A6366">
        <w:t>a LRI</w:t>
      </w:r>
      <w:r>
        <w:t xml:space="preserve">’s letter dated December </w:t>
      </w:r>
      <w:r w:rsidR="00BD43D4">
        <w:t>30</w:t>
      </w:r>
      <w:r>
        <w:t>, 20</w:t>
      </w:r>
      <w:r w:rsidR="00BD43D4">
        <w:t>10</w:t>
      </w:r>
      <w:r>
        <w:t>; and</w:t>
      </w:r>
    </w:p>
    <w:p w:rsidR="00A92460" w:rsidRDefault="00A92460" w:rsidP="00A92460">
      <w:pPr>
        <w:pStyle w:val="ListParagraph"/>
        <w:numPr>
          <w:ilvl w:val="0"/>
          <w:numId w:val="70"/>
        </w:numPr>
        <w:spacing w:before="120" w:after="120" w:line="288" w:lineRule="auto"/>
        <w:ind w:left="547"/>
      </w:pPr>
      <w:r>
        <w:t xml:space="preserve">Revise its monthly </w:t>
      </w:r>
      <w:r w:rsidR="001D0108">
        <w:t xml:space="preserve">recyclable </w:t>
      </w:r>
      <w:r w:rsidRPr="003F5634">
        <w:t xml:space="preserve">commodity </w:t>
      </w:r>
      <w:r w:rsidR="001D0108">
        <w:t xml:space="preserve">revenue </w:t>
      </w:r>
      <w:r w:rsidRPr="003F5634">
        <w:t xml:space="preserve">adjustment for residential customers from </w:t>
      </w:r>
      <w:r>
        <w:t xml:space="preserve">a </w:t>
      </w:r>
      <w:r w:rsidRPr="003F5634">
        <w:t>$</w:t>
      </w:r>
      <w:r w:rsidR="00BD43D4">
        <w:t>0.22 debit</w:t>
      </w:r>
      <w:r w:rsidRPr="003F5634">
        <w:t xml:space="preserve"> to </w:t>
      </w:r>
      <w:r>
        <w:t xml:space="preserve">a </w:t>
      </w:r>
      <w:r w:rsidRPr="003F5634">
        <w:t>$</w:t>
      </w:r>
      <w:r w:rsidR="00EB7C71">
        <w:t>0</w:t>
      </w:r>
      <w:r w:rsidRPr="003F5634">
        <w:t>.</w:t>
      </w:r>
      <w:r w:rsidR="00EB7C71">
        <w:t>91</w:t>
      </w:r>
      <w:r w:rsidRPr="003F5634">
        <w:t xml:space="preserve"> </w:t>
      </w:r>
      <w:r w:rsidR="005B3538">
        <w:t>credit</w:t>
      </w:r>
      <w:r>
        <w:t xml:space="preserve">; a </w:t>
      </w:r>
      <w:r w:rsidR="005B3538">
        <w:t>dec</w:t>
      </w:r>
      <w:r w:rsidRPr="006A2D77">
        <w:t xml:space="preserve">rease </w:t>
      </w:r>
      <w:r w:rsidR="009B3877">
        <w:t xml:space="preserve">in customer bills of </w:t>
      </w:r>
      <w:r w:rsidRPr="006A2D77">
        <w:t>$1.</w:t>
      </w:r>
      <w:r w:rsidR="00EB7C71">
        <w:t>13</w:t>
      </w:r>
      <w:r w:rsidRPr="006A2D77">
        <w:t xml:space="preserve"> per customer per month</w:t>
      </w:r>
      <w:r>
        <w:t>.</w:t>
      </w:r>
    </w:p>
    <w:p w:rsidR="00A92460" w:rsidRDefault="001D0108" w:rsidP="00A92460">
      <w:pPr>
        <w:spacing w:before="120" w:line="288" w:lineRule="auto"/>
      </w:pPr>
      <w:r>
        <w:t xml:space="preserve">The increase in rates </w:t>
      </w:r>
      <w:r w:rsidR="0005744D">
        <w:t>to reflect</w:t>
      </w:r>
      <w:r>
        <w:t xml:space="preserve"> the new disposal fees </w:t>
      </w:r>
      <w:r w:rsidR="00A92460" w:rsidRPr="006A2D77">
        <w:t>would generate $</w:t>
      </w:r>
      <w:r>
        <w:t>702,843</w:t>
      </w:r>
      <w:r w:rsidR="00A92460" w:rsidRPr="006A2D77">
        <w:t xml:space="preserve"> (</w:t>
      </w:r>
      <w:r>
        <w:t>3</w:t>
      </w:r>
      <w:r w:rsidR="00A92460" w:rsidRPr="006A2D77">
        <w:t>.</w:t>
      </w:r>
      <w:r w:rsidR="007846BE">
        <w:t>2</w:t>
      </w:r>
      <w:r w:rsidR="00A92460" w:rsidRPr="006A2D77">
        <w:t xml:space="preserve"> percent</w:t>
      </w:r>
      <w:r w:rsidR="00A92460">
        <w:t>) in additional annual revenue</w:t>
      </w:r>
      <w:r w:rsidR="00EB7C71">
        <w:t xml:space="preserve"> for the Company</w:t>
      </w:r>
      <w:r>
        <w:t xml:space="preserve">.  Retained revenues </w:t>
      </w:r>
      <w:r w:rsidR="009B3877">
        <w:t xml:space="preserve">(fifty percent) </w:t>
      </w:r>
      <w:r>
        <w:t xml:space="preserve">from </w:t>
      </w:r>
      <w:r w:rsidR="007846BE">
        <w:t xml:space="preserve">the sale of </w:t>
      </w:r>
      <w:r>
        <w:t>recyclable commodit</w:t>
      </w:r>
      <w:r w:rsidR="007846BE">
        <w:t>ies will also increase the Company's revenues by $404,987 (1.2 percent)</w:t>
      </w:r>
      <w:r w:rsidR="00A92460">
        <w:t xml:space="preserve">.  </w:t>
      </w:r>
      <w:r w:rsidR="00EB7C71" w:rsidRPr="0016799C">
        <w:t xml:space="preserve">On </w:t>
      </w:r>
      <w:r w:rsidR="0016799C">
        <w:t>January 31</w:t>
      </w:r>
      <w:r w:rsidR="00EB7C71" w:rsidRPr="0016799C">
        <w:t>, 201</w:t>
      </w:r>
      <w:r w:rsidR="0016799C">
        <w:t>1</w:t>
      </w:r>
      <w:r w:rsidR="00EB7C71" w:rsidRPr="0016799C">
        <w:t xml:space="preserve">, </w:t>
      </w:r>
      <w:r w:rsidR="0016799C">
        <w:t>LeMay</w:t>
      </w:r>
      <w:r w:rsidR="00EB7C71" w:rsidRPr="0016799C">
        <w:t xml:space="preserve"> filed a substitute page designated as </w:t>
      </w:r>
      <w:r w:rsidR="0016799C">
        <w:t>2</w:t>
      </w:r>
      <w:r w:rsidR="0016799C" w:rsidRPr="0016799C">
        <w:rPr>
          <w:vertAlign w:val="superscript"/>
        </w:rPr>
        <w:t>nd</w:t>
      </w:r>
      <w:r w:rsidR="0016799C">
        <w:t xml:space="preserve"> </w:t>
      </w:r>
      <w:r w:rsidR="00EB7C71" w:rsidRPr="0016799C">
        <w:t>revised page 2</w:t>
      </w:r>
      <w:r w:rsidR="0016799C">
        <w:t>1</w:t>
      </w:r>
      <w:r w:rsidR="00EB7C71" w:rsidRPr="00C163C4">
        <w:t>.</w:t>
      </w:r>
      <w:r w:rsidR="00EB7C71">
        <w:t xml:space="preserve">  </w:t>
      </w:r>
      <w:r w:rsidR="00A92460" w:rsidRPr="006A2D77">
        <w:t xml:space="preserve">The </w:t>
      </w:r>
      <w:r w:rsidR="00A92460">
        <w:t>C</w:t>
      </w:r>
      <w:r w:rsidR="00A92460" w:rsidRPr="006A2D77">
        <w:t>ompany serves approximately 44,000 residential and commercial customers in Pierce County</w:t>
      </w:r>
      <w:r w:rsidR="00065AC6">
        <w:t xml:space="preserve"> (County)</w:t>
      </w:r>
      <w:r w:rsidR="00A92460" w:rsidRPr="006A2D77">
        <w:t>.</w:t>
      </w:r>
    </w:p>
    <w:p w:rsidR="00A92460" w:rsidRDefault="00A92460" w:rsidP="001F4541">
      <w:pPr>
        <w:spacing w:line="288" w:lineRule="auto"/>
      </w:pPr>
    </w:p>
    <w:p w:rsidR="00A92460" w:rsidRDefault="00A92460" w:rsidP="00A92460">
      <w:pPr>
        <w:numPr>
          <w:ilvl w:val="0"/>
          <w:numId w:val="68"/>
        </w:numPr>
        <w:spacing w:line="288" w:lineRule="auto"/>
      </w:pPr>
      <w:r>
        <w:lastRenderedPageBreak/>
        <w:t xml:space="preserve">A disposal fee increase falls within the definition of a general rate increase pursuant to </w:t>
      </w:r>
      <w:r w:rsidRPr="0081337B">
        <w:t>WAC 480-07-505</w:t>
      </w:r>
      <w:r>
        <w:t xml:space="preserve">.  </w:t>
      </w:r>
      <w:r w:rsidRPr="0081337B">
        <w:t>WAC 480-07-520</w:t>
      </w:r>
      <w:r>
        <w:t xml:space="preserve"> lists the minimum required information the Company must provide in a general rate increase filing.  The Company provided information pertinent to the disposal fee increase but did not provide the remainder of the information required by the rule.</w:t>
      </w:r>
    </w:p>
    <w:p w:rsidR="001F4541" w:rsidRDefault="001F4541" w:rsidP="001F4541">
      <w:pPr>
        <w:spacing w:line="288" w:lineRule="auto"/>
        <w:ind w:left="-720"/>
      </w:pPr>
    </w:p>
    <w:p w:rsidR="00A92460" w:rsidRPr="00417A36" w:rsidRDefault="00A92460" w:rsidP="00A92460">
      <w:pPr>
        <w:numPr>
          <w:ilvl w:val="0"/>
          <w:numId w:val="68"/>
        </w:numPr>
        <w:spacing w:line="288" w:lineRule="auto"/>
      </w:pPr>
      <w:r w:rsidRPr="0081337B">
        <w:t>WAC 480-07-110</w:t>
      </w:r>
      <w:r>
        <w:t xml:space="preserve"> allows the Commission to grant an exemption from or modify the application of its rules if consistent with the public interest, the purposes underlying regulation, and applicable statutes.  </w:t>
      </w:r>
      <w:r w:rsidRPr="00026579">
        <w:rPr>
          <w:i/>
        </w:rPr>
        <w:t>See also WAC 480-70-05</w:t>
      </w:r>
      <w:r>
        <w:rPr>
          <w:i/>
        </w:rPr>
        <w:t>.</w:t>
      </w:r>
    </w:p>
    <w:p w:rsidR="00A92460" w:rsidRPr="00417A36" w:rsidRDefault="00A92460" w:rsidP="00A92460">
      <w:pPr>
        <w:spacing w:line="288" w:lineRule="auto"/>
      </w:pPr>
    </w:p>
    <w:p w:rsidR="00A92460" w:rsidRDefault="00A92460" w:rsidP="00A92460">
      <w:pPr>
        <w:numPr>
          <w:ilvl w:val="0"/>
          <w:numId w:val="68"/>
        </w:numPr>
        <w:spacing w:line="288" w:lineRule="auto"/>
      </w:pPr>
      <w:r>
        <w:t>Commission Staff reviewed the tariff request together with other factors and recommends the Commission</w:t>
      </w:r>
      <w:r w:rsidR="00A36F2C">
        <w:t>,</w:t>
      </w:r>
      <w:r>
        <w:t xml:space="preserve"> on its own motion, grant an exemption </w:t>
      </w:r>
      <w:r w:rsidRPr="00AF65F2">
        <w:t>from the rule for this</w:t>
      </w:r>
      <w:r>
        <w:rPr>
          <w:i/>
        </w:rPr>
        <w:t xml:space="preserve"> </w:t>
      </w:r>
      <w:r>
        <w:t>filing for the following reason(s):</w:t>
      </w:r>
    </w:p>
    <w:p w:rsidR="00A92460" w:rsidRDefault="00A92460" w:rsidP="00A92460">
      <w:pPr>
        <w:pStyle w:val="ListParagraph"/>
      </w:pPr>
    </w:p>
    <w:p w:rsidR="00A92460" w:rsidRDefault="00A92460" w:rsidP="00216AD4">
      <w:pPr>
        <w:numPr>
          <w:ilvl w:val="1"/>
          <w:numId w:val="68"/>
        </w:numPr>
        <w:tabs>
          <w:tab w:val="clear" w:pos="1440"/>
        </w:tabs>
        <w:spacing w:line="288" w:lineRule="auto"/>
        <w:ind w:left="990"/>
      </w:pPr>
      <w:r>
        <w:t>There have not been any significant changes since the last rate case that became effective March 1, 2008.  Since that date there has not been any customer growth, inflation has been low, and the Company has not changed its collection methods.</w:t>
      </w:r>
    </w:p>
    <w:p w:rsidR="00A92460" w:rsidRDefault="00A92460" w:rsidP="00216AD4">
      <w:pPr>
        <w:numPr>
          <w:ilvl w:val="1"/>
          <w:numId w:val="68"/>
        </w:numPr>
        <w:tabs>
          <w:tab w:val="clear" w:pos="1440"/>
        </w:tabs>
        <w:spacing w:line="288" w:lineRule="auto"/>
        <w:ind w:left="990"/>
      </w:pPr>
      <w:r>
        <w:t>Disposal fees are set by Pierce County through its agreement with the landfill operator; Pierce County Recycling, Composting and Disposal, LLC, d/b/a LRI, and are required as a part of LeMay’s operations.</w:t>
      </w:r>
    </w:p>
    <w:p w:rsidR="00A92460" w:rsidRDefault="00A92460" w:rsidP="00216AD4">
      <w:pPr>
        <w:numPr>
          <w:ilvl w:val="1"/>
          <w:numId w:val="68"/>
        </w:numPr>
        <w:tabs>
          <w:tab w:val="clear" w:pos="1440"/>
        </w:tabs>
        <w:spacing w:line="288" w:lineRule="auto"/>
        <w:ind w:left="990"/>
      </w:pPr>
      <w:r>
        <w:t>The Company’s financial information supports the proposed revenue requirement and the proposed rates.</w:t>
      </w:r>
    </w:p>
    <w:p w:rsidR="00A92460" w:rsidRDefault="00A92460" w:rsidP="00216AD4">
      <w:pPr>
        <w:numPr>
          <w:ilvl w:val="1"/>
          <w:numId w:val="68"/>
        </w:numPr>
        <w:tabs>
          <w:tab w:val="clear" w:pos="1440"/>
        </w:tabs>
        <w:spacing w:line="288" w:lineRule="auto"/>
        <w:ind w:left="990"/>
      </w:pPr>
      <w:r>
        <w:t>Staff concluded the proposed rate increase, by reason of the increase in disposal fees, is fair, just and reasonable.</w:t>
      </w:r>
    </w:p>
    <w:p w:rsidR="00A92460" w:rsidRDefault="00A92460" w:rsidP="00A92460">
      <w:pPr>
        <w:pStyle w:val="ListParagraph"/>
      </w:pPr>
    </w:p>
    <w:p w:rsidR="00A92460" w:rsidRDefault="00A92460" w:rsidP="00A92460">
      <w:pPr>
        <w:numPr>
          <w:ilvl w:val="0"/>
          <w:numId w:val="68"/>
        </w:numPr>
        <w:spacing w:line="288" w:lineRule="auto"/>
      </w:pPr>
      <w:r>
        <w:t xml:space="preserve">The filing also proposes to </w:t>
      </w:r>
      <w:r w:rsidR="004F3C60">
        <w:t>increase</w:t>
      </w:r>
      <w:r>
        <w:t xml:space="preserve"> the amount that the Company pays to residential customers for the value of the recyclable materials that LeMay collects in its </w:t>
      </w:r>
      <w:r w:rsidR="006C6E11">
        <w:t xml:space="preserve">residential </w:t>
      </w:r>
      <w:r>
        <w:t xml:space="preserve">recycling service.  Each residential customer will </w:t>
      </w:r>
      <w:r w:rsidR="004F3C60">
        <w:t>receive</w:t>
      </w:r>
      <w:r>
        <w:t xml:space="preserve"> </w:t>
      </w:r>
      <w:r w:rsidR="001F4541">
        <w:t xml:space="preserve">a credit of </w:t>
      </w:r>
      <w:r>
        <w:t>$</w:t>
      </w:r>
      <w:r w:rsidR="001F4541">
        <w:t>0</w:t>
      </w:r>
      <w:r>
        <w:t>.</w:t>
      </w:r>
      <w:r w:rsidR="001F4541">
        <w:t>91</w:t>
      </w:r>
      <w:r>
        <w:t xml:space="preserve"> per month instead of </w:t>
      </w:r>
      <w:r w:rsidR="004F3C60">
        <w:t>paying</w:t>
      </w:r>
      <w:r>
        <w:t xml:space="preserve"> </w:t>
      </w:r>
      <w:r w:rsidR="001F4541">
        <w:t xml:space="preserve">a </w:t>
      </w:r>
      <w:r w:rsidR="0016799C">
        <w:t xml:space="preserve">debit of </w:t>
      </w:r>
      <w:r>
        <w:t>$</w:t>
      </w:r>
      <w:r w:rsidR="004F3C60">
        <w:t>0</w:t>
      </w:r>
      <w:r>
        <w:t>.</w:t>
      </w:r>
      <w:r w:rsidR="004F3C60">
        <w:t>22</w:t>
      </w:r>
      <w:r>
        <w:t xml:space="preserve">; a </w:t>
      </w:r>
      <w:r w:rsidR="004F3C60">
        <w:t>de</w:t>
      </w:r>
      <w:r>
        <w:t xml:space="preserve">crease </w:t>
      </w:r>
      <w:r w:rsidR="00AF65F2">
        <w:t>in each cust</w:t>
      </w:r>
      <w:r w:rsidR="00B41049">
        <w:t xml:space="preserve">omer's bill </w:t>
      </w:r>
      <w:r>
        <w:t>of $1.</w:t>
      </w:r>
      <w:r w:rsidR="001F4541">
        <w:t>13</w:t>
      </w:r>
      <w:r>
        <w:t xml:space="preserve"> per month.  The Company has requested that the tariff revisions filed January 13, 201</w:t>
      </w:r>
      <w:r w:rsidR="004F3C60">
        <w:t>1</w:t>
      </w:r>
      <w:r w:rsidR="0016799C">
        <w:t>, as revised on January 31, 2011</w:t>
      </w:r>
      <w:r>
        <w:t xml:space="preserve">, become effective </w:t>
      </w:r>
      <w:r w:rsidR="0016799C">
        <w:t xml:space="preserve">on </w:t>
      </w:r>
      <w:r>
        <w:t>March 1, 201</w:t>
      </w:r>
      <w:r w:rsidR="004F3C60">
        <w:t>1</w:t>
      </w:r>
      <w:r>
        <w:t>.</w:t>
      </w:r>
    </w:p>
    <w:p w:rsidR="00A92460" w:rsidRDefault="00A92460" w:rsidP="00A92460">
      <w:pPr>
        <w:spacing w:line="288" w:lineRule="auto"/>
        <w:ind w:left="360"/>
      </w:pPr>
    </w:p>
    <w:p w:rsidR="00A92460" w:rsidRDefault="00A92460" w:rsidP="00A92460">
      <w:pPr>
        <w:numPr>
          <w:ilvl w:val="0"/>
          <w:numId w:val="68"/>
        </w:numPr>
        <w:spacing w:line="288" w:lineRule="auto"/>
      </w:pPr>
      <w:r>
        <w:t>Also on January 13, 201</w:t>
      </w:r>
      <w:r w:rsidR="00956E17">
        <w:t>1</w:t>
      </w:r>
      <w:r>
        <w:t xml:space="preserve">, the Company petitioned the Commission for the authority to retain </w:t>
      </w:r>
      <w:r w:rsidR="00B41049">
        <w:t>fifty</w:t>
      </w:r>
      <w:r>
        <w:t xml:space="preserve"> percent of the revenue generated from the sale of recyclable commodities. </w:t>
      </w:r>
    </w:p>
    <w:p w:rsidR="00A92460" w:rsidRDefault="00A92460" w:rsidP="00A92460">
      <w:pPr>
        <w:spacing w:line="288" w:lineRule="auto"/>
        <w:ind w:left="-720"/>
      </w:pPr>
    </w:p>
    <w:p w:rsidR="00A92460" w:rsidRDefault="00A92460" w:rsidP="00A92460">
      <w:pPr>
        <w:numPr>
          <w:ilvl w:val="0"/>
          <w:numId w:val="68"/>
        </w:numPr>
        <w:spacing w:line="288" w:lineRule="auto"/>
      </w:pPr>
      <w:r>
        <w:lastRenderedPageBreak/>
        <w:t xml:space="preserve">RCW 81.77.185 states that the Commission shall allow solid waste collection companies collecting recyclable materials to retain up to </w:t>
      </w:r>
      <w:r w:rsidR="00AF65F2">
        <w:t>fifty</w:t>
      </w:r>
      <w:r>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rsidR="00A92460" w:rsidRDefault="00A92460" w:rsidP="00A92460">
      <w:pPr>
        <w:pStyle w:val="ListParagraph"/>
      </w:pPr>
    </w:p>
    <w:p w:rsidR="00A92460" w:rsidRDefault="00A92460" w:rsidP="00A92460">
      <w:pPr>
        <w:numPr>
          <w:ilvl w:val="0"/>
          <w:numId w:val="68"/>
        </w:numPr>
        <w:spacing w:after="60" w:line="288" w:lineRule="auto"/>
      </w:pPr>
      <w:r>
        <w:t>On January 13, 201</w:t>
      </w:r>
      <w:r w:rsidR="0016799C">
        <w:t>1</w:t>
      </w:r>
      <w:r>
        <w:t xml:space="preserve">, LeMay filed with Pierce County its recycling plan for calendar year 2010.  The plan sets forth specific actions that LeMay will take including: working with Pierce County to better assess recycling efforts in the county; work with Pierce County Solid Waste to keep its website current and continue to promote 96-gallon recycling carts to new users.  The plan also requires LeMay to track and maintain recycling data for its operations and report </w:t>
      </w:r>
      <w:r w:rsidR="006C6E11">
        <w:t xml:space="preserve">the </w:t>
      </w:r>
      <w:r>
        <w:t xml:space="preserve">results to Pierce County Solid Waste.  The Company states that it will use retained revenue </w:t>
      </w:r>
      <w:r w:rsidR="00BE720E">
        <w:t>for</w:t>
      </w:r>
      <w:r>
        <w:t>:</w:t>
      </w:r>
    </w:p>
    <w:p w:rsidR="00A92460" w:rsidRDefault="000B49D6" w:rsidP="00A92460">
      <w:pPr>
        <w:pStyle w:val="ListParagraph"/>
        <w:numPr>
          <w:ilvl w:val="0"/>
          <w:numId w:val="70"/>
        </w:numPr>
        <w:spacing w:line="288" w:lineRule="auto"/>
        <w:ind w:left="547"/>
      </w:pPr>
      <w:r>
        <w:t>Ongoing implementation of the Single-Cart Recycling Program</w:t>
      </w:r>
      <w:r w:rsidR="00DF31CD">
        <w:t>;</w:t>
      </w:r>
    </w:p>
    <w:p w:rsidR="000B49D6" w:rsidRDefault="000B49D6" w:rsidP="000B49D6">
      <w:pPr>
        <w:pStyle w:val="ListParagraph"/>
        <w:numPr>
          <w:ilvl w:val="1"/>
          <w:numId w:val="70"/>
        </w:numPr>
        <w:spacing w:line="288" w:lineRule="auto"/>
        <w:ind w:left="1170"/>
      </w:pPr>
      <w:r>
        <w:t>Coordinated outreach with Pierce County</w:t>
      </w:r>
      <w:r w:rsidR="00DF31CD">
        <w:t>.</w:t>
      </w:r>
    </w:p>
    <w:p w:rsidR="00DF31CD" w:rsidRDefault="00DF31CD" w:rsidP="000B49D6">
      <w:pPr>
        <w:pStyle w:val="ListParagraph"/>
        <w:numPr>
          <w:ilvl w:val="1"/>
          <w:numId w:val="70"/>
        </w:numPr>
        <w:spacing w:line="288" w:lineRule="auto"/>
        <w:ind w:left="1170"/>
      </w:pPr>
      <w:r>
        <w:t>Meeting customer service requirements specified in Pierce County Code.</w:t>
      </w:r>
    </w:p>
    <w:p w:rsidR="000B49D6" w:rsidRDefault="000B49D6" w:rsidP="00A92460">
      <w:pPr>
        <w:pStyle w:val="ListParagraph"/>
        <w:numPr>
          <w:ilvl w:val="0"/>
          <w:numId w:val="70"/>
        </w:numPr>
        <w:spacing w:line="288" w:lineRule="auto"/>
        <w:ind w:left="547"/>
      </w:pPr>
      <w:r>
        <w:t>Data collection and reporting;</w:t>
      </w:r>
    </w:p>
    <w:p w:rsidR="000B49D6" w:rsidRDefault="000B49D6" w:rsidP="00A92460">
      <w:pPr>
        <w:pStyle w:val="ListParagraph"/>
        <w:numPr>
          <w:ilvl w:val="0"/>
          <w:numId w:val="70"/>
        </w:numPr>
        <w:spacing w:line="288" w:lineRule="auto"/>
        <w:ind w:left="547"/>
      </w:pPr>
      <w:r>
        <w:t>Activities and actions designed to increase recycling and decrease disposal, as compared to the baseline years of 2004 and 2009; and</w:t>
      </w:r>
    </w:p>
    <w:p w:rsidR="00A92460" w:rsidRDefault="000B49D6" w:rsidP="000B49D6">
      <w:pPr>
        <w:pStyle w:val="ListParagraph"/>
        <w:numPr>
          <w:ilvl w:val="0"/>
          <w:numId w:val="70"/>
        </w:numPr>
        <w:spacing w:line="288" w:lineRule="auto"/>
        <w:ind w:left="547"/>
      </w:pPr>
      <w:r>
        <w:t xml:space="preserve">Increasing tonnage, increasing participation and decreasing </w:t>
      </w:r>
      <w:r w:rsidR="00DF31CD">
        <w:t>contamination.</w:t>
      </w:r>
    </w:p>
    <w:p w:rsidR="000B49D6" w:rsidRDefault="000B49D6" w:rsidP="000B49D6">
      <w:pPr>
        <w:pStyle w:val="ListParagraph"/>
      </w:pPr>
    </w:p>
    <w:p w:rsidR="00F93FF3" w:rsidRDefault="00DF31CD" w:rsidP="00F93FF3">
      <w:pPr>
        <w:numPr>
          <w:ilvl w:val="0"/>
          <w:numId w:val="68"/>
        </w:numPr>
        <w:spacing w:line="288" w:lineRule="auto"/>
      </w:pPr>
      <w:r>
        <w:t xml:space="preserve">On January 18, 2011, Pierce County's Public Works and Utilities filed </w:t>
      </w:r>
      <w:r w:rsidR="00BE720E">
        <w:t xml:space="preserve">a </w:t>
      </w:r>
      <w:r w:rsidR="00A92460">
        <w:t>letter addressed to the Executive Director and Secretary of the Commission from Stephen Wamback, Solid Waste Administrator for Pierce County</w:t>
      </w:r>
      <w:r w:rsidR="00E1426B">
        <w:t>,</w:t>
      </w:r>
      <w:r w:rsidR="00A92460">
        <w:t xml:space="preserve"> Washington.  Mr. Wamback states</w:t>
      </w:r>
      <w:r w:rsidR="00B41049">
        <w:t>,</w:t>
      </w:r>
      <w:r w:rsidR="00A92460">
        <w:t xml:space="preserve"> “</w:t>
      </w:r>
      <w:r w:rsidR="00485757">
        <w:t xml:space="preserve">As Solid Waste Administrator, I am the </w:t>
      </w:r>
      <w:r w:rsidR="00485757" w:rsidRPr="00AF65F2">
        <w:t>appropriate local government authority</w:t>
      </w:r>
      <w:r w:rsidR="00485757">
        <w:t xml:space="preserve"> to make the certification required by RCW 81.77.185 (1)."  Specifically relating to the Company's 2011-2012 Recycling Plan, Mr. Wamback adds</w:t>
      </w:r>
      <w:r w:rsidR="00B41049">
        <w:t>,</w:t>
      </w:r>
      <w:r w:rsidR="00485757">
        <w:t xml:space="preserve"> "</w:t>
      </w:r>
      <w:r w:rsidR="00A92460">
        <w:t xml:space="preserve">I hereby certify that the </w:t>
      </w:r>
      <w:r w:rsidR="00485757">
        <w:t>updated Company Recycling Plan is consistent with the Tacoma-Pierce County Solid Waste Management Plan, and that the plan demonstrates how retained revenues will be used to increase recycling."</w:t>
      </w:r>
      <w:r w:rsidR="004E17A7">
        <w:t xml:space="preserve">  Mr. Wamback also </w:t>
      </w:r>
      <w:r w:rsidR="00A85B95">
        <w:t xml:space="preserve">states, "…the company will be required to make additional demonstrations and provide additional services in support of curbside recycling out of the revenues retained from the sale of recyclable commodities.  Further, Pierce County will evaluate the company's performance against new performance measures and thereby determine whether the company will be eligible to retain up to </w:t>
      </w:r>
      <w:r w:rsidR="00A85B95">
        <w:rPr>
          <w:u w:val="single"/>
        </w:rPr>
        <w:t xml:space="preserve">fifty </w:t>
      </w:r>
      <w:r w:rsidR="00A85B95">
        <w:rPr>
          <w:u w:val="single"/>
        </w:rPr>
        <w:lastRenderedPageBreak/>
        <w:t>percent (50%)</w:t>
      </w:r>
      <w:r w:rsidR="00A85B95">
        <w:t xml:space="preserve"> </w:t>
      </w:r>
      <w:r w:rsidR="00562AFB">
        <w:t xml:space="preserve">of revenue generated from the sale of commodities in the </w:t>
      </w:r>
      <w:r w:rsidR="00562AFB">
        <w:rPr>
          <w:u w:val="single"/>
        </w:rPr>
        <w:t>upcoming rate period</w:t>
      </w:r>
      <w:r w:rsidR="00562AFB">
        <w:t>."</w:t>
      </w:r>
    </w:p>
    <w:p w:rsidR="00F93FF3" w:rsidRDefault="00F93FF3"/>
    <w:p w:rsidR="002D0A8E" w:rsidRDefault="00065AC6">
      <w:pPr>
        <w:numPr>
          <w:ilvl w:val="0"/>
          <w:numId w:val="68"/>
        </w:numPr>
        <w:spacing w:line="288" w:lineRule="auto"/>
      </w:pPr>
      <w:r>
        <w:t xml:space="preserve">Staff recommends that the Commission </w:t>
      </w:r>
      <w:r w:rsidR="00F93FF3" w:rsidRPr="00641583">
        <w:t>authorize</w:t>
      </w:r>
      <w:r w:rsidR="00F93FF3">
        <w:t xml:space="preserve"> the Company</w:t>
      </w:r>
      <w:r w:rsidR="00F93FF3" w:rsidRPr="00641583">
        <w:t xml:space="preserve"> to retain fifty percent of the revenue it receives from the sale of recyclable materials collected in its residential recycling program on a temporary basis, subject to refund</w:t>
      </w:r>
      <w:r w:rsidR="00F93FF3">
        <w:t>,</w:t>
      </w:r>
      <w:r w:rsidR="00F93FF3" w:rsidRPr="00E14222">
        <w:t xml:space="preserve"> </w:t>
      </w:r>
      <w:r>
        <w:t xml:space="preserve">require the Company to meet the performance requirements set forth in </w:t>
      </w:r>
      <w:r w:rsidR="00F93FF3">
        <w:t xml:space="preserve">its recycling and revenue sharing </w:t>
      </w:r>
      <w:r>
        <w:t>plan, and in consultation with the County, consider whether to reduce the revenue share the Company retained if the Company fails to meet those performance requirements.</w:t>
      </w:r>
      <w:r w:rsidR="00F93FF3" w:rsidDel="00F93FF3">
        <w:t xml:space="preserve"> </w:t>
      </w:r>
    </w:p>
    <w:p w:rsidR="00626605" w:rsidRDefault="00626605" w:rsidP="00626605">
      <w:pPr>
        <w:spacing w:line="288" w:lineRule="auto"/>
        <w:ind w:left="720"/>
      </w:pPr>
    </w:p>
    <w:p w:rsidR="00626605" w:rsidRDefault="00BC5716" w:rsidP="00626605">
      <w:pPr>
        <w:numPr>
          <w:ilvl w:val="0"/>
          <w:numId w:val="68"/>
        </w:numPr>
        <w:spacing w:after="240" w:line="288" w:lineRule="auto"/>
      </w:pPr>
      <w:r>
        <w:t xml:space="preserve">On January 13, 2011, the Company filed with the Commission </w:t>
      </w:r>
      <w:r w:rsidR="00E1426B">
        <w:t>a report</w:t>
      </w:r>
      <w:r>
        <w:t xml:space="preserve"> of </w:t>
      </w:r>
      <w:r w:rsidR="000A2572">
        <w:t xml:space="preserve">how </w:t>
      </w:r>
      <w:r>
        <w:t xml:space="preserve">it used revenues </w:t>
      </w:r>
      <w:r w:rsidR="000A2572">
        <w:t xml:space="preserve">it retained </w:t>
      </w:r>
      <w:r w:rsidR="00E1426B">
        <w:t>in the prior plan year (</w:t>
      </w:r>
      <w:r w:rsidR="00B473E0">
        <w:t>Table 1 below).</w:t>
      </w:r>
      <w:r w:rsidR="000A2572">
        <w:t xml:space="preserve">  Two-thirds of retained revenues were used to fund a Recycling Coordinator position.  In addition, the </w:t>
      </w:r>
      <w:r w:rsidR="000A2572" w:rsidRPr="00216AD4">
        <w:t>Company's annual dues for the Washington Refuse and Recycling Association (WRRA) were included</w:t>
      </w:r>
      <w:r w:rsidR="00E409AD">
        <w:t xml:space="preserve"> as an expen</w:t>
      </w:r>
      <w:r w:rsidR="004D6EB7">
        <w:t>se</w:t>
      </w:r>
      <w:r w:rsidR="00E409AD">
        <w:t>.  WRRA dues</w:t>
      </w:r>
      <w:r w:rsidR="00D04B1A">
        <w:t>, less lobbying expense,</w:t>
      </w:r>
      <w:r w:rsidR="00E409AD">
        <w:t xml:space="preserve"> are already included in the Company's rates, which were approved by the Commission as part of its last general rate case, TG-080105.</w:t>
      </w:r>
      <w:r w:rsidR="00562AFB">
        <w:rPr>
          <w:rStyle w:val="FootnoteReference"/>
        </w:rPr>
        <w:footnoteReference w:id="1"/>
      </w:r>
      <w:r w:rsidR="00E409AD">
        <w:t xml:space="preserve">  The Company did not specify whether the unused portion of retained revenues ($54,748) </w:t>
      </w:r>
      <w:r w:rsidR="00F500B5" w:rsidRPr="00216AD4">
        <w:t xml:space="preserve">not spent during </w:t>
      </w:r>
      <w:r w:rsidR="0005744D">
        <w:t xml:space="preserve">the </w:t>
      </w:r>
      <w:r w:rsidR="00F500B5" w:rsidRPr="00216AD4">
        <w:t>prior plan period be carrie</w:t>
      </w:r>
      <w:r w:rsidR="0005744D">
        <w:t>d</w:t>
      </w:r>
      <w:r w:rsidR="00F500B5" w:rsidRPr="00216AD4">
        <w:t xml:space="preserve"> forward to the following plan period.</w:t>
      </w:r>
      <w:r w:rsidR="00FE3514">
        <w:t xml:space="preserve"> </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4A0"/>
      </w:tblPr>
      <w:tblGrid>
        <w:gridCol w:w="2700"/>
        <w:gridCol w:w="1170"/>
        <w:gridCol w:w="1170"/>
        <w:gridCol w:w="976"/>
        <w:gridCol w:w="2437"/>
      </w:tblGrid>
      <w:tr w:rsidR="00DD5DC7" w:rsidRPr="00541721" w:rsidTr="00D026D3">
        <w:trPr>
          <w:trHeight w:val="240"/>
          <w:jc w:val="center"/>
        </w:trPr>
        <w:tc>
          <w:tcPr>
            <w:tcW w:w="8453" w:type="dxa"/>
            <w:gridSpan w:val="5"/>
            <w:tcBorders>
              <w:top w:val="single" w:sz="4" w:space="0" w:color="auto"/>
              <w:bottom w:val="nil"/>
            </w:tcBorders>
            <w:shd w:val="clear" w:color="auto" w:fill="D9D9D9" w:themeFill="background1" w:themeFillShade="D9"/>
            <w:noWrap/>
            <w:hideMark/>
          </w:tcPr>
          <w:p w:rsidR="00DD5DC7" w:rsidRPr="00541721" w:rsidRDefault="00DD5DC7" w:rsidP="00A81641">
            <w:pPr>
              <w:jc w:val="center"/>
              <w:rPr>
                <w:sz w:val="18"/>
                <w:szCs w:val="18"/>
              </w:rPr>
            </w:pPr>
            <w:r w:rsidRPr="00541721">
              <w:rPr>
                <w:b/>
                <w:sz w:val="18"/>
                <w:szCs w:val="18"/>
              </w:rPr>
              <w:t>Harold LeMay Enterprises, Inc. G-98</w:t>
            </w:r>
            <w:r>
              <w:rPr>
                <w:b/>
                <w:sz w:val="18"/>
                <w:szCs w:val="18"/>
              </w:rPr>
              <w:t xml:space="preserve">, </w:t>
            </w:r>
            <w:r w:rsidRPr="00541721">
              <w:rPr>
                <w:b/>
                <w:sz w:val="18"/>
                <w:szCs w:val="18"/>
              </w:rPr>
              <w:t>Pierce County Refuse</w:t>
            </w:r>
          </w:p>
        </w:tc>
      </w:tr>
      <w:tr w:rsidR="00DD5DC7" w:rsidRPr="00541721" w:rsidTr="00D026D3">
        <w:trPr>
          <w:trHeight w:val="240"/>
          <w:jc w:val="center"/>
        </w:trPr>
        <w:tc>
          <w:tcPr>
            <w:tcW w:w="8453" w:type="dxa"/>
            <w:gridSpan w:val="5"/>
            <w:tcBorders>
              <w:top w:val="nil"/>
              <w:bottom w:val="nil"/>
            </w:tcBorders>
            <w:shd w:val="clear" w:color="auto" w:fill="D9D9D9" w:themeFill="background1" w:themeFillShade="D9"/>
            <w:noWrap/>
            <w:hideMark/>
          </w:tcPr>
          <w:p w:rsidR="00DD5DC7" w:rsidRPr="00541721" w:rsidRDefault="00DD5DC7" w:rsidP="00A81641">
            <w:pPr>
              <w:jc w:val="center"/>
              <w:rPr>
                <w:sz w:val="18"/>
                <w:szCs w:val="18"/>
              </w:rPr>
            </w:pPr>
            <w:r>
              <w:rPr>
                <w:b/>
                <w:sz w:val="18"/>
                <w:szCs w:val="18"/>
              </w:rPr>
              <w:t>December 2009 - N</w:t>
            </w:r>
            <w:r w:rsidRPr="00541721">
              <w:rPr>
                <w:b/>
                <w:sz w:val="18"/>
                <w:szCs w:val="18"/>
              </w:rPr>
              <w:t>ovember 2010</w:t>
            </w:r>
          </w:p>
        </w:tc>
      </w:tr>
      <w:tr w:rsidR="00B473E0" w:rsidRPr="00541721" w:rsidTr="00D026D3">
        <w:trPr>
          <w:trHeight w:val="240"/>
          <w:jc w:val="center"/>
        </w:trPr>
        <w:tc>
          <w:tcPr>
            <w:tcW w:w="2700" w:type="dxa"/>
            <w:tcBorders>
              <w:top w:val="nil"/>
              <w:bottom w:val="nil"/>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1170" w:type="dxa"/>
            <w:vMerge w:val="restart"/>
            <w:tcBorders>
              <w:top w:val="single" w:sz="4" w:space="0" w:color="auto"/>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b/>
                <w:sz w:val="18"/>
                <w:szCs w:val="18"/>
              </w:rPr>
            </w:pPr>
            <w:r w:rsidRPr="00541721">
              <w:rPr>
                <w:b/>
                <w:sz w:val="18"/>
                <w:szCs w:val="18"/>
              </w:rPr>
              <w:t>Commodity</w:t>
            </w:r>
          </w:p>
          <w:p w:rsidR="00B473E0" w:rsidRPr="00541721" w:rsidRDefault="00B473E0" w:rsidP="00A81641">
            <w:pPr>
              <w:jc w:val="center"/>
              <w:rPr>
                <w:b/>
                <w:sz w:val="18"/>
                <w:szCs w:val="18"/>
              </w:rPr>
            </w:pPr>
            <w:r w:rsidRPr="00541721">
              <w:rPr>
                <w:b/>
                <w:sz w:val="18"/>
                <w:szCs w:val="18"/>
              </w:rPr>
              <w:t>Value</w:t>
            </w:r>
          </w:p>
          <w:p w:rsidR="00B473E0" w:rsidRPr="00541721" w:rsidRDefault="00B473E0" w:rsidP="00A81641">
            <w:pPr>
              <w:jc w:val="center"/>
              <w:rPr>
                <w:b/>
                <w:sz w:val="18"/>
                <w:szCs w:val="18"/>
              </w:rPr>
            </w:pPr>
            <w:r w:rsidRPr="00541721">
              <w:rPr>
                <w:b/>
                <w:sz w:val="18"/>
                <w:szCs w:val="18"/>
              </w:rPr>
              <w:t>100%</w:t>
            </w:r>
          </w:p>
        </w:tc>
        <w:tc>
          <w:tcPr>
            <w:tcW w:w="1170" w:type="dxa"/>
            <w:vMerge w:val="restart"/>
            <w:tcBorders>
              <w:top w:val="single" w:sz="4" w:space="0" w:color="auto"/>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b/>
                <w:sz w:val="18"/>
                <w:szCs w:val="18"/>
              </w:rPr>
            </w:pPr>
            <w:r w:rsidRPr="00541721">
              <w:rPr>
                <w:b/>
                <w:sz w:val="18"/>
                <w:szCs w:val="18"/>
              </w:rPr>
              <w:t>Commodity</w:t>
            </w:r>
          </w:p>
          <w:p w:rsidR="00B473E0" w:rsidRPr="00541721" w:rsidRDefault="00B473E0" w:rsidP="00A81641">
            <w:pPr>
              <w:jc w:val="center"/>
              <w:rPr>
                <w:b/>
                <w:sz w:val="18"/>
                <w:szCs w:val="18"/>
              </w:rPr>
            </w:pPr>
            <w:r w:rsidRPr="00541721">
              <w:rPr>
                <w:b/>
                <w:sz w:val="18"/>
                <w:szCs w:val="18"/>
              </w:rPr>
              <w:t>Value</w:t>
            </w:r>
          </w:p>
          <w:p w:rsidR="00B473E0" w:rsidRPr="00541721" w:rsidRDefault="00B473E0" w:rsidP="00A81641">
            <w:pPr>
              <w:jc w:val="center"/>
              <w:rPr>
                <w:b/>
                <w:sz w:val="18"/>
                <w:szCs w:val="18"/>
              </w:rPr>
            </w:pPr>
            <w:r w:rsidRPr="00541721">
              <w:rPr>
                <w:b/>
                <w:sz w:val="18"/>
                <w:szCs w:val="18"/>
              </w:rPr>
              <w:t>70%</w:t>
            </w:r>
          </w:p>
        </w:tc>
        <w:tc>
          <w:tcPr>
            <w:tcW w:w="976" w:type="dxa"/>
            <w:vMerge w:val="restart"/>
            <w:tcBorders>
              <w:top w:val="single" w:sz="4" w:space="0" w:color="auto"/>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b/>
                <w:sz w:val="18"/>
                <w:szCs w:val="18"/>
              </w:rPr>
            </w:pPr>
            <w:r w:rsidRPr="00541721">
              <w:rPr>
                <w:b/>
                <w:sz w:val="18"/>
                <w:szCs w:val="18"/>
              </w:rPr>
              <w:t>Company</w:t>
            </w:r>
          </w:p>
          <w:p w:rsidR="00B473E0" w:rsidRPr="00541721" w:rsidRDefault="00B473E0" w:rsidP="00A81641">
            <w:pPr>
              <w:jc w:val="center"/>
              <w:rPr>
                <w:b/>
                <w:sz w:val="18"/>
                <w:szCs w:val="18"/>
              </w:rPr>
            </w:pPr>
            <w:r w:rsidRPr="00541721">
              <w:rPr>
                <w:b/>
                <w:sz w:val="18"/>
                <w:szCs w:val="18"/>
              </w:rPr>
              <w:t>Retained</w:t>
            </w:r>
          </w:p>
          <w:p w:rsidR="00B473E0" w:rsidRPr="00541721" w:rsidRDefault="00B473E0" w:rsidP="00A81641">
            <w:pPr>
              <w:jc w:val="center"/>
              <w:rPr>
                <w:b/>
                <w:sz w:val="18"/>
                <w:szCs w:val="18"/>
              </w:rPr>
            </w:pPr>
            <w:r w:rsidRPr="00541721">
              <w:rPr>
                <w:b/>
                <w:sz w:val="18"/>
                <w:szCs w:val="18"/>
              </w:rPr>
              <w:t>30%</w:t>
            </w:r>
          </w:p>
        </w:tc>
        <w:tc>
          <w:tcPr>
            <w:tcW w:w="2437" w:type="dxa"/>
            <w:tcBorders>
              <w:top w:val="nil"/>
              <w:left w:val="single" w:sz="4" w:space="0" w:color="auto"/>
              <w:bottom w:val="nil"/>
            </w:tcBorders>
            <w:shd w:val="clear" w:color="auto" w:fill="D9D9D9" w:themeFill="background1" w:themeFillShade="D9"/>
          </w:tcPr>
          <w:p w:rsidR="00B473E0" w:rsidRPr="00541721" w:rsidRDefault="00B473E0" w:rsidP="00A81641">
            <w:pPr>
              <w:jc w:val="center"/>
              <w:rPr>
                <w:sz w:val="18"/>
                <w:szCs w:val="18"/>
              </w:rPr>
            </w:pPr>
          </w:p>
        </w:tc>
      </w:tr>
      <w:tr w:rsidR="00B473E0" w:rsidRPr="00541721" w:rsidTr="00D026D3">
        <w:trPr>
          <w:trHeight w:val="240"/>
          <w:jc w:val="center"/>
        </w:trPr>
        <w:tc>
          <w:tcPr>
            <w:tcW w:w="2700" w:type="dxa"/>
            <w:tcBorders>
              <w:top w:val="nil"/>
              <w:bottom w:val="nil"/>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1170" w:type="dxa"/>
            <w:vMerge/>
            <w:tcBorders>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1170" w:type="dxa"/>
            <w:vMerge/>
            <w:tcBorders>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976" w:type="dxa"/>
            <w:vMerge/>
            <w:tcBorders>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2437" w:type="dxa"/>
            <w:tcBorders>
              <w:top w:val="nil"/>
              <w:left w:val="single" w:sz="4" w:space="0" w:color="auto"/>
              <w:bottom w:val="nil"/>
            </w:tcBorders>
            <w:shd w:val="clear" w:color="auto" w:fill="D9D9D9" w:themeFill="background1" w:themeFillShade="D9"/>
          </w:tcPr>
          <w:p w:rsidR="00B473E0" w:rsidRPr="00541721" w:rsidRDefault="00B473E0" w:rsidP="00A81641">
            <w:pPr>
              <w:jc w:val="center"/>
              <w:rPr>
                <w:sz w:val="18"/>
                <w:szCs w:val="18"/>
              </w:rPr>
            </w:pPr>
          </w:p>
        </w:tc>
      </w:tr>
      <w:tr w:rsidR="00B473E0" w:rsidRPr="00541721" w:rsidTr="00D026D3">
        <w:trPr>
          <w:trHeight w:val="240"/>
          <w:jc w:val="center"/>
        </w:trPr>
        <w:tc>
          <w:tcPr>
            <w:tcW w:w="2700" w:type="dxa"/>
            <w:tcBorders>
              <w:top w:val="nil"/>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1170" w:type="dxa"/>
            <w:vMerge/>
            <w:tcBorders>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1170" w:type="dxa"/>
            <w:vMerge/>
            <w:tcBorders>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976" w:type="dxa"/>
            <w:vMerge/>
            <w:tcBorders>
              <w:left w:val="single" w:sz="4" w:space="0" w:color="auto"/>
              <w:right w:val="single" w:sz="4" w:space="0" w:color="auto"/>
            </w:tcBorders>
            <w:shd w:val="clear" w:color="auto" w:fill="D9D9D9" w:themeFill="background1" w:themeFillShade="D9"/>
            <w:noWrap/>
            <w:hideMark/>
          </w:tcPr>
          <w:p w:rsidR="00B473E0" w:rsidRPr="00541721" w:rsidRDefault="00B473E0" w:rsidP="00A81641">
            <w:pPr>
              <w:jc w:val="center"/>
              <w:rPr>
                <w:sz w:val="18"/>
                <w:szCs w:val="18"/>
              </w:rPr>
            </w:pPr>
          </w:p>
        </w:tc>
        <w:tc>
          <w:tcPr>
            <w:tcW w:w="2437" w:type="dxa"/>
            <w:tcBorders>
              <w:top w:val="nil"/>
              <w:left w:val="single" w:sz="4" w:space="0" w:color="auto"/>
              <w:bottom w:val="nil"/>
            </w:tcBorders>
            <w:shd w:val="clear" w:color="auto" w:fill="D9D9D9" w:themeFill="background1" w:themeFillShade="D9"/>
          </w:tcPr>
          <w:p w:rsidR="00B473E0" w:rsidRPr="00541721" w:rsidRDefault="00B473E0" w:rsidP="00A81641">
            <w:pPr>
              <w:jc w:val="center"/>
              <w:rPr>
                <w:sz w:val="18"/>
                <w:szCs w:val="18"/>
              </w:rPr>
            </w:pPr>
          </w:p>
        </w:tc>
      </w:tr>
      <w:tr w:rsidR="00B473E0" w:rsidRPr="00541721" w:rsidTr="00D026D3">
        <w:trPr>
          <w:trHeight w:val="240"/>
          <w:jc w:val="center"/>
        </w:trPr>
        <w:tc>
          <w:tcPr>
            <w:tcW w:w="2700" w:type="dxa"/>
            <w:tcBorders>
              <w:bottom w:val="single" w:sz="4" w:space="0" w:color="auto"/>
            </w:tcBorders>
            <w:shd w:val="clear" w:color="auto" w:fill="auto"/>
            <w:noWrap/>
            <w:vAlign w:val="bottom"/>
            <w:hideMark/>
          </w:tcPr>
          <w:p w:rsidR="00B473E0" w:rsidRPr="00541721" w:rsidRDefault="00B473E0" w:rsidP="00A81641">
            <w:pPr>
              <w:rPr>
                <w:sz w:val="18"/>
                <w:szCs w:val="18"/>
              </w:rPr>
            </w:pPr>
            <w:r w:rsidRPr="00541721">
              <w:rPr>
                <w:b/>
                <w:bCs/>
                <w:sz w:val="18"/>
                <w:szCs w:val="18"/>
              </w:rPr>
              <w:t>Commodity Value</w:t>
            </w:r>
          </w:p>
        </w:tc>
        <w:tc>
          <w:tcPr>
            <w:tcW w:w="1170" w:type="dxa"/>
            <w:tcBorders>
              <w:bottom w:val="single" w:sz="4" w:space="0" w:color="auto"/>
            </w:tcBorders>
            <w:shd w:val="clear" w:color="auto" w:fill="auto"/>
            <w:noWrap/>
            <w:vAlign w:val="bottom"/>
            <w:hideMark/>
          </w:tcPr>
          <w:p w:rsidR="00B473E0" w:rsidRPr="00541721" w:rsidRDefault="00B473E0" w:rsidP="00A81641">
            <w:pPr>
              <w:jc w:val="right"/>
              <w:rPr>
                <w:b/>
                <w:bCs/>
                <w:sz w:val="18"/>
                <w:szCs w:val="18"/>
              </w:rPr>
            </w:pPr>
            <w:r w:rsidRPr="00541721">
              <w:rPr>
                <w:b/>
                <w:bCs/>
                <w:sz w:val="18"/>
                <w:szCs w:val="18"/>
              </w:rPr>
              <w:t>$809,973</w:t>
            </w:r>
          </w:p>
        </w:tc>
        <w:tc>
          <w:tcPr>
            <w:tcW w:w="1170" w:type="dxa"/>
            <w:tcBorders>
              <w:bottom w:val="single" w:sz="4" w:space="0" w:color="auto"/>
            </w:tcBorders>
            <w:shd w:val="clear" w:color="auto" w:fill="auto"/>
            <w:noWrap/>
            <w:vAlign w:val="bottom"/>
            <w:hideMark/>
          </w:tcPr>
          <w:p w:rsidR="00B473E0" w:rsidRPr="00541721" w:rsidRDefault="00B473E0" w:rsidP="00A81641">
            <w:pPr>
              <w:jc w:val="right"/>
              <w:rPr>
                <w:b/>
                <w:bCs/>
                <w:sz w:val="18"/>
                <w:szCs w:val="18"/>
              </w:rPr>
            </w:pPr>
            <w:r w:rsidRPr="00541721">
              <w:rPr>
                <w:b/>
                <w:bCs/>
                <w:sz w:val="18"/>
                <w:szCs w:val="18"/>
              </w:rPr>
              <w:t>$566,981</w:t>
            </w:r>
          </w:p>
        </w:tc>
        <w:tc>
          <w:tcPr>
            <w:tcW w:w="976" w:type="dxa"/>
            <w:tcBorders>
              <w:bottom w:val="single" w:sz="4" w:space="0" w:color="auto"/>
            </w:tcBorders>
            <w:shd w:val="clear" w:color="auto" w:fill="auto"/>
            <w:noWrap/>
            <w:vAlign w:val="bottom"/>
            <w:hideMark/>
          </w:tcPr>
          <w:p w:rsidR="00B473E0" w:rsidRPr="00541721" w:rsidRDefault="00B473E0" w:rsidP="00A81641">
            <w:pPr>
              <w:jc w:val="right"/>
              <w:rPr>
                <w:b/>
                <w:bCs/>
                <w:sz w:val="18"/>
                <w:szCs w:val="18"/>
              </w:rPr>
            </w:pPr>
            <w:r w:rsidRPr="00541721">
              <w:rPr>
                <w:b/>
                <w:bCs/>
                <w:sz w:val="18"/>
                <w:szCs w:val="18"/>
              </w:rPr>
              <w:t>$242,992</w:t>
            </w:r>
          </w:p>
        </w:tc>
        <w:tc>
          <w:tcPr>
            <w:tcW w:w="2437" w:type="dxa"/>
            <w:tcBorders>
              <w:top w:val="nil"/>
              <w:bottom w:val="single" w:sz="4" w:space="0" w:color="auto"/>
            </w:tcBorders>
            <w:shd w:val="clear" w:color="auto" w:fill="D9D9D9" w:themeFill="background1" w:themeFillShade="D9"/>
          </w:tcPr>
          <w:p w:rsidR="00B473E0" w:rsidRPr="00541721" w:rsidRDefault="00B473E0" w:rsidP="00B473E0">
            <w:pPr>
              <w:rPr>
                <w:b/>
                <w:bCs/>
                <w:sz w:val="18"/>
                <w:szCs w:val="18"/>
              </w:rPr>
            </w:pPr>
          </w:p>
        </w:tc>
      </w:tr>
    </w:tbl>
    <w:p w:rsidR="00D026D3" w:rsidRPr="004D45B3" w:rsidRDefault="00D026D3"/>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4A0"/>
      </w:tblPr>
      <w:tblGrid>
        <w:gridCol w:w="2700"/>
        <w:gridCol w:w="1170"/>
        <w:gridCol w:w="1170"/>
        <w:gridCol w:w="976"/>
        <w:gridCol w:w="2437"/>
      </w:tblGrid>
      <w:tr w:rsidR="009C0E2E" w:rsidRPr="00541721" w:rsidTr="00D026D3">
        <w:trPr>
          <w:trHeight w:val="240"/>
          <w:tblHeader/>
          <w:jc w:val="center"/>
        </w:trPr>
        <w:tc>
          <w:tcPr>
            <w:tcW w:w="6016" w:type="dxa"/>
            <w:gridSpan w:val="4"/>
            <w:shd w:val="clear" w:color="auto" w:fill="D9D9D9" w:themeFill="background1" w:themeFillShade="D9"/>
            <w:noWrap/>
            <w:hideMark/>
          </w:tcPr>
          <w:p w:rsidR="009C0E2E" w:rsidRPr="00541721" w:rsidRDefault="009C0E2E" w:rsidP="009C0E2E">
            <w:pPr>
              <w:jc w:val="center"/>
              <w:rPr>
                <w:sz w:val="18"/>
                <w:szCs w:val="18"/>
              </w:rPr>
            </w:pPr>
            <w:r w:rsidRPr="00541721">
              <w:rPr>
                <w:b/>
                <w:bCs/>
                <w:sz w:val="18"/>
                <w:szCs w:val="18"/>
              </w:rPr>
              <w:t>Program Costs:</w:t>
            </w:r>
          </w:p>
        </w:tc>
        <w:tc>
          <w:tcPr>
            <w:tcW w:w="2437" w:type="dxa"/>
            <w:shd w:val="clear" w:color="auto" w:fill="D9D9D9" w:themeFill="background1" w:themeFillShade="D9"/>
          </w:tcPr>
          <w:p w:rsidR="009C0E2E" w:rsidRPr="00541721" w:rsidRDefault="009C0E2E" w:rsidP="009C0E2E">
            <w:pPr>
              <w:jc w:val="center"/>
              <w:rPr>
                <w:b/>
                <w:sz w:val="18"/>
                <w:szCs w:val="18"/>
              </w:rPr>
            </w:pPr>
            <w:r>
              <w:rPr>
                <w:b/>
                <w:sz w:val="18"/>
                <w:szCs w:val="18"/>
              </w:rPr>
              <w:t>Staff Comment</w:t>
            </w:r>
          </w:p>
        </w:tc>
      </w:tr>
      <w:tr w:rsidR="004B2C3A" w:rsidRPr="00541721" w:rsidTr="00D026D3">
        <w:trPr>
          <w:trHeight w:val="240"/>
          <w:jc w:val="center"/>
        </w:trPr>
        <w:tc>
          <w:tcPr>
            <w:tcW w:w="5040" w:type="dxa"/>
            <w:gridSpan w:val="3"/>
            <w:tcBorders>
              <w:right w:val="nil"/>
            </w:tcBorders>
            <w:shd w:val="clear" w:color="auto" w:fill="auto"/>
            <w:noWrap/>
            <w:vAlign w:val="bottom"/>
            <w:hideMark/>
          </w:tcPr>
          <w:p w:rsidR="004B2C3A" w:rsidRPr="00541721" w:rsidRDefault="004B2C3A" w:rsidP="004B2C3A">
            <w:pPr>
              <w:rPr>
                <w:sz w:val="18"/>
                <w:szCs w:val="18"/>
              </w:rPr>
            </w:pPr>
            <w:r w:rsidRPr="004B2C3A">
              <w:rPr>
                <w:bCs/>
                <w:sz w:val="18"/>
                <w:szCs w:val="18"/>
              </w:rPr>
              <w:t>Recycling Coordinator</w:t>
            </w:r>
            <w:r w:rsidRPr="00541721">
              <w:rPr>
                <w:sz w:val="18"/>
                <w:szCs w:val="18"/>
              </w:rPr>
              <w:t xml:space="preserve"> (wages &amp; benefits)</w:t>
            </w:r>
          </w:p>
        </w:tc>
        <w:tc>
          <w:tcPr>
            <w:tcW w:w="976" w:type="dxa"/>
            <w:tcBorders>
              <w:left w:val="nil"/>
              <w:bottom w:val="single" w:sz="4" w:space="0" w:color="auto"/>
            </w:tcBorders>
            <w:shd w:val="clear" w:color="auto" w:fill="auto"/>
            <w:noWrap/>
            <w:vAlign w:val="bottom"/>
            <w:hideMark/>
          </w:tcPr>
          <w:p w:rsidR="004B2C3A" w:rsidRPr="00541721" w:rsidRDefault="004B2C3A" w:rsidP="004B2C3A">
            <w:pPr>
              <w:jc w:val="right"/>
              <w:rPr>
                <w:sz w:val="18"/>
                <w:szCs w:val="18"/>
              </w:rPr>
            </w:pPr>
            <w:r w:rsidRPr="00541721">
              <w:rPr>
                <w:sz w:val="18"/>
                <w:szCs w:val="18"/>
              </w:rPr>
              <w:t>$123,449</w:t>
            </w:r>
          </w:p>
        </w:tc>
        <w:tc>
          <w:tcPr>
            <w:tcW w:w="2437" w:type="dxa"/>
          </w:tcPr>
          <w:p w:rsidR="004B2C3A" w:rsidRPr="00541721" w:rsidRDefault="004B2C3A" w:rsidP="009C0E2E">
            <w:pPr>
              <w:rPr>
                <w:sz w:val="18"/>
                <w:szCs w:val="18"/>
              </w:rPr>
            </w:pPr>
            <w:r>
              <w:rPr>
                <w:sz w:val="18"/>
                <w:szCs w:val="18"/>
              </w:rPr>
              <w:t xml:space="preserve">100 percent of this position is paid for with Pierce County Refuse's retained recycling revenue. The employee is part of Lakewood Refuse's (non-regulated) payroll.  </w:t>
            </w:r>
          </w:p>
        </w:tc>
      </w:tr>
      <w:tr w:rsidR="00B473E0" w:rsidRPr="00541721" w:rsidTr="00D026D3">
        <w:trPr>
          <w:trHeight w:val="240"/>
          <w:jc w:val="center"/>
        </w:trPr>
        <w:tc>
          <w:tcPr>
            <w:tcW w:w="2700" w:type="dxa"/>
            <w:tcBorders>
              <w:right w:val="nil"/>
            </w:tcBorders>
            <w:shd w:val="clear" w:color="auto" w:fill="auto"/>
            <w:noWrap/>
            <w:hideMark/>
          </w:tcPr>
          <w:p w:rsidR="00B473E0" w:rsidRPr="00541721" w:rsidRDefault="00B473E0" w:rsidP="004B2C3A">
            <w:pPr>
              <w:rPr>
                <w:sz w:val="18"/>
                <w:szCs w:val="18"/>
              </w:rPr>
            </w:pPr>
            <w:r w:rsidRPr="00541721">
              <w:rPr>
                <w:sz w:val="18"/>
                <w:szCs w:val="18"/>
              </w:rPr>
              <w:t xml:space="preserve">Community Outreach Activities </w:t>
            </w:r>
          </w:p>
        </w:tc>
        <w:tc>
          <w:tcPr>
            <w:tcW w:w="1170" w:type="dxa"/>
            <w:tcBorders>
              <w:left w:val="nil"/>
              <w:bottom w:val="single" w:sz="4" w:space="0" w:color="auto"/>
              <w:right w:val="nil"/>
            </w:tcBorders>
            <w:shd w:val="clear" w:color="auto" w:fill="auto"/>
            <w:noWrap/>
            <w:vAlign w:val="bottom"/>
            <w:hideMark/>
          </w:tcPr>
          <w:p w:rsidR="00B473E0" w:rsidRPr="00541721" w:rsidRDefault="00B473E0" w:rsidP="009C0E2E">
            <w:pPr>
              <w:jc w:val="right"/>
              <w:rPr>
                <w:sz w:val="18"/>
                <w:szCs w:val="18"/>
              </w:rPr>
            </w:pPr>
          </w:p>
        </w:tc>
        <w:tc>
          <w:tcPr>
            <w:tcW w:w="1170" w:type="dxa"/>
            <w:tcBorders>
              <w:left w:val="nil"/>
              <w:bottom w:val="single" w:sz="4" w:space="0" w:color="auto"/>
              <w:right w:val="nil"/>
            </w:tcBorders>
            <w:shd w:val="clear" w:color="auto" w:fill="auto"/>
            <w:noWrap/>
            <w:vAlign w:val="bottom"/>
            <w:hideMark/>
          </w:tcPr>
          <w:p w:rsidR="00B473E0" w:rsidRPr="00541721" w:rsidRDefault="00B473E0" w:rsidP="009C0E2E">
            <w:pPr>
              <w:jc w:val="right"/>
              <w:rPr>
                <w:sz w:val="18"/>
                <w:szCs w:val="18"/>
              </w:rPr>
            </w:pPr>
          </w:p>
        </w:tc>
        <w:tc>
          <w:tcPr>
            <w:tcW w:w="976" w:type="dxa"/>
            <w:tcBorders>
              <w:left w:val="nil"/>
              <w:bottom w:val="single" w:sz="4" w:space="0" w:color="auto"/>
            </w:tcBorders>
            <w:shd w:val="clear" w:color="auto" w:fill="auto"/>
            <w:noWrap/>
            <w:vAlign w:val="bottom"/>
            <w:hideMark/>
          </w:tcPr>
          <w:p w:rsidR="00B473E0" w:rsidRPr="00541721" w:rsidRDefault="00B473E0" w:rsidP="009C0E2E">
            <w:pPr>
              <w:jc w:val="right"/>
              <w:rPr>
                <w:sz w:val="18"/>
                <w:szCs w:val="18"/>
              </w:rPr>
            </w:pPr>
            <w:r w:rsidRPr="00541721">
              <w:rPr>
                <w:sz w:val="18"/>
                <w:szCs w:val="18"/>
              </w:rPr>
              <w:t>$4,406</w:t>
            </w:r>
          </w:p>
        </w:tc>
        <w:tc>
          <w:tcPr>
            <w:tcW w:w="2437" w:type="dxa"/>
          </w:tcPr>
          <w:p w:rsidR="00B473E0" w:rsidRPr="00541721" w:rsidRDefault="00B473E0" w:rsidP="00A81641">
            <w:pPr>
              <w:jc w:val="right"/>
              <w:rPr>
                <w:sz w:val="18"/>
                <w:szCs w:val="18"/>
              </w:rPr>
            </w:pPr>
          </w:p>
        </w:tc>
      </w:tr>
      <w:tr w:rsidR="00B473E0" w:rsidRPr="00541721" w:rsidTr="00D026D3">
        <w:trPr>
          <w:trHeight w:val="240"/>
          <w:jc w:val="center"/>
        </w:trPr>
        <w:tc>
          <w:tcPr>
            <w:tcW w:w="2700" w:type="dxa"/>
            <w:tcBorders>
              <w:right w:val="nil"/>
            </w:tcBorders>
            <w:shd w:val="clear" w:color="auto" w:fill="auto"/>
            <w:noWrap/>
            <w:hideMark/>
          </w:tcPr>
          <w:p w:rsidR="00B473E0" w:rsidRPr="00541721" w:rsidRDefault="00B473E0" w:rsidP="004B2C3A">
            <w:pPr>
              <w:rPr>
                <w:sz w:val="18"/>
                <w:szCs w:val="18"/>
              </w:rPr>
            </w:pPr>
            <w:r w:rsidRPr="00541721">
              <w:rPr>
                <w:sz w:val="18"/>
                <w:szCs w:val="18"/>
              </w:rPr>
              <w:t>Truck and Labor Expense</w:t>
            </w:r>
          </w:p>
        </w:tc>
        <w:tc>
          <w:tcPr>
            <w:tcW w:w="1170" w:type="dxa"/>
            <w:tcBorders>
              <w:left w:val="nil"/>
              <w:bottom w:val="single" w:sz="4" w:space="0" w:color="auto"/>
              <w:right w:val="nil"/>
            </w:tcBorders>
            <w:shd w:val="clear" w:color="auto" w:fill="auto"/>
            <w:noWrap/>
            <w:vAlign w:val="bottom"/>
            <w:hideMark/>
          </w:tcPr>
          <w:p w:rsidR="00B473E0" w:rsidRPr="00541721" w:rsidRDefault="00B473E0" w:rsidP="009C0E2E">
            <w:pPr>
              <w:jc w:val="right"/>
              <w:rPr>
                <w:sz w:val="18"/>
                <w:szCs w:val="18"/>
              </w:rPr>
            </w:pPr>
          </w:p>
        </w:tc>
        <w:tc>
          <w:tcPr>
            <w:tcW w:w="1170" w:type="dxa"/>
            <w:tcBorders>
              <w:left w:val="nil"/>
              <w:bottom w:val="single" w:sz="4" w:space="0" w:color="auto"/>
              <w:right w:val="nil"/>
            </w:tcBorders>
            <w:shd w:val="clear" w:color="auto" w:fill="auto"/>
            <w:noWrap/>
            <w:vAlign w:val="bottom"/>
            <w:hideMark/>
          </w:tcPr>
          <w:p w:rsidR="00B473E0" w:rsidRPr="00541721" w:rsidRDefault="00B473E0" w:rsidP="009C0E2E">
            <w:pPr>
              <w:jc w:val="right"/>
              <w:rPr>
                <w:sz w:val="18"/>
                <w:szCs w:val="18"/>
              </w:rPr>
            </w:pPr>
          </w:p>
        </w:tc>
        <w:tc>
          <w:tcPr>
            <w:tcW w:w="976" w:type="dxa"/>
            <w:tcBorders>
              <w:left w:val="nil"/>
              <w:bottom w:val="single" w:sz="4" w:space="0" w:color="auto"/>
            </w:tcBorders>
            <w:shd w:val="clear" w:color="auto" w:fill="auto"/>
            <w:noWrap/>
            <w:vAlign w:val="bottom"/>
            <w:hideMark/>
          </w:tcPr>
          <w:p w:rsidR="00B473E0" w:rsidRPr="00541721" w:rsidRDefault="00B473E0" w:rsidP="009C0E2E">
            <w:pPr>
              <w:jc w:val="right"/>
              <w:rPr>
                <w:sz w:val="18"/>
                <w:szCs w:val="18"/>
              </w:rPr>
            </w:pPr>
            <w:r w:rsidRPr="00541721">
              <w:rPr>
                <w:sz w:val="18"/>
                <w:szCs w:val="18"/>
              </w:rPr>
              <w:t>$4,930</w:t>
            </w:r>
          </w:p>
        </w:tc>
        <w:tc>
          <w:tcPr>
            <w:tcW w:w="2437" w:type="dxa"/>
          </w:tcPr>
          <w:p w:rsidR="00B473E0" w:rsidRPr="00541721" w:rsidRDefault="00B473E0" w:rsidP="00A81641">
            <w:pPr>
              <w:jc w:val="right"/>
              <w:rPr>
                <w:sz w:val="18"/>
                <w:szCs w:val="18"/>
              </w:rPr>
            </w:pPr>
          </w:p>
        </w:tc>
      </w:tr>
      <w:tr w:rsidR="009C0E2E" w:rsidRPr="00541721" w:rsidTr="00D026D3">
        <w:trPr>
          <w:trHeight w:val="240"/>
          <w:jc w:val="center"/>
        </w:trPr>
        <w:tc>
          <w:tcPr>
            <w:tcW w:w="6016" w:type="dxa"/>
            <w:gridSpan w:val="4"/>
            <w:shd w:val="clear" w:color="auto" w:fill="auto"/>
            <w:noWrap/>
            <w:hideMark/>
          </w:tcPr>
          <w:p w:rsidR="009C0E2E" w:rsidRPr="00541721" w:rsidRDefault="009C0E2E" w:rsidP="009C0E2E">
            <w:pPr>
              <w:rPr>
                <w:sz w:val="18"/>
                <w:szCs w:val="18"/>
              </w:rPr>
            </w:pPr>
            <w:r w:rsidRPr="00541721">
              <w:rPr>
                <w:b/>
                <w:bCs/>
                <w:sz w:val="18"/>
                <w:szCs w:val="18"/>
              </w:rPr>
              <w:t>Recycle Yard Rent:</w:t>
            </w:r>
          </w:p>
        </w:tc>
        <w:tc>
          <w:tcPr>
            <w:tcW w:w="2437" w:type="dxa"/>
          </w:tcPr>
          <w:p w:rsidR="009C0E2E" w:rsidRPr="00541721" w:rsidRDefault="009C0E2E" w:rsidP="00A81641">
            <w:pPr>
              <w:rPr>
                <w:sz w:val="18"/>
                <w:szCs w:val="18"/>
              </w:rPr>
            </w:pPr>
          </w:p>
        </w:tc>
      </w:tr>
      <w:tr w:rsidR="00B473E0" w:rsidRPr="00541721" w:rsidTr="00D026D3">
        <w:trPr>
          <w:trHeight w:val="240"/>
          <w:jc w:val="center"/>
        </w:trPr>
        <w:tc>
          <w:tcPr>
            <w:tcW w:w="2700" w:type="dxa"/>
            <w:tcBorders>
              <w:right w:val="nil"/>
            </w:tcBorders>
            <w:shd w:val="clear" w:color="auto" w:fill="auto"/>
            <w:noWrap/>
            <w:hideMark/>
          </w:tcPr>
          <w:p w:rsidR="00B473E0" w:rsidRPr="00541721" w:rsidRDefault="00B473E0" w:rsidP="00DD5DC7">
            <w:pPr>
              <w:ind w:left="177"/>
              <w:rPr>
                <w:sz w:val="18"/>
                <w:szCs w:val="18"/>
              </w:rPr>
            </w:pPr>
            <w:r w:rsidRPr="00541721">
              <w:rPr>
                <w:sz w:val="18"/>
                <w:szCs w:val="18"/>
              </w:rPr>
              <w:t>Rent</w:t>
            </w:r>
          </w:p>
        </w:tc>
        <w:tc>
          <w:tcPr>
            <w:tcW w:w="1170" w:type="dxa"/>
            <w:tcBorders>
              <w:left w:val="nil"/>
              <w:bottom w:val="single" w:sz="4" w:space="0" w:color="auto"/>
              <w:right w:val="nil"/>
            </w:tcBorders>
            <w:shd w:val="clear" w:color="auto" w:fill="auto"/>
            <w:noWrap/>
            <w:vAlign w:val="bottom"/>
            <w:hideMark/>
          </w:tcPr>
          <w:p w:rsidR="00B473E0" w:rsidRPr="00541721" w:rsidRDefault="00B473E0" w:rsidP="009C0E2E">
            <w:pPr>
              <w:jc w:val="right"/>
              <w:rPr>
                <w:sz w:val="18"/>
                <w:szCs w:val="18"/>
              </w:rPr>
            </w:pPr>
          </w:p>
        </w:tc>
        <w:tc>
          <w:tcPr>
            <w:tcW w:w="1170" w:type="dxa"/>
            <w:tcBorders>
              <w:left w:val="nil"/>
              <w:bottom w:val="single" w:sz="4" w:space="0" w:color="auto"/>
              <w:right w:val="nil"/>
            </w:tcBorders>
            <w:shd w:val="clear" w:color="auto" w:fill="auto"/>
            <w:noWrap/>
            <w:vAlign w:val="bottom"/>
            <w:hideMark/>
          </w:tcPr>
          <w:p w:rsidR="00B473E0" w:rsidRPr="00541721" w:rsidRDefault="00B473E0" w:rsidP="009C0E2E">
            <w:pPr>
              <w:jc w:val="right"/>
              <w:rPr>
                <w:sz w:val="18"/>
                <w:szCs w:val="18"/>
              </w:rPr>
            </w:pPr>
          </w:p>
        </w:tc>
        <w:tc>
          <w:tcPr>
            <w:tcW w:w="976" w:type="dxa"/>
            <w:tcBorders>
              <w:left w:val="nil"/>
              <w:bottom w:val="single" w:sz="4" w:space="0" w:color="auto"/>
            </w:tcBorders>
            <w:shd w:val="clear" w:color="auto" w:fill="auto"/>
            <w:noWrap/>
            <w:vAlign w:val="bottom"/>
            <w:hideMark/>
          </w:tcPr>
          <w:p w:rsidR="00B473E0" w:rsidRPr="00541721" w:rsidRDefault="00B473E0" w:rsidP="009C0E2E">
            <w:pPr>
              <w:jc w:val="right"/>
              <w:rPr>
                <w:sz w:val="18"/>
                <w:szCs w:val="18"/>
              </w:rPr>
            </w:pPr>
            <w:r w:rsidRPr="00541721">
              <w:rPr>
                <w:sz w:val="18"/>
                <w:szCs w:val="18"/>
              </w:rPr>
              <w:t>$12,000</w:t>
            </w:r>
          </w:p>
        </w:tc>
        <w:tc>
          <w:tcPr>
            <w:tcW w:w="2437" w:type="dxa"/>
          </w:tcPr>
          <w:p w:rsidR="00B473E0" w:rsidRPr="00541721" w:rsidRDefault="00B473E0" w:rsidP="00A81641">
            <w:pPr>
              <w:jc w:val="right"/>
              <w:rPr>
                <w:sz w:val="18"/>
                <w:szCs w:val="18"/>
              </w:rPr>
            </w:pPr>
          </w:p>
        </w:tc>
      </w:tr>
      <w:tr w:rsidR="00B473E0" w:rsidRPr="00541721" w:rsidTr="00D026D3">
        <w:trPr>
          <w:trHeight w:val="240"/>
          <w:jc w:val="center"/>
        </w:trPr>
        <w:tc>
          <w:tcPr>
            <w:tcW w:w="2700" w:type="dxa"/>
            <w:tcBorders>
              <w:right w:val="nil"/>
            </w:tcBorders>
            <w:shd w:val="clear" w:color="auto" w:fill="auto"/>
            <w:noWrap/>
            <w:hideMark/>
          </w:tcPr>
          <w:p w:rsidR="00B473E0" w:rsidRPr="00541721" w:rsidRDefault="00B473E0" w:rsidP="00DD5DC7">
            <w:pPr>
              <w:ind w:left="177"/>
              <w:rPr>
                <w:sz w:val="18"/>
                <w:szCs w:val="18"/>
              </w:rPr>
            </w:pPr>
            <w:r w:rsidRPr="00541721">
              <w:rPr>
                <w:sz w:val="18"/>
                <w:szCs w:val="18"/>
              </w:rPr>
              <w:lastRenderedPageBreak/>
              <w:t>Monitoring</w:t>
            </w:r>
          </w:p>
        </w:tc>
        <w:tc>
          <w:tcPr>
            <w:tcW w:w="1170" w:type="dxa"/>
            <w:tcBorders>
              <w:left w:val="nil"/>
              <w:bottom w:val="single" w:sz="4" w:space="0" w:color="auto"/>
              <w:right w:val="nil"/>
            </w:tcBorders>
            <w:shd w:val="clear" w:color="auto" w:fill="auto"/>
            <w:noWrap/>
            <w:vAlign w:val="bottom"/>
            <w:hideMark/>
          </w:tcPr>
          <w:p w:rsidR="00B473E0" w:rsidRPr="00541721" w:rsidRDefault="00B473E0" w:rsidP="009C0E2E">
            <w:pPr>
              <w:jc w:val="right"/>
              <w:rPr>
                <w:sz w:val="18"/>
                <w:szCs w:val="18"/>
              </w:rPr>
            </w:pPr>
          </w:p>
        </w:tc>
        <w:tc>
          <w:tcPr>
            <w:tcW w:w="1170" w:type="dxa"/>
            <w:tcBorders>
              <w:left w:val="nil"/>
              <w:bottom w:val="single" w:sz="4" w:space="0" w:color="auto"/>
              <w:right w:val="nil"/>
            </w:tcBorders>
            <w:shd w:val="clear" w:color="auto" w:fill="auto"/>
            <w:noWrap/>
            <w:vAlign w:val="bottom"/>
            <w:hideMark/>
          </w:tcPr>
          <w:p w:rsidR="00B473E0" w:rsidRPr="00541721" w:rsidRDefault="00B473E0" w:rsidP="009C0E2E">
            <w:pPr>
              <w:jc w:val="right"/>
              <w:rPr>
                <w:sz w:val="18"/>
                <w:szCs w:val="18"/>
              </w:rPr>
            </w:pPr>
          </w:p>
        </w:tc>
        <w:tc>
          <w:tcPr>
            <w:tcW w:w="976" w:type="dxa"/>
            <w:tcBorders>
              <w:left w:val="nil"/>
              <w:bottom w:val="single" w:sz="4" w:space="0" w:color="auto"/>
            </w:tcBorders>
            <w:shd w:val="clear" w:color="auto" w:fill="auto"/>
            <w:noWrap/>
            <w:vAlign w:val="bottom"/>
            <w:hideMark/>
          </w:tcPr>
          <w:p w:rsidR="00B473E0" w:rsidRPr="00541721" w:rsidRDefault="00B473E0" w:rsidP="009C0E2E">
            <w:pPr>
              <w:jc w:val="right"/>
              <w:rPr>
                <w:sz w:val="18"/>
                <w:szCs w:val="18"/>
              </w:rPr>
            </w:pPr>
            <w:r w:rsidRPr="00541721">
              <w:rPr>
                <w:sz w:val="18"/>
                <w:szCs w:val="18"/>
              </w:rPr>
              <w:t>$14,061</w:t>
            </w:r>
          </w:p>
        </w:tc>
        <w:tc>
          <w:tcPr>
            <w:tcW w:w="2437" w:type="dxa"/>
          </w:tcPr>
          <w:p w:rsidR="00B473E0" w:rsidRPr="00541721" w:rsidRDefault="00B473E0" w:rsidP="00A81641">
            <w:pPr>
              <w:jc w:val="right"/>
              <w:rPr>
                <w:sz w:val="18"/>
                <w:szCs w:val="18"/>
              </w:rPr>
            </w:pPr>
          </w:p>
        </w:tc>
      </w:tr>
      <w:tr w:rsidR="009C0E2E" w:rsidRPr="00541721" w:rsidTr="00D026D3">
        <w:trPr>
          <w:trHeight w:val="240"/>
          <w:jc w:val="center"/>
        </w:trPr>
        <w:tc>
          <w:tcPr>
            <w:tcW w:w="6016" w:type="dxa"/>
            <w:gridSpan w:val="4"/>
            <w:shd w:val="clear" w:color="auto" w:fill="auto"/>
            <w:noWrap/>
            <w:hideMark/>
          </w:tcPr>
          <w:p w:rsidR="009C0E2E" w:rsidRPr="00541721" w:rsidRDefault="009C0E2E" w:rsidP="009C0E2E">
            <w:pPr>
              <w:rPr>
                <w:sz w:val="18"/>
                <w:szCs w:val="18"/>
              </w:rPr>
            </w:pPr>
            <w:r w:rsidRPr="00541721">
              <w:rPr>
                <w:b/>
                <w:bCs/>
                <w:sz w:val="18"/>
                <w:szCs w:val="18"/>
              </w:rPr>
              <w:t>Donations:</w:t>
            </w:r>
          </w:p>
        </w:tc>
        <w:tc>
          <w:tcPr>
            <w:tcW w:w="2437" w:type="dxa"/>
          </w:tcPr>
          <w:p w:rsidR="009C0E2E" w:rsidRPr="00541721" w:rsidRDefault="009C0E2E" w:rsidP="00A81641">
            <w:pPr>
              <w:rPr>
                <w:sz w:val="18"/>
                <w:szCs w:val="18"/>
              </w:rPr>
            </w:pPr>
          </w:p>
        </w:tc>
      </w:tr>
      <w:tr w:rsidR="004B2C3A" w:rsidRPr="00541721" w:rsidTr="00D026D3">
        <w:trPr>
          <w:trHeight w:val="240"/>
          <w:jc w:val="center"/>
        </w:trPr>
        <w:tc>
          <w:tcPr>
            <w:tcW w:w="5040" w:type="dxa"/>
            <w:gridSpan w:val="3"/>
            <w:tcBorders>
              <w:bottom w:val="single" w:sz="4" w:space="0" w:color="auto"/>
              <w:right w:val="nil"/>
            </w:tcBorders>
            <w:shd w:val="clear" w:color="auto" w:fill="auto"/>
            <w:noWrap/>
            <w:hideMark/>
          </w:tcPr>
          <w:p w:rsidR="004B2C3A" w:rsidRPr="00541721" w:rsidRDefault="004B2C3A" w:rsidP="004B2C3A">
            <w:pPr>
              <w:ind w:left="177"/>
              <w:rPr>
                <w:sz w:val="18"/>
                <w:szCs w:val="18"/>
              </w:rPr>
            </w:pPr>
            <w:r w:rsidRPr="00541721">
              <w:rPr>
                <w:sz w:val="18"/>
                <w:szCs w:val="18"/>
              </w:rPr>
              <w:t>Cost</w:t>
            </w:r>
          </w:p>
        </w:tc>
        <w:tc>
          <w:tcPr>
            <w:tcW w:w="976" w:type="dxa"/>
            <w:tcBorders>
              <w:left w:val="nil"/>
              <w:bottom w:val="single" w:sz="4" w:space="0" w:color="auto"/>
            </w:tcBorders>
            <w:shd w:val="clear" w:color="auto" w:fill="auto"/>
            <w:noWrap/>
            <w:vAlign w:val="bottom"/>
            <w:hideMark/>
          </w:tcPr>
          <w:p w:rsidR="004B2C3A" w:rsidRPr="00541721" w:rsidRDefault="004B2C3A" w:rsidP="009C0E2E">
            <w:pPr>
              <w:jc w:val="right"/>
              <w:rPr>
                <w:sz w:val="18"/>
                <w:szCs w:val="18"/>
              </w:rPr>
            </w:pPr>
            <w:r w:rsidRPr="00541721">
              <w:rPr>
                <w:sz w:val="18"/>
                <w:szCs w:val="18"/>
              </w:rPr>
              <w:t>$4,377</w:t>
            </w:r>
          </w:p>
        </w:tc>
        <w:tc>
          <w:tcPr>
            <w:tcW w:w="2437" w:type="dxa"/>
          </w:tcPr>
          <w:p w:rsidR="004B2C3A" w:rsidRPr="00541721" w:rsidRDefault="004B2C3A" w:rsidP="00A81641">
            <w:pPr>
              <w:jc w:val="right"/>
              <w:rPr>
                <w:sz w:val="18"/>
                <w:szCs w:val="18"/>
              </w:rPr>
            </w:pPr>
          </w:p>
        </w:tc>
      </w:tr>
      <w:tr w:rsidR="004B2C3A" w:rsidRPr="00541721" w:rsidTr="00D026D3">
        <w:trPr>
          <w:trHeight w:val="240"/>
          <w:jc w:val="center"/>
        </w:trPr>
        <w:tc>
          <w:tcPr>
            <w:tcW w:w="5040" w:type="dxa"/>
            <w:gridSpan w:val="3"/>
            <w:tcBorders>
              <w:right w:val="nil"/>
            </w:tcBorders>
            <w:shd w:val="clear" w:color="auto" w:fill="auto"/>
            <w:noWrap/>
            <w:vAlign w:val="bottom"/>
            <w:hideMark/>
          </w:tcPr>
          <w:p w:rsidR="004B2C3A" w:rsidRPr="00541721" w:rsidRDefault="004B2C3A" w:rsidP="004B2C3A">
            <w:pPr>
              <w:ind w:left="177"/>
              <w:rPr>
                <w:sz w:val="18"/>
                <w:szCs w:val="18"/>
              </w:rPr>
            </w:pPr>
            <w:r w:rsidRPr="00541721">
              <w:rPr>
                <w:sz w:val="18"/>
                <w:szCs w:val="18"/>
              </w:rPr>
              <w:t>Truck/Labor</w:t>
            </w:r>
          </w:p>
        </w:tc>
        <w:tc>
          <w:tcPr>
            <w:tcW w:w="976" w:type="dxa"/>
            <w:tcBorders>
              <w:left w:val="nil"/>
              <w:bottom w:val="single" w:sz="4" w:space="0" w:color="auto"/>
            </w:tcBorders>
            <w:shd w:val="clear" w:color="auto" w:fill="auto"/>
            <w:noWrap/>
            <w:vAlign w:val="bottom"/>
            <w:hideMark/>
          </w:tcPr>
          <w:p w:rsidR="004B2C3A" w:rsidRPr="00541721" w:rsidRDefault="004B2C3A" w:rsidP="009C0E2E">
            <w:pPr>
              <w:jc w:val="right"/>
              <w:rPr>
                <w:sz w:val="18"/>
                <w:szCs w:val="18"/>
              </w:rPr>
            </w:pPr>
            <w:r w:rsidRPr="00541721">
              <w:rPr>
                <w:sz w:val="18"/>
                <w:szCs w:val="18"/>
              </w:rPr>
              <w:t>$13,813</w:t>
            </w:r>
          </w:p>
        </w:tc>
        <w:tc>
          <w:tcPr>
            <w:tcW w:w="2437" w:type="dxa"/>
          </w:tcPr>
          <w:p w:rsidR="004B2C3A" w:rsidRPr="00541721" w:rsidRDefault="004B2C3A" w:rsidP="00A81641">
            <w:pPr>
              <w:rPr>
                <w:sz w:val="18"/>
                <w:szCs w:val="18"/>
              </w:rPr>
            </w:pPr>
            <w:r>
              <w:rPr>
                <w:sz w:val="18"/>
                <w:szCs w:val="18"/>
              </w:rPr>
              <w:t xml:space="preserve">Labor expense provided by employees of Lakewood Refuse (non-regulated). All tracking of these costs were done "off-book". </w:t>
            </w:r>
          </w:p>
        </w:tc>
      </w:tr>
      <w:tr w:rsidR="009C0E2E" w:rsidRPr="00541721" w:rsidTr="00D026D3">
        <w:trPr>
          <w:trHeight w:val="240"/>
          <w:jc w:val="center"/>
        </w:trPr>
        <w:tc>
          <w:tcPr>
            <w:tcW w:w="6016" w:type="dxa"/>
            <w:gridSpan w:val="4"/>
            <w:shd w:val="clear" w:color="auto" w:fill="auto"/>
            <w:noWrap/>
            <w:hideMark/>
          </w:tcPr>
          <w:p w:rsidR="009C0E2E" w:rsidRPr="00541721" w:rsidRDefault="009C0E2E" w:rsidP="009C0E2E">
            <w:pPr>
              <w:rPr>
                <w:sz w:val="18"/>
                <w:szCs w:val="18"/>
              </w:rPr>
            </w:pPr>
            <w:r w:rsidRPr="00541721">
              <w:rPr>
                <w:b/>
                <w:bCs/>
                <w:sz w:val="18"/>
                <w:szCs w:val="18"/>
              </w:rPr>
              <w:t>Professional Organizations</w:t>
            </w:r>
          </w:p>
        </w:tc>
        <w:tc>
          <w:tcPr>
            <w:tcW w:w="2437" w:type="dxa"/>
          </w:tcPr>
          <w:p w:rsidR="009C0E2E" w:rsidRPr="00541721" w:rsidRDefault="009C0E2E" w:rsidP="00A81641">
            <w:pPr>
              <w:rPr>
                <w:sz w:val="18"/>
                <w:szCs w:val="18"/>
              </w:rPr>
            </w:pPr>
          </w:p>
        </w:tc>
      </w:tr>
      <w:tr w:rsidR="004B2C3A" w:rsidRPr="00541721" w:rsidTr="00D026D3">
        <w:trPr>
          <w:trHeight w:val="240"/>
          <w:jc w:val="center"/>
        </w:trPr>
        <w:tc>
          <w:tcPr>
            <w:tcW w:w="5040" w:type="dxa"/>
            <w:gridSpan w:val="3"/>
            <w:tcBorders>
              <w:right w:val="nil"/>
            </w:tcBorders>
            <w:shd w:val="clear" w:color="auto" w:fill="auto"/>
            <w:noWrap/>
            <w:vAlign w:val="bottom"/>
            <w:hideMark/>
          </w:tcPr>
          <w:p w:rsidR="004B2C3A" w:rsidRPr="00541721" w:rsidRDefault="00D04B1A" w:rsidP="004B2C3A">
            <w:pPr>
              <w:rPr>
                <w:sz w:val="18"/>
                <w:szCs w:val="18"/>
              </w:rPr>
            </w:pPr>
            <w:r>
              <w:rPr>
                <w:sz w:val="18"/>
                <w:szCs w:val="18"/>
              </w:rPr>
              <w:t xml:space="preserve">   </w:t>
            </w:r>
            <w:r w:rsidR="004B2C3A" w:rsidRPr="00541721">
              <w:rPr>
                <w:sz w:val="18"/>
                <w:szCs w:val="18"/>
              </w:rPr>
              <w:t>WRRA</w:t>
            </w:r>
            <w:r w:rsidR="00B41049">
              <w:rPr>
                <w:sz w:val="18"/>
                <w:szCs w:val="18"/>
              </w:rPr>
              <w:t>, ½ of the company's annual dues</w:t>
            </w:r>
          </w:p>
        </w:tc>
        <w:tc>
          <w:tcPr>
            <w:tcW w:w="976" w:type="dxa"/>
            <w:tcBorders>
              <w:left w:val="nil"/>
              <w:bottom w:val="single" w:sz="4" w:space="0" w:color="auto"/>
            </w:tcBorders>
            <w:shd w:val="clear" w:color="auto" w:fill="auto"/>
            <w:noWrap/>
            <w:vAlign w:val="bottom"/>
            <w:hideMark/>
          </w:tcPr>
          <w:p w:rsidR="004B2C3A" w:rsidRPr="00541721" w:rsidRDefault="004B2C3A" w:rsidP="009C0E2E">
            <w:pPr>
              <w:jc w:val="right"/>
              <w:rPr>
                <w:sz w:val="18"/>
                <w:szCs w:val="18"/>
              </w:rPr>
            </w:pPr>
            <w:r w:rsidRPr="00541721">
              <w:rPr>
                <w:sz w:val="18"/>
                <w:szCs w:val="18"/>
              </w:rPr>
              <w:t>$11,208</w:t>
            </w:r>
          </w:p>
        </w:tc>
        <w:tc>
          <w:tcPr>
            <w:tcW w:w="2437" w:type="dxa"/>
          </w:tcPr>
          <w:p w:rsidR="004B2C3A" w:rsidRPr="00541721" w:rsidRDefault="004B2C3A" w:rsidP="00A81641">
            <w:pPr>
              <w:rPr>
                <w:sz w:val="18"/>
                <w:szCs w:val="18"/>
              </w:rPr>
            </w:pPr>
            <w:r>
              <w:rPr>
                <w:sz w:val="18"/>
                <w:szCs w:val="18"/>
              </w:rPr>
              <w:t>Dues (less lobbying expense) for Washington Refuse and Recycling Association (WRRA) are already in rates (General Rate Case, TG-080105, effective March 1, 2008).</w:t>
            </w:r>
          </w:p>
        </w:tc>
      </w:tr>
      <w:tr w:rsidR="004B2C3A" w:rsidRPr="00541721" w:rsidTr="00D026D3">
        <w:trPr>
          <w:trHeight w:val="240"/>
          <w:jc w:val="center"/>
        </w:trPr>
        <w:tc>
          <w:tcPr>
            <w:tcW w:w="3870" w:type="dxa"/>
            <w:gridSpan w:val="2"/>
            <w:tcBorders>
              <w:right w:val="nil"/>
            </w:tcBorders>
            <w:shd w:val="clear" w:color="auto" w:fill="auto"/>
            <w:noWrap/>
            <w:hideMark/>
          </w:tcPr>
          <w:p w:rsidR="004B2C3A" w:rsidRPr="00541721" w:rsidRDefault="004B2C3A" w:rsidP="004B2C3A">
            <w:pPr>
              <w:rPr>
                <w:sz w:val="18"/>
                <w:szCs w:val="18"/>
              </w:rPr>
            </w:pPr>
            <w:r w:rsidRPr="00541721">
              <w:rPr>
                <w:b/>
                <w:bCs/>
                <w:sz w:val="18"/>
                <w:szCs w:val="18"/>
              </w:rPr>
              <w:t>Total Recycling Program costs</w:t>
            </w:r>
          </w:p>
        </w:tc>
        <w:tc>
          <w:tcPr>
            <w:tcW w:w="1170" w:type="dxa"/>
            <w:tcBorders>
              <w:left w:val="nil"/>
              <w:bottom w:val="single" w:sz="4" w:space="0" w:color="auto"/>
              <w:right w:val="nil"/>
            </w:tcBorders>
            <w:shd w:val="clear" w:color="auto" w:fill="auto"/>
            <w:noWrap/>
            <w:vAlign w:val="bottom"/>
            <w:hideMark/>
          </w:tcPr>
          <w:p w:rsidR="004B2C3A" w:rsidRPr="00541721" w:rsidRDefault="004B2C3A" w:rsidP="009C0E2E">
            <w:pPr>
              <w:jc w:val="right"/>
              <w:rPr>
                <w:sz w:val="18"/>
                <w:szCs w:val="18"/>
              </w:rPr>
            </w:pPr>
          </w:p>
        </w:tc>
        <w:tc>
          <w:tcPr>
            <w:tcW w:w="976" w:type="dxa"/>
            <w:tcBorders>
              <w:left w:val="nil"/>
              <w:bottom w:val="single" w:sz="4" w:space="0" w:color="auto"/>
            </w:tcBorders>
            <w:shd w:val="clear" w:color="auto" w:fill="auto"/>
            <w:noWrap/>
            <w:vAlign w:val="bottom"/>
            <w:hideMark/>
          </w:tcPr>
          <w:p w:rsidR="004B2C3A" w:rsidRPr="00541721" w:rsidRDefault="004B2C3A" w:rsidP="009C0E2E">
            <w:pPr>
              <w:jc w:val="right"/>
              <w:rPr>
                <w:b/>
                <w:bCs/>
                <w:sz w:val="18"/>
                <w:szCs w:val="18"/>
              </w:rPr>
            </w:pPr>
            <w:r w:rsidRPr="00541721">
              <w:rPr>
                <w:b/>
                <w:bCs/>
                <w:sz w:val="18"/>
                <w:szCs w:val="18"/>
              </w:rPr>
              <w:t>$188,244</w:t>
            </w:r>
          </w:p>
        </w:tc>
        <w:tc>
          <w:tcPr>
            <w:tcW w:w="2437" w:type="dxa"/>
          </w:tcPr>
          <w:p w:rsidR="004B2C3A" w:rsidRPr="00541721" w:rsidRDefault="004B2C3A" w:rsidP="00A81641">
            <w:pPr>
              <w:jc w:val="right"/>
              <w:rPr>
                <w:b/>
                <w:bCs/>
                <w:sz w:val="18"/>
                <w:szCs w:val="18"/>
              </w:rPr>
            </w:pPr>
          </w:p>
        </w:tc>
      </w:tr>
      <w:tr w:rsidR="004B2C3A" w:rsidRPr="00541721" w:rsidTr="00D026D3">
        <w:trPr>
          <w:trHeight w:val="240"/>
          <w:jc w:val="center"/>
        </w:trPr>
        <w:tc>
          <w:tcPr>
            <w:tcW w:w="5040" w:type="dxa"/>
            <w:gridSpan w:val="3"/>
            <w:tcBorders>
              <w:bottom w:val="single" w:sz="4" w:space="0" w:color="auto"/>
            </w:tcBorders>
            <w:shd w:val="clear" w:color="auto" w:fill="auto"/>
            <w:noWrap/>
            <w:vAlign w:val="bottom"/>
            <w:hideMark/>
          </w:tcPr>
          <w:p w:rsidR="004B2C3A" w:rsidRPr="00541721" w:rsidRDefault="004B2C3A" w:rsidP="004B2C3A">
            <w:pPr>
              <w:jc w:val="right"/>
              <w:rPr>
                <w:sz w:val="18"/>
                <w:szCs w:val="18"/>
              </w:rPr>
            </w:pPr>
            <w:r w:rsidRPr="00541721">
              <w:rPr>
                <w:b/>
                <w:bCs/>
                <w:sz w:val="18"/>
                <w:szCs w:val="18"/>
              </w:rPr>
              <w:t>Difference</w:t>
            </w:r>
          </w:p>
        </w:tc>
        <w:tc>
          <w:tcPr>
            <w:tcW w:w="976" w:type="dxa"/>
            <w:tcBorders>
              <w:left w:val="nil"/>
              <w:bottom w:val="single" w:sz="4" w:space="0" w:color="auto"/>
            </w:tcBorders>
            <w:shd w:val="clear" w:color="auto" w:fill="auto"/>
            <w:noWrap/>
            <w:vAlign w:val="bottom"/>
            <w:hideMark/>
          </w:tcPr>
          <w:p w:rsidR="004B2C3A" w:rsidRPr="00541721" w:rsidRDefault="004B2C3A" w:rsidP="009C0E2E">
            <w:pPr>
              <w:jc w:val="right"/>
              <w:rPr>
                <w:b/>
                <w:bCs/>
                <w:sz w:val="18"/>
                <w:szCs w:val="18"/>
              </w:rPr>
            </w:pPr>
            <w:r w:rsidRPr="00541721">
              <w:rPr>
                <w:b/>
                <w:bCs/>
                <w:sz w:val="18"/>
                <w:szCs w:val="18"/>
              </w:rPr>
              <w:t>$54,748</w:t>
            </w:r>
          </w:p>
        </w:tc>
        <w:tc>
          <w:tcPr>
            <w:tcW w:w="2437" w:type="dxa"/>
            <w:tcBorders>
              <w:bottom w:val="single" w:sz="4" w:space="0" w:color="auto"/>
            </w:tcBorders>
          </w:tcPr>
          <w:p w:rsidR="004B2C3A" w:rsidRPr="00D01C69" w:rsidRDefault="004B2C3A" w:rsidP="00B473E0">
            <w:pPr>
              <w:keepNext/>
              <w:rPr>
                <w:bCs/>
                <w:sz w:val="18"/>
                <w:szCs w:val="18"/>
              </w:rPr>
            </w:pPr>
          </w:p>
        </w:tc>
      </w:tr>
    </w:tbl>
    <w:p w:rsidR="00B473E0" w:rsidRPr="00B473E0" w:rsidRDefault="00B473E0" w:rsidP="00B473E0">
      <w:pPr>
        <w:pStyle w:val="Caption"/>
        <w:spacing w:before="120"/>
        <w:jc w:val="center"/>
        <w:rPr>
          <w:color w:val="0D0D0D" w:themeColor="text1" w:themeTint="F2"/>
        </w:rPr>
      </w:pPr>
      <w:r w:rsidRPr="00B473E0">
        <w:rPr>
          <w:color w:val="0D0D0D" w:themeColor="text1" w:themeTint="F2"/>
        </w:rPr>
        <w:t xml:space="preserve">Table </w:t>
      </w:r>
      <w:r w:rsidR="002D0A8E" w:rsidRPr="00B473E0">
        <w:rPr>
          <w:color w:val="0D0D0D" w:themeColor="text1" w:themeTint="F2"/>
        </w:rPr>
        <w:fldChar w:fldCharType="begin"/>
      </w:r>
      <w:r w:rsidRPr="00B473E0">
        <w:rPr>
          <w:color w:val="0D0D0D" w:themeColor="text1" w:themeTint="F2"/>
        </w:rPr>
        <w:instrText xml:space="preserve"> SEQ Table \* ARABIC </w:instrText>
      </w:r>
      <w:r w:rsidR="002D0A8E" w:rsidRPr="00B473E0">
        <w:rPr>
          <w:color w:val="0D0D0D" w:themeColor="text1" w:themeTint="F2"/>
        </w:rPr>
        <w:fldChar w:fldCharType="separate"/>
      </w:r>
      <w:r w:rsidR="009126FD">
        <w:rPr>
          <w:noProof/>
          <w:color w:val="0D0D0D" w:themeColor="text1" w:themeTint="F2"/>
        </w:rPr>
        <w:t>1</w:t>
      </w:r>
      <w:r w:rsidR="002D0A8E" w:rsidRPr="00B473E0">
        <w:rPr>
          <w:color w:val="0D0D0D" w:themeColor="text1" w:themeTint="F2"/>
        </w:rPr>
        <w:fldChar w:fldCharType="end"/>
      </w:r>
      <w:r w:rsidRPr="00B473E0">
        <w:rPr>
          <w:color w:val="0D0D0D" w:themeColor="text1" w:themeTint="F2"/>
        </w:rPr>
        <w:t>; Harold LeMay Enterprises, Inc., d.b.a. Pierce County Refuse Revenue Sharing 2010-2011</w:t>
      </w:r>
    </w:p>
    <w:p w:rsidR="00F500B5" w:rsidRPr="00641583" w:rsidRDefault="00216AD4" w:rsidP="00A92460">
      <w:pPr>
        <w:numPr>
          <w:ilvl w:val="0"/>
          <w:numId w:val="68"/>
        </w:numPr>
        <w:spacing w:line="288" w:lineRule="auto"/>
      </w:pPr>
      <w:r w:rsidRPr="00641583">
        <w:t>LeMay</w:t>
      </w:r>
      <w:r w:rsidR="00AA6D08" w:rsidRPr="00641583">
        <w:t xml:space="preserve"> is </w:t>
      </w:r>
      <w:r w:rsidR="003F6344" w:rsidRPr="00641583">
        <w:t xml:space="preserve">wholly </w:t>
      </w:r>
      <w:r w:rsidR="00AA6D08" w:rsidRPr="00641583">
        <w:t xml:space="preserve">owned by Waste Connections, Inc. </w:t>
      </w:r>
      <w:r w:rsidR="003F6344" w:rsidRPr="00641583">
        <w:t>(Waste Connections)</w:t>
      </w:r>
      <w:r w:rsidR="0005744D" w:rsidRPr="00641583">
        <w:t>,</w:t>
      </w:r>
      <w:r w:rsidR="003F6344" w:rsidRPr="00641583">
        <w:t xml:space="preserve"> </w:t>
      </w:r>
      <w:r w:rsidR="00AA6D08" w:rsidRPr="00641583">
        <w:t>as are three other companies; American Disposal Company, Inc.</w:t>
      </w:r>
      <w:r w:rsidR="003F6344" w:rsidRPr="00641583">
        <w:t xml:space="preserve"> (American)</w:t>
      </w:r>
      <w:r w:rsidR="00AA6D08" w:rsidRPr="00641583">
        <w:t xml:space="preserve">, Murrey's Disposal Company, Inc. </w:t>
      </w:r>
      <w:r w:rsidR="003F6344" w:rsidRPr="00641583">
        <w:t>(Murrey's)</w:t>
      </w:r>
      <w:r w:rsidR="0005744D" w:rsidRPr="00641583">
        <w:t>,</w:t>
      </w:r>
      <w:r w:rsidR="003F6344" w:rsidRPr="00641583">
        <w:t xml:space="preserve"> </w:t>
      </w:r>
      <w:r w:rsidR="00AA6D08" w:rsidRPr="00641583">
        <w:t>and Mason County Garbage Company, Inc.</w:t>
      </w:r>
      <w:r w:rsidR="003F6344" w:rsidRPr="00641583">
        <w:t xml:space="preserve"> (Mason).  </w:t>
      </w:r>
      <w:r w:rsidR="00A00C96" w:rsidRPr="00641583">
        <w:t xml:space="preserve">All four of these </w:t>
      </w:r>
      <w:r w:rsidR="00EB2B50" w:rsidRPr="00641583">
        <w:t>co</w:t>
      </w:r>
      <w:r w:rsidR="00A00C96" w:rsidRPr="00641583">
        <w:t xml:space="preserve">mpanies are the only business entities </w:t>
      </w:r>
      <w:r w:rsidR="00EB2B50" w:rsidRPr="00641583">
        <w:t xml:space="preserve">within Waste </w:t>
      </w:r>
      <w:r w:rsidR="00170AF4" w:rsidRPr="00641583">
        <w:t>Connections</w:t>
      </w:r>
      <w:r w:rsidR="00EB2B50" w:rsidRPr="00641583">
        <w:t xml:space="preserve"> </w:t>
      </w:r>
      <w:r w:rsidR="00A00C96" w:rsidRPr="00641583">
        <w:t xml:space="preserve">that </w:t>
      </w:r>
      <w:r w:rsidR="00EB2B50" w:rsidRPr="00641583">
        <w:t xml:space="preserve">currently </w:t>
      </w:r>
      <w:r w:rsidR="00A00C96" w:rsidRPr="00641583">
        <w:t xml:space="preserve">participate in revenue sharing agreements with their respective counties. </w:t>
      </w:r>
    </w:p>
    <w:p w:rsidR="00A00C96" w:rsidRPr="00641583" w:rsidRDefault="00A00C96" w:rsidP="00F500B5">
      <w:pPr>
        <w:spacing w:line="288" w:lineRule="auto"/>
        <w:ind w:left="-720"/>
      </w:pPr>
      <w:r w:rsidRPr="00641583">
        <w:t xml:space="preserve"> </w:t>
      </w:r>
    </w:p>
    <w:p w:rsidR="003F6344" w:rsidRPr="00641583" w:rsidRDefault="003F6344" w:rsidP="00A92460">
      <w:pPr>
        <w:numPr>
          <w:ilvl w:val="0"/>
          <w:numId w:val="68"/>
        </w:numPr>
        <w:spacing w:line="288" w:lineRule="auto"/>
      </w:pPr>
      <w:r w:rsidRPr="00641583">
        <w:t>On October 28, 2010, the Commission, by order</w:t>
      </w:r>
      <w:r w:rsidRPr="00641583">
        <w:rPr>
          <w:rStyle w:val="FootnoteReference"/>
          <w:rFonts w:eastAsiaTheme="majorEastAsia"/>
        </w:rPr>
        <w:footnoteReference w:id="2"/>
      </w:r>
      <w:r w:rsidRPr="00641583">
        <w:t xml:space="preserve">, </w:t>
      </w:r>
      <w:r w:rsidR="00B41049">
        <w:t xml:space="preserve">authorized </w:t>
      </w:r>
      <w:r w:rsidR="00B41049" w:rsidRPr="00641583">
        <w:t xml:space="preserve">revenue sharing for </w:t>
      </w:r>
      <w:r w:rsidR="00B41049">
        <w:t xml:space="preserve">American, Murrey's and Mason, </w:t>
      </w:r>
      <w:r w:rsidRPr="00641583">
        <w:t>requiring revenues not spent during prior plan period and current plan period be carrier forward to the following plan period.</w:t>
      </w:r>
      <w:r w:rsidR="00B41049" w:rsidRPr="00B41049">
        <w:rPr>
          <w:rStyle w:val="FootnoteReference"/>
        </w:rPr>
        <w:t xml:space="preserve"> </w:t>
      </w:r>
      <w:r w:rsidR="00B41049" w:rsidRPr="00641583">
        <w:rPr>
          <w:rStyle w:val="FootnoteReference"/>
        </w:rPr>
        <w:footnoteReference w:id="3"/>
      </w:r>
      <w:r w:rsidR="00B41049" w:rsidRPr="00641583">
        <w:t xml:space="preserve"> </w:t>
      </w:r>
      <w:r w:rsidR="00B94BB1">
        <w:t xml:space="preserve"> </w:t>
      </w:r>
      <w:r w:rsidR="00C105AC" w:rsidRPr="00641583">
        <w:t xml:space="preserve">On </w:t>
      </w:r>
      <w:r w:rsidR="00B94BB1">
        <w:t xml:space="preserve">    </w:t>
      </w:r>
      <w:r w:rsidR="00C105AC" w:rsidRPr="00641583">
        <w:t>November 8, 2010, cou</w:t>
      </w:r>
      <w:r w:rsidR="001D1E95" w:rsidRPr="00641583">
        <w:t>nsel for Mason</w:t>
      </w:r>
      <w:r w:rsidR="00C105AC" w:rsidRPr="00641583">
        <w:t>, Murrey’s and American filed with the Commission</w:t>
      </w:r>
      <w:r w:rsidR="00B41049">
        <w:t>,</w:t>
      </w:r>
      <w:r w:rsidR="00C105AC" w:rsidRPr="00641583">
        <w:t xml:space="preserve"> a petition for reconsideration of a portion of Order 01</w:t>
      </w:r>
      <w:r w:rsidR="004944D7" w:rsidRPr="00641583">
        <w:t xml:space="preserve"> in all three dockets</w:t>
      </w:r>
      <w:r w:rsidR="00C105AC" w:rsidRPr="00641583">
        <w:t xml:space="preserve">. </w:t>
      </w:r>
      <w:r w:rsidR="00B94BB1">
        <w:t xml:space="preserve"> </w:t>
      </w:r>
      <w:r w:rsidR="00C105AC" w:rsidRPr="00641583">
        <w:t xml:space="preserve">The Commission heard the petitions at its November 24, 2010, open meeting and set the matters for hearing.  Furthermore, on December 1, 2010, the </w:t>
      </w:r>
      <w:r w:rsidR="00C73C6E" w:rsidRPr="00641583">
        <w:t>Commission ordered that the petitions be consolidated for purposes of hearing and determination.</w:t>
      </w:r>
      <w:r w:rsidR="004944D7" w:rsidRPr="00641583">
        <w:rPr>
          <w:rStyle w:val="FootnoteReference"/>
        </w:rPr>
        <w:footnoteReference w:id="4"/>
      </w:r>
    </w:p>
    <w:p w:rsidR="003F6344" w:rsidRPr="00641583" w:rsidRDefault="003F6344" w:rsidP="004D45B3">
      <w:pPr>
        <w:spacing w:line="288" w:lineRule="auto"/>
        <w:ind w:left="-720"/>
      </w:pPr>
      <w:r w:rsidRPr="00641583">
        <w:t xml:space="preserve">  </w:t>
      </w:r>
    </w:p>
    <w:p w:rsidR="00A92460" w:rsidRPr="00641583" w:rsidRDefault="00A92460" w:rsidP="004D45B3">
      <w:pPr>
        <w:numPr>
          <w:ilvl w:val="0"/>
          <w:numId w:val="68"/>
        </w:numPr>
        <w:spacing w:line="288" w:lineRule="auto"/>
      </w:pPr>
      <w:r w:rsidRPr="00641583">
        <w:lastRenderedPageBreak/>
        <w:t xml:space="preserve">Staff recommends that the Commission </w:t>
      </w:r>
      <w:r w:rsidR="00FE3514" w:rsidRPr="00641583">
        <w:t>issue a complaint and order suspending revisions to LeMay's Tariff No. 9, allowing rates and revenue sharing on a tempo</w:t>
      </w:r>
      <w:r w:rsidR="000E1792" w:rsidRPr="00641583">
        <w:t>rary basis, subject to refund</w:t>
      </w:r>
      <w:r w:rsidR="00216AD4" w:rsidRPr="00641583">
        <w:t xml:space="preserve"> until such time as a determination has been made in Dockets; TG-101542, </w:t>
      </w:r>
      <w:r w:rsidR="00B94BB1">
        <w:t xml:space="preserve">   </w:t>
      </w:r>
      <w:r w:rsidR="00216AD4" w:rsidRPr="00641583">
        <w:t>TG</w:t>
      </w:r>
      <w:r w:rsidR="0005744D" w:rsidRPr="00641583">
        <w:t>-</w:t>
      </w:r>
      <w:r w:rsidR="00216AD4" w:rsidRPr="00641583">
        <w:t>101545 and TG-101548</w:t>
      </w:r>
      <w:r w:rsidR="000E1792" w:rsidRPr="00641583">
        <w:t xml:space="preserve">.  </w:t>
      </w:r>
    </w:p>
    <w:p w:rsidR="003D4052" w:rsidRPr="00641583" w:rsidRDefault="003D4052" w:rsidP="003D4052">
      <w:pPr>
        <w:spacing w:line="288" w:lineRule="auto"/>
        <w:ind w:left="-720"/>
      </w:pPr>
    </w:p>
    <w:p w:rsidR="00A92460" w:rsidRPr="00641583" w:rsidRDefault="00A92460" w:rsidP="00A92460">
      <w:pPr>
        <w:numPr>
          <w:ilvl w:val="0"/>
          <w:numId w:val="68"/>
        </w:numPr>
        <w:spacing w:line="288" w:lineRule="auto"/>
      </w:pPr>
      <w:r w:rsidRPr="00641583">
        <w:t>Staff further recommends the Commission allow</w:t>
      </w:r>
      <w:r w:rsidR="00EC5B29" w:rsidRPr="00641583">
        <w:t>,</w:t>
      </w:r>
      <w:r w:rsidRPr="00641583">
        <w:t xml:space="preserve"> on its own motion, an exemption from WAC 480-07-520 requiring the </w:t>
      </w:r>
      <w:r w:rsidR="00641583">
        <w:t>C</w:t>
      </w:r>
      <w:r w:rsidRPr="00641583">
        <w:t>ompany to file a general rate case for this filing as such exemption is consistent with the public interest, the purposes underlying regulation and applicable statutes.</w:t>
      </w:r>
    </w:p>
    <w:p w:rsidR="00A92460" w:rsidRDefault="00A92460" w:rsidP="00A92460">
      <w:pPr>
        <w:spacing w:line="288" w:lineRule="auto"/>
      </w:pPr>
    </w:p>
    <w:p w:rsidR="00A92460" w:rsidRPr="00D868C5" w:rsidRDefault="00A92460" w:rsidP="00A92460">
      <w:pPr>
        <w:spacing w:line="288" w:lineRule="auto"/>
        <w:ind w:left="-720"/>
        <w:jc w:val="center"/>
      </w:pPr>
      <w:r w:rsidRPr="00D868C5">
        <w:rPr>
          <w:b/>
        </w:rPr>
        <w:t>FINDINGS AND CONCLUSIONS</w:t>
      </w:r>
    </w:p>
    <w:p w:rsidR="00A92460" w:rsidRPr="00D868C5" w:rsidRDefault="00A92460" w:rsidP="00A92460">
      <w:pPr>
        <w:spacing w:line="288" w:lineRule="auto"/>
        <w:rPr>
          <w:b/>
        </w:rPr>
      </w:pPr>
    </w:p>
    <w:p w:rsidR="00A92460" w:rsidRPr="00641583" w:rsidRDefault="00A92460" w:rsidP="00A92460">
      <w:pPr>
        <w:numPr>
          <w:ilvl w:val="0"/>
          <w:numId w:val="68"/>
        </w:numPr>
        <w:spacing w:line="288" w:lineRule="auto"/>
        <w:ind w:left="720" w:hanging="1440"/>
        <w:rPr>
          <w:i/>
        </w:rPr>
      </w:pPr>
      <w:r w:rsidRPr="00D868C5">
        <w:t>(1)</w:t>
      </w:r>
      <w:r w:rsidRPr="00D868C5">
        <w:tab/>
      </w:r>
      <w:r w:rsidRPr="00641583">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641583">
        <w:rPr>
          <w:i/>
        </w:rPr>
        <w:t>RCW 80.01.040, RCW 81.01, RCW 81.04, RCW 81.16, RCW 81.28 and RCW 81.77.</w:t>
      </w:r>
      <w:r w:rsidRPr="00641583">
        <w:rPr>
          <w:i/>
        </w:rPr>
        <w:br/>
      </w:r>
    </w:p>
    <w:p w:rsidR="00A92460" w:rsidRPr="00641583" w:rsidRDefault="00A92460" w:rsidP="00A92460">
      <w:pPr>
        <w:numPr>
          <w:ilvl w:val="0"/>
          <w:numId w:val="68"/>
        </w:numPr>
        <w:spacing w:line="288" w:lineRule="auto"/>
        <w:ind w:left="720" w:hanging="1440"/>
        <w:rPr>
          <w:i/>
        </w:rPr>
      </w:pPr>
      <w:r w:rsidRPr="00641583">
        <w:t>(2)</w:t>
      </w:r>
      <w:r w:rsidRPr="00641583">
        <w:tab/>
        <w:t xml:space="preserve">LeMay is engaged in the business of providing solid waste services within the state of Washington and is a public service company subject to Commission jurisdiction.  </w:t>
      </w:r>
    </w:p>
    <w:p w:rsidR="00A92460" w:rsidRPr="00641583" w:rsidRDefault="00A92460" w:rsidP="00A92460">
      <w:pPr>
        <w:spacing w:line="288" w:lineRule="auto"/>
        <w:rPr>
          <w:i/>
        </w:rPr>
      </w:pPr>
    </w:p>
    <w:p w:rsidR="00A92460" w:rsidRPr="00641583" w:rsidRDefault="00A92460" w:rsidP="00A92460">
      <w:pPr>
        <w:numPr>
          <w:ilvl w:val="0"/>
          <w:numId w:val="68"/>
        </w:numPr>
        <w:spacing w:line="288" w:lineRule="auto"/>
        <w:ind w:left="720" w:hanging="1440"/>
        <w:rPr>
          <w:i/>
        </w:rPr>
      </w:pPr>
      <w:r w:rsidRPr="00641583">
        <w:t>(3)</w:t>
      </w:r>
      <w:r w:rsidRPr="00641583">
        <w:tab/>
        <w:t xml:space="preserve">LeMay is subject to the filing requirements of WAC 480-07-520, for general rate increase proposals. </w:t>
      </w:r>
    </w:p>
    <w:p w:rsidR="00A92460" w:rsidRPr="00641583" w:rsidRDefault="00A92460" w:rsidP="00A92460">
      <w:pPr>
        <w:spacing w:line="288" w:lineRule="auto"/>
        <w:rPr>
          <w:i/>
        </w:rPr>
      </w:pPr>
    </w:p>
    <w:p w:rsidR="00A92460" w:rsidRPr="00641583" w:rsidRDefault="00A92460" w:rsidP="00A92460">
      <w:pPr>
        <w:numPr>
          <w:ilvl w:val="0"/>
          <w:numId w:val="68"/>
        </w:numPr>
        <w:spacing w:line="288" w:lineRule="auto"/>
        <w:ind w:left="720" w:hanging="1440"/>
        <w:rPr>
          <w:i/>
        </w:rPr>
      </w:pPr>
      <w:r w:rsidRPr="00641583">
        <w:t>(4)</w:t>
      </w:r>
      <w:r w:rsidRPr="00641583">
        <w:tab/>
        <w:t xml:space="preserve">Under WAC 480-07-110, the Commission may grant an exemption from the provisions of any rule in WAC 480-70, if consistent with the public interest, the purposes underlying regulation and applicable statutes.  </w:t>
      </w:r>
      <w:r w:rsidRPr="00641583">
        <w:rPr>
          <w:i/>
        </w:rPr>
        <w:t>See also WAC 480-70-051.</w:t>
      </w:r>
    </w:p>
    <w:p w:rsidR="00A92460" w:rsidRPr="00641583" w:rsidRDefault="00A92460" w:rsidP="00A92460">
      <w:pPr>
        <w:pStyle w:val="ListParagraph"/>
        <w:rPr>
          <w:i/>
        </w:rPr>
      </w:pPr>
    </w:p>
    <w:p w:rsidR="00A92460" w:rsidRPr="00641583" w:rsidRDefault="00A92460" w:rsidP="00A92460">
      <w:pPr>
        <w:numPr>
          <w:ilvl w:val="0"/>
          <w:numId w:val="68"/>
        </w:numPr>
        <w:spacing w:line="288" w:lineRule="auto"/>
        <w:ind w:left="720" w:hanging="1440"/>
      </w:pPr>
      <w:r w:rsidRPr="00641583">
        <w:t>(5)</w:t>
      </w:r>
      <w:r w:rsidRPr="00641583">
        <w:tab/>
        <w:t xml:space="preserve">RCW 81.77.185 states that the Commission shall allow solid waste collection companies collecting recyclable materials to retain up to </w:t>
      </w:r>
      <w:r w:rsidR="00EC5B29" w:rsidRPr="00641583">
        <w:t>fifty</w:t>
      </w:r>
      <w:r w:rsidRPr="00641583">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w:t>
      </w:r>
      <w:r w:rsidRPr="00641583">
        <w:lastRenderedPageBreak/>
        <w:t>how the revenues will be used to increase recycling.  The remaining revenue shall be passed to residential customers.</w:t>
      </w:r>
    </w:p>
    <w:p w:rsidR="003D4052" w:rsidRPr="00641583" w:rsidRDefault="003D4052" w:rsidP="003D4052">
      <w:pPr>
        <w:spacing w:line="288" w:lineRule="auto"/>
        <w:ind w:left="-720"/>
      </w:pPr>
    </w:p>
    <w:p w:rsidR="004D45B3" w:rsidRPr="004D45B3" w:rsidRDefault="00A92460" w:rsidP="00A92460">
      <w:pPr>
        <w:numPr>
          <w:ilvl w:val="0"/>
          <w:numId w:val="68"/>
        </w:numPr>
        <w:spacing w:line="288" w:lineRule="auto"/>
        <w:ind w:left="720" w:hanging="1440"/>
        <w:rPr>
          <w:i/>
        </w:rPr>
      </w:pPr>
      <w:r w:rsidRPr="00641583">
        <w:t>(6)</w:t>
      </w:r>
      <w:r w:rsidRPr="00641583">
        <w:tab/>
        <w:t>Pierce County is responsible for managing waste through its Comprehensive Solid Waste Management Plan.  The Administrator of Pierce County’s Solid Waste Program certified that LeMay’s recycling plan is consistent with the County’s Comprehensive Solid Waste Management Plan</w:t>
      </w:r>
      <w:r w:rsidR="00247C5F">
        <w:t xml:space="preserve">.  The Administrator </w:t>
      </w:r>
      <w:r w:rsidR="00222439">
        <w:t xml:space="preserve">states that Pierce County will evaluate the Company's performance against new performance measures and thereby determine whether the company will be eligible to retain up </w:t>
      </w:r>
      <w:r w:rsidR="00222439" w:rsidRPr="00222439">
        <w:t xml:space="preserve">to </w:t>
      </w:r>
      <w:r w:rsidR="00626605" w:rsidRPr="00626605">
        <w:t xml:space="preserve">fifty percent </w:t>
      </w:r>
      <w:r w:rsidR="00222439" w:rsidRPr="00222439">
        <w:t xml:space="preserve">of revenue generated from the sale of commodities in the </w:t>
      </w:r>
      <w:r w:rsidR="00626605" w:rsidRPr="00626605">
        <w:t>upcoming rate period</w:t>
      </w:r>
      <w:r w:rsidR="00222439" w:rsidRPr="00222439">
        <w:t>.</w:t>
      </w:r>
    </w:p>
    <w:p w:rsidR="00626605" w:rsidRPr="00626605" w:rsidRDefault="00626605" w:rsidP="00626605">
      <w:pPr>
        <w:spacing w:line="288" w:lineRule="auto"/>
        <w:ind w:left="-720"/>
        <w:rPr>
          <w:i/>
        </w:rPr>
      </w:pPr>
    </w:p>
    <w:p w:rsidR="00A92460" w:rsidRPr="004D45B3" w:rsidRDefault="004D45B3" w:rsidP="00E60F4A">
      <w:pPr>
        <w:numPr>
          <w:ilvl w:val="0"/>
          <w:numId w:val="68"/>
        </w:numPr>
        <w:spacing w:line="288" w:lineRule="auto"/>
        <w:ind w:left="720" w:hanging="1440"/>
        <w:rPr>
          <w:i/>
        </w:rPr>
      </w:pPr>
      <w:r>
        <w:t>(7)</w:t>
      </w:r>
      <w:r>
        <w:tab/>
      </w:r>
      <w:r w:rsidR="00E60F4A">
        <w:t>T</w:t>
      </w:r>
      <w:r>
        <w:t xml:space="preserve">he </w:t>
      </w:r>
      <w:r w:rsidR="00222439">
        <w:t xml:space="preserve">Commission finds that it should </w:t>
      </w:r>
      <w:r w:rsidR="00222439" w:rsidRPr="00641583">
        <w:t>authorize</w:t>
      </w:r>
      <w:r w:rsidR="00222439">
        <w:t xml:space="preserve"> the Company</w:t>
      </w:r>
      <w:r w:rsidR="00222439" w:rsidRPr="00641583">
        <w:t xml:space="preserve"> to retain fifty percent of the revenue </w:t>
      </w:r>
      <w:r w:rsidR="00222439">
        <w:t>the Company</w:t>
      </w:r>
      <w:r w:rsidR="00222439" w:rsidRPr="00641583">
        <w:t xml:space="preserve"> receives from the sale of recyclable materials collected in its residential recycling program on a temporary basis, subject to refund</w:t>
      </w:r>
      <w:r w:rsidR="00222439">
        <w:t>,</w:t>
      </w:r>
      <w:r w:rsidR="00222439" w:rsidRPr="00E14222">
        <w:t xml:space="preserve"> </w:t>
      </w:r>
      <w:r w:rsidR="00222439">
        <w:t>require the Company to meet the performance requirements set forth in its recycling and revenue sharing plan, and in consultation with the County, consider whether to reduce the revenue share the Company retained if the Company fails to meet those performance requirements.</w:t>
      </w:r>
      <w:r w:rsidR="00A92460" w:rsidRPr="00641583">
        <w:t xml:space="preserve"> </w:t>
      </w:r>
    </w:p>
    <w:p w:rsidR="00A92460" w:rsidRPr="00641583" w:rsidRDefault="00A92460" w:rsidP="00A92460">
      <w:pPr>
        <w:pStyle w:val="ListParagraph"/>
      </w:pPr>
    </w:p>
    <w:p w:rsidR="00A92460" w:rsidRPr="00641583" w:rsidRDefault="00A92460" w:rsidP="00A92460">
      <w:pPr>
        <w:numPr>
          <w:ilvl w:val="0"/>
          <w:numId w:val="68"/>
        </w:numPr>
        <w:spacing w:line="288" w:lineRule="auto"/>
        <w:ind w:left="720" w:hanging="1440"/>
        <w:rPr>
          <w:i/>
        </w:rPr>
      </w:pPr>
      <w:r w:rsidRPr="00641583">
        <w:t>(</w:t>
      </w:r>
      <w:r w:rsidR="004D45B3">
        <w:t>8</w:t>
      </w:r>
      <w:r w:rsidRPr="00641583">
        <w:t>)</w:t>
      </w:r>
      <w:r w:rsidRPr="00641583">
        <w:tab/>
        <w:t>After reviewing the tariff revisions LeMay filed in Docket TG-1</w:t>
      </w:r>
      <w:r w:rsidR="00EC5B29" w:rsidRPr="00641583">
        <w:t>1</w:t>
      </w:r>
      <w:r w:rsidRPr="00641583">
        <w:t>0</w:t>
      </w:r>
      <w:r w:rsidR="00EC5B29" w:rsidRPr="00641583">
        <w:t>103</w:t>
      </w:r>
      <w:r w:rsidRPr="00641583">
        <w:t xml:space="preserve"> on  January 13, 201</w:t>
      </w:r>
      <w:r w:rsidR="00EC5B29" w:rsidRPr="00641583">
        <w:t>1</w:t>
      </w:r>
      <w:r w:rsidRPr="00641583">
        <w:rPr>
          <w:bCs/>
        </w:rPr>
        <w:t>,</w:t>
      </w:r>
      <w:r w:rsidRPr="00641583">
        <w:t xml:space="preserve"> </w:t>
      </w:r>
      <w:r w:rsidR="000D7409" w:rsidRPr="00641583">
        <w:t xml:space="preserve">and revised on January 31, 2011, </w:t>
      </w:r>
      <w:r w:rsidRPr="00641583">
        <w:t>and giving due consideration, the Commission finds:</w:t>
      </w:r>
    </w:p>
    <w:p w:rsidR="00A92460" w:rsidRPr="00641583" w:rsidRDefault="00A92460" w:rsidP="00A92460">
      <w:pPr>
        <w:pStyle w:val="ListParagraph"/>
      </w:pPr>
    </w:p>
    <w:p w:rsidR="00C062B5" w:rsidRPr="00C062B5" w:rsidRDefault="00A92460" w:rsidP="00603647">
      <w:pPr>
        <w:pStyle w:val="ListParagraph"/>
        <w:numPr>
          <w:ilvl w:val="0"/>
          <w:numId w:val="69"/>
        </w:numPr>
        <w:spacing w:line="288" w:lineRule="auto"/>
        <w:ind w:left="1260"/>
        <w:rPr>
          <w:i/>
        </w:rPr>
      </w:pPr>
      <w:r w:rsidRPr="00641583">
        <w:t xml:space="preserve">An exemption from the general rate increase filing requirements set forth in WAC 480-07-520 is in the public interest and consistent with the purposes underlying regulation, and applicable statutes and should be granted; </w:t>
      </w:r>
    </w:p>
    <w:p w:rsidR="00626605" w:rsidRPr="00626605" w:rsidRDefault="00626605" w:rsidP="00626605">
      <w:pPr>
        <w:spacing w:line="288" w:lineRule="auto"/>
        <w:ind w:left="900"/>
        <w:rPr>
          <w:i/>
        </w:rPr>
      </w:pPr>
    </w:p>
    <w:p w:rsidR="00A92460" w:rsidRPr="00641583" w:rsidRDefault="00C062B5" w:rsidP="00603647">
      <w:pPr>
        <w:pStyle w:val="ListParagraph"/>
        <w:numPr>
          <w:ilvl w:val="0"/>
          <w:numId w:val="69"/>
        </w:numPr>
        <w:spacing w:line="288" w:lineRule="auto"/>
        <w:ind w:left="1260"/>
        <w:rPr>
          <w:i/>
        </w:rPr>
      </w:pPr>
      <w:r>
        <w:t>T</w:t>
      </w:r>
      <w:r w:rsidRPr="00C062B5">
        <w:t>he proposed rate increase, by reason of the increase in disposal fees, is fair, just</w:t>
      </w:r>
      <w:r>
        <w:t xml:space="preserve">, </w:t>
      </w:r>
      <w:r w:rsidRPr="00C062B5">
        <w:t>reasonable</w:t>
      </w:r>
      <w:r>
        <w:t xml:space="preserve"> and sufficient; </w:t>
      </w:r>
      <w:r w:rsidR="00A92460" w:rsidRPr="00641583">
        <w:t xml:space="preserve">and </w:t>
      </w:r>
    </w:p>
    <w:p w:rsidR="00A92460" w:rsidRPr="00641583" w:rsidRDefault="00A92460" w:rsidP="00603647">
      <w:pPr>
        <w:pStyle w:val="ListParagraph"/>
        <w:spacing w:line="288" w:lineRule="auto"/>
        <w:ind w:left="1260"/>
        <w:rPr>
          <w:i/>
        </w:rPr>
      </w:pPr>
    </w:p>
    <w:p w:rsidR="00A92460" w:rsidRPr="00641583" w:rsidRDefault="000D7409" w:rsidP="00603647">
      <w:pPr>
        <w:pStyle w:val="ListParagraph"/>
        <w:numPr>
          <w:ilvl w:val="0"/>
          <w:numId w:val="69"/>
        </w:numPr>
        <w:spacing w:line="288" w:lineRule="auto"/>
        <w:ind w:left="1260"/>
        <w:rPr>
          <w:i/>
        </w:rPr>
      </w:pPr>
      <w:r w:rsidRPr="00641583">
        <w:t xml:space="preserve">The tariff revisions </w:t>
      </w:r>
      <w:r w:rsidR="00C062B5">
        <w:t>specific to recyclable commodity revenue adjustments</w:t>
      </w:r>
      <w:r w:rsidR="00247C5F">
        <w:t xml:space="preserve"> </w:t>
      </w:r>
      <w:r w:rsidRPr="00641583">
        <w:t xml:space="preserve">might injuriously affect the rights and interest of the public.  </w:t>
      </w:r>
    </w:p>
    <w:p w:rsidR="00A92460" w:rsidRPr="00641583" w:rsidRDefault="00A92460" w:rsidP="00A92460">
      <w:pPr>
        <w:pStyle w:val="ListParagraph"/>
        <w:rPr>
          <w:i/>
        </w:rPr>
      </w:pPr>
    </w:p>
    <w:p w:rsidR="000D7409" w:rsidRPr="00641583" w:rsidRDefault="00A92460" w:rsidP="000D7409">
      <w:pPr>
        <w:numPr>
          <w:ilvl w:val="0"/>
          <w:numId w:val="68"/>
        </w:numPr>
        <w:spacing w:line="288" w:lineRule="auto"/>
        <w:ind w:left="720" w:hanging="1440"/>
      </w:pPr>
      <w:r w:rsidRPr="00641583">
        <w:t>(</w:t>
      </w:r>
      <w:r w:rsidR="004D45B3">
        <w:t>9</w:t>
      </w:r>
      <w:r w:rsidRPr="00641583">
        <w:t>)</w:t>
      </w:r>
      <w:r w:rsidRPr="00641583">
        <w:tab/>
      </w:r>
      <w:r w:rsidR="000D7409" w:rsidRPr="00641583">
        <w:t xml:space="preserve">LeMay has not yet demonstrated that the tariff revisions </w:t>
      </w:r>
      <w:r w:rsidR="00247C5F">
        <w:t xml:space="preserve">relating to recyclable commodity revenue adjustments </w:t>
      </w:r>
      <w:r w:rsidR="000D7409" w:rsidRPr="00641583">
        <w:t>would ultimately result in rates that are fair, just, reasonable and sufficient.</w:t>
      </w:r>
    </w:p>
    <w:p w:rsidR="000D7409" w:rsidRPr="00641583" w:rsidRDefault="000D7409" w:rsidP="000D7409">
      <w:pPr>
        <w:numPr>
          <w:ilvl w:val="0"/>
          <w:numId w:val="68"/>
        </w:numPr>
        <w:spacing w:line="288" w:lineRule="auto"/>
        <w:ind w:left="720" w:hanging="1440"/>
      </w:pPr>
      <w:r w:rsidRPr="00641583">
        <w:lastRenderedPageBreak/>
        <w:t>(</w:t>
      </w:r>
      <w:r w:rsidR="004D45B3">
        <w:t>10</w:t>
      </w:r>
      <w:r w:rsidRPr="00641583">
        <w:t>)</w:t>
      </w:r>
      <w:r w:rsidRPr="00641583">
        <w:tab/>
        <w:t xml:space="preserve">In order to carry out the duties imposed upon the Commission by law, and as authorized in </w:t>
      </w:r>
      <w:hyperlink r:id="rId11" w:history="1">
        <w:r w:rsidRPr="00641583">
          <w:rPr>
            <w:rStyle w:val="Hyperlink"/>
          </w:rPr>
          <w:t>RCW 81.04.130</w:t>
        </w:r>
      </w:hyperlink>
      <w:r w:rsidRPr="00641583">
        <w:t xml:space="preserve"> and </w:t>
      </w:r>
      <w:hyperlink r:id="rId12" w:history="1">
        <w:r w:rsidRPr="00641583">
          <w:rPr>
            <w:rStyle w:val="Hyperlink"/>
          </w:rPr>
          <w:t>RCW 81.04.220</w:t>
        </w:r>
      </w:hyperlink>
      <w:r w:rsidRPr="00641583">
        <w:t>, the Commission believes it is necessary to investigate LeMay’s books, accounts, practices and activities, and to investigate and appraise various phases of LeMay's operations.</w:t>
      </w:r>
    </w:p>
    <w:p w:rsidR="000D7409" w:rsidRPr="00641583" w:rsidRDefault="000D7409" w:rsidP="000D7409">
      <w:pPr>
        <w:spacing w:line="288" w:lineRule="auto"/>
      </w:pPr>
    </w:p>
    <w:p w:rsidR="000D7409" w:rsidRPr="00641583" w:rsidRDefault="000D7409" w:rsidP="000D7409">
      <w:pPr>
        <w:numPr>
          <w:ilvl w:val="0"/>
          <w:numId w:val="68"/>
        </w:numPr>
        <w:spacing w:line="288" w:lineRule="auto"/>
        <w:ind w:left="720" w:hanging="1440"/>
      </w:pPr>
      <w:r w:rsidRPr="00641583">
        <w:t>(</w:t>
      </w:r>
      <w:r w:rsidR="00C361A6" w:rsidRPr="00641583">
        <w:t>1</w:t>
      </w:r>
      <w:r w:rsidR="004D45B3">
        <w:t>1</w:t>
      </w:r>
      <w:r w:rsidRPr="00641583">
        <w:t>)</w:t>
      </w:r>
      <w:r w:rsidRPr="00641583">
        <w:tab/>
        <w:t xml:space="preserve">As required by </w:t>
      </w:r>
      <w:hyperlink r:id="rId13" w:history="1">
        <w:r w:rsidRPr="00641583">
          <w:rPr>
            <w:rStyle w:val="Hyperlink"/>
          </w:rPr>
          <w:t>RCW 81.04.130</w:t>
        </w:r>
      </w:hyperlink>
      <w:r w:rsidRPr="00641583">
        <w:t xml:space="preserve">, LeMay bears the burden of proof to show that the proposed </w:t>
      </w:r>
      <w:r w:rsidR="00247C5F">
        <w:t xml:space="preserve">recyclable commodity revenue adjustments </w:t>
      </w:r>
      <w:r w:rsidRPr="00641583">
        <w:t>are just, reasonable and sufficient.  Nothing in this Order is intended to limit the issues as to the fairness, justness, reasonableness and sufficiency of the proposed increases.</w:t>
      </w:r>
    </w:p>
    <w:p w:rsidR="000D7409" w:rsidRPr="00641583" w:rsidRDefault="000D7409" w:rsidP="000D7409">
      <w:pPr>
        <w:spacing w:line="288" w:lineRule="auto"/>
      </w:pPr>
    </w:p>
    <w:p w:rsidR="000D7409" w:rsidRPr="00641583" w:rsidRDefault="000D7409" w:rsidP="000D7409">
      <w:pPr>
        <w:numPr>
          <w:ilvl w:val="0"/>
          <w:numId w:val="68"/>
        </w:numPr>
        <w:spacing w:line="288" w:lineRule="auto"/>
        <w:ind w:left="720" w:hanging="1440"/>
      </w:pPr>
      <w:r w:rsidRPr="00641583">
        <w:t>(</w:t>
      </w:r>
      <w:r w:rsidR="00C361A6" w:rsidRPr="00641583">
        <w:t>1</w:t>
      </w:r>
      <w:r w:rsidR="004D45B3">
        <w:t>2</w:t>
      </w:r>
      <w:r w:rsidRPr="00641583">
        <w:t>)</w:t>
      </w:r>
      <w:r w:rsidRPr="00641583">
        <w:tab/>
        <w:t xml:space="preserve">In addition, the Commission invokes the rights, remedies and procedures contained in the reparations statute, </w:t>
      </w:r>
      <w:hyperlink r:id="rId14" w:history="1">
        <w:r w:rsidRPr="00641583">
          <w:rPr>
            <w:rStyle w:val="Hyperlink"/>
          </w:rPr>
          <w:t>RCW 81.04.220</w:t>
        </w:r>
      </w:hyperlink>
      <w:r w:rsidRPr="00641583">
        <w:t xml:space="preserve">, to the extent the Commission finds that any rate subject to this investigation is excessive or exorbitant.  </w:t>
      </w:r>
    </w:p>
    <w:p w:rsidR="000D7409" w:rsidRPr="00641583" w:rsidRDefault="000D7409" w:rsidP="000D7409">
      <w:pPr>
        <w:spacing w:line="288" w:lineRule="auto"/>
      </w:pPr>
    </w:p>
    <w:p w:rsidR="000D7409" w:rsidRPr="00641583" w:rsidRDefault="000D7409" w:rsidP="000D7409">
      <w:pPr>
        <w:numPr>
          <w:ilvl w:val="0"/>
          <w:numId w:val="68"/>
        </w:numPr>
        <w:spacing w:line="288" w:lineRule="auto"/>
        <w:ind w:left="720" w:hanging="1440"/>
      </w:pPr>
      <w:r w:rsidRPr="00641583">
        <w:t>(1</w:t>
      </w:r>
      <w:r w:rsidR="004D45B3">
        <w:t>3</w:t>
      </w:r>
      <w:r w:rsidRPr="00641583">
        <w:t>)</w:t>
      </w:r>
      <w:r w:rsidRPr="00641583">
        <w:tab/>
      </w:r>
      <w:r w:rsidR="00994F12" w:rsidRPr="00641583">
        <w:t>LeMay</w:t>
      </w:r>
      <w:r w:rsidRPr="00641583">
        <w:t xml:space="preserve"> may be required to pay the expenses reasonably attributable and allocable to such an investigation consistent with the provisions of </w:t>
      </w:r>
      <w:hyperlink r:id="rId15" w:history="1">
        <w:r w:rsidRPr="00641583">
          <w:rPr>
            <w:rStyle w:val="Hyperlink"/>
          </w:rPr>
          <w:t>RCW 81.20</w:t>
        </w:r>
      </w:hyperlink>
      <w:r w:rsidRPr="00641583">
        <w:t>.</w:t>
      </w:r>
    </w:p>
    <w:p w:rsidR="000D7409" w:rsidRPr="00641583" w:rsidRDefault="000D7409" w:rsidP="000D7409">
      <w:pPr>
        <w:spacing w:line="288" w:lineRule="auto"/>
        <w:ind w:left="-720"/>
      </w:pPr>
    </w:p>
    <w:p w:rsidR="00A92460" w:rsidRPr="00641583" w:rsidRDefault="000D7409" w:rsidP="000D7409">
      <w:pPr>
        <w:numPr>
          <w:ilvl w:val="0"/>
          <w:numId w:val="68"/>
        </w:numPr>
        <w:spacing w:line="288" w:lineRule="auto"/>
        <w:ind w:left="720" w:hanging="1440"/>
        <w:rPr>
          <w:i/>
        </w:rPr>
      </w:pPr>
      <w:r w:rsidRPr="00641583">
        <w:t>(1</w:t>
      </w:r>
      <w:r w:rsidR="004D45B3">
        <w:t>4</w:t>
      </w:r>
      <w:r w:rsidRPr="00641583">
        <w:t>)</w:t>
      </w:r>
      <w:r w:rsidRPr="00641583">
        <w:tab/>
      </w:r>
      <w:r w:rsidR="00A92460" w:rsidRPr="00641583">
        <w:t>This matter came before the Commission at its regularly scheduled meeting on February 25, 201</w:t>
      </w:r>
      <w:r w:rsidR="00EC5B29" w:rsidRPr="00641583">
        <w:t>1</w:t>
      </w:r>
      <w:r w:rsidR="00A92460" w:rsidRPr="00641583">
        <w:t>.</w:t>
      </w:r>
    </w:p>
    <w:p w:rsidR="00994F12" w:rsidRPr="00641583" w:rsidRDefault="00994F12">
      <w:pPr>
        <w:rPr>
          <w:b/>
        </w:rPr>
      </w:pPr>
    </w:p>
    <w:p w:rsidR="00934D2B" w:rsidRPr="00641583" w:rsidRDefault="00934D2B">
      <w:pPr>
        <w:pStyle w:val="Heading2"/>
        <w:spacing w:line="288" w:lineRule="auto"/>
        <w:rPr>
          <w:b/>
          <w:bCs/>
          <w:u w:val="none"/>
        </w:rPr>
      </w:pPr>
      <w:r w:rsidRPr="00641583">
        <w:rPr>
          <w:b/>
          <w:bCs/>
          <w:u w:val="none"/>
        </w:rPr>
        <w:t>O R D E R</w:t>
      </w:r>
    </w:p>
    <w:p w:rsidR="00934D2B" w:rsidRPr="00641583" w:rsidRDefault="00934D2B">
      <w:pPr>
        <w:spacing w:line="288" w:lineRule="auto"/>
      </w:pPr>
    </w:p>
    <w:p w:rsidR="00934D2B" w:rsidRPr="00641583" w:rsidRDefault="00934D2B">
      <w:pPr>
        <w:spacing w:line="288" w:lineRule="auto"/>
        <w:ind w:left="-720" w:firstLine="720"/>
        <w:rPr>
          <w:b/>
          <w:bCs/>
        </w:rPr>
      </w:pPr>
      <w:r w:rsidRPr="00641583">
        <w:rPr>
          <w:b/>
          <w:bCs/>
        </w:rPr>
        <w:t xml:space="preserve">THE </w:t>
      </w:r>
      <w:r w:rsidR="008D3DDB" w:rsidRPr="00641583">
        <w:rPr>
          <w:b/>
          <w:bCs/>
        </w:rPr>
        <w:t>COMMISSION</w:t>
      </w:r>
      <w:r w:rsidRPr="00641583">
        <w:rPr>
          <w:b/>
          <w:bCs/>
        </w:rPr>
        <w:t xml:space="preserve"> ORDERS:</w:t>
      </w:r>
    </w:p>
    <w:p w:rsidR="00015A7B" w:rsidRPr="00641583" w:rsidRDefault="00015A7B" w:rsidP="00015A7B">
      <w:pPr>
        <w:spacing w:line="288" w:lineRule="auto"/>
      </w:pPr>
    </w:p>
    <w:p w:rsidR="00787EA9" w:rsidRDefault="00015A7B" w:rsidP="00C361A6">
      <w:pPr>
        <w:numPr>
          <w:ilvl w:val="0"/>
          <w:numId w:val="68"/>
        </w:numPr>
        <w:spacing w:line="288" w:lineRule="auto"/>
        <w:ind w:left="720" w:hanging="1440"/>
      </w:pPr>
      <w:r w:rsidRPr="00641583">
        <w:t>(1)</w:t>
      </w:r>
      <w:r w:rsidRPr="00641583">
        <w:tab/>
      </w:r>
      <w:r w:rsidR="00994F12" w:rsidRPr="00641583">
        <w:t>Harold LeMay Enterprises, Inc., d/b/a Pierce County Refuse</w:t>
      </w:r>
      <w:r w:rsidR="00A306FE" w:rsidRPr="00641583">
        <w:t>,</w:t>
      </w:r>
      <w:r w:rsidR="00934D2B" w:rsidRPr="00641583">
        <w:t xml:space="preserve"> </w:t>
      </w:r>
      <w:r w:rsidR="00F219CE" w:rsidRPr="00641583">
        <w:t>is authorized to retain fifty percent of the revenue it receives from the sale of recyclable materials collected in its residential recycling program on a</w:t>
      </w:r>
      <w:r w:rsidR="003E5AE3" w:rsidRPr="00641583">
        <w:t xml:space="preserve"> temporary </w:t>
      </w:r>
      <w:r w:rsidR="00F219CE" w:rsidRPr="00641583">
        <w:t>basis, subject to refund</w:t>
      </w:r>
      <w:r w:rsidR="00E14222">
        <w:t>,</w:t>
      </w:r>
      <w:r w:rsidR="00E14222" w:rsidRPr="00E14222">
        <w:t xml:space="preserve"> </w:t>
      </w:r>
      <w:r w:rsidR="00E14222" w:rsidRPr="00641583">
        <w:t>until such time as a determination has been made in Dockets; TG-101542, TG-101545 and TG-101548</w:t>
      </w:r>
      <w:r w:rsidR="00E14222">
        <w:t xml:space="preserve"> </w:t>
      </w:r>
      <w:r w:rsidR="00F219CE" w:rsidRPr="00641583">
        <w:t>.</w:t>
      </w:r>
      <w:r w:rsidR="00BA41C3">
        <w:t xml:space="preserve">  </w:t>
      </w:r>
    </w:p>
    <w:p w:rsidR="00626605" w:rsidRDefault="00626605" w:rsidP="00626605">
      <w:pPr>
        <w:spacing w:line="288" w:lineRule="auto"/>
        <w:ind w:left="-720"/>
      </w:pPr>
    </w:p>
    <w:p w:rsidR="00BA41C3" w:rsidRDefault="00BA41C3" w:rsidP="00BA41C3">
      <w:pPr>
        <w:numPr>
          <w:ilvl w:val="0"/>
          <w:numId w:val="68"/>
        </w:numPr>
        <w:spacing w:line="288" w:lineRule="auto"/>
        <w:ind w:left="720" w:hanging="1440"/>
      </w:pPr>
      <w:r>
        <w:t>(2)</w:t>
      </w:r>
      <w:r>
        <w:tab/>
      </w:r>
      <w:r w:rsidRPr="00641583">
        <w:t>Harold LeMay Enterprises, Inc., d/b/a Pierce County Refuse,</w:t>
      </w:r>
      <w:r>
        <w:t xml:space="preserve"> is required to meet the performance requirements specified in its recycling and revenue sharing plan.  The Commission requests that Pierce County inform the Commission if </w:t>
      </w:r>
      <w:r w:rsidRPr="00641583">
        <w:t>Harold LeMay Enterprises, Inc., d/b/a Pierce County Refuse</w:t>
      </w:r>
      <w:r>
        <w:t xml:space="preserve">, fails to meet its performance requirements.  Upon receipt of such information, either from Pierce </w:t>
      </w:r>
      <w:r>
        <w:lastRenderedPageBreak/>
        <w:t xml:space="preserve">County or from another source, the Commission, in consultation with the County, shall provide notice to </w:t>
      </w:r>
      <w:r w:rsidRPr="00641583">
        <w:t>Harold LeMay Enterprises, Inc., d/b/a Pierce County Refuse</w:t>
      </w:r>
      <w:r>
        <w:t xml:space="preserve">, that the revenue sharing is being reconsidered and </w:t>
      </w:r>
      <w:r w:rsidRPr="00641583">
        <w:t>Harold LeMay Enterprises, Inc., d/b/a Pierce County Refuse</w:t>
      </w:r>
      <w:r>
        <w:t>, should demonstrate why its percentage should not be reduced.</w:t>
      </w:r>
    </w:p>
    <w:p w:rsidR="00626605" w:rsidRDefault="00626605" w:rsidP="00626605">
      <w:pPr>
        <w:spacing w:line="288" w:lineRule="auto"/>
        <w:ind w:left="-720"/>
      </w:pPr>
    </w:p>
    <w:p w:rsidR="00DD659B" w:rsidRDefault="00787EA9" w:rsidP="00893F3B">
      <w:pPr>
        <w:numPr>
          <w:ilvl w:val="0"/>
          <w:numId w:val="68"/>
        </w:numPr>
        <w:spacing w:line="288" w:lineRule="auto"/>
        <w:ind w:left="720" w:hanging="1440"/>
      </w:pPr>
      <w:r w:rsidRPr="00641583">
        <w:t>(</w:t>
      </w:r>
      <w:r w:rsidR="00BA41C3">
        <w:t>3</w:t>
      </w:r>
      <w:r w:rsidRPr="00641583">
        <w:t xml:space="preserve">) </w:t>
      </w:r>
      <w:r w:rsidRPr="00641583">
        <w:tab/>
        <w:t xml:space="preserve">The tariff revisions </w:t>
      </w:r>
      <w:r w:rsidR="00994F12" w:rsidRPr="00641583">
        <w:t>Harold LeMay Enterprises, Inc., d/b/a Pierce County Refuse</w:t>
      </w:r>
      <w:r w:rsidRPr="00641583">
        <w:t xml:space="preserve"> filed on </w:t>
      </w:r>
      <w:r w:rsidR="00402989" w:rsidRPr="00641583">
        <w:t>January 13</w:t>
      </w:r>
      <w:r w:rsidRPr="00641583">
        <w:t>, 201</w:t>
      </w:r>
      <w:r w:rsidR="00402989" w:rsidRPr="00641583">
        <w:t>1</w:t>
      </w:r>
      <w:r w:rsidRPr="00641583">
        <w:t xml:space="preserve">, </w:t>
      </w:r>
      <w:r w:rsidR="00247C5F">
        <w:t xml:space="preserve">as revised on January 31, 2011, </w:t>
      </w:r>
      <w:r w:rsidR="00893F3B" w:rsidRPr="00641583">
        <w:t>shall become effective on March 1, 2011, on a temporary basis, subject to refund if the Commission determines that different rates will be fair, just, reasonable and sufficient.</w:t>
      </w:r>
    </w:p>
    <w:p w:rsidR="002D0A8E" w:rsidRDefault="002D0A8E">
      <w:pPr>
        <w:spacing w:line="288" w:lineRule="auto"/>
        <w:ind w:left="720"/>
      </w:pPr>
    </w:p>
    <w:p w:rsidR="00B43D82" w:rsidRPr="00641583" w:rsidRDefault="00B43D82" w:rsidP="00893F3B">
      <w:pPr>
        <w:numPr>
          <w:ilvl w:val="0"/>
          <w:numId w:val="68"/>
        </w:numPr>
        <w:spacing w:line="288" w:lineRule="auto"/>
        <w:ind w:left="720" w:hanging="1440"/>
      </w:pPr>
      <w:r>
        <w:t>(4)</w:t>
      </w:r>
      <w:r w:rsidRPr="00B43D82">
        <w:t xml:space="preserve"> </w:t>
      </w:r>
      <w:r>
        <w:tab/>
        <w:t>T</w:t>
      </w:r>
      <w:r w:rsidRPr="00C062B5">
        <w:t>he proposed rate increase, by reason of the increase in disposal fees, is fair, just</w:t>
      </w:r>
      <w:r>
        <w:t xml:space="preserve">, </w:t>
      </w:r>
      <w:r w:rsidRPr="00C062B5">
        <w:t>reasonable</w:t>
      </w:r>
      <w:r>
        <w:t xml:space="preserve"> and sufficient</w:t>
      </w:r>
    </w:p>
    <w:p w:rsidR="00787EA9" w:rsidRPr="00641583" w:rsidRDefault="00787EA9" w:rsidP="00787EA9">
      <w:pPr>
        <w:spacing w:line="288" w:lineRule="auto"/>
      </w:pPr>
    </w:p>
    <w:p w:rsidR="00C361A6" w:rsidRPr="00641583" w:rsidRDefault="00787EA9" w:rsidP="00DF069D">
      <w:pPr>
        <w:numPr>
          <w:ilvl w:val="0"/>
          <w:numId w:val="68"/>
        </w:numPr>
        <w:spacing w:line="288" w:lineRule="auto"/>
        <w:ind w:left="720" w:hanging="1440"/>
      </w:pPr>
      <w:r w:rsidRPr="00641583">
        <w:t>(</w:t>
      </w:r>
      <w:r w:rsidR="00B43D82">
        <w:t>5</w:t>
      </w:r>
      <w:r w:rsidRPr="00641583">
        <w:t>)</w:t>
      </w:r>
      <w:r w:rsidRPr="00641583">
        <w:tab/>
      </w:r>
      <w:r w:rsidR="00C361A6" w:rsidRPr="00641583">
        <w:t>After the effective date of this Order, Harold LeMay Enterprises, Inc., d/b/a Pierce County Refuse exemption from WAC 480-07-520(4) is granted, in part, consistent with the terms of this Order.</w:t>
      </w:r>
    </w:p>
    <w:p w:rsidR="00C361A6" w:rsidRPr="00641583" w:rsidRDefault="00C361A6" w:rsidP="00C361A6">
      <w:pPr>
        <w:spacing w:line="288" w:lineRule="auto"/>
        <w:ind w:left="-720"/>
      </w:pPr>
    </w:p>
    <w:p w:rsidR="00527EF1" w:rsidRPr="00641583" w:rsidRDefault="00C361A6" w:rsidP="00DF069D">
      <w:pPr>
        <w:numPr>
          <w:ilvl w:val="0"/>
          <w:numId w:val="68"/>
        </w:numPr>
        <w:spacing w:line="288" w:lineRule="auto"/>
        <w:ind w:left="720" w:hanging="1440"/>
      </w:pPr>
      <w:r w:rsidRPr="00641583">
        <w:t>(</w:t>
      </w:r>
      <w:r w:rsidR="00222439">
        <w:t>6</w:t>
      </w:r>
      <w:r w:rsidRPr="00641583">
        <w:t>)</w:t>
      </w:r>
      <w:r w:rsidRPr="00641583">
        <w:tab/>
        <w:t xml:space="preserve">The exemption granted to Harold LeMay Enterprises, Inc., </w:t>
      </w:r>
      <w:r w:rsidR="00527EF1" w:rsidRPr="00641583">
        <w:t>d/b/a Pierce County Refuse</w:t>
      </w:r>
      <w:r w:rsidRPr="00641583">
        <w:t xml:space="preserve"> in this Order applies only to the general rate proceeding in Docket </w:t>
      </w:r>
      <w:r w:rsidR="00B94BB1">
        <w:t xml:space="preserve">       </w:t>
      </w:r>
      <w:r w:rsidRPr="00641583">
        <w:t>TG-1</w:t>
      </w:r>
      <w:r w:rsidR="00527EF1" w:rsidRPr="00641583">
        <w:t>1</w:t>
      </w:r>
      <w:r w:rsidRPr="00641583">
        <w:t>0</w:t>
      </w:r>
      <w:r w:rsidR="00527EF1" w:rsidRPr="00641583">
        <w:t>103</w:t>
      </w:r>
      <w:r w:rsidRPr="00641583">
        <w:t>.</w:t>
      </w:r>
    </w:p>
    <w:p w:rsidR="00527EF1" w:rsidRPr="00641583" w:rsidRDefault="00527EF1" w:rsidP="00527EF1">
      <w:pPr>
        <w:spacing w:line="288" w:lineRule="auto"/>
        <w:ind w:left="-720"/>
      </w:pPr>
    </w:p>
    <w:p w:rsidR="00787EA9" w:rsidRPr="00641583" w:rsidRDefault="00527EF1" w:rsidP="00DF069D">
      <w:pPr>
        <w:numPr>
          <w:ilvl w:val="0"/>
          <w:numId w:val="68"/>
        </w:numPr>
        <w:spacing w:line="288" w:lineRule="auto"/>
        <w:ind w:left="720" w:hanging="1440"/>
      </w:pPr>
      <w:r w:rsidRPr="00641583">
        <w:t>(</w:t>
      </w:r>
      <w:r w:rsidR="00222439">
        <w:t>7</w:t>
      </w:r>
      <w:r w:rsidRPr="00641583">
        <w:t>)</w:t>
      </w:r>
      <w:r w:rsidRPr="00641583">
        <w:tab/>
      </w:r>
      <w:r w:rsidR="00787EA9" w:rsidRPr="00641583">
        <w:t xml:space="preserve">The </w:t>
      </w:r>
      <w:r w:rsidR="008D3DDB" w:rsidRPr="00641583">
        <w:t>Commission</w:t>
      </w:r>
      <w:r w:rsidR="00787EA9" w:rsidRPr="00641583">
        <w:t xml:space="preserve"> will hold hearings at such times and places as may be required.</w:t>
      </w:r>
    </w:p>
    <w:p w:rsidR="00787EA9" w:rsidRPr="00641583" w:rsidRDefault="00787EA9" w:rsidP="00787EA9">
      <w:pPr>
        <w:spacing w:line="288" w:lineRule="auto"/>
      </w:pPr>
    </w:p>
    <w:p w:rsidR="00787EA9" w:rsidRPr="00641583" w:rsidRDefault="00787EA9" w:rsidP="00DF069D">
      <w:pPr>
        <w:numPr>
          <w:ilvl w:val="0"/>
          <w:numId w:val="68"/>
        </w:numPr>
        <w:spacing w:line="288" w:lineRule="auto"/>
        <w:ind w:left="720" w:hanging="1440"/>
      </w:pPr>
      <w:r w:rsidRPr="00641583">
        <w:t>(</w:t>
      </w:r>
      <w:r w:rsidR="00222439">
        <w:t>8</w:t>
      </w:r>
      <w:r w:rsidRPr="00641583">
        <w:t>)</w:t>
      </w:r>
      <w:r w:rsidRPr="00641583">
        <w:tab/>
      </w:r>
      <w:r w:rsidR="00994F12" w:rsidRPr="00641583">
        <w:t>Harold LeMay Enterprises, Inc., d/b/a Pierce County Refuse</w:t>
      </w:r>
      <w:r w:rsidRPr="00641583">
        <w:t xml:space="preserve"> must not change or alter the tariffs filed in this Docket during the suspension period, unless authorized by the </w:t>
      </w:r>
      <w:r w:rsidR="008D3DDB" w:rsidRPr="00641583">
        <w:t>Commission</w:t>
      </w:r>
      <w:r w:rsidRPr="00641583">
        <w:t>.</w:t>
      </w:r>
    </w:p>
    <w:p w:rsidR="00787EA9" w:rsidRPr="00641583" w:rsidRDefault="00787EA9" w:rsidP="00787EA9">
      <w:pPr>
        <w:spacing w:line="288" w:lineRule="auto"/>
      </w:pPr>
    </w:p>
    <w:p w:rsidR="00787EA9" w:rsidRPr="00641583" w:rsidRDefault="00787EA9" w:rsidP="00DF069D">
      <w:pPr>
        <w:numPr>
          <w:ilvl w:val="0"/>
          <w:numId w:val="68"/>
        </w:numPr>
        <w:spacing w:line="288" w:lineRule="auto"/>
        <w:ind w:left="720" w:hanging="1440"/>
      </w:pPr>
      <w:r w:rsidRPr="00641583">
        <w:t>(</w:t>
      </w:r>
      <w:r w:rsidR="00222439">
        <w:t>9</w:t>
      </w:r>
      <w:r w:rsidRPr="00641583">
        <w:t>)</w:t>
      </w:r>
      <w:r w:rsidRPr="00641583">
        <w:tab/>
        <w:t xml:space="preserve">The </w:t>
      </w:r>
      <w:r w:rsidR="008D3DDB" w:rsidRPr="00641583">
        <w:t>Commission</w:t>
      </w:r>
      <w:r w:rsidRPr="00641583">
        <w:t xml:space="preserve"> will institute an investigation of </w:t>
      </w:r>
      <w:r w:rsidR="00994F12" w:rsidRPr="00641583">
        <w:t>Harold LeMay Enterprises, Inc., d/b/a Pierce County Refuse</w:t>
      </w:r>
      <w:r w:rsidRPr="00641583">
        <w:t>’s books, accounts, practices, activities and operations as described above.</w:t>
      </w:r>
    </w:p>
    <w:p w:rsidR="00787EA9" w:rsidRPr="00641583" w:rsidRDefault="00787EA9" w:rsidP="00787EA9">
      <w:pPr>
        <w:spacing w:line="288" w:lineRule="auto"/>
      </w:pPr>
    </w:p>
    <w:p w:rsidR="00756B98" w:rsidRPr="00641583" w:rsidRDefault="00787EA9" w:rsidP="00DF069D">
      <w:pPr>
        <w:numPr>
          <w:ilvl w:val="0"/>
          <w:numId w:val="68"/>
        </w:numPr>
        <w:spacing w:line="288" w:lineRule="auto"/>
        <w:ind w:left="720" w:hanging="1440"/>
      </w:pPr>
      <w:r w:rsidRPr="00641583">
        <w:t>(</w:t>
      </w:r>
      <w:r w:rsidR="00222439">
        <w:t>10</w:t>
      </w:r>
      <w:r w:rsidRPr="00641583">
        <w:t>)</w:t>
      </w:r>
      <w:r w:rsidRPr="00641583">
        <w:tab/>
      </w:r>
      <w:r w:rsidR="00994F12" w:rsidRPr="00641583">
        <w:t xml:space="preserve">Harold LeMay Enterprises, Inc., d/b/a Pierce County Refuse </w:t>
      </w:r>
      <w:r w:rsidRPr="00641583">
        <w:t xml:space="preserve">shall pay the expenses reasonably attributable and allocable to the </w:t>
      </w:r>
      <w:r w:rsidR="008D3DDB" w:rsidRPr="00641583">
        <w:t>Commission</w:t>
      </w:r>
      <w:r w:rsidRPr="00641583">
        <w:t>’s investigation consistent with RCW 81.20.</w:t>
      </w:r>
    </w:p>
    <w:p w:rsidR="008B467D" w:rsidRPr="00641583" w:rsidRDefault="008B467D" w:rsidP="00787EA9">
      <w:pPr>
        <w:tabs>
          <w:tab w:val="left" w:pos="0"/>
        </w:tabs>
        <w:spacing w:line="288" w:lineRule="auto"/>
      </w:pPr>
    </w:p>
    <w:p w:rsidR="00222439" w:rsidRPr="00641583" w:rsidRDefault="00934D2B" w:rsidP="00DF069D">
      <w:pPr>
        <w:numPr>
          <w:ilvl w:val="0"/>
          <w:numId w:val="68"/>
        </w:numPr>
        <w:spacing w:line="288" w:lineRule="auto"/>
        <w:ind w:left="720" w:hanging="1440"/>
      </w:pPr>
      <w:r w:rsidRPr="00641583">
        <w:lastRenderedPageBreak/>
        <w:t>(</w:t>
      </w:r>
      <w:r w:rsidR="00B43D82">
        <w:t>1</w:t>
      </w:r>
      <w:r w:rsidR="00222439">
        <w:t>1</w:t>
      </w:r>
      <w:r w:rsidRPr="00641583">
        <w:t>)</w:t>
      </w:r>
      <w:r w:rsidRPr="00641583">
        <w:tab/>
        <w:t xml:space="preserve">The </w:t>
      </w:r>
      <w:r w:rsidR="008D3DDB" w:rsidRPr="00641583">
        <w:t>Commission</w:t>
      </w:r>
      <w:r w:rsidRPr="00641583">
        <w:t xml:space="preserve"> retains jurisdiction over the subject matter and </w:t>
      </w:r>
      <w:r w:rsidR="00994F12" w:rsidRPr="00641583">
        <w:t>Harold LeMay Enterprises, Inc., d/b/a Pierce County Refuse</w:t>
      </w:r>
      <w:r w:rsidR="00A306FE" w:rsidRPr="00641583">
        <w:t>,</w:t>
      </w:r>
      <w:r w:rsidRPr="00641583">
        <w:t xml:space="preserve"> to effectuate the provisions of this Order.</w:t>
      </w:r>
    </w:p>
    <w:p w:rsidR="00626605" w:rsidRDefault="00626605" w:rsidP="00626605">
      <w:pPr>
        <w:spacing w:line="288" w:lineRule="auto"/>
        <w:ind w:left="720"/>
      </w:pPr>
    </w:p>
    <w:p w:rsidR="00A766CE" w:rsidRPr="00641583" w:rsidRDefault="00A766CE" w:rsidP="00A766CE">
      <w:r w:rsidRPr="00641583">
        <w:t xml:space="preserve">DATED at Olympia, Washington, and effective </w:t>
      </w:r>
      <w:r w:rsidR="00994F12" w:rsidRPr="00641583">
        <w:t>February 25</w:t>
      </w:r>
      <w:r w:rsidR="00787EA9" w:rsidRPr="00641583">
        <w:t>, 201</w:t>
      </w:r>
      <w:r w:rsidR="00994F12" w:rsidRPr="00641583">
        <w:t>1</w:t>
      </w:r>
      <w:r w:rsidRPr="00641583">
        <w:t>.</w:t>
      </w:r>
    </w:p>
    <w:p w:rsidR="00A766CE" w:rsidRPr="00641583" w:rsidRDefault="00A766CE" w:rsidP="00A766CE">
      <w:pPr>
        <w:spacing w:line="288" w:lineRule="auto"/>
        <w:ind w:left="360"/>
      </w:pPr>
    </w:p>
    <w:p w:rsidR="00A766CE" w:rsidRPr="00641583" w:rsidRDefault="00A766CE" w:rsidP="00A766CE">
      <w:pPr>
        <w:spacing w:line="288" w:lineRule="auto"/>
        <w:jc w:val="center"/>
      </w:pPr>
      <w:r w:rsidRPr="00641583">
        <w:t xml:space="preserve">WASHINGTON UTILITIES AND TRANSPORTATION </w:t>
      </w:r>
      <w:r w:rsidR="008D3DDB" w:rsidRPr="00641583">
        <w:t>COMMISSION</w:t>
      </w:r>
    </w:p>
    <w:p w:rsidR="00A766CE" w:rsidRPr="00641583" w:rsidRDefault="00A766CE" w:rsidP="00A766CE">
      <w:pPr>
        <w:spacing w:line="288" w:lineRule="auto"/>
        <w:jc w:val="center"/>
      </w:pPr>
    </w:p>
    <w:p w:rsidR="00A766CE" w:rsidRPr="00641583" w:rsidRDefault="00A766CE" w:rsidP="00A766CE">
      <w:pPr>
        <w:spacing w:line="288" w:lineRule="auto"/>
        <w:ind w:left="2880" w:firstLine="720"/>
        <w:jc w:val="center"/>
      </w:pPr>
    </w:p>
    <w:p w:rsidR="00A766CE" w:rsidRPr="00641583" w:rsidRDefault="00A766CE" w:rsidP="00A766CE">
      <w:pPr>
        <w:spacing w:line="288" w:lineRule="auto"/>
        <w:ind w:left="2880" w:firstLine="720"/>
        <w:jc w:val="center"/>
      </w:pPr>
    </w:p>
    <w:p w:rsidR="00A766CE" w:rsidRPr="00641583" w:rsidRDefault="00A766CE" w:rsidP="00A766CE">
      <w:pPr>
        <w:spacing w:line="288" w:lineRule="auto"/>
        <w:ind w:left="3600" w:firstLine="720"/>
      </w:pPr>
      <w:r w:rsidRPr="00641583">
        <w:t>JEFFREY D. GOLTZ, Chairman</w:t>
      </w:r>
    </w:p>
    <w:p w:rsidR="00A766CE" w:rsidRPr="00641583" w:rsidRDefault="00A766CE" w:rsidP="00A766CE">
      <w:pPr>
        <w:spacing w:line="288" w:lineRule="auto"/>
        <w:ind w:left="3600" w:firstLine="720"/>
      </w:pPr>
    </w:p>
    <w:p w:rsidR="00A766CE" w:rsidRPr="00641583" w:rsidRDefault="00A766CE" w:rsidP="00A766CE">
      <w:pPr>
        <w:spacing w:line="288" w:lineRule="auto"/>
        <w:ind w:left="3600" w:firstLine="720"/>
      </w:pPr>
    </w:p>
    <w:p w:rsidR="00A766CE" w:rsidRPr="00641583" w:rsidRDefault="00A766CE" w:rsidP="00A766CE">
      <w:pPr>
        <w:spacing w:line="288" w:lineRule="auto"/>
        <w:ind w:left="3600" w:firstLine="720"/>
      </w:pPr>
    </w:p>
    <w:p w:rsidR="00A766CE" w:rsidRPr="00641583" w:rsidRDefault="00A766CE" w:rsidP="00A766CE">
      <w:pPr>
        <w:spacing w:line="288" w:lineRule="auto"/>
        <w:ind w:left="3600" w:firstLine="720"/>
      </w:pPr>
      <w:r w:rsidRPr="00641583">
        <w:t xml:space="preserve">PATRICK J. OSHIE, </w:t>
      </w:r>
      <w:r w:rsidR="008D3DDB" w:rsidRPr="00641583">
        <w:t>Commission</w:t>
      </w:r>
      <w:r w:rsidRPr="00641583">
        <w:t xml:space="preserve">er </w:t>
      </w:r>
    </w:p>
    <w:p w:rsidR="008D3DDB" w:rsidRPr="00641583" w:rsidRDefault="008D3DDB" w:rsidP="00A766CE">
      <w:pPr>
        <w:spacing w:line="288" w:lineRule="auto"/>
        <w:ind w:left="3600" w:firstLine="720"/>
      </w:pPr>
    </w:p>
    <w:p w:rsidR="008D3DDB" w:rsidRPr="00641583" w:rsidRDefault="008D3DDB" w:rsidP="008D3DDB">
      <w:pPr>
        <w:spacing w:line="288" w:lineRule="auto"/>
        <w:ind w:left="3600" w:firstLine="720"/>
      </w:pPr>
    </w:p>
    <w:p w:rsidR="00402989" w:rsidRPr="00641583" w:rsidRDefault="00402989" w:rsidP="008D3DDB">
      <w:pPr>
        <w:spacing w:line="288" w:lineRule="auto"/>
        <w:ind w:left="3600" w:firstLine="720"/>
      </w:pPr>
    </w:p>
    <w:p w:rsidR="008D3DDB" w:rsidRPr="00641583" w:rsidRDefault="00402989" w:rsidP="008D3DDB">
      <w:pPr>
        <w:spacing w:line="288" w:lineRule="auto"/>
        <w:ind w:left="3600" w:firstLine="720"/>
      </w:pPr>
      <w:r w:rsidRPr="00641583">
        <w:t>PHILIP B. JONES, Commissioner</w:t>
      </w:r>
    </w:p>
    <w:p w:rsidR="008D3DDB" w:rsidRPr="00641583" w:rsidRDefault="008D3DDB" w:rsidP="00A766CE">
      <w:pPr>
        <w:spacing w:line="288" w:lineRule="auto"/>
        <w:ind w:left="3600" w:firstLine="720"/>
      </w:pPr>
    </w:p>
    <w:p w:rsidR="00A766CE" w:rsidRPr="00641583" w:rsidRDefault="00A766CE" w:rsidP="00A766CE">
      <w:pPr>
        <w:ind w:left="3600"/>
      </w:pPr>
    </w:p>
    <w:p w:rsidR="005069A8" w:rsidRPr="00641583" w:rsidRDefault="005069A8" w:rsidP="005069A8">
      <w:pPr>
        <w:spacing w:line="288" w:lineRule="auto"/>
        <w:jc w:val="center"/>
      </w:pPr>
      <w:r w:rsidRPr="00641583">
        <w:t xml:space="preserve"> </w:t>
      </w:r>
    </w:p>
    <w:p w:rsidR="00934D2B" w:rsidRPr="00641583" w:rsidRDefault="00934D2B" w:rsidP="00F24CF4">
      <w:pPr>
        <w:ind w:left="3600"/>
      </w:pPr>
    </w:p>
    <w:sectPr w:rsidR="00934D2B" w:rsidRPr="00641583" w:rsidSect="0096024F">
      <w:headerReference w:type="default" r:id="rId16"/>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58A" w:rsidRDefault="00F1058A">
      <w:r>
        <w:separator/>
      </w:r>
    </w:p>
  </w:endnote>
  <w:endnote w:type="continuationSeparator" w:id="0">
    <w:p w:rsidR="00F1058A" w:rsidRDefault="00F10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58A" w:rsidRDefault="00F1058A">
      <w:r>
        <w:separator/>
      </w:r>
    </w:p>
  </w:footnote>
  <w:footnote w:type="continuationSeparator" w:id="0">
    <w:p w:rsidR="00F1058A" w:rsidRDefault="00F1058A">
      <w:r>
        <w:continuationSeparator/>
      </w:r>
    </w:p>
  </w:footnote>
  <w:footnote w:id="1">
    <w:p w:rsidR="00626605" w:rsidRDefault="00562AFB" w:rsidP="00626605">
      <w:pPr>
        <w:pStyle w:val="FootnoteText"/>
        <w:ind w:left="180" w:hanging="180"/>
      </w:pPr>
      <w:r>
        <w:rPr>
          <w:rStyle w:val="FootnoteReference"/>
        </w:rPr>
        <w:footnoteRef/>
      </w:r>
      <w:r>
        <w:t xml:space="preserve"> </w:t>
      </w:r>
      <w:r w:rsidR="00A56FA9">
        <w:t xml:space="preserve"> </w:t>
      </w:r>
      <w:r>
        <w:t xml:space="preserve">In TG-080105, </w:t>
      </w:r>
      <w:r w:rsidR="00D026D3">
        <w:t xml:space="preserve">the Company's </w:t>
      </w:r>
      <w:r w:rsidR="00A56FA9">
        <w:t>approved rates included its twenty percent share ($11,858 of $59,292</w:t>
      </w:r>
      <w:r w:rsidR="00CC42EE">
        <w:t>)</w:t>
      </w:r>
      <w:r w:rsidR="00A56FA9">
        <w:t xml:space="preserve"> </w:t>
      </w:r>
      <w:r w:rsidR="00CC42EE">
        <w:t xml:space="preserve">of </w:t>
      </w:r>
      <w:r w:rsidR="00A56FA9">
        <w:t>WRRA dues billed to all Harold</w:t>
      </w:r>
      <w:r w:rsidR="00CC42EE">
        <w:t xml:space="preserve"> LeMay Enterprises, Inc. companies.</w:t>
      </w:r>
      <w:r w:rsidR="00A56FA9">
        <w:t xml:space="preserve"> </w:t>
      </w:r>
    </w:p>
  </w:footnote>
  <w:footnote w:id="2">
    <w:p w:rsidR="003F6344" w:rsidRPr="0030105B" w:rsidRDefault="003F6344" w:rsidP="003F6344">
      <w:pPr>
        <w:pStyle w:val="FootnoteText"/>
        <w:rPr>
          <w:szCs w:val="22"/>
        </w:rPr>
      </w:pPr>
      <w:r>
        <w:rPr>
          <w:rStyle w:val="FootnoteReference"/>
          <w:rFonts w:eastAsiaTheme="majorEastAsia"/>
        </w:rPr>
        <w:footnoteRef/>
      </w:r>
      <w:r>
        <w:t xml:space="preserve"> </w:t>
      </w:r>
      <w:r w:rsidR="00EB2B50">
        <w:t xml:space="preserve"> </w:t>
      </w:r>
      <w:r>
        <w:t xml:space="preserve">TG-101542, </w:t>
      </w:r>
      <w:r w:rsidRPr="0030105B">
        <w:rPr>
          <w:szCs w:val="22"/>
        </w:rPr>
        <w:t>Order 01</w:t>
      </w:r>
      <w:r>
        <w:rPr>
          <w:szCs w:val="22"/>
        </w:rPr>
        <w:t>; TG101545, Order 01 and TG-101548, Order 01</w:t>
      </w:r>
      <w:r w:rsidRPr="0030105B">
        <w:rPr>
          <w:szCs w:val="22"/>
        </w:rPr>
        <w:t>.</w:t>
      </w:r>
    </w:p>
  </w:footnote>
  <w:footnote w:id="3">
    <w:p w:rsidR="00B41049" w:rsidRDefault="00B41049" w:rsidP="00B41049">
      <w:pPr>
        <w:pStyle w:val="FootnoteText"/>
        <w:ind w:left="180" w:hanging="180"/>
      </w:pPr>
      <w:r>
        <w:rPr>
          <w:rStyle w:val="FootnoteReference"/>
        </w:rPr>
        <w:footnoteRef/>
      </w:r>
      <w:r>
        <w:t xml:space="preserve">   In TG-101542, </w:t>
      </w:r>
      <w:r w:rsidRPr="0030105B">
        <w:rPr>
          <w:szCs w:val="22"/>
        </w:rPr>
        <w:t>Order 01</w:t>
      </w:r>
      <w:r>
        <w:rPr>
          <w:szCs w:val="22"/>
        </w:rPr>
        <w:t xml:space="preserve">; TG101545, Order 01 and TG-101548, Order 01, </w:t>
      </w:r>
      <w:r>
        <w:t>Order Section 4, Paragraph 20, the Commission required  . . . [r]evenues retained by Murrey’s Disposal Company, Inc., not spent during the previous plan period are to be carried over into the next year, and revenues from this plan period that are not spent are to be carried over to the following year, unless the Commission orders some other treatment.</w:t>
      </w:r>
    </w:p>
  </w:footnote>
  <w:footnote w:id="4">
    <w:p w:rsidR="004944D7" w:rsidRDefault="004944D7" w:rsidP="004944D7">
      <w:pPr>
        <w:pStyle w:val="FootnoteText"/>
      </w:pPr>
      <w:r>
        <w:rPr>
          <w:rStyle w:val="FootnoteReference"/>
        </w:rPr>
        <w:footnoteRef/>
      </w:r>
      <w:r>
        <w:t xml:space="preserve"> </w:t>
      </w:r>
      <w:r w:rsidR="000E1792">
        <w:t xml:space="preserve"> </w:t>
      </w:r>
      <w:r>
        <w:t xml:space="preserve">TG-101542, </w:t>
      </w:r>
      <w:r w:rsidRPr="0030105B">
        <w:rPr>
          <w:szCs w:val="22"/>
        </w:rPr>
        <w:t>Order 0</w:t>
      </w:r>
      <w:r>
        <w:rPr>
          <w:szCs w:val="22"/>
        </w:rPr>
        <w:t>2; TG101545, Order 02 and TG-101548, Order 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7C45CF">
      <w:rPr>
        <w:b/>
        <w:bCs/>
        <w:sz w:val="20"/>
        <w:szCs w:val="20"/>
      </w:rPr>
      <w:t>1</w:t>
    </w:r>
    <w:r w:rsidR="00A92460">
      <w:rPr>
        <w:b/>
        <w:bCs/>
        <w:sz w:val="20"/>
        <w:szCs w:val="20"/>
      </w:rPr>
      <w:t>10103</w:t>
    </w:r>
    <w:r w:rsidRPr="00660D82">
      <w:rPr>
        <w:b/>
        <w:bCs/>
        <w:sz w:val="20"/>
        <w:szCs w:val="20"/>
      </w:rPr>
      <w:tab/>
    </w:r>
    <w:r w:rsidRPr="00660D82">
      <w:rPr>
        <w:b/>
        <w:bCs/>
        <w:sz w:val="20"/>
        <w:szCs w:val="20"/>
      </w:rPr>
      <w:tab/>
      <w:t xml:space="preserve">                PAGE </w:t>
    </w:r>
    <w:r w:rsidR="002D0A8E" w:rsidRPr="00660D82">
      <w:rPr>
        <w:rStyle w:val="PageNumber"/>
        <w:b/>
        <w:bCs/>
        <w:sz w:val="20"/>
        <w:szCs w:val="20"/>
      </w:rPr>
      <w:fldChar w:fldCharType="begin"/>
    </w:r>
    <w:r w:rsidRPr="00660D82">
      <w:rPr>
        <w:rStyle w:val="PageNumber"/>
        <w:b/>
        <w:bCs/>
        <w:sz w:val="20"/>
        <w:szCs w:val="20"/>
      </w:rPr>
      <w:instrText xml:space="preserve"> PAGE </w:instrText>
    </w:r>
    <w:r w:rsidR="002D0A8E" w:rsidRPr="00660D82">
      <w:rPr>
        <w:rStyle w:val="PageNumber"/>
        <w:b/>
        <w:bCs/>
        <w:sz w:val="20"/>
        <w:szCs w:val="20"/>
      </w:rPr>
      <w:fldChar w:fldCharType="separate"/>
    </w:r>
    <w:r w:rsidR="00D21A87">
      <w:rPr>
        <w:rStyle w:val="PageNumber"/>
        <w:b/>
        <w:bCs/>
        <w:noProof/>
        <w:sz w:val="20"/>
        <w:szCs w:val="20"/>
      </w:rPr>
      <w:t>10</w:t>
    </w:r>
    <w:r w:rsidR="002D0A8E"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0012060D">
      <w:rPr>
        <w:b/>
        <w:bCs/>
        <w:sz w:val="20"/>
        <w:szCs w:val="20"/>
      </w:rPr>
      <w:t>0</w:t>
    </w:r>
    <w:r w:rsidR="00A92460">
      <w:rPr>
        <w:b/>
        <w:bCs/>
        <w:sz w:val="20"/>
        <w:szCs w:val="20"/>
      </w:rPr>
      <w:t>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CA70D46"/>
    <w:multiLevelType w:val="hybridMultilevel"/>
    <w:tmpl w:val="F26EEB98"/>
    <w:lvl w:ilvl="0" w:tplc="530EBBC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52337D"/>
    <w:multiLevelType w:val="hybridMultilevel"/>
    <w:tmpl w:val="033EAE02"/>
    <w:lvl w:ilvl="0" w:tplc="04090001">
      <w:start w:val="1"/>
      <w:numFmt w:val="bullet"/>
      <w:lvlText w:val=""/>
      <w:lvlJc w:val="left"/>
      <w:pPr>
        <w:ind w:left="1492" w:hanging="360"/>
      </w:pPr>
      <w:rPr>
        <w:rFonts w:ascii="Symbol" w:hAnsi="Symbol" w:hint="default"/>
      </w:rPr>
    </w:lvl>
    <w:lvl w:ilvl="1" w:tplc="04090003">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4">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
  </w:num>
  <w:num w:numId="3">
    <w:abstractNumId w:val="5"/>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0"/>
  </w:num>
  <w:num w:numId="14">
    <w:abstractNumId w:val="8"/>
  </w:num>
  <w:num w:numId="15">
    <w:abstractNumId w:val="7"/>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10"/>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11"/>
  </w:num>
  <w:num w:numId="44">
    <w:abstractNumId w:val="8"/>
  </w:num>
  <w:num w:numId="45">
    <w:abstractNumId w:val="8"/>
  </w:num>
  <w:num w:numId="46">
    <w:abstractNumId w:val="11"/>
  </w:num>
  <w:num w:numId="47">
    <w:abstractNumId w:val="8"/>
  </w:num>
  <w:num w:numId="48">
    <w:abstractNumId w:val="8"/>
  </w:num>
  <w:num w:numId="49">
    <w:abstractNumId w:val="12"/>
  </w:num>
  <w:num w:numId="50">
    <w:abstractNumId w:val="8"/>
  </w:num>
  <w:num w:numId="51">
    <w:abstractNumId w:val="8"/>
  </w:num>
  <w:num w:numId="52">
    <w:abstractNumId w:val="6"/>
  </w:num>
  <w:num w:numId="53">
    <w:abstractNumId w:val="9"/>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3"/>
  </w:num>
  <w:num w:numId="69">
    <w:abstractNumId w:val="14"/>
  </w:num>
  <w:num w:numId="70">
    <w:abstractNumId w:val="13"/>
  </w:num>
  <w:num w:numId="71">
    <w:abstractNumId w:val="4"/>
  </w:num>
  <w:num w:numId="72">
    <w:abstractNumId w:val="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0E3"/>
    <w:rsid w:val="0000314C"/>
    <w:rsid w:val="00003AA6"/>
    <w:rsid w:val="000060BE"/>
    <w:rsid w:val="00006C98"/>
    <w:rsid w:val="00010A32"/>
    <w:rsid w:val="00011F2B"/>
    <w:rsid w:val="00015A7B"/>
    <w:rsid w:val="00017603"/>
    <w:rsid w:val="00020CBF"/>
    <w:rsid w:val="000250E2"/>
    <w:rsid w:val="00027291"/>
    <w:rsid w:val="0002762D"/>
    <w:rsid w:val="00034F78"/>
    <w:rsid w:val="000360A5"/>
    <w:rsid w:val="000504CE"/>
    <w:rsid w:val="0005744D"/>
    <w:rsid w:val="00061A44"/>
    <w:rsid w:val="000646DD"/>
    <w:rsid w:val="00065AC6"/>
    <w:rsid w:val="00072058"/>
    <w:rsid w:val="0007478D"/>
    <w:rsid w:val="00074D58"/>
    <w:rsid w:val="00075AA8"/>
    <w:rsid w:val="00077BDE"/>
    <w:rsid w:val="00084D21"/>
    <w:rsid w:val="00086D76"/>
    <w:rsid w:val="00090598"/>
    <w:rsid w:val="00092416"/>
    <w:rsid w:val="000943DC"/>
    <w:rsid w:val="00094DEE"/>
    <w:rsid w:val="00094FC7"/>
    <w:rsid w:val="000A2572"/>
    <w:rsid w:val="000A3CA6"/>
    <w:rsid w:val="000B3C5A"/>
    <w:rsid w:val="000B49D6"/>
    <w:rsid w:val="000B7CA3"/>
    <w:rsid w:val="000C2396"/>
    <w:rsid w:val="000C510F"/>
    <w:rsid w:val="000C7A06"/>
    <w:rsid w:val="000D4B42"/>
    <w:rsid w:val="000D5C50"/>
    <w:rsid w:val="000D6AF8"/>
    <w:rsid w:val="000D7409"/>
    <w:rsid w:val="000E1792"/>
    <w:rsid w:val="000E1DC6"/>
    <w:rsid w:val="000F0628"/>
    <w:rsid w:val="000F1869"/>
    <w:rsid w:val="000F2197"/>
    <w:rsid w:val="000F44D5"/>
    <w:rsid w:val="000F6B51"/>
    <w:rsid w:val="0010087A"/>
    <w:rsid w:val="00101A13"/>
    <w:rsid w:val="00101CAA"/>
    <w:rsid w:val="00105EFC"/>
    <w:rsid w:val="0011362A"/>
    <w:rsid w:val="00114C27"/>
    <w:rsid w:val="0012060D"/>
    <w:rsid w:val="00126453"/>
    <w:rsid w:val="001278A1"/>
    <w:rsid w:val="001332A3"/>
    <w:rsid w:val="001370AA"/>
    <w:rsid w:val="001416E3"/>
    <w:rsid w:val="00142CA6"/>
    <w:rsid w:val="00144849"/>
    <w:rsid w:val="001605FF"/>
    <w:rsid w:val="001634F2"/>
    <w:rsid w:val="0016778C"/>
    <w:rsid w:val="0016799C"/>
    <w:rsid w:val="00170AF4"/>
    <w:rsid w:val="00172103"/>
    <w:rsid w:val="00175374"/>
    <w:rsid w:val="00183B1F"/>
    <w:rsid w:val="001857A5"/>
    <w:rsid w:val="0019136F"/>
    <w:rsid w:val="001933D2"/>
    <w:rsid w:val="001A0F82"/>
    <w:rsid w:val="001D0108"/>
    <w:rsid w:val="001D12C3"/>
    <w:rsid w:val="001D1E95"/>
    <w:rsid w:val="001D7C00"/>
    <w:rsid w:val="001E3851"/>
    <w:rsid w:val="001E64CE"/>
    <w:rsid w:val="001E7D73"/>
    <w:rsid w:val="001F4541"/>
    <w:rsid w:val="001F4EEC"/>
    <w:rsid w:val="001F7CAC"/>
    <w:rsid w:val="001F7FD0"/>
    <w:rsid w:val="00204D46"/>
    <w:rsid w:val="00204FCC"/>
    <w:rsid w:val="00212421"/>
    <w:rsid w:val="00216AD4"/>
    <w:rsid w:val="00220979"/>
    <w:rsid w:val="00220D04"/>
    <w:rsid w:val="0022237A"/>
    <w:rsid w:val="00222439"/>
    <w:rsid w:val="00230181"/>
    <w:rsid w:val="00231806"/>
    <w:rsid w:val="00232EC6"/>
    <w:rsid w:val="00235F4E"/>
    <w:rsid w:val="00240C49"/>
    <w:rsid w:val="00244423"/>
    <w:rsid w:val="00247C5F"/>
    <w:rsid w:val="00253C6B"/>
    <w:rsid w:val="002573AA"/>
    <w:rsid w:val="002675C3"/>
    <w:rsid w:val="00276B28"/>
    <w:rsid w:val="002779EF"/>
    <w:rsid w:val="0028141F"/>
    <w:rsid w:val="00281475"/>
    <w:rsid w:val="00285930"/>
    <w:rsid w:val="002B4AFB"/>
    <w:rsid w:val="002B4C98"/>
    <w:rsid w:val="002B4F88"/>
    <w:rsid w:val="002C221A"/>
    <w:rsid w:val="002C59BC"/>
    <w:rsid w:val="002C5B6E"/>
    <w:rsid w:val="002D0A8E"/>
    <w:rsid w:val="002D1930"/>
    <w:rsid w:val="002D3FDD"/>
    <w:rsid w:val="002E0A61"/>
    <w:rsid w:val="002E38D0"/>
    <w:rsid w:val="002E61BB"/>
    <w:rsid w:val="002F0410"/>
    <w:rsid w:val="002F3D67"/>
    <w:rsid w:val="002F3DCC"/>
    <w:rsid w:val="002F4AC1"/>
    <w:rsid w:val="002F5A74"/>
    <w:rsid w:val="002F7DEA"/>
    <w:rsid w:val="00316660"/>
    <w:rsid w:val="0031783C"/>
    <w:rsid w:val="00320372"/>
    <w:rsid w:val="00323A9A"/>
    <w:rsid w:val="00323CED"/>
    <w:rsid w:val="00327FB2"/>
    <w:rsid w:val="00334F0B"/>
    <w:rsid w:val="003367CA"/>
    <w:rsid w:val="00337064"/>
    <w:rsid w:val="00342D93"/>
    <w:rsid w:val="00343132"/>
    <w:rsid w:val="003529AE"/>
    <w:rsid w:val="00352EE2"/>
    <w:rsid w:val="00367A88"/>
    <w:rsid w:val="00384413"/>
    <w:rsid w:val="003875FE"/>
    <w:rsid w:val="003933F3"/>
    <w:rsid w:val="00397454"/>
    <w:rsid w:val="003A779E"/>
    <w:rsid w:val="003B18C4"/>
    <w:rsid w:val="003B2630"/>
    <w:rsid w:val="003C07B1"/>
    <w:rsid w:val="003C3AFA"/>
    <w:rsid w:val="003C4C45"/>
    <w:rsid w:val="003C7860"/>
    <w:rsid w:val="003D4052"/>
    <w:rsid w:val="003D7C7F"/>
    <w:rsid w:val="003E23A0"/>
    <w:rsid w:val="003E5AE3"/>
    <w:rsid w:val="003F4CB1"/>
    <w:rsid w:val="003F6344"/>
    <w:rsid w:val="00400374"/>
    <w:rsid w:val="00400EA7"/>
    <w:rsid w:val="0040170F"/>
    <w:rsid w:val="00402989"/>
    <w:rsid w:val="004061FA"/>
    <w:rsid w:val="00410F53"/>
    <w:rsid w:val="00412D28"/>
    <w:rsid w:val="0041572C"/>
    <w:rsid w:val="004217A0"/>
    <w:rsid w:val="00424B63"/>
    <w:rsid w:val="00433A6E"/>
    <w:rsid w:val="004340FC"/>
    <w:rsid w:val="004367E8"/>
    <w:rsid w:val="004369D1"/>
    <w:rsid w:val="00441C08"/>
    <w:rsid w:val="00455235"/>
    <w:rsid w:val="00460119"/>
    <w:rsid w:val="00461518"/>
    <w:rsid w:val="00467D48"/>
    <w:rsid w:val="00480143"/>
    <w:rsid w:val="004816F5"/>
    <w:rsid w:val="0048495B"/>
    <w:rsid w:val="00485757"/>
    <w:rsid w:val="0048737F"/>
    <w:rsid w:val="004878F9"/>
    <w:rsid w:val="00490F06"/>
    <w:rsid w:val="004944D7"/>
    <w:rsid w:val="00497F78"/>
    <w:rsid w:val="004A2E1E"/>
    <w:rsid w:val="004A6D66"/>
    <w:rsid w:val="004A77E3"/>
    <w:rsid w:val="004B0563"/>
    <w:rsid w:val="004B2B6B"/>
    <w:rsid w:val="004B2C3A"/>
    <w:rsid w:val="004C2CF4"/>
    <w:rsid w:val="004C474A"/>
    <w:rsid w:val="004C7E47"/>
    <w:rsid w:val="004D0BF4"/>
    <w:rsid w:val="004D3F98"/>
    <w:rsid w:val="004D45B3"/>
    <w:rsid w:val="004D4996"/>
    <w:rsid w:val="004D5986"/>
    <w:rsid w:val="004D5EDF"/>
    <w:rsid w:val="004D6EB7"/>
    <w:rsid w:val="004D71B0"/>
    <w:rsid w:val="004E17A7"/>
    <w:rsid w:val="004E2D2D"/>
    <w:rsid w:val="004E3790"/>
    <w:rsid w:val="004F1539"/>
    <w:rsid w:val="004F1E54"/>
    <w:rsid w:val="004F30A8"/>
    <w:rsid w:val="004F3C60"/>
    <w:rsid w:val="0050337D"/>
    <w:rsid w:val="005042EE"/>
    <w:rsid w:val="005049E7"/>
    <w:rsid w:val="005063D4"/>
    <w:rsid w:val="005069A8"/>
    <w:rsid w:val="0051322F"/>
    <w:rsid w:val="0051365C"/>
    <w:rsid w:val="005206B8"/>
    <w:rsid w:val="0052221A"/>
    <w:rsid w:val="0052350A"/>
    <w:rsid w:val="00527EF1"/>
    <w:rsid w:val="00544B00"/>
    <w:rsid w:val="0054676D"/>
    <w:rsid w:val="00553D0A"/>
    <w:rsid w:val="005563A3"/>
    <w:rsid w:val="00561F5F"/>
    <w:rsid w:val="005628AE"/>
    <w:rsid w:val="00562AFB"/>
    <w:rsid w:val="0056339C"/>
    <w:rsid w:val="0057131A"/>
    <w:rsid w:val="00573051"/>
    <w:rsid w:val="00573698"/>
    <w:rsid w:val="00575217"/>
    <w:rsid w:val="00583807"/>
    <w:rsid w:val="00586E07"/>
    <w:rsid w:val="005A0341"/>
    <w:rsid w:val="005A1E42"/>
    <w:rsid w:val="005A2289"/>
    <w:rsid w:val="005A35DB"/>
    <w:rsid w:val="005B2415"/>
    <w:rsid w:val="005B3538"/>
    <w:rsid w:val="005B4B80"/>
    <w:rsid w:val="005B5FD1"/>
    <w:rsid w:val="005B7B2C"/>
    <w:rsid w:val="005C3B17"/>
    <w:rsid w:val="005D15C5"/>
    <w:rsid w:val="005D445D"/>
    <w:rsid w:val="005D7A98"/>
    <w:rsid w:val="005E11B1"/>
    <w:rsid w:val="005E19EE"/>
    <w:rsid w:val="005E5651"/>
    <w:rsid w:val="005F020D"/>
    <w:rsid w:val="005F5FFD"/>
    <w:rsid w:val="00603647"/>
    <w:rsid w:val="00603F98"/>
    <w:rsid w:val="00614900"/>
    <w:rsid w:val="00617214"/>
    <w:rsid w:val="00626605"/>
    <w:rsid w:val="00626FC0"/>
    <w:rsid w:val="00633C20"/>
    <w:rsid w:val="00641583"/>
    <w:rsid w:val="0064500D"/>
    <w:rsid w:val="006534DB"/>
    <w:rsid w:val="0066073B"/>
    <w:rsid w:val="00660D82"/>
    <w:rsid w:val="0066112E"/>
    <w:rsid w:val="00665E55"/>
    <w:rsid w:val="0067325A"/>
    <w:rsid w:val="00673BB0"/>
    <w:rsid w:val="0067685D"/>
    <w:rsid w:val="006864C9"/>
    <w:rsid w:val="0069379D"/>
    <w:rsid w:val="006A084C"/>
    <w:rsid w:val="006A14C1"/>
    <w:rsid w:val="006A200F"/>
    <w:rsid w:val="006A3638"/>
    <w:rsid w:val="006A5671"/>
    <w:rsid w:val="006A607E"/>
    <w:rsid w:val="006A65BC"/>
    <w:rsid w:val="006B16FE"/>
    <w:rsid w:val="006B48A7"/>
    <w:rsid w:val="006B5AEC"/>
    <w:rsid w:val="006B5B72"/>
    <w:rsid w:val="006C6E11"/>
    <w:rsid w:val="006C74A5"/>
    <w:rsid w:val="006D249A"/>
    <w:rsid w:val="006D2DAD"/>
    <w:rsid w:val="006D3879"/>
    <w:rsid w:val="006D40E3"/>
    <w:rsid w:val="006D5C5D"/>
    <w:rsid w:val="006D680E"/>
    <w:rsid w:val="006D7C70"/>
    <w:rsid w:val="006E1778"/>
    <w:rsid w:val="006E6E7A"/>
    <w:rsid w:val="006F1AB7"/>
    <w:rsid w:val="007010DC"/>
    <w:rsid w:val="00702063"/>
    <w:rsid w:val="0070320B"/>
    <w:rsid w:val="00714D62"/>
    <w:rsid w:val="00716468"/>
    <w:rsid w:val="00721428"/>
    <w:rsid w:val="00724B04"/>
    <w:rsid w:val="0072732E"/>
    <w:rsid w:val="00727601"/>
    <w:rsid w:val="007276D8"/>
    <w:rsid w:val="00752587"/>
    <w:rsid w:val="00756B98"/>
    <w:rsid w:val="0075716B"/>
    <w:rsid w:val="007573E6"/>
    <w:rsid w:val="007576E5"/>
    <w:rsid w:val="007626B6"/>
    <w:rsid w:val="00764A49"/>
    <w:rsid w:val="00764D05"/>
    <w:rsid w:val="00775B28"/>
    <w:rsid w:val="007846BE"/>
    <w:rsid w:val="007878B4"/>
    <w:rsid w:val="00787EA9"/>
    <w:rsid w:val="007905F3"/>
    <w:rsid w:val="00791079"/>
    <w:rsid w:val="0079120A"/>
    <w:rsid w:val="00795B40"/>
    <w:rsid w:val="00796500"/>
    <w:rsid w:val="007A1A40"/>
    <w:rsid w:val="007A4F84"/>
    <w:rsid w:val="007A7753"/>
    <w:rsid w:val="007C02D5"/>
    <w:rsid w:val="007C275B"/>
    <w:rsid w:val="007C34DF"/>
    <w:rsid w:val="007C38A6"/>
    <w:rsid w:val="007C45CF"/>
    <w:rsid w:val="007C5228"/>
    <w:rsid w:val="007C5754"/>
    <w:rsid w:val="007C59BA"/>
    <w:rsid w:val="007D0994"/>
    <w:rsid w:val="007E4956"/>
    <w:rsid w:val="007E58A9"/>
    <w:rsid w:val="007F0DFE"/>
    <w:rsid w:val="00801FDD"/>
    <w:rsid w:val="0081080F"/>
    <w:rsid w:val="00814506"/>
    <w:rsid w:val="008208A3"/>
    <w:rsid w:val="00827FB5"/>
    <w:rsid w:val="00831C4E"/>
    <w:rsid w:val="00843342"/>
    <w:rsid w:val="0084428E"/>
    <w:rsid w:val="00844EAF"/>
    <w:rsid w:val="008476C0"/>
    <w:rsid w:val="008533EC"/>
    <w:rsid w:val="0085363E"/>
    <w:rsid w:val="008562A2"/>
    <w:rsid w:val="00856F6C"/>
    <w:rsid w:val="00864093"/>
    <w:rsid w:val="008658FE"/>
    <w:rsid w:val="00865D2C"/>
    <w:rsid w:val="00866513"/>
    <w:rsid w:val="008673C6"/>
    <w:rsid w:val="0087287D"/>
    <w:rsid w:val="00872F17"/>
    <w:rsid w:val="008779F8"/>
    <w:rsid w:val="00877F28"/>
    <w:rsid w:val="0088106F"/>
    <w:rsid w:val="00887AA4"/>
    <w:rsid w:val="00887B38"/>
    <w:rsid w:val="00893F3B"/>
    <w:rsid w:val="00895E1E"/>
    <w:rsid w:val="00897F49"/>
    <w:rsid w:val="008A13B5"/>
    <w:rsid w:val="008A53DB"/>
    <w:rsid w:val="008B0D6D"/>
    <w:rsid w:val="008B467D"/>
    <w:rsid w:val="008B5CA7"/>
    <w:rsid w:val="008C0034"/>
    <w:rsid w:val="008D34F3"/>
    <w:rsid w:val="008D3DDB"/>
    <w:rsid w:val="008F0219"/>
    <w:rsid w:val="008F619F"/>
    <w:rsid w:val="008F6CF5"/>
    <w:rsid w:val="008F7712"/>
    <w:rsid w:val="008F7910"/>
    <w:rsid w:val="00901D3C"/>
    <w:rsid w:val="009121E9"/>
    <w:rsid w:val="009126FD"/>
    <w:rsid w:val="00922F76"/>
    <w:rsid w:val="009243A6"/>
    <w:rsid w:val="00925688"/>
    <w:rsid w:val="009332CD"/>
    <w:rsid w:val="00934311"/>
    <w:rsid w:val="00934D2B"/>
    <w:rsid w:val="00936379"/>
    <w:rsid w:val="009426E7"/>
    <w:rsid w:val="0094414A"/>
    <w:rsid w:val="00946C3C"/>
    <w:rsid w:val="0095147D"/>
    <w:rsid w:val="00953B80"/>
    <w:rsid w:val="00956509"/>
    <w:rsid w:val="00956E17"/>
    <w:rsid w:val="0096024F"/>
    <w:rsid w:val="00963BF7"/>
    <w:rsid w:val="009725AB"/>
    <w:rsid w:val="00976A82"/>
    <w:rsid w:val="00981846"/>
    <w:rsid w:val="00994F12"/>
    <w:rsid w:val="009A046D"/>
    <w:rsid w:val="009A5B9A"/>
    <w:rsid w:val="009B3877"/>
    <w:rsid w:val="009B4EB4"/>
    <w:rsid w:val="009B617B"/>
    <w:rsid w:val="009C013A"/>
    <w:rsid w:val="009C0E2E"/>
    <w:rsid w:val="009C4050"/>
    <w:rsid w:val="009C57DF"/>
    <w:rsid w:val="009C7029"/>
    <w:rsid w:val="009D2767"/>
    <w:rsid w:val="009D6175"/>
    <w:rsid w:val="009E1F90"/>
    <w:rsid w:val="009E6E42"/>
    <w:rsid w:val="009F1096"/>
    <w:rsid w:val="009F266B"/>
    <w:rsid w:val="00A00C96"/>
    <w:rsid w:val="00A13584"/>
    <w:rsid w:val="00A13C73"/>
    <w:rsid w:val="00A144EC"/>
    <w:rsid w:val="00A27981"/>
    <w:rsid w:val="00A306FE"/>
    <w:rsid w:val="00A30893"/>
    <w:rsid w:val="00A35A0F"/>
    <w:rsid w:val="00A36F2C"/>
    <w:rsid w:val="00A3759A"/>
    <w:rsid w:val="00A43226"/>
    <w:rsid w:val="00A46151"/>
    <w:rsid w:val="00A55EC2"/>
    <w:rsid w:val="00A55F10"/>
    <w:rsid w:val="00A56FA9"/>
    <w:rsid w:val="00A606E0"/>
    <w:rsid w:val="00A71493"/>
    <w:rsid w:val="00A748CC"/>
    <w:rsid w:val="00A766CE"/>
    <w:rsid w:val="00A779D3"/>
    <w:rsid w:val="00A77A96"/>
    <w:rsid w:val="00A847E8"/>
    <w:rsid w:val="00A85B95"/>
    <w:rsid w:val="00A86D9D"/>
    <w:rsid w:val="00A9139B"/>
    <w:rsid w:val="00A92460"/>
    <w:rsid w:val="00A93A47"/>
    <w:rsid w:val="00A9500F"/>
    <w:rsid w:val="00AA4463"/>
    <w:rsid w:val="00AA4BBE"/>
    <w:rsid w:val="00AA6D08"/>
    <w:rsid w:val="00AB385F"/>
    <w:rsid w:val="00AB3FDD"/>
    <w:rsid w:val="00AC3E38"/>
    <w:rsid w:val="00AC4FD0"/>
    <w:rsid w:val="00AC54E5"/>
    <w:rsid w:val="00AC6157"/>
    <w:rsid w:val="00AD6ABE"/>
    <w:rsid w:val="00AE3898"/>
    <w:rsid w:val="00AE434C"/>
    <w:rsid w:val="00AF0D08"/>
    <w:rsid w:val="00AF1C32"/>
    <w:rsid w:val="00AF39AE"/>
    <w:rsid w:val="00AF5E18"/>
    <w:rsid w:val="00AF65F2"/>
    <w:rsid w:val="00B02684"/>
    <w:rsid w:val="00B04206"/>
    <w:rsid w:val="00B1562D"/>
    <w:rsid w:val="00B240FE"/>
    <w:rsid w:val="00B26396"/>
    <w:rsid w:val="00B277DB"/>
    <w:rsid w:val="00B27811"/>
    <w:rsid w:val="00B3237E"/>
    <w:rsid w:val="00B350DA"/>
    <w:rsid w:val="00B365CB"/>
    <w:rsid w:val="00B41049"/>
    <w:rsid w:val="00B42F98"/>
    <w:rsid w:val="00B43D82"/>
    <w:rsid w:val="00B43E0D"/>
    <w:rsid w:val="00B45FD0"/>
    <w:rsid w:val="00B46948"/>
    <w:rsid w:val="00B473E0"/>
    <w:rsid w:val="00B515B2"/>
    <w:rsid w:val="00B5195A"/>
    <w:rsid w:val="00B53828"/>
    <w:rsid w:val="00B579F8"/>
    <w:rsid w:val="00B60553"/>
    <w:rsid w:val="00B6166B"/>
    <w:rsid w:val="00B6170D"/>
    <w:rsid w:val="00B62244"/>
    <w:rsid w:val="00B6292C"/>
    <w:rsid w:val="00B66B64"/>
    <w:rsid w:val="00B72DB9"/>
    <w:rsid w:val="00B739CD"/>
    <w:rsid w:val="00B80905"/>
    <w:rsid w:val="00B82F7D"/>
    <w:rsid w:val="00B853EF"/>
    <w:rsid w:val="00B87CC3"/>
    <w:rsid w:val="00B90B22"/>
    <w:rsid w:val="00B94BB1"/>
    <w:rsid w:val="00B94F57"/>
    <w:rsid w:val="00BA41C3"/>
    <w:rsid w:val="00BB278D"/>
    <w:rsid w:val="00BB64FE"/>
    <w:rsid w:val="00BC2B95"/>
    <w:rsid w:val="00BC2FF4"/>
    <w:rsid w:val="00BC489A"/>
    <w:rsid w:val="00BC4DD0"/>
    <w:rsid w:val="00BC5716"/>
    <w:rsid w:val="00BC7194"/>
    <w:rsid w:val="00BD0AD5"/>
    <w:rsid w:val="00BD1210"/>
    <w:rsid w:val="00BD1A54"/>
    <w:rsid w:val="00BD43D4"/>
    <w:rsid w:val="00BD5BE8"/>
    <w:rsid w:val="00BE3DF9"/>
    <w:rsid w:val="00BE720E"/>
    <w:rsid w:val="00BE7B4C"/>
    <w:rsid w:val="00BF08B4"/>
    <w:rsid w:val="00BF0987"/>
    <w:rsid w:val="00BF5358"/>
    <w:rsid w:val="00C03BDE"/>
    <w:rsid w:val="00C055C4"/>
    <w:rsid w:val="00C062B5"/>
    <w:rsid w:val="00C07CDB"/>
    <w:rsid w:val="00C105AC"/>
    <w:rsid w:val="00C12E82"/>
    <w:rsid w:val="00C13087"/>
    <w:rsid w:val="00C323FF"/>
    <w:rsid w:val="00C361A6"/>
    <w:rsid w:val="00C36807"/>
    <w:rsid w:val="00C424CB"/>
    <w:rsid w:val="00C43A43"/>
    <w:rsid w:val="00C45292"/>
    <w:rsid w:val="00C47E7C"/>
    <w:rsid w:val="00C61FEE"/>
    <w:rsid w:val="00C62FAE"/>
    <w:rsid w:val="00C6405F"/>
    <w:rsid w:val="00C73C6E"/>
    <w:rsid w:val="00C73CA5"/>
    <w:rsid w:val="00C76985"/>
    <w:rsid w:val="00C812C4"/>
    <w:rsid w:val="00C835B5"/>
    <w:rsid w:val="00C8783E"/>
    <w:rsid w:val="00C912F8"/>
    <w:rsid w:val="00C91D03"/>
    <w:rsid w:val="00C96A41"/>
    <w:rsid w:val="00CA1E74"/>
    <w:rsid w:val="00CA2665"/>
    <w:rsid w:val="00CB10C5"/>
    <w:rsid w:val="00CB13C1"/>
    <w:rsid w:val="00CC1217"/>
    <w:rsid w:val="00CC286C"/>
    <w:rsid w:val="00CC32FE"/>
    <w:rsid w:val="00CC42EE"/>
    <w:rsid w:val="00CC57D3"/>
    <w:rsid w:val="00CD1B5C"/>
    <w:rsid w:val="00CD3BC4"/>
    <w:rsid w:val="00CE481F"/>
    <w:rsid w:val="00CE7DFD"/>
    <w:rsid w:val="00CF3899"/>
    <w:rsid w:val="00D01DAB"/>
    <w:rsid w:val="00D026D3"/>
    <w:rsid w:val="00D03B0D"/>
    <w:rsid w:val="00D04B1A"/>
    <w:rsid w:val="00D073A0"/>
    <w:rsid w:val="00D14BE1"/>
    <w:rsid w:val="00D153CA"/>
    <w:rsid w:val="00D15B4E"/>
    <w:rsid w:val="00D21A87"/>
    <w:rsid w:val="00D233FD"/>
    <w:rsid w:val="00D30E95"/>
    <w:rsid w:val="00D32A56"/>
    <w:rsid w:val="00D44D7F"/>
    <w:rsid w:val="00D45F1B"/>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0A43"/>
    <w:rsid w:val="00DB3FF2"/>
    <w:rsid w:val="00DB6FB1"/>
    <w:rsid w:val="00DC35E0"/>
    <w:rsid w:val="00DC4194"/>
    <w:rsid w:val="00DD0912"/>
    <w:rsid w:val="00DD1784"/>
    <w:rsid w:val="00DD21CE"/>
    <w:rsid w:val="00DD5DC7"/>
    <w:rsid w:val="00DD659B"/>
    <w:rsid w:val="00DF069D"/>
    <w:rsid w:val="00DF0EB8"/>
    <w:rsid w:val="00DF2581"/>
    <w:rsid w:val="00DF25DE"/>
    <w:rsid w:val="00DF31CD"/>
    <w:rsid w:val="00DF77BA"/>
    <w:rsid w:val="00DF7E98"/>
    <w:rsid w:val="00E05287"/>
    <w:rsid w:val="00E065B6"/>
    <w:rsid w:val="00E14222"/>
    <w:rsid w:val="00E1426B"/>
    <w:rsid w:val="00E21B12"/>
    <w:rsid w:val="00E25C09"/>
    <w:rsid w:val="00E32050"/>
    <w:rsid w:val="00E333F7"/>
    <w:rsid w:val="00E33993"/>
    <w:rsid w:val="00E409AD"/>
    <w:rsid w:val="00E41338"/>
    <w:rsid w:val="00E52F18"/>
    <w:rsid w:val="00E534CA"/>
    <w:rsid w:val="00E559CB"/>
    <w:rsid w:val="00E5641E"/>
    <w:rsid w:val="00E56B27"/>
    <w:rsid w:val="00E60F4A"/>
    <w:rsid w:val="00E673C2"/>
    <w:rsid w:val="00E71656"/>
    <w:rsid w:val="00E741B8"/>
    <w:rsid w:val="00E80289"/>
    <w:rsid w:val="00E85E42"/>
    <w:rsid w:val="00E91AAF"/>
    <w:rsid w:val="00E9272A"/>
    <w:rsid w:val="00EA688D"/>
    <w:rsid w:val="00EA6C8E"/>
    <w:rsid w:val="00EB14D6"/>
    <w:rsid w:val="00EB2B50"/>
    <w:rsid w:val="00EB7C71"/>
    <w:rsid w:val="00EC365E"/>
    <w:rsid w:val="00EC5B29"/>
    <w:rsid w:val="00ED7947"/>
    <w:rsid w:val="00EE0F2C"/>
    <w:rsid w:val="00EE235F"/>
    <w:rsid w:val="00EE4815"/>
    <w:rsid w:val="00EF403B"/>
    <w:rsid w:val="00EF4CF2"/>
    <w:rsid w:val="00EF6E3E"/>
    <w:rsid w:val="00F0105D"/>
    <w:rsid w:val="00F1058A"/>
    <w:rsid w:val="00F17FC2"/>
    <w:rsid w:val="00F219CE"/>
    <w:rsid w:val="00F24CF4"/>
    <w:rsid w:val="00F25402"/>
    <w:rsid w:val="00F260AC"/>
    <w:rsid w:val="00F36313"/>
    <w:rsid w:val="00F370B1"/>
    <w:rsid w:val="00F37945"/>
    <w:rsid w:val="00F40240"/>
    <w:rsid w:val="00F500B5"/>
    <w:rsid w:val="00F60F5F"/>
    <w:rsid w:val="00F6697F"/>
    <w:rsid w:val="00F719A8"/>
    <w:rsid w:val="00F757E0"/>
    <w:rsid w:val="00F77204"/>
    <w:rsid w:val="00F82D32"/>
    <w:rsid w:val="00F84256"/>
    <w:rsid w:val="00F84C01"/>
    <w:rsid w:val="00F858EC"/>
    <w:rsid w:val="00F913D3"/>
    <w:rsid w:val="00F93FF3"/>
    <w:rsid w:val="00FA46EF"/>
    <w:rsid w:val="00FA57C5"/>
    <w:rsid w:val="00FA619F"/>
    <w:rsid w:val="00FB548B"/>
    <w:rsid w:val="00FC0B83"/>
    <w:rsid w:val="00FC2E50"/>
    <w:rsid w:val="00FC42A4"/>
    <w:rsid w:val="00FE1A58"/>
    <w:rsid w:val="00FE3514"/>
    <w:rsid w:val="00FE715B"/>
    <w:rsid w:val="00FE7E24"/>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4.1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80.04.2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4.130" TargetMode="External"/><Relationship Id="rId5" Type="http://schemas.openxmlformats.org/officeDocument/2006/relationships/numbering" Target="numbering.xml"/><Relationship Id="rId15" Type="http://schemas.openxmlformats.org/officeDocument/2006/relationships/hyperlink" Target="http://apps.leg.wa.gov/RCW/default.aspx?cite=81.20"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04.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2011-01-13T08:00:00+00:00</OpenedDate>
    <Date1 xmlns="dc463f71-b30c-4ab2-9473-d307f9d35888">2011-02-28T08:00:00+00:00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110103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475E8BBC79534DA46EDA2DF9BA467F" ma:contentTypeVersion="143" ma:contentTypeDescription="" ma:contentTypeScope="" ma:versionID="33d405cb9056e5e1ad70b193f4423d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1EF98-7980-4FF3-9C85-271216455D2F}"/>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14E7A614-30F9-4197-AB95-1A9C279F8038}"/>
</file>

<file path=customXml/itemProps5.xml><?xml version="1.0" encoding="utf-8"?>
<ds:datastoreItem xmlns:ds="http://schemas.openxmlformats.org/officeDocument/2006/customXml" ds:itemID="{B785C0DB-DF0C-491E-9799-6FBF4130B1AD}"/>
</file>

<file path=docProps/app.xml><?xml version="1.0" encoding="utf-8"?>
<Properties xmlns="http://schemas.openxmlformats.org/officeDocument/2006/extended-properties" xmlns:vt="http://schemas.openxmlformats.org/officeDocument/2006/docPropsVTypes">
  <Template>Exemption from Rule (Solid Waste)</Template>
  <TotalTime>0</TotalTime>
  <Pages>10</Pages>
  <Words>2786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TG-110103 Order 01</vt:lpstr>
    </vt:vector>
  </TitlesOfParts>
  <Company>WUTC</Company>
  <LinksUpToDate>false</LinksUpToDate>
  <CharactersWithSpaces>18461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TG-110103 Order 01</dc:title>
  <dc:creator>D Gomez</dc:creator>
  <cp:lastModifiedBy>Lisa Wyse, Records Manager</cp:lastModifiedBy>
  <cp:revision>2</cp:revision>
  <cp:lastPrinted>2011-02-18T18:55:00Z</cp:lastPrinted>
  <dcterms:created xsi:type="dcterms:W3CDTF">2011-02-26T00:28:00Z</dcterms:created>
  <dcterms:modified xsi:type="dcterms:W3CDTF">2011-02-26T00:28:00Z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0x0101006E56B4D1795A2E4DB2F0B01679ED314A00A6475E8BBC79534DA46EDA2DF9BA467F</vt:lpwstr>
  </property>
  <property fmtid="{D5CDD505-2E9C-101B-9397-08002B2CF9AE}" pid="3" name="_docset_NoMedatataSyncRequired">
    <vt:lpwstr>False</vt:lpwstr>
  </property>
</Properties>
</file>