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934" w:rsidRPr="006B7825" w:rsidRDefault="00D43934" w:rsidP="00D43934">
      <w:pPr>
        <w:pStyle w:val="plain"/>
        <w:jc w:val="right"/>
        <w:rPr>
          <w:sz w:val="24"/>
          <w:szCs w:val="24"/>
        </w:rPr>
      </w:pPr>
      <w:r>
        <w:rPr>
          <w:sz w:val="24"/>
          <w:szCs w:val="24"/>
        </w:rPr>
        <w:t>Puget Sound Energy</w:t>
      </w:r>
      <w:r w:rsidR="00F77054">
        <w:rPr>
          <w:sz w:val="24"/>
          <w:szCs w:val="24"/>
        </w:rPr>
        <w:t>, Inc</w:t>
      </w:r>
      <w:proofErr w:type="gramStart"/>
      <w:r w:rsidR="00F77054">
        <w:rPr>
          <w:sz w:val="24"/>
          <w:szCs w:val="24"/>
        </w:rPr>
        <w:t>.</w:t>
      </w:r>
      <w:proofErr w:type="gramEnd"/>
      <w:r>
        <w:rPr>
          <w:sz w:val="24"/>
          <w:szCs w:val="24"/>
        </w:rPr>
        <w:br/>
        <w:t xml:space="preserve">Exhibit </w:t>
      </w:r>
      <w:r w:rsidR="008B2159">
        <w:rPr>
          <w:sz w:val="24"/>
          <w:szCs w:val="24"/>
        </w:rPr>
        <w:t>B</w:t>
      </w:r>
      <w:r>
        <w:rPr>
          <w:sz w:val="24"/>
          <w:szCs w:val="24"/>
        </w:rPr>
        <w:t xml:space="preserve"> – PROPOSED ORDER</w:t>
      </w:r>
    </w:p>
    <w:p w:rsidR="00D43934" w:rsidRDefault="00D43934" w:rsidP="00D43934">
      <w:pPr>
        <w:pStyle w:val="plain"/>
        <w:tabs>
          <w:tab w:val="right" w:pos="8820"/>
        </w:tabs>
        <w:spacing w:before="240"/>
        <w:jc w:val="center"/>
        <w:rPr>
          <w:b/>
          <w:sz w:val="24"/>
          <w:szCs w:val="24"/>
        </w:rPr>
      </w:pPr>
    </w:p>
    <w:p w:rsidR="001534CB" w:rsidRPr="00D16FAF" w:rsidRDefault="001534CB" w:rsidP="00D43934">
      <w:pPr>
        <w:pStyle w:val="plain"/>
        <w:tabs>
          <w:tab w:val="right" w:pos="8820"/>
        </w:tabs>
        <w:spacing w:before="240"/>
        <w:jc w:val="center"/>
        <w:rPr>
          <w:b/>
          <w:sz w:val="24"/>
          <w:szCs w:val="24"/>
        </w:rPr>
      </w:pPr>
      <w:r w:rsidRPr="00D16FAF">
        <w:rPr>
          <w:b/>
          <w:sz w:val="24"/>
          <w:szCs w:val="24"/>
        </w:rPr>
        <w:t xml:space="preserve">BEFORE THE </w:t>
      </w:r>
      <w:r w:rsidRPr="00D16FAF">
        <w:rPr>
          <w:b/>
          <w:sz w:val="24"/>
          <w:szCs w:val="24"/>
        </w:rPr>
        <w:br/>
        <w:t>WASHINGTON UTILITIES &amp; TRANSPORTATION COMMISSION</w:t>
      </w:r>
    </w:p>
    <w:tbl>
      <w:tblPr>
        <w:tblW w:w="9540" w:type="dxa"/>
        <w:tblLayout w:type="fixed"/>
        <w:tblCellMar>
          <w:left w:w="0" w:type="dxa"/>
          <w:right w:w="0" w:type="dxa"/>
        </w:tblCellMar>
        <w:tblLook w:val="0000"/>
      </w:tblPr>
      <w:tblGrid>
        <w:gridCol w:w="4770"/>
        <w:gridCol w:w="4770"/>
      </w:tblGrid>
      <w:tr w:rsidR="001534CB" w:rsidRPr="00D16FAF" w:rsidTr="00DB604C">
        <w:tblPrEx>
          <w:tblCellMar>
            <w:top w:w="0" w:type="dxa"/>
            <w:left w:w="0" w:type="dxa"/>
            <w:bottom w:w="0" w:type="dxa"/>
            <w:right w:w="0" w:type="dxa"/>
          </w:tblCellMar>
        </w:tblPrEx>
        <w:trPr>
          <w:cantSplit/>
        </w:trPr>
        <w:tc>
          <w:tcPr>
            <w:tcW w:w="4770" w:type="dxa"/>
            <w:tcBorders>
              <w:bottom w:val="single" w:sz="6" w:space="0" w:color="auto"/>
              <w:right w:val="single" w:sz="6" w:space="0" w:color="auto"/>
            </w:tcBorders>
          </w:tcPr>
          <w:p w:rsidR="001534CB" w:rsidRPr="00D16FAF" w:rsidRDefault="001534CB" w:rsidP="003B7B08">
            <w:pPr>
              <w:pStyle w:val="plain"/>
              <w:tabs>
                <w:tab w:val="left" w:pos="720"/>
                <w:tab w:val="left" w:pos="2160"/>
              </w:tabs>
              <w:spacing w:before="240" w:after="240"/>
              <w:rPr>
                <w:sz w:val="24"/>
                <w:szCs w:val="24"/>
              </w:rPr>
            </w:pPr>
            <w:r w:rsidRPr="00D16FAF">
              <w:rPr>
                <w:sz w:val="24"/>
                <w:szCs w:val="24"/>
              </w:rPr>
              <w:t>In the Matter of the Petition of</w:t>
            </w:r>
            <w:r w:rsidRPr="00D16FAF">
              <w:rPr>
                <w:sz w:val="24"/>
                <w:szCs w:val="24"/>
              </w:rPr>
              <w:br/>
            </w:r>
            <w:r w:rsidRPr="00D16FAF">
              <w:rPr>
                <w:sz w:val="24"/>
                <w:szCs w:val="24"/>
              </w:rPr>
              <w:br/>
              <w:t>PUGET SOUND ENERGY, INC.</w:t>
            </w:r>
            <w:r w:rsidRPr="00D16FAF">
              <w:rPr>
                <w:sz w:val="24"/>
                <w:szCs w:val="24"/>
              </w:rPr>
              <w:br/>
            </w:r>
            <w:r w:rsidRPr="00D16FAF">
              <w:rPr>
                <w:sz w:val="24"/>
                <w:szCs w:val="24"/>
              </w:rPr>
              <w:br/>
            </w:r>
            <w:r w:rsidR="00DB604C" w:rsidRPr="00D16FAF">
              <w:rPr>
                <w:sz w:val="24"/>
                <w:szCs w:val="24"/>
              </w:rPr>
              <w:t xml:space="preserve">For an Accounting Order Authorizing Deferral Accounting Treatment of Costs Associated with </w:t>
            </w:r>
            <w:r w:rsidR="00DB604C">
              <w:rPr>
                <w:sz w:val="24"/>
                <w:szCs w:val="24"/>
              </w:rPr>
              <w:t xml:space="preserve">Transmission Network Upgrades To Meet Transmission Capacity Needs of the Region and Serve the </w:t>
            </w:r>
            <w:r w:rsidR="00DB604C" w:rsidRPr="00D16FAF">
              <w:rPr>
                <w:sz w:val="24"/>
                <w:szCs w:val="24"/>
              </w:rPr>
              <w:t>Lower Snake River Wind Project</w:t>
            </w:r>
          </w:p>
        </w:tc>
        <w:tc>
          <w:tcPr>
            <w:tcW w:w="4770" w:type="dxa"/>
          </w:tcPr>
          <w:p w:rsidR="001534CB" w:rsidRPr="00D16FAF" w:rsidRDefault="001534CB">
            <w:pPr>
              <w:pStyle w:val="plain"/>
              <w:spacing w:before="240"/>
              <w:ind w:left="360"/>
              <w:rPr>
                <w:sz w:val="24"/>
                <w:szCs w:val="24"/>
              </w:rPr>
            </w:pPr>
            <w:r w:rsidRPr="00D16FAF">
              <w:rPr>
                <w:sz w:val="24"/>
                <w:szCs w:val="24"/>
              </w:rPr>
              <w:br/>
              <w:t xml:space="preserve">Docket No. </w:t>
            </w:r>
            <w:r w:rsidR="00C05462" w:rsidRPr="00D16FAF">
              <w:rPr>
                <w:sz w:val="24"/>
                <w:szCs w:val="24"/>
              </w:rPr>
              <w:t>U</w:t>
            </w:r>
            <w:r w:rsidR="00EE61E4" w:rsidRPr="00D16FAF">
              <w:rPr>
                <w:sz w:val="24"/>
                <w:szCs w:val="24"/>
              </w:rPr>
              <w:t>E</w:t>
            </w:r>
            <w:r w:rsidR="00C05462" w:rsidRPr="00D16FAF">
              <w:rPr>
                <w:sz w:val="24"/>
                <w:szCs w:val="24"/>
              </w:rPr>
              <w:t>-</w:t>
            </w:r>
            <w:r w:rsidR="00784AC2" w:rsidRPr="00D16FAF">
              <w:rPr>
                <w:sz w:val="24"/>
                <w:szCs w:val="24"/>
              </w:rPr>
              <w:t>10</w:t>
            </w:r>
            <w:r w:rsidR="00D43934">
              <w:rPr>
                <w:sz w:val="24"/>
                <w:szCs w:val="24"/>
              </w:rPr>
              <w:t>____</w:t>
            </w:r>
            <w:r w:rsidR="00C05462" w:rsidRPr="00D16FAF">
              <w:rPr>
                <w:sz w:val="24"/>
                <w:szCs w:val="24"/>
              </w:rPr>
              <w:br/>
            </w:r>
            <w:r w:rsidRPr="00D16FAF">
              <w:rPr>
                <w:sz w:val="24"/>
                <w:szCs w:val="24"/>
              </w:rPr>
              <w:br/>
            </w:r>
            <w:r w:rsidR="00D43934">
              <w:rPr>
                <w:sz w:val="24"/>
                <w:szCs w:val="24"/>
              </w:rPr>
              <w:t>ORDER (PROPOSED)</w:t>
            </w:r>
          </w:p>
        </w:tc>
      </w:tr>
    </w:tbl>
    <w:p w:rsidR="0062128B" w:rsidRPr="0062128B" w:rsidRDefault="0062128B" w:rsidP="0062128B"/>
    <w:p w:rsidR="00A22C13" w:rsidRPr="009551AA" w:rsidRDefault="00A22C13" w:rsidP="00A22C13">
      <w:pPr>
        <w:pStyle w:val="NormalWeb"/>
        <w:spacing w:before="0" w:beforeAutospacing="0" w:after="0" w:afterAutospacing="0" w:line="480" w:lineRule="auto"/>
        <w:ind w:firstLine="720"/>
      </w:pPr>
      <w:r w:rsidRPr="00D16FAF">
        <w:fldChar w:fldCharType="begin"/>
      </w:r>
      <w:r w:rsidRPr="00D16FAF">
        <w:instrText xml:space="preserve"> AUTONUM </w:instrText>
      </w:r>
      <w:r w:rsidRPr="00D16FAF">
        <w:fldChar w:fldCharType="end"/>
      </w:r>
      <w:r w:rsidRPr="00D16FAF">
        <w:tab/>
      </w:r>
      <w:r>
        <w:t xml:space="preserve">On May </w:t>
      </w:r>
      <w:r w:rsidR="00B12725">
        <w:t>20</w:t>
      </w:r>
      <w:r>
        <w:t xml:space="preserve">, 2010, </w:t>
      </w:r>
      <w:r w:rsidRPr="009551AA">
        <w:t>Puget Sound Energy, Inc. (</w:t>
      </w:r>
      <w:r>
        <w:t>“</w:t>
      </w:r>
      <w:r w:rsidRPr="009551AA">
        <w:t>PSE</w:t>
      </w:r>
      <w:r>
        <w:t>”</w:t>
      </w:r>
      <w:r w:rsidRPr="009551AA">
        <w:t xml:space="preserve">) </w:t>
      </w:r>
      <w:r>
        <w:t>filed a petition requesting that the Commission issue</w:t>
      </w:r>
      <w:r w:rsidRPr="009551AA">
        <w:t xml:space="preserve"> an order </w:t>
      </w:r>
      <w:r>
        <w:t xml:space="preserve">authorizing </w:t>
      </w:r>
      <w:r w:rsidRPr="009551AA">
        <w:t xml:space="preserve">cost deferral accounting treatment related to prepayments made to </w:t>
      </w:r>
      <w:r>
        <w:t>the Bonneville Power Administration (“</w:t>
      </w:r>
      <w:r w:rsidRPr="009551AA">
        <w:t>BPA</w:t>
      </w:r>
      <w:r>
        <w:t>”)</w:t>
      </w:r>
      <w:r w:rsidRPr="009551AA">
        <w:t xml:space="preserve"> </w:t>
      </w:r>
      <w:r>
        <w:t xml:space="preserve">by PSE </w:t>
      </w:r>
      <w:r w:rsidRPr="009551AA">
        <w:t xml:space="preserve">to </w:t>
      </w:r>
      <w:r>
        <w:t xml:space="preserve">construct </w:t>
      </w:r>
      <w:r w:rsidRPr="009551AA">
        <w:t xml:space="preserve">the new Central Ferry Substation and </w:t>
      </w:r>
      <w:r>
        <w:t xml:space="preserve">certain </w:t>
      </w:r>
      <w:r w:rsidRPr="009551AA">
        <w:t xml:space="preserve">transmission </w:t>
      </w:r>
      <w:r w:rsidR="00B5774E">
        <w:t>N</w:t>
      </w:r>
      <w:r w:rsidRPr="009551AA">
        <w:t xml:space="preserve">etwork </w:t>
      </w:r>
      <w:r w:rsidR="00B5774E">
        <w:t>U</w:t>
      </w:r>
      <w:r w:rsidRPr="009551AA">
        <w:t>pgrades</w:t>
      </w:r>
      <w:r w:rsidR="00B5774E">
        <w:rPr>
          <w:rStyle w:val="FootnoteReference"/>
        </w:rPr>
        <w:footnoteReference w:id="1"/>
      </w:r>
      <w:r w:rsidR="00B5774E" w:rsidRPr="009551AA">
        <w:t xml:space="preserve"> </w:t>
      </w:r>
      <w:r>
        <w:t xml:space="preserve">required to </w:t>
      </w:r>
      <w:r w:rsidR="00991208">
        <w:t>meet the</w:t>
      </w:r>
      <w:r w:rsidR="00B5774E">
        <w:t xml:space="preserve"> transmission</w:t>
      </w:r>
      <w:r w:rsidR="00991208">
        <w:t xml:space="preserve"> capacity needs of the region and to serve the </w:t>
      </w:r>
      <w:r w:rsidRPr="009551AA">
        <w:t>Lower Snake River Wind Project</w:t>
      </w:r>
      <w:r>
        <w:t>.</w:t>
      </w:r>
      <w:r w:rsidRPr="009551AA">
        <w:t xml:space="preserve">  </w:t>
      </w:r>
      <w:r>
        <w:t xml:space="preserve">PSE stated that </w:t>
      </w:r>
      <w:r w:rsidRPr="009551AA">
        <w:t xml:space="preserve">BPA will </w:t>
      </w:r>
      <w:r>
        <w:t>return</w:t>
      </w:r>
      <w:r w:rsidRPr="009551AA">
        <w:t xml:space="preserve"> </w:t>
      </w:r>
      <w:r>
        <w:t xml:space="preserve">to </w:t>
      </w:r>
      <w:r w:rsidRPr="009551AA">
        <w:t xml:space="preserve">PSE </w:t>
      </w:r>
      <w:r w:rsidR="00B5774E">
        <w:t>the</w:t>
      </w:r>
      <w:r>
        <w:t xml:space="preserve"> prepayments related to </w:t>
      </w:r>
      <w:r w:rsidRPr="009551AA">
        <w:t xml:space="preserve">the </w:t>
      </w:r>
      <w:r w:rsidR="00B5774E">
        <w:t>N</w:t>
      </w:r>
      <w:r w:rsidRPr="009551AA">
        <w:t xml:space="preserve">etwork </w:t>
      </w:r>
      <w:r w:rsidR="00B5774E">
        <w:t>U</w:t>
      </w:r>
      <w:r w:rsidRPr="009551AA">
        <w:t xml:space="preserve">pgrade </w:t>
      </w:r>
      <w:r>
        <w:t xml:space="preserve">facilities, </w:t>
      </w:r>
      <w:r w:rsidRPr="009551AA">
        <w:t>plus interest</w:t>
      </w:r>
      <w:r>
        <w:t>,</w:t>
      </w:r>
      <w:r w:rsidRPr="009551AA">
        <w:t xml:space="preserve"> </w:t>
      </w:r>
      <w:r>
        <w:t xml:space="preserve">by providing </w:t>
      </w:r>
      <w:r w:rsidRPr="009551AA">
        <w:t xml:space="preserve">a monthly credit to PSE’s </w:t>
      </w:r>
      <w:r>
        <w:t xml:space="preserve">future </w:t>
      </w:r>
      <w:r w:rsidRPr="009551AA">
        <w:t xml:space="preserve">transmission bill </w:t>
      </w:r>
      <w:r>
        <w:t xml:space="preserve">in an amount </w:t>
      </w:r>
      <w:r w:rsidRPr="009551AA">
        <w:t xml:space="preserve">equal to the point-to-point transmission tariff expenses associated with </w:t>
      </w:r>
      <w:r>
        <w:t xml:space="preserve">the </w:t>
      </w:r>
      <w:r w:rsidR="00CB71B2">
        <w:t xml:space="preserve">use of the </w:t>
      </w:r>
      <w:r w:rsidR="00B5774E">
        <w:lastRenderedPageBreak/>
        <w:t>Interconnection F</w:t>
      </w:r>
      <w:r w:rsidR="00991208">
        <w:t>acilities</w:t>
      </w:r>
      <w:r w:rsidR="00B5774E">
        <w:rPr>
          <w:rStyle w:val="FootnoteReference"/>
        </w:rPr>
        <w:footnoteReference w:id="2"/>
      </w:r>
      <w:r w:rsidR="00991208">
        <w:t xml:space="preserve"> and </w:t>
      </w:r>
      <w:r w:rsidR="00EE0367">
        <w:t>Network Upgrades</w:t>
      </w:r>
      <w:r w:rsidR="00CB71B2" w:rsidRPr="009551AA">
        <w:t xml:space="preserve">.  </w:t>
      </w:r>
      <w:r w:rsidRPr="009551AA">
        <w:t>PSE</w:t>
      </w:r>
      <w:r>
        <w:t xml:space="preserve"> further requested</w:t>
      </w:r>
      <w:r w:rsidRPr="009551AA">
        <w:t xml:space="preserve"> that the Commission issue the requested order c</w:t>
      </w:r>
      <w:r>
        <w:t>ommencing as of the date of PSE's</w:t>
      </w:r>
      <w:r w:rsidRPr="009551AA">
        <w:t xml:space="preserve"> filing</w:t>
      </w:r>
      <w:r>
        <w:t xml:space="preserve">, May </w:t>
      </w:r>
      <w:r w:rsidR="00B12725">
        <w:t>20</w:t>
      </w:r>
      <w:r>
        <w:t>, 2010</w:t>
      </w:r>
      <w:r w:rsidRPr="009551AA">
        <w:t>.</w:t>
      </w:r>
    </w:p>
    <w:p w:rsidR="00A22C13" w:rsidRPr="00D16FAF" w:rsidRDefault="00A22C13" w:rsidP="00A22C13">
      <w:pPr>
        <w:spacing w:line="480" w:lineRule="auto"/>
        <w:rPr>
          <w:b/>
          <w:sz w:val="24"/>
          <w:szCs w:val="24"/>
        </w:rPr>
      </w:pPr>
      <w:r w:rsidRPr="00617AD9">
        <w:rPr>
          <w:sz w:val="24"/>
          <w:szCs w:val="24"/>
        </w:rPr>
        <w:fldChar w:fldCharType="begin"/>
      </w:r>
      <w:r w:rsidRPr="00617AD9">
        <w:rPr>
          <w:sz w:val="24"/>
          <w:szCs w:val="24"/>
        </w:rPr>
        <w:instrText xml:space="preserve"> AUTONUM </w:instrText>
      </w:r>
      <w:r w:rsidRPr="00617AD9">
        <w:rPr>
          <w:sz w:val="24"/>
          <w:szCs w:val="24"/>
        </w:rPr>
        <w:fldChar w:fldCharType="end"/>
      </w:r>
      <w:r w:rsidRPr="00617AD9">
        <w:rPr>
          <w:sz w:val="24"/>
          <w:szCs w:val="24"/>
        </w:rPr>
        <w:tab/>
        <w:t>PSE reques</w:t>
      </w:r>
      <w:r>
        <w:rPr>
          <w:sz w:val="24"/>
          <w:szCs w:val="24"/>
        </w:rPr>
        <w:t>ted</w:t>
      </w:r>
      <w:r w:rsidRPr="00617AD9">
        <w:rPr>
          <w:sz w:val="24"/>
          <w:szCs w:val="24"/>
        </w:rPr>
        <w:t xml:space="preserve"> in </w:t>
      </w:r>
      <w:r>
        <w:rPr>
          <w:sz w:val="24"/>
          <w:szCs w:val="24"/>
        </w:rPr>
        <w:t>its</w:t>
      </w:r>
      <w:r w:rsidRPr="00617AD9">
        <w:rPr>
          <w:sz w:val="24"/>
          <w:szCs w:val="24"/>
        </w:rPr>
        <w:t xml:space="preserve"> Petition that the Commission approve:  (1) the creation of a regulatory asset account for the prepayments made to BPA associated with the </w:t>
      </w:r>
      <w:r w:rsidR="00EE0367">
        <w:rPr>
          <w:sz w:val="24"/>
          <w:szCs w:val="24"/>
        </w:rPr>
        <w:t>Network Upgrades</w:t>
      </w:r>
      <w:r w:rsidRPr="00617AD9">
        <w:rPr>
          <w:sz w:val="24"/>
          <w:szCs w:val="24"/>
        </w:rPr>
        <w:t xml:space="preserve">, and (2) the monthly booking of carrying charges on that regulatory asset at PSE’s approved net of tax rate of return.  </w:t>
      </w:r>
      <w:r>
        <w:rPr>
          <w:sz w:val="24"/>
          <w:szCs w:val="24"/>
        </w:rPr>
        <w:t xml:space="preserve">PSE states that the required payment to BPA for the </w:t>
      </w:r>
      <w:r w:rsidR="00EE0367">
        <w:rPr>
          <w:sz w:val="24"/>
          <w:szCs w:val="24"/>
        </w:rPr>
        <w:t>Interconnection Facilities</w:t>
      </w:r>
      <w:r w:rsidR="00991208">
        <w:rPr>
          <w:sz w:val="24"/>
          <w:szCs w:val="24"/>
        </w:rPr>
        <w:t xml:space="preserve"> and </w:t>
      </w:r>
      <w:r w:rsidR="00EE0367">
        <w:rPr>
          <w:sz w:val="24"/>
          <w:szCs w:val="24"/>
        </w:rPr>
        <w:t>Network Upgrade</w:t>
      </w:r>
      <w:r w:rsidR="00991208">
        <w:rPr>
          <w:sz w:val="24"/>
          <w:szCs w:val="24"/>
        </w:rPr>
        <w:t>s</w:t>
      </w:r>
      <w:r>
        <w:rPr>
          <w:sz w:val="24"/>
          <w:szCs w:val="24"/>
        </w:rPr>
        <w:t xml:space="preserve"> is</w:t>
      </w:r>
      <w:r w:rsidRPr="00777AEB">
        <w:rPr>
          <w:sz w:val="24"/>
          <w:szCs w:val="24"/>
        </w:rPr>
        <w:t xml:space="preserve"> </w:t>
      </w:r>
      <w:r w:rsidR="00F06F62">
        <w:rPr>
          <w:sz w:val="24"/>
          <w:szCs w:val="24"/>
        </w:rPr>
        <w:t>similar to</w:t>
      </w:r>
      <w:r w:rsidR="00F06F62" w:rsidRPr="00617AD9">
        <w:rPr>
          <w:sz w:val="24"/>
          <w:szCs w:val="24"/>
        </w:rPr>
        <w:t xml:space="preserve"> </w:t>
      </w:r>
      <w:r>
        <w:rPr>
          <w:sz w:val="24"/>
          <w:szCs w:val="24"/>
        </w:rPr>
        <w:t>the</w:t>
      </w:r>
      <w:r w:rsidRPr="00617AD9">
        <w:rPr>
          <w:sz w:val="24"/>
          <w:szCs w:val="24"/>
        </w:rPr>
        <w:t xml:space="preserve"> prepayments made to BPA on PSE’s Hopkins Ridge Wind Project</w:t>
      </w:r>
      <w:r>
        <w:rPr>
          <w:sz w:val="24"/>
          <w:szCs w:val="24"/>
        </w:rPr>
        <w:t>,</w:t>
      </w:r>
      <w:r w:rsidRPr="00617AD9">
        <w:rPr>
          <w:sz w:val="24"/>
          <w:szCs w:val="24"/>
        </w:rPr>
        <w:t xml:space="preserve"> which was </w:t>
      </w:r>
      <w:r>
        <w:rPr>
          <w:sz w:val="24"/>
          <w:szCs w:val="24"/>
        </w:rPr>
        <w:t>allowed for recovery in</w:t>
      </w:r>
      <w:r w:rsidRPr="00617AD9">
        <w:rPr>
          <w:sz w:val="24"/>
          <w:szCs w:val="24"/>
        </w:rPr>
        <w:t xml:space="preserve"> WUTC Docket No. </w:t>
      </w:r>
      <w:proofErr w:type="gramStart"/>
      <w:r w:rsidRPr="00617AD9">
        <w:rPr>
          <w:sz w:val="24"/>
          <w:szCs w:val="24"/>
        </w:rPr>
        <w:t>UE-050870.</w:t>
      </w:r>
      <w:proofErr w:type="gramEnd"/>
      <w:r>
        <w:rPr>
          <w:sz w:val="24"/>
          <w:szCs w:val="24"/>
        </w:rPr>
        <w:t xml:space="preserve"> </w:t>
      </w:r>
      <w:r w:rsidRPr="00617AD9">
        <w:rPr>
          <w:sz w:val="24"/>
          <w:szCs w:val="24"/>
        </w:rPr>
        <w:t xml:space="preserve"> </w:t>
      </w:r>
      <w:r>
        <w:rPr>
          <w:sz w:val="24"/>
          <w:szCs w:val="24"/>
        </w:rPr>
        <w:t xml:space="preserve">PSE states that </w:t>
      </w:r>
      <w:r w:rsidR="00CB71B2">
        <w:rPr>
          <w:sz w:val="24"/>
          <w:szCs w:val="24"/>
        </w:rPr>
        <w:t>t</w:t>
      </w:r>
      <w:r w:rsidR="00CB71B2" w:rsidRPr="00617AD9">
        <w:rPr>
          <w:sz w:val="24"/>
          <w:szCs w:val="24"/>
        </w:rPr>
        <w:t>he prepayment</w:t>
      </w:r>
      <w:r w:rsidR="00EE0367">
        <w:rPr>
          <w:sz w:val="24"/>
          <w:szCs w:val="24"/>
        </w:rPr>
        <w:t>s PSE made and will make to BPA</w:t>
      </w:r>
      <w:r w:rsidR="00CB71B2">
        <w:rPr>
          <w:sz w:val="24"/>
          <w:szCs w:val="24"/>
        </w:rPr>
        <w:t xml:space="preserve"> are</w:t>
      </w:r>
      <w:r w:rsidR="00CB71B2" w:rsidRPr="00617AD9">
        <w:rPr>
          <w:sz w:val="24"/>
          <w:szCs w:val="24"/>
        </w:rPr>
        <w:t xml:space="preserve"> </w:t>
      </w:r>
      <w:r w:rsidR="00CB71B2">
        <w:rPr>
          <w:sz w:val="24"/>
          <w:szCs w:val="24"/>
        </w:rPr>
        <w:t>being</w:t>
      </w:r>
      <w:r w:rsidR="00CB71B2" w:rsidRPr="00617AD9">
        <w:rPr>
          <w:sz w:val="24"/>
          <w:szCs w:val="24"/>
        </w:rPr>
        <w:t xml:space="preserve"> made further in advance of the </w:t>
      </w:r>
      <w:r w:rsidR="00CB71B2">
        <w:rPr>
          <w:sz w:val="24"/>
          <w:szCs w:val="24"/>
        </w:rPr>
        <w:t xml:space="preserve">Lower Snake River Wind </w:t>
      </w:r>
      <w:r w:rsidR="00CB71B2" w:rsidRPr="00617AD9">
        <w:rPr>
          <w:sz w:val="24"/>
          <w:szCs w:val="24"/>
        </w:rPr>
        <w:t>Project’s commercial in-service date than was the case for PSE’s Hopkins Ridge Wind Project due to the size</w:t>
      </w:r>
      <w:proofErr w:type="gramStart"/>
      <w:r w:rsidR="00EE0367">
        <w:rPr>
          <w:sz w:val="24"/>
          <w:szCs w:val="24"/>
        </w:rPr>
        <w:t xml:space="preserve">, </w:t>
      </w:r>
      <w:r w:rsidR="00CB71B2" w:rsidRPr="00617AD9">
        <w:rPr>
          <w:sz w:val="24"/>
          <w:szCs w:val="24"/>
        </w:rPr>
        <w:t xml:space="preserve"> scope</w:t>
      </w:r>
      <w:proofErr w:type="gramEnd"/>
      <w:r w:rsidR="00CB71B2" w:rsidRPr="00617AD9">
        <w:rPr>
          <w:sz w:val="24"/>
          <w:szCs w:val="24"/>
        </w:rPr>
        <w:t xml:space="preserve"> and construction schedule of necessary BPA </w:t>
      </w:r>
      <w:r w:rsidR="00EE0367">
        <w:rPr>
          <w:sz w:val="24"/>
          <w:szCs w:val="24"/>
        </w:rPr>
        <w:t>Interconnection Facilities</w:t>
      </w:r>
      <w:r w:rsidR="00991208">
        <w:rPr>
          <w:sz w:val="24"/>
          <w:szCs w:val="24"/>
        </w:rPr>
        <w:t xml:space="preserve"> and </w:t>
      </w:r>
      <w:r w:rsidR="00EE0367">
        <w:rPr>
          <w:sz w:val="24"/>
          <w:szCs w:val="24"/>
        </w:rPr>
        <w:t>Network Upgrade</w:t>
      </w:r>
      <w:r w:rsidR="00991208">
        <w:rPr>
          <w:sz w:val="24"/>
          <w:szCs w:val="24"/>
        </w:rPr>
        <w:t>s</w:t>
      </w:r>
      <w:r w:rsidR="00991208" w:rsidRPr="00617AD9">
        <w:rPr>
          <w:sz w:val="24"/>
          <w:szCs w:val="24"/>
        </w:rPr>
        <w:t xml:space="preserve">.  </w:t>
      </w:r>
      <w:r w:rsidR="00991208">
        <w:rPr>
          <w:sz w:val="24"/>
          <w:szCs w:val="24"/>
        </w:rPr>
        <w:t>For the</w:t>
      </w:r>
      <w:r w:rsidR="00991208" w:rsidRPr="00617AD9">
        <w:rPr>
          <w:sz w:val="24"/>
          <w:szCs w:val="24"/>
        </w:rPr>
        <w:t xml:space="preserve"> </w:t>
      </w:r>
      <w:r w:rsidR="00EE0367">
        <w:rPr>
          <w:sz w:val="24"/>
          <w:szCs w:val="24"/>
        </w:rPr>
        <w:t>Interconnection Facilities</w:t>
      </w:r>
      <w:r w:rsidR="00991208">
        <w:rPr>
          <w:sz w:val="24"/>
          <w:szCs w:val="24"/>
        </w:rPr>
        <w:t xml:space="preserve"> and </w:t>
      </w:r>
      <w:r w:rsidR="00EE0367">
        <w:rPr>
          <w:sz w:val="24"/>
          <w:szCs w:val="24"/>
        </w:rPr>
        <w:t>Network Upgrade</w:t>
      </w:r>
      <w:r w:rsidR="00991208">
        <w:rPr>
          <w:sz w:val="24"/>
          <w:szCs w:val="24"/>
        </w:rPr>
        <w:t>s associated with</w:t>
      </w:r>
      <w:r w:rsidR="00991208" w:rsidRPr="00617AD9">
        <w:rPr>
          <w:sz w:val="24"/>
          <w:szCs w:val="24"/>
        </w:rPr>
        <w:t xml:space="preserve"> </w:t>
      </w:r>
      <w:r w:rsidRPr="00617AD9">
        <w:rPr>
          <w:sz w:val="24"/>
          <w:szCs w:val="24"/>
        </w:rPr>
        <w:t>the Lower Snake River Wind Project</w:t>
      </w:r>
      <w:r w:rsidR="00991208">
        <w:rPr>
          <w:sz w:val="24"/>
          <w:szCs w:val="24"/>
        </w:rPr>
        <w:t>,</w:t>
      </w:r>
      <w:r w:rsidR="00991208" w:rsidRPr="00617AD9">
        <w:rPr>
          <w:sz w:val="24"/>
          <w:szCs w:val="24"/>
        </w:rPr>
        <w:t xml:space="preserve"> </w:t>
      </w:r>
      <w:r w:rsidR="00991208">
        <w:rPr>
          <w:sz w:val="24"/>
          <w:szCs w:val="24"/>
        </w:rPr>
        <w:t>BPA requires</w:t>
      </w:r>
      <w:r w:rsidR="00991208" w:rsidRPr="00617AD9">
        <w:rPr>
          <w:sz w:val="24"/>
          <w:szCs w:val="24"/>
        </w:rPr>
        <w:t xml:space="preserve"> </w:t>
      </w:r>
      <w:r w:rsidRPr="00617AD9">
        <w:rPr>
          <w:sz w:val="24"/>
          <w:szCs w:val="24"/>
        </w:rPr>
        <w:t>a new 500 kilovolt (“kV”) substation with an additional transformer to connect to the BPA high voltage transmission system.  PSE</w:t>
      </w:r>
      <w:r>
        <w:rPr>
          <w:sz w:val="24"/>
          <w:szCs w:val="24"/>
        </w:rPr>
        <w:t xml:space="preserve"> did</w:t>
      </w:r>
      <w:r w:rsidRPr="00617AD9">
        <w:rPr>
          <w:sz w:val="24"/>
          <w:szCs w:val="24"/>
        </w:rPr>
        <w:t xml:space="preserve"> not request in </w:t>
      </w:r>
      <w:r>
        <w:rPr>
          <w:sz w:val="24"/>
          <w:szCs w:val="24"/>
        </w:rPr>
        <w:t>its</w:t>
      </w:r>
      <w:r w:rsidRPr="00617AD9">
        <w:rPr>
          <w:sz w:val="24"/>
          <w:szCs w:val="24"/>
        </w:rPr>
        <w:t xml:space="preserve"> Petition that the Commission address: (1) the prudence of the Lower Snake River Wind Project; or (2) the rate treatment for recovery of the carrying charges on the </w:t>
      </w:r>
      <w:r w:rsidR="00EE0367">
        <w:rPr>
          <w:sz w:val="24"/>
          <w:szCs w:val="24"/>
        </w:rPr>
        <w:t>Network Upgrade</w:t>
      </w:r>
      <w:r w:rsidR="00991208" w:rsidRPr="00617AD9">
        <w:rPr>
          <w:sz w:val="24"/>
          <w:szCs w:val="24"/>
        </w:rPr>
        <w:t xml:space="preserve"> </w:t>
      </w:r>
      <w:r w:rsidRPr="00617AD9">
        <w:rPr>
          <w:sz w:val="24"/>
          <w:szCs w:val="24"/>
        </w:rPr>
        <w:t xml:space="preserve">prepayment. </w:t>
      </w:r>
    </w:p>
    <w:p w:rsidR="00A22C13" w:rsidRPr="00D16FAF" w:rsidRDefault="00A22C13" w:rsidP="008B2159">
      <w:pPr>
        <w:pStyle w:val="Heading1"/>
        <w:spacing w:before="0" w:after="240" w:line="240" w:lineRule="auto"/>
        <w:ind w:left="0" w:right="0"/>
        <w:rPr>
          <w:sz w:val="24"/>
          <w:szCs w:val="24"/>
        </w:rPr>
      </w:pPr>
      <w:r w:rsidRPr="00D16FAF">
        <w:rPr>
          <w:sz w:val="24"/>
          <w:szCs w:val="24"/>
        </w:rPr>
        <w:lastRenderedPageBreak/>
        <w:t>BACKGROUND</w:t>
      </w:r>
      <w:r w:rsidR="008B2159">
        <w:rPr>
          <w:sz w:val="24"/>
          <w:szCs w:val="24"/>
        </w:rPr>
        <w:t xml:space="preserve"> AND MEMORANDUM</w:t>
      </w:r>
    </w:p>
    <w:p w:rsidR="00A22C13" w:rsidRPr="00576D23" w:rsidRDefault="00A22C13" w:rsidP="00A22C13">
      <w:pPr>
        <w:pStyle w:val="Heading2"/>
        <w:spacing w:before="0" w:after="280" w:line="240" w:lineRule="auto"/>
        <w:rPr>
          <w:sz w:val="24"/>
          <w:szCs w:val="24"/>
        </w:rPr>
      </w:pPr>
      <w:r w:rsidRPr="00576D23">
        <w:rPr>
          <w:sz w:val="24"/>
          <w:szCs w:val="24"/>
        </w:rPr>
        <w:t>A.</w:t>
      </w:r>
      <w:r w:rsidRPr="00576D23">
        <w:rPr>
          <w:sz w:val="24"/>
          <w:szCs w:val="24"/>
        </w:rPr>
        <w:tab/>
      </w:r>
      <w:r w:rsidRPr="00D16FAF">
        <w:rPr>
          <w:sz w:val="24"/>
          <w:szCs w:val="24"/>
        </w:rPr>
        <w:t xml:space="preserve">Lower </w:t>
      </w:r>
      <w:smartTag w:uri="urn:schemas-microsoft-com:office:smarttags" w:element="place">
        <w:r w:rsidRPr="00D16FAF">
          <w:rPr>
            <w:sz w:val="24"/>
            <w:szCs w:val="24"/>
          </w:rPr>
          <w:t>Snake River</w:t>
        </w:r>
      </w:smartTag>
      <w:r w:rsidRPr="00D16FAF">
        <w:rPr>
          <w:sz w:val="24"/>
          <w:szCs w:val="24"/>
        </w:rPr>
        <w:t xml:space="preserve"> Wind Project</w:t>
      </w:r>
      <w:r>
        <w:rPr>
          <w:sz w:val="24"/>
          <w:szCs w:val="24"/>
        </w:rPr>
        <w:t xml:space="preserve"> </w:t>
      </w:r>
      <w:r w:rsidRPr="00576D23">
        <w:rPr>
          <w:sz w:val="24"/>
          <w:szCs w:val="24"/>
        </w:rPr>
        <w:t>Phase 1</w:t>
      </w:r>
    </w:p>
    <w:p w:rsidR="00A22C13" w:rsidRDefault="00A22C13" w:rsidP="00A22C13">
      <w:pPr>
        <w:spacing w:line="480" w:lineRule="auto"/>
        <w:rPr>
          <w:sz w:val="24"/>
          <w:szCs w:val="24"/>
        </w:rPr>
      </w:pPr>
      <w:r w:rsidRPr="00D16FAF">
        <w:rPr>
          <w:sz w:val="24"/>
          <w:szCs w:val="24"/>
        </w:rPr>
        <w:fldChar w:fldCharType="begin"/>
      </w:r>
      <w:r w:rsidRPr="00D16FAF">
        <w:rPr>
          <w:sz w:val="24"/>
          <w:szCs w:val="24"/>
        </w:rPr>
        <w:instrText xml:space="preserve"> AUTONUM </w:instrText>
      </w:r>
      <w:r w:rsidRPr="00D16FAF">
        <w:rPr>
          <w:sz w:val="24"/>
          <w:szCs w:val="24"/>
        </w:rPr>
        <w:fldChar w:fldCharType="end"/>
      </w:r>
      <w:r w:rsidRPr="00D16FAF">
        <w:rPr>
          <w:sz w:val="24"/>
          <w:szCs w:val="24"/>
        </w:rPr>
        <w:tab/>
      </w:r>
      <w:r>
        <w:rPr>
          <w:sz w:val="24"/>
          <w:szCs w:val="24"/>
        </w:rPr>
        <w:t xml:space="preserve">PSE describes the </w:t>
      </w:r>
      <w:r w:rsidRPr="00D16FAF">
        <w:rPr>
          <w:sz w:val="24"/>
          <w:szCs w:val="24"/>
        </w:rPr>
        <w:t>Lower Snake River Wind Project</w:t>
      </w:r>
      <w:r>
        <w:rPr>
          <w:sz w:val="24"/>
          <w:szCs w:val="24"/>
        </w:rPr>
        <w:t xml:space="preserve"> Phase 1</w:t>
      </w:r>
      <w:r w:rsidRPr="00D16FAF">
        <w:rPr>
          <w:sz w:val="24"/>
          <w:szCs w:val="24"/>
        </w:rPr>
        <w:t xml:space="preserve"> </w:t>
      </w:r>
      <w:r>
        <w:rPr>
          <w:sz w:val="24"/>
          <w:szCs w:val="24"/>
        </w:rPr>
        <w:t>a</w:t>
      </w:r>
      <w:r w:rsidRPr="00D16FAF">
        <w:rPr>
          <w:sz w:val="24"/>
          <w:szCs w:val="24"/>
        </w:rPr>
        <w:t xml:space="preserve">s a </w:t>
      </w:r>
      <w:r>
        <w:rPr>
          <w:sz w:val="24"/>
          <w:szCs w:val="24"/>
        </w:rPr>
        <w:t xml:space="preserve">utility-scale </w:t>
      </w:r>
      <w:r w:rsidRPr="00D16FAF">
        <w:rPr>
          <w:sz w:val="24"/>
          <w:szCs w:val="24"/>
        </w:rPr>
        <w:t>wind generation facility</w:t>
      </w:r>
      <w:r>
        <w:rPr>
          <w:sz w:val="24"/>
          <w:szCs w:val="24"/>
        </w:rPr>
        <w:t xml:space="preserve"> currently under construction that will consist principally of </w:t>
      </w:r>
      <w:r w:rsidRPr="00D16FAF">
        <w:rPr>
          <w:sz w:val="24"/>
          <w:szCs w:val="24"/>
        </w:rPr>
        <w:t>149 Siemens SWT 101 2.3</w:t>
      </w:r>
      <w:r>
        <w:rPr>
          <w:sz w:val="24"/>
          <w:szCs w:val="24"/>
        </w:rPr>
        <w:t> </w:t>
      </w:r>
      <w:r w:rsidRPr="00D16FAF">
        <w:rPr>
          <w:sz w:val="24"/>
          <w:szCs w:val="24"/>
        </w:rPr>
        <w:t>MW Wind Turbine Generators generating 34</w:t>
      </w:r>
      <w:r>
        <w:rPr>
          <w:sz w:val="24"/>
          <w:szCs w:val="24"/>
        </w:rPr>
        <w:t>2.7</w:t>
      </w:r>
      <w:r w:rsidRPr="00D16FAF">
        <w:rPr>
          <w:sz w:val="24"/>
          <w:szCs w:val="24"/>
        </w:rPr>
        <w:t xml:space="preserve"> MW of nameplate capacity on 39,600 acres of leased land in Western Garfield County, Washington. </w:t>
      </w:r>
      <w:r>
        <w:rPr>
          <w:sz w:val="24"/>
          <w:szCs w:val="24"/>
        </w:rPr>
        <w:t xml:space="preserve"> PSE estimates a </w:t>
      </w:r>
      <w:r w:rsidRPr="00D16FAF">
        <w:rPr>
          <w:sz w:val="24"/>
          <w:szCs w:val="24"/>
        </w:rPr>
        <w:t>Commercial Operation Date</w:t>
      </w:r>
      <w:r>
        <w:rPr>
          <w:sz w:val="24"/>
          <w:szCs w:val="24"/>
        </w:rPr>
        <w:t xml:space="preserve"> of </w:t>
      </w:r>
      <w:r w:rsidRPr="00D16FAF">
        <w:rPr>
          <w:sz w:val="24"/>
          <w:szCs w:val="24"/>
        </w:rPr>
        <w:t>April 2012</w:t>
      </w:r>
      <w:r>
        <w:rPr>
          <w:sz w:val="24"/>
          <w:szCs w:val="24"/>
        </w:rPr>
        <w:t xml:space="preserve"> for Phase 1</w:t>
      </w:r>
      <w:r w:rsidRPr="00D16FAF">
        <w:rPr>
          <w:sz w:val="24"/>
          <w:szCs w:val="24"/>
        </w:rPr>
        <w:t xml:space="preserve">. </w:t>
      </w:r>
      <w:r>
        <w:rPr>
          <w:sz w:val="24"/>
          <w:szCs w:val="24"/>
        </w:rPr>
        <w:t xml:space="preserve"> PSE states that there will be additional</w:t>
      </w:r>
      <w:r w:rsidRPr="00D16FAF">
        <w:rPr>
          <w:sz w:val="24"/>
          <w:szCs w:val="24"/>
        </w:rPr>
        <w:t xml:space="preserve"> </w:t>
      </w:r>
      <w:r>
        <w:rPr>
          <w:sz w:val="24"/>
          <w:szCs w:val="24"/>
        </w:rPr>
        <w:t>p</w:t>
      </w:r>
      <w:r w:rsidRPr="00D16FAF">
        <w:rPr>
          <w:sz w:val="24"/>
          <w:szCs w:val="24"/>
        </w:rPr>
        <w:t>roject elements</w:t>
      </w:r>
      <w:r>
        <w:rPr>
          <w:sz w:val="24"/>
          <w:szCs w:val="24"/>
        </w:rPr>
        <w:t>, including</w:t>
      </w:r>
      <w:r w:rsidRPr="00D16FAF">
        <w:rPr>
          <w:sz w:val="24"/>
          <w:szCs w:val="24"/>
        </w:rPr>
        <w:t xml:space="preserve"> </w:t>
      </w:r>
      <w:r>
        <w:rPr>
          <w:sz w:val="24"/>
          <w:szCs w:val="24"/>
        </w:rPr>
        <w:t xml:space="preserve">wind turbine generators </w:t>
      </w:r>
      <w:r w:rsidRPr="00D16FAF">
        <w:rPr>
          <w:sz w:val="24"/>
          <w:szCs w:val="24"/>
        </w:rPr>
        <w:t>erected on tubular steel towers with foundations and individual turbine step-up transformers</w:t>
      </w:r>
      <w:r>
        <w:rPr>
          <w:sz w:val="24"/>
          <w:szCs w:val="24"/>
        </w:rPr>
        <w:t xml:space="preserve"> to connect to the in-project grid collection system</w:t>
      </w:r>
      <w:r w:rsidRPr="00D16FAF">
        <w:rPr>
          <w:sz w:val="24"/>
          <w:szCs w:val="24"/>
        </w:rPr>
        <w:t xml:space="preserve">.  </w:t>
      </w:r>
      <w:r>
        <w:rPr>
          <w:sz w:val="24"/>
          <w:szCs w:val="24"/>
        </w:rPr>
        <w:t>PSE states that s</w:t>
      </w:r>
      <w:r w:rsidRPr="00D16FAF">
        <w:rPr>
          <w:sz w:val="24"/>
          <w:szCs w:val="24"/>
        </w:rPr>
        <w:t>upporting infrastructure will include access roads, underground and overhead electric collection system lines, step-up substations, transmission lines, microwave communications, permanent meteorological towers, an operations and maintenance center, and temporary construction access and staging areas.</w:t>
      </w:r>
    </w:p>
    <w:p w:rsidR="00A22C13" w:rsidRPr="00576D23" w:rsidRDefault="00A22C13" w:rsidP="00A22C13">
      <w:pPr>
        <w:pStyle w:val="Heading2"/>
        <w:spacing w:before="0" w:after="280" w:line="240" w:lineRule="auto"/>
        <w:rPr>
          <w:sz w:val="24"/>
          <w:szCs w:val="24"/>
        </w:rPr>
      </w:pPr>
      <w:r>
        <w:rPr>
          <w:sz w:val="24"/>
          <w:szCs w:val="24"/>
        </w:rPr>
        <w:t>B</w:t>
      </w:r>
      <w:r w:rsidRPr="00576D23">
        <w:rPr>
          <w:sz w:val="24"/>
          <w:szCs w:val="24"/>
        </w:rPr>
        <w:t>.</w:t>
      </w:r>
      <w:r w:rsidRPr="00576D23">
        <w:rPr>
          <w:sz w:val="24"/>
          <w:szCs w:val="24"/>
        </w:rPr>
        <w:tab/>
      </w:r>
      <w:r>
        <w:rPr>
          <w:sz w:val="24"/>
          <w:szCs w:val="24"/>
        </w:rPr>
        <w:t>The Central Ferry Substation</w:t>
      </w:r>
    </w:p>
    <w:p w:rsidR="00A22C13" w:rsidRPr="00B52C2B" w:rsidRDefault="00A22C13" w:rsidP="00A22C13">
      <w:pPr>
        <w:spacing w:line="480" w:lineRule="auto"/>
        <w:rPr>
          <w:sz w:val="24"/>
          <w:szCs w:val="24"/>
        </w:rPr>
      </w:pPr>
      <w:r w:rsidRPr="00D16FAF">
        <w:rPr>
          <w:sz w:val="24"/>
          <w:szCs w:val="24"/>
        </w:rPr>
        <w:fldChar w:fldCharType="begin"/>
      </w:r>
      <w:r w:rsidRPr="00D16FAF">
        <w:rPr>
          <w:sz w:val="24"/>
          <w:szCs w:val="24"/>
        </w:rPr>
        <w:instrText xml:space="preserve"> AUTONUM </w:instrText>
      </w:r>
      <w:r w:rsidRPr="00D16FAF">
        <w:rPr>
          <w:sz w:val="24"/>
          <w:szCs w:val="24"/>
        </w:rPr>
        <w:fldChar w:fldCharType="end"/>
      </w:r>
      <w:r w:rsidRPr="00D16FAF">
        <w:rPr>
          <w:sz w:val="24"/>
          <w:szCs w:val="24"/>
        </w:rPr>
        <w:tab/>
      </w:r>
      <w:r w:rsidR="001D6E27">
        <w:rPr>
          <w:sz w:val="24"/>
          <w:szCs w:val="24"/>
        </w:rPr>
        <w:t>PSE states that, t</w:t>
      </w:r>
      <w:r w:rsidRPr="00DC267A">
        <w:rPr>
          <w:sz w:val="24"/>
          <w:szCs w:val="24"/>
        </w:rPr>
        <w:t xml:space="preserve">o interconnect the </w:t>
      </w:r>
      <w:r w:rsidRPr="00D16FAF">
        <w:rPr>
          <w:sz w:val="24"/>
          <w:szCs w:val="24"/>
        </w:rPr>
        <w:t>Lower Snake River Wind Project</w:t>
      </w:r>
      <w:r w:rsidRPr="00DC267A">
        <w:rPr>
          <w:sz w:val="24"/>
          <w:szCs w:val="24"/>
        </w:rPr>
        <w:t>, BPA will construct, operate, and maintain a new substation,</w:t>
      </w:r>
      <w:r>
        <w:rPr>
          <w:sz w:val="24"/>
          <w:szCs w:val="24"/>
        </w:rPr>
        <w:t xml:space="preserve"> </w:t>
      </w:r>
      <w:r w:rsidRPr="00DC267A">
        <w:rPr>
          <w:sz w:val="24"/>
          <w:szCs w:val="24"/>
        </w:rPr>
        <w:t>the Central Ferry Substation</w:t>
      </w:r>
      <w:r w:rsidR="001D6E27">
        <w:rPr>
          <w:sz w:val="24"/>
          <w:szCs w:val="24"/>
        </w:rPr>
        <w:t>.  The Substation will be constructed</w:t>
      </w:r>
      <w:r w:rsidRPr="00DC267A">
        <w:rPr>
          <w:sz w:val="24"/>
          <w:szCs w:val="24"/>
        </w:rPr>
        <w:t xml:space="preserve"> at a point along BPA’s existing Little Goose-Lower</w:t>
      </w:r>
      <w:r>
        <w:rPr>
          <w:sz w:val="24"/>
          <w:szCs w:val="24"/>
        </w:rPr>
        <w:t xml:space="preserve"> </w:t>
      </w:r>
      <w:r w:rsidRPr="00DC267A">
        <w:rPr>
          <w:sz w:val="24"/>
          <w:szCs w:val="24"/>
        </w:rPr>
        <w:t>Monumental 500-kV transmission lines approximately two miles southeast of the Snake River</w:t>
      </w:r>
      <w:r>
        <w:rPr>
          <w:sz w:val="24"/>
          <w:szCs w:val="24"/>
        </w:rPr>
        <w:t xml:space="preserve"> </w:t>
      </w:r>
      <w:r w:rsidRPr="00DC267A">
        <w:rPr>
          <w:sz w:val="24"/>
          <w:szCs w:val="24"/>
        </w:rPr>
        <w:t>near the Port of Central Ferry in Garfield County, Washington, and about 15 miles northwest of</w:t>
      </w:r>
      <w:r>
        <w:rPr>
          <w:sz w:val="24"/>
          <w:szCs w:val="24"/>
        </w:rPr>
        <w:t xml:space="preserve"> </w:t>
      </w:r>
      <w:r w:rsidRPr="00DC267A">
        <w:rPr>
          <w:sz w:val="24"/>
          <w:szCs w:val="24"/>
        </w:rPr>
        <w:t xml:space="preserve">the City of Pomeroy, Washington. </w:t>
      </w:r>
      <w:r>
        <w:rPr>
          <w:sz w:val="24"/>
          <w:szCs w:val="24"/>
        </w:rPr>
        <w:t xml:space="preserve"> </w:t>
      </w:r>
      <w:r w:rsidR="001D6E27">
        <w:rPr>
          <w:sz w:val="24"/>
          <w:szCs w:val="24"/>
        </w:rPr>
        <w:t>PSE states that t</w:t>
      </w:r>
      <w:r w:rsidRPr="00DC267A">
        <w:rPr>
          <w:sz w:val="24"/>
          <w:szCs w:val="24"/>
        </w:rPr>
        <w:t>hese transmission lines will be looped into the new</w:t>
      </w:r>
      <w:r>
        <w:rPr>
          <w:sz w:val="24"/>
          <w:szCs w:val="24"/>
        </w:rPr>
        <w:t xml:space="preserve"> </w:t>
      </w:r>
      <w:r w:rsidRPr="00DC267A">
        <w:rPr>
          <w:sz w:val="24"/>
          <w:szCs w:val="24"/>
        </w:rPr>
        <w:t xml:space="preserve">Central Ferry Substation. </w:t>
      </w:r>
      <w:r>
        <w:rPr>
          <w:sz w:val="24"/>
          <w:szCs w:val="24"/>
        </w:rPr>
        <w:t xml:space="preserve"> </w:t>
      </w:r>
      <w:r w:rsidR="001D6E27">
        <w:rPr>
          <w:sz w:val="24"/>
          <w:szCs w:val="24"/>
        </w:rPr>
        <w:t>PSE adds that n</w:t>
      </w:r>
      <w:r w:rsidRPr="00DC267A">
        <w:rPr>
          <w:sz w:val="24"/>
          <w:szCs w:val="24"/>
        </w:rPr>
        <w:t xml:space="preserve">ew transmission lines developed by PSE for the </w:t>
      </w:r>
      <w:r w:rsidRPr="00D16FAF">
        <w:rPr>
          <w:sz w:val="24"/>
          <w:szCs w:val="24"/>
        </w:rPr>
        <w:t xml:space="preserve">Lower Snake River </w:t>
      </w:r>
      <w:r w:rsidRPr="00D16FAF">
        <w:rPr>
          <w:sz w:val="24"/>
          <w:szCs w:val="24"/>
        </w:rPr>
        <w:lastRenderedPageBreak/>
        <w:t>Wind Project</w:t>
      </w:r>
      <w:r>
        <w:rPr>
          <w:sz w:val="24"/>
          <w:szCs w:val="24"/>
        </w:rPr>
        <w:t xml:space="preserve"> </w:t>
      </w:r>
      <w:r w:rsidR="002C35DD">
        <w:rPr>
          <w:sz w:val="24"/>
          <w:szCs w:val="24"/>
        </w:rPr>
        <w:t>will</w:t>
      </w:r>
      <w:r>
        <w:rPr>
          <w:sz w:val="24"/>
          <w:szCs w:val="24"/>
        </w:rPr>
        <w:t xml:space="preserve"> </w:t>
      </w:r>
      <w:r w:rsidRPr="00DC267A">
        <w:rPr>
          <w:sz w:val="24"/>
          <w:szCs w:val="24"/>
        </w:rPr>
        <w:t xml:space="preserve">deliver power generated by the </w:t>
      </w:r>
      <w:r w:rsidRPr="00D16FAF">
        <w:rPr>
          <w:sz w:val="24"/>
          <w:szCs w:val="24"/>
        </w:rPr>
        <w:t>Lower Snake River Wind Project</w:t>
      </w:r>
      <w:r>
        <w:rPr>
          <w:sz w:val="24"/>
          <w:szCs w:val="24"/>
        </w:rPr>
        <w:t xml:space="preserve"> </w:t>
      </w:r>
      <w:r w:rsidRPr="00DC267A">
        <w:rPr>
          <w:sz w:val="24"/>
          <w:szCs w:val="24"/>
        </w:rPr>
        <w:t>to the Central Ferry Substation.</w:t>
      </w:r>
      <w:r>
        <w:rPr>
          <w:rStyle w:val="FootnoteReference"/>
          <w:szCs w:val="24"/>
        </w:rPr>
        <w:footnoteReference w:id="3"/>
      </w:r>
    </w:p>
    <w:p w:rsidR="00CB71B2" w:rsidRDefault="00A22C13" w:rsidP="00CB71B2">
      <w:pPr>
        <w:spacing w:line="480" w:lineRule="auto"/>
        <w:rPr>
          <w:sz w:val="24"/>
          <w:szCs w:val="24"/>
        </w:rPr>
      </w:pPr>
      <w:r w:rsidRPr="00D16FAF">
        <w:rPr>
          <w:sz w:val="24"/>
          <w:szCs w:val="24"/>
        </w:rPr>
        <w:fldChar w:fldCharType="begin"/>
      </w:r>
      <w:r w:rsidRPr="00D16FAF">
        <w:rPr>
          <w:sz w:val="24"/>
          <w:szCs w:val="24"/>
        </w:rPr>
        <w:instrText xml:space="preserve"> AUTONUM </w:instrText>
      </w:r>
      <w:r w:rsidRPr="00D16FAF">
        <w:rPr>
          <w:sz w:val="24"/>
          <w:szCs w:val="24"/>
        </w:rPr>
        <w:fldChar w:fldCharType="end"/>
      </w:r>
      <w:r w:rsidRPr="00D16FAF">
        <w:rPr>
          <w:sz w:val="24"/>
          <w:szCs w:val="24"/>
        </w:rPr>
        <w:tab/>
      </w:r>
      <w:r w:rsidR="001D6E27">
        <w:rPr>
          <w:sz w:val="24"/>
          <w:szCs w:val="24"/>
        </w:rPr>
        <w:t xml:space="preserve">PSE </w:t>
      </w:r>
      <w:r w:rsidR="00CB71B2">
        <w:rPr>
          <w:sz w:val="24"/>
          <w:szCs w:val="24"/>
        </w:rPr>
        <w:t>d</w:t>
      </w:r>
      <w:r w:rsidR="001D6E27">
        <w:rPr>
          <w:sz w:val="24"/>
          <w:szCs w:val="24"/>
        </w:rPr>
        <w:t xml:space="preserve">escribes the </w:t>
      </w:r>
      <w:r w:rsidRPr="00DC267A">
        <w:rPr>
          <w:sz w:val="24"/>
          <w:szCs w:val="24"/>
        </w:rPr>
        <w:t>BPA Central Ferry Substation</w:t>
      </w:r>
      <w:r w:rsidR="001D6E27">
        <w:rPr>
          <w:sz w:val="24"/>
          <w:szCs w:val="24"/>
        </w:rPr>
        <w:t xml:space="preserve"> </w:t>
      </w:r>
      <w:r w:rsidR="00CB71B2">
        <w:rPr>
          <w:sz w:val="24"/>
          <w:szCs w:val="24"/>
        </w:rPr>
        <w:t>a</w:t>
      </w:r>
      <w:r w:rsidR="001D6E27">
        <w:rPr>
          <w:sz w:val="24"/>
          <w:szCs w:val="24"/>
        </w:rPr>
        <w:t xml:space="preserve">s </w:t>
      </w:r>
      <w:r w:rsidRPr="00DC267A">
        <w:rPr>
          <w:sz w:val="24"/>
          <w:szCs w:val="24"/>
        </w:rPr>
        <w:t>a 500-kV substation with five breakers, a 500-kV</w:t>
      </w:r>
      <w:r>
        <w:rPr>
          <w:sz w:val="24"/>
          <w:szCs w:val="24"/>
        </w:rPr>
        <w:t xml:space="preserve"> </w:t>
      </w:r>
      <w:r w:rsidRPr="00DC267A">
        <w:rPr>
          <w:sz w:val="24"/>
          <w:szCs w:val="24"/>
        </w:rPr>
        <w:t>shunt capacitor group, and a 230-kV, 2 breaker ring bus with 3-single phase 500/230-kV</w:t>
      </w:r>
      <w:r>
        <w:rPr>
          <w:sz w:val="24"/>
          <w:szCs w:val="24"/>
        </w:rPr>
        <w:t xml:space="preserve"> </w:t>
      </w:r>
      <w:r w:rsidRPr="00DC267A">
        <w:rPr>
          <w:sz w:val="24"/>
          <w:szCs w:val="24"/>
        </w:rPr>
        <w:t xml:space="preserve">transformers. </w:t>
      </w:r>
      <w:r>
        <w:rPr>
          <w:sz w:val="24"/>
          <w:szCs w:val="24"/>
        </w:rPr>
        <w:t xml:space="preserve"> </w:t>
      </w:r>
      <w:r w:rsidR="00CB71B2" w:rsidRPr="00DC267A">
        <w:rPr>
          <w:sz w:val="24"/>
          <w:szCs w:val="24"/>
        </w:rPr>
        <w:t>The basic elements of the substation will be circuit</w:t>
      </w:r>
      <w:r w:rsidR="00CB71B2">
        <w:rPr>
          <w:sz w:val="24"/>
          <w:szCs w:val="24"/>
        </w:rPr>
        <w:t xml:space="preserve"> </w:t>
      </w:r>
      <w:r w:rsidR="00CB71B2" w:rsidRPr="00DC267A">
        <w:rPr>
          <w:sz w:val="24"/>
          <w:szCs w:val="24"/>
        </w:rPr>
        <w:t>breakers, disconnect switches, transformers, ground mat, steel structures, electrical equipment, a</w:t>
      </w:r>
      <w:r w:rsidR="00CB71B2">
        <w:rPr>
          <w:sz w:val="24"/>
          <w:szCs w:val="24"/>
        </w:rPr>
        <w:t xml:space="preserve"> </w:t>
      </w:r>
      <w:r w:rsidR="00CB71B2" w:rsidRPr="00DC267A">
        <w:rPr>
          <w:sz w:val="24"/>
          <w:szCs w:val="24"/>
        </w:rPr>
        <w:t xml:space="preserve">control house, and miscellaneous other equipment. </w:t>
      </w:r>
      <w:r w:rsidR="00CB71B2">
        <w:rPr>
          <w:sz w:val="24"/>
          <w:szCs w:val="24"/>
        </w:rPr>
        <w:t xml:space="preserve"> </w:t>
      </w:r>
      <w:r w:rsidR="00CB71B2" w:rsidRPr="00DC267A">
        <w:rPr>
          <w:sz w:val="24"/>
          <w:szCs w:val="24"/>
        </w:rPr>
        <w:t>Communication facilities will include fiber</w:t>
      </w:r>
      <w:r w:rsidR="00CB71B2">
        <w:rPr>
          <w:sz w:val="24"/>
          <w:szCs w:val="24"/>
        </w:rPr>
        <w:t xml:space="preserve"> </w:t>
      </w:r>
      <w:r w:rsidR="00CB71B2" w:rsidRPr="00DC267A">
        <w:rPr>
          <w:sz w:val="24"/>
          <w:szCs w:val="24"/>
        </w:rPr>
        <w:t xml:space="preserve">optic facilities on BPA’s and </w:t>
      </w:r>
      <w:r w:rsidR="00CB71B2">
        <w:rPr>
          <w:sz w:val="24"/>
          <w:szCs w:val="24"/>
        </w:rPr>
        <w:t>PSE's</w:t>
      </w:r>
      <w:r w:rsidR="00CB71B2" w:rsidRPr="00DC267A">
        <w:rPr>
          <w:sz w:val="24"/>
          <w:szCs w:val="24"/>
        </w:rPr>
        <w:t xml:space="preserve"> transmission line systems as well as an adjacent</w:t>
      </w:r>
      <w:r w:rsidR="00CB71B2">
        <w:rPr>
          <w:sz w:val="24"/>
          <w:szCs w:val="24"/>
        </w:rPr>
        <w:t xml:space="preserve"> </w:t>
      </w:r>
      <w:r w:rsidR="00CB71B2" w:rsidRPr="00DC267A">
        <w:rPr>
          <w:sz w:val="24"/>
          <w:szCs w:val="24"/>
        </w:rPr>
        <w:t>microwave tower for use by PSE for communication with centralized system operations.</w:t>
      </w:r>
      <w:r w:rsidR="00CB71B2">
        <w:rPr>
          <w:sz w:val="24"/>
          <w:szCs w:val="24"/>
        </w:rPr>
        <w:t xml:space="preserve"> </w:t>
      </w:r>
      <w:r w:rsidR="00CB71B2" w:rsidRPr="00DC267A">
        <w:rPr>
          <w:sz w:val="24"/>
          <w:szCs w:val="24"/>
        </w:rPr>
        <w:t xml:space="preserve"> BPA</w:t>
      </w:r>
      <w:r w:rsidR="00CB71B2">
        <w:rPr>
          <w:sz w:val="24"/>
          <w:szCs w:val="24"/>
        </w:rPr>
        <w:t xml:space="preserve"> </w:t>
      </w:r>
      <w:r w:rsidR="00CB71B2" w:rsidRPr="00DC267A">
        <w:rPr>
          <w:sz w:val="24"/>
          <w:szCs w:val="24"/>
        </w:rPr>
        <w:t>will own all substation facilities.</w:t>
      </w:r>
      <w:r w:rsidR="00CB71B2">
        <w:rPr>
          <w:rStyle w:val="FootnoteReference"/>
          <w:szCs w:val="24"/>
        </w:rPr>
        <w:footnoteReference w:id="4"/>
      </w:r>
    </w:p>
    <w:p w:rsidR="00A22C13" w:rsidRPr="00576D23" w:rsidRDefault="00A22C13" w:rsidP="00A22C13">
      <w:pPr>
        <w:pStyle w:val="Heading2"/>
        <w:spacing w:before="0" w:after="280" w:line="240" w:lineRule="auto"/>
        <w:rPr>
          <w:sz w:val="24"/>
          <w:szCs w:val="24"/>
        </w:rPr>
      </w:pPr>
      <w:r>
        <w:rPr>
          <w:sz w:val="24"/>
          <w:szCs w:val="24"/>
        </w:rPr>
        <w:t>C</w:t>
      </w:r>
      <w:r w:rsidRPr="00576D23">
        <w:rPr>
          <w:sz w:val="24"/>
          <w:szCs w:val="24"/>
        </w:rPr>
        <w:t>.</w:t>
      </w:r>
      <w:r w:rsidRPr="00576D23">
        <w:rPr>
          <w:sz w:val="24"/>
          <w:szCs w:val="24"/>
        </w:rPr>
        <w:tab/>
      </w:r>
      <w:r>
        <w:rPr>
          <w:sz w:val="24"/>
          <w:szCs w:val="24"/>
        </w:rPr>
        <w:t xml:space="preserve">The </w:t>
      </w:r>
      <w:r w:rsidRPr="00F51655">
        <w:rPr>
          <w:sz w:val="24"/>
          <w:szCs w:val="24"/>
        </w:rPr>
        <w:t xml:space="preserve">Little Goose Area Reinforcement </w:t>
      </w:r>
      <w:r>
        <w:rPr>
          <w:sz w:val="24"/>
          <w:szCs w:val="24"/>
        </w:rPr>
        <w:t>P</w:t>
      </w:r>
      <w:r w:rsidRPr="00F51655">
        <w:rPr>
          <w:sz w:val="24"/>
          <w:szCs w:val="24"/>
        </w:rPr>
        <w:t>roject</w:t>
      </w:r>
    </w:p>
    <w:p w:rsidR="00A22C13" w:rsidRPr="009B1F21" w:rsidRDefault="00A22C13" w:rsidP="00A22C13">
      <w:pPr>
        <w:spacing w:line="480" w:lineRule="auto"/>
        <w:rPr>
          <w:sz w:val="24"/>
          <w:szCs w:val="24"/>
        </w:rPr>
      </w:pPr>
      <w:r w:rsidRPr="00F51655">
        <w:rPr>
          <w:sz w:val="24"/>
          <w:szCs w:val="24"/>
        </w:rPr>
        <w:fldChar w:fldCharType="begin"/>
      </w:r>
      <w:r w:rsidRPr="00F51655">
        <w:rPr>
          <w:sz w:val="24"/>
          <w:szCs w:val="24"/>
        </w:rPr>
        <w:instrText xml:space="preserve"> AUTONUM </w:instrText>
      </w:r>
      <w:r w:rsidRPr="00F51655">
        <w:rPr>
          <w:sz w:val="24"/>
          <w:szCs w:val="24"/>
        </w:rPr>
        <w:fldChar w:fldCharType="end"/>
      </w:r>
      <w:r w:rsidRPr="00F51655">
        <w:rPr>
          <w:sz w:val="24"/>
          <w:szCs w:val="24"/>
        </w:rPr>
        <w:tab/>
        <w:t xml:space="preserve">The BPA Central Ferry Substation is a part of BPA’s Little Goose Area Reinforcement project, which is one of five projects that BPA determined in its </w:t>
      </w:r>
      <w:r>
        <w:rPr>
          <w:sz w:val="24"/>
          <w:szCs w:val="24"/>
        </w:rPr>
        <w:t>2008 </w:t>
      </w:r>
      <w:r w:rsidRPr="00F51655">
        <w:rPr>
          <w:sz w:val="24"/>
          <w:szCs w:val="24"/>
        </w:rPr>
        <w:t>Network Open Season process</w:t>
      </w:r>
      <w:r>
        <w:rPr>
          <w:rStyle w:val="FootnoteReference"/>
          <w:szCs w:val="24"/>
        </w:rPr>
        <w:footnoteReference w:id="5"/>
      </w:r>
      <w:r w:rsidRPr="00F51655">
        <w:rPr>
          <w:sz w:val="24"/>
          <w:szCs w:val="24"/>
        </w:rPr>
        <w:t xml:space="preserve"> that BPA could serve at embedded cost transmission rates.  </w:t>
      </w:r>
      <w:r w:rsidRPr="009B1F21">
        <w:rPr>
          <w:sz w:val="24"/>
          <w:szCs w:val="24"/>
        </w:rPr>
        <w:t xml:space="preserve">The other four </w:t>
      </w:r>
      <w:r w:rsidRPr="009B1F21">
        <w:rPr>
          <w:sz w:val="24"/>
          <w:szCs w:val="24"/>
        </w:rPr>
        <w:lastRenderedPageBreak/>
        <w:t xml:space="preserve">projects </w:t>
      </w:r>
      <w:r>
        <w:rPr>
          <w:sz w:val="24"/>
          <w:szCs w:val="24"/>
        </w:rPr>
        <w:t xml:space="preserve">resulting from the 2008 Network Open Season process </w:t>
      </w:r>
      <w:r w:rsidRPr="009B1F21">
        <w:rPr>
          <w:sz w:val="24"/>
          <w:szCs w:val="24"/>
        </w:rPr>
        <w:t xml:space="preserve">are the </w:t>
      </w:r>
      <w:proofErr w:type="spellStart"/>
      <w:r w:rsidRPr="009B1F21">
        <w:rPr>
          <w:sz w:val="24"/>
          <w:szCs w:val="24"/>
        </w:rPr>
        <w:t>McNary</w:t>
      </w:r>
      <w:proofErr w:type="spellEnd"/>
      <w:r w:rsidRPr="009B1F21">
        <w:rPr>
          <w:sz w:val="24"/>
          <w:szCs w:val="24"/>
        </w:rPr>
        <w:t>-John Day 500-kV transmission line</w:t>
      </w:r>
      <w:r>
        <w:rPr>
          <w:sz w:val="24"/>
          <w:szCs w:val="24"/>
        </w:rPr>
        <w:t xml:space="preserve">, </w:t>
      </w:r>
      <w:r w:rsidRPr="009B1F21">
        <w:rPr>
          <w:sz w:val="24"/>
          <w:szCs w:val="24"/>
        </w:rPr>
        <w:t>the Big Eddy-Station Z 500-kV transmission line and substation</w:t>
      </w:r>
      <w:r>
        <w:rPr>
          <w:sz w:val="24"/>
          <w:szCs w:val="24"/>
        </w:rPr>
        <w:t xml:space="preserve">, </w:t>
      </w:r>
      <w:r w:rsidRPr="009B1F21">
        <w:rPr>
          <w:sz w:val="24"/>
          <w:szCs w:val="24"/>
        </w:rPr>
        <w:t>the I-5 Corridor 500-kV transmission line and substation</w:t>
      </w:r>
      <w:r>
        <w:rPr>
          <w:sz w:val="24"/>
          <w:szCs w:val="24"/>
        </w:rPr>
        <w:t xml:space="preserve">, </w:t>
      </w:r>
      <w:r w:rsidRPr="009B1F21">
        <w:rPr>
          <w:sz w:val="24"/>
          <w:szCs w:val="24"/>
        </w:rPr>
        <w:t>and the West-of-Garrison remedial action scheme.</w:t>
      </w:r>
      <w:r>
        <w:rPr>
          <w:rStyle w:val="FootnoteReference"/>
          <w:szCs w:val="24"/>
        </w:rPr>
        <w:footnoteReference w:id="6"/>
      </w:r>
    </w:p>
    <w:p w:rsidR="00A22C13" w:rsidRDefault="00A22C13" w:rsidP="00A22C13">
      <w:pPr>
        <w:spacing w:line="480" w:lineRule="auto"/>
        <w:rPr>
          <w:sz w:val="24"/>
          <w:szCs w:val="24"/>
          <w:lang w:eastAsia="en-US"/>
        </w:rPr>
      </w:pPr>
      <w:r w:rsidRPr="00F51655">
        <w:rPr>
          <w:sz w:val="24"/>
          <w:szCs w:val="24"/>
        </w:rPr>
        <w:fldChar w:fldCharType="begin"/>
      </w:r>
      <w:r w:rsidRPr="00F51655">
        <w:rPr>
          <w:sz w:val="24"/>
          <w:szCs w:val="24"/>
        </w:rPr>
        <w:instrText xml:space="preserve"> AUTONUM </w:instrText>
      </w:r>
      <w:r w:rsidRPr="00F51655">
        <w:rPr>
          <w:sz w:val="24"/>
          <w:szCs w:val="24"/>
        </w:rPr>
        <w:fldChar w:fldCharType="end"/>
      </w:r>
      <w:r w:rsidRPr="00F51655">
        <w:rPr>
          <w:sz w:val="24"/>
          <w:szCs w:val="24"/>
        </w:rPr>
        <w:tab/>
      </w:r>
      <w:r w:rsidR="001D6E27">
        <w:rPr>
          <w:sz w:val="24"/>
          <w:szCs w:val="24"/>
        </w:rPr>
        <w:t>PSE states that t</w:t>
      </w:r>
      <w:r>
        <w:rPr>
          <w:sz w:val="24"/>
          <w:szCs w:val="24"/>
        </w:rPr>
        <w:t xml:space="preserve">he </w:t>
      </w:r>
      <w:r w:rsidRPr="00F51655">
        <w:rPr>
          <w:sz w:val="24"/>
          <w:szCs w:val="24"/>
        </w:rPr>
        <w:t>Little Goose Area Reinforcement project</w:t>
      </w:r>
      <w:r>
        <w:rPr>
          <w:sz w:val="24"/>
          <w:szCs w:val="24"/>
        </w:rPr>
        <w:t xml:space="preserve"> will be a new </w:t>
      </w:r>
      <w:r w:rsidR="008B2159">
        <w:rPr>
          <w:sz w:val="24"/>
          <w:szCs w:val="24"/>
        </w:rPr>
        <w:t xml:space="preserve">40-mile, </w:t>
      </w:r>
      <w:r>
        <w:rPr>
          <w:sz w:val="24"/>
          <w:szCs w:val="24"/>
          <w:lang w:eastAsia="en-US"/>
        </w:rPr>
        <w:t xml:space="preserve">500 kV transmission </w:t>
      </w:r>
      <w:proofErr w:type="gramStart"/>
      <w:r>
        <w:rPr>
          <w:sz w:val="24"/>
          <w:szCs w:val="24"/>
          <w:lang w:eastAsia="en-US"/>
        </w:rPr>
        <w:t>line</w:t>
      </w:r>
      <w:proofErr w:type="gramEnd"/>
      <w:r>
        <w:rPr>
          <w:sz w:val="24"/>
          <w:szCs w:val="24"/>
          <w:lang w:eastAsia="en-US"/>
        </w:rPr>
        <w:t xml:space="preserve"> </w:t>
      </w:r>
      <w:r w:rsidR="00AC3109">
        <w:rPr>
          <w:sz w:val="24"/>
          <w:szCs w:val="24"/>
          <w:lang w:eastAsia="en-US"/>
        </w:rPr>
        <w:t>beginning</w:t>
      </w:r>
      <w:r>
        <w:rPr>
          <w:sz w:val="24"/>
          <w:szCs w:val="24"/>
          <w:lang w:eastAsia="en-US"/>
        </w:rPr>
        <w:t xml:space="preserve"> at the new Central Ferry Substation and run</w:t>
      </w:r>
      <w:r w:rsidR="00AC3109">
        <w:rPr>
          <w:sz w:val="24"/>
          <w:szCs w:val="24"/>
          <w:lang w:eastAsia="en-US"/>
        </w:rPr>
        <w:t>ning</w:t>
      </w:r>
      <w:r>
        <w:rPr>
          <w:sz w:val="24"/>
          <w:szCs w:val="24"/>
          <w:lang w:eastAsia="en-US"/>
        </w:rPr>
        <w:t xml:space="preserve"> to the existing Lower Monumental Substation.  </w:t>
      </w:r>
      <w:r w:rsidR="001D6E27">
        <w:rPr>
          <w:sz w:val="24"/>
          <w:szCs w:val="24"/>
          <w:lang w:eastAsia="en-US"/>
        </w:rPr>
        <w:t xml:space="preserve">PSE's Petition states that </w:t>
      </w:r>
      <w:r>
        <w:rPr>
          <w:sz w:val="24"/>
          <w:szCs w:val="24"/>
          <w:lang w:eastAsia="en-US"/>
        </w:rPr>
        <w:t xml:space="preserve">BPA </w:t>
      </w:r>
      <w:r w:rsidR="001D6E27">
        <w:rPr>
          <w:sz w:val="24"/>
          <w:szCs w:val="24"/>
          <w:lang w:eastAsia="en-US"/>
        </w:rPr>
        <w:t>believes</w:t>
      </w:r>
      <w:r>
        <w:rPr>
          <w:sz w:val="24"/>
          <w:szCs w:val="24"/>
          <w:lang w:eastAsia="en-US"/>
        </w:rPr>
        <w:t xml:space="preserve"> that construction of th</w:t>
      </w:r>
      <w:r w:rsidR="00465ECD">
        <w:rPr>
          <w:sz w:val="24"/>
          <w:szCs w:val="24"/>
          <w:lang w:eastAsia="en-US"/>
        </w:rPr>
        <w:t>e</w:t>
      </w:r>
      <w:r>
        <w:rPr>
          <w:sz w:val="24"/>
          <w:szCs w:val="24"/>
          <w:lang w:eastAsia="en-US"/>
        </w:rPr>
        <w:t xml:space="preserve"> new 500 kV line will help relieve system strain on the Lower Snake Area transmission system during spring off-peak load periods when the following conditions are most likely to coincide:</w:t>
      </w:r>
    </w:p>
    <w:p w:rsidR="00A22C13" w:rsidRDefault="00A22C13" w:rsidP="002C35DD">
      <w:pPr>
        <w:numPr>
          <w:ilvl w:val="0"/>
          <w:numId w:val="44"/>
        </w:numPr>
        <w:tabs>
          <w:tab w:val="clear" w:pos="1800"/>
          <w:tab w:val="num" w:pos="2160"/>
        </w:tabs>
        <w:spacing w:after="120" w:line="240" w:lineRule="auto"/>
        <w:ind w:left="2160" w:right="720" w:hanging="720"/>
        <w:rPr>
          <w:sz w:val="24"/>
          <w:szCs w:val="24"/>
          <w:lang w:eastAsia="en-US"/>
        </w:rPr>
      </w:pPr>
      <w:r>
        <w:rPr>
          <w:sz w:val="24"/>
          <w:szCs w:val="24"/>
          <w:lang w:eastAsia="en-US"/>
        </w:rPr>
        <w:t xml:space="preserve">High generation on </w:t>
      </w:r>
      <w:smartTag w:uri="urn:schemas-microsoft-com:office:smarttags" w:element="place">
        <w:r>
          <w:rPr>
            <w:sz w:val="24"/>
            <w:szCs w:val="24"/>
            <w:lang w:eastAsia="en-US"/>
          </w:rPr>
          <w:t>Snake River</w:t>
        </w:r>
      </w:smartTag>
      <w:r>
        <w:rPr>
          <w:sz w:val="24"/>
          <w:szCs w:val="24"/>
          <w:lang w:eastAsia="en-US"/>
        </w:rPr>
        <w:t xml:space="preserve"> hydro projects due to Spring and early Summer runoff</w:t>
      </w:r>
    </w:p>
    <w:p w:rsidR="00A22C13" w:rsidRDefault="00A22C13" w:rsidP="002C35DD">
      <w:pPr>
        <w:numPr>
          <w:ilvl w:val="0"/>
          <w:numId w:val="44"/>
        </w:numPr>
        <w:tabs>
          <w:tab w:val="clear" w:pos="1800"/>
          <w:tab w:val="num" w:pos="2160"/>
        </w:tabs>
        <w:spacing w:after="120" w:line="240" w:lineRule="auto"/>
        <w:ind w:left="2160" w:right="720" w:hanging="720"/>
        <w:rPr>
          <w:sz w:val="24"/>
          <w:szCs w:val="24"/>
          <w:lang w:eastAsia="en-US"/>
        </w:rPr>
      </w:pPr>
      <w:r>
        <w:rPr>
          <w:sz w:val="24"/>
          <w:szCs w:val="24"/>
          <w:lang w:eastAsia="en-US"/>
        </w:rPr>
        <w:t xml:space="preserve">High transfers from </w:t>
      </w:r>
      <w:smartTag w:uri="urn:schemas-microsoft-com:office:smarttags" w:element="State">
        <w:r>
          <w:rPr>
            <w:sz w:val="24"/>
            <w:szCs w:val="24"/>
            <w:lang w:eastAsia="en-US"/>
          </w:rPr>
          <w:t>Montana</w:t>
        </w:r>
      </w:smartTag>
      <w:r>
        <w:rPr>
          <w:sz w:val="24"/>
          <w:szCs w:val="24"/>
          <w:lang w:eastAsia="en-US"/>
        </w:rPr>
        <w:t xml:space="preserve"> to the </w:t>
      </w:r>
      <w:smartTag w:uri="urn:schemas-microsoft-com:office:smarttags" w:element="place">
        <w:r>
          <w:rPr>
            <w:sz w:val="24"/>
            <w:szCs w:val="24"/>
            <w:lang w:eastAsia="en-US"/>
          </w:rPr>
          <w:t>Pacific Northwest</w:t>
        </w:r>
      </w:smartTag>
      <w:r>
        <w:rPr>
          <w:sz w:val="24"/>
          <w:szCs w:val="24"/>
          <w:lang w:eastAsia="en-US"/>
        </w:rPr>
        <w:t>, including high output at Western Montana Hydro plants</w:t>
      </w:r>
    </w:p>
    <w:p w:rsidR="00A22C13" w:rsidRDefault="00A22C13" w:rsidP="002C35DD">
      <w:pPr>
        <w:numPr>
          <w:ilvl w:val="0"/>
          <w:numId w:val="44"/>
        </w:numPr>
        <w:tabs>
          <w:tab w:val="clear" w:pos="1800"/>
          <w:tab w:val="num" w:pos="2160"/>
        </w:tabs>
        <w:spacing w:after="120" w:line="240" w:lineRule="auto"/>
        <w:ind w:left="2160" w:right="720" w:hanging="720"/>
        <w:rPr>
          <w:sz w:val="24"/>
          <w:szCs w:val="24"/>
          <w:lang w:eastAsia="en-US"/>
        </w:rPr>
      </w:pPr>
      <w:r>
        <w:rPr>
          <w:sz w:val="24"/>
          <w:szCs w:val="24"/>
          <w:lang w:eastAsia="en-US"/>
        </w:rPr>
        <w:t xml:space="preserve">High wind generation in </w:t>
      </w:r>
      <w:smartTag w:uri="urn:schemas-microsoft-com:office:smarttags" w:element="place">
        <w:r>
          <w:rPr>
            <w:sz w:val="24"/>
            <w:szCs w:val="24"/>
            <w:lang w:eastAsia="en-US"/>
          </w:rPr>
          <w:t>SE Washington</w:t>
        </w:r>
      </w:smartTag>
      <w:r>
        <w:rPr>
          <w:sz w:val="24"/>
          <w:szCs w:val="24"/>
          <w:lang w:eastAsia="en-US"/>
        </w:rPr>
        <w:t>, including existing projects connected at 230 kV and below</w:t>
      </w:r>
    </w:p>
    <w:p w:rsidR="00A22C13" w:rsidRDefault="00A22C13" w:rsidP="002C35DD">
      <w:pPr>
        <w:numPr>
          <w:ilvl w:val="0"/>
          <w:numId w:val="44"/>
        </w:numPr>
        <w:tabs>
          <w:tab w:val="clear" w:pos="1800"/>
          <w:tab w:val="num" w:pos="2160"/>
        </w:tabs>
        <w:spacing w:after="120" w:line="240" w:lineRule="auto"/>
        <w:ind w:left="2160" w:right="720" w:hanging="720"/>
        <w:rPr>
          <w:sz w:val="24"/>
          <w:szCs w:val="24"/>
          <w:lang w:eastAsia="en-US"/>
        </w:rPr>
      </w:pPr>
      <w:r>
        <w:rPr>
          <w:sz w:val="24"/>
          <w:szCs w:val="24"/>
          <w:lang w:eastAsia="en-US"/>
        </w:rPr>
        <w:t xml:space="preserve">High transfers from </w:t>
      </w:r>
      <w:smartTag w:uri="urn:schemas-microsoft-com:office:smarttags" w:element="State">
        <w:smartTag w:uri="urn:schemas-microsoft-com:office:smarttags" w:element="place">
          <w:r>
            <w:rPr>
              <w:sz w:val="24"/>
              <w:szCs w:val="24"/>
              <w:lang w:eastAsia="en-US"/>
            </w:rPr>
            <w:t>Idaho</w:t>
          </w:r>
        </w:smartTag>
      </w:smartTag>
      <w:r>
        <w:rPr>
          <w:sz w:val="24"/>
          <w:szCs w:val="24"/>
          <w:lang w:eastAsia="en-US"/>
        </w:rPr>
        <w:t xml:space="preserve"> to the Northwest; and</w:t>
      </w:r>
    </w:p>
    <w:p w:rsidR="00A22C13" w:rsidRDefault="00A22C13" w:rsidP="002C35DD">
      <w:pPr>
        <w:numPr>
          <w:ilvl w:val="0"/>
          <w:numId w:val="44"/>
        </w:numPr>
        <w:tabs>
          <w:tab w:val="clear" w:pos="1800"/>
          <w:tab w:val="num" w:pos="2160"/>
        </w:tabs>
        <w:spacing w:after="120" w:line="240" w:lineRule="auto"/>
        <w:ind w:left="2160" w:right="720" w:hanging="720"/>
        <w:rPr>
          <w:sz w:val="24"/>
          <w:szCs w:val="24"/>
          <w:lang w:eastAsia="en-US"/>
        </w:rPr>
      </w:pPr>
      <w:r>
        <w:rPr>
          <w:sz w:val="24"/>
          <w:szCs w:val="24"/>
          <w:lang w:eastAsia="en-US"/>
        </w:rPr>
        <w:t xml:space="preserve">Lower local load in </w:t>
      </w:r>
      <w:smartTag w:uri="urn:schemas-microsoft-com:office:smarttags" w:element="place">
        <w:r>
          <w:rPr>
            <w:sz w:val="24"/>
            <w:szCs w:val="24"/>
            <w:lang w:eastAsia="en-US"/>
          </w:rPr>
          <w:t>SE Washington</w:t>
        </w:r>
      </w:smartTag>
      <w:r>
        <w:rPr>
          <w:sz w:val="24"/>
          <w:szCs w:val="24"/>
          <w:lang w:eastAsia="en-US"/>
        </w:rPr>
        <w:t>.</w:t>
      </w:r>
      <w:r>
        <w:rPr>
          <w:rStyle w:val="FootnoteReference"/>
          <w:szCs w:val="24"/>
          <w:lang w:eastAsia="en-US"/>
        </w:rPr>
        <w:footnoteReference w:id="7"/>
      </w:r>
    </w:p>
    <w:p w:rsidR="00A22C13" w:rsidRPr="00576D23" w:rsidRDefault="00A22C13" w:rsidP="00A22C13">
      <w:pPr>
        <w:pStyle w:val="Heading2"/>
        <w:spacing w:before="0" w:after="280" w:line="240" w:lineRule="auto"/>
        <w:rPr>
          <w:sz w:val="24"/>
          <w:szCs w:val="24"/>
        </w:rPr>
      </w:pPr>
      <w:r>
        <w:rPr>
          <w:sz w:val="24"/>
          <w:szCs w:val="24"/>
        </w:rPr>
        <w:lastRenderedPageBreak/>
        <w:t>D</w:t>
      </w:r>
      <w:r w:rsidRPr="00576D23">
        <w:rPr>
          <w:sz w:val="24"/>
          <w:szCs w:val="24"/>
        </w:rPr>
        <w:t>.</w:t>
      </w:r>
      <w:r w:rsidRPr="00576D23">
        <w:rPr>
          <w:sz w:val="24"/>
          <w:szCs w:val="24"/>
        </w:rPr>
        <w:tab/>
      </w:r>
      <w:r>
        <w:rPr>
          <w:sz w:val="24"/>
          <w:szCs w:val="24"/>
        </w:rPr>
        <w:t>The Standard Large Generator Interconnection Agreement</w:t>
      </w:r>
    </w:p>
    <w:p w:rsidR="00A22C13" w:rsidRPr="00465ECD" w:rsidRDefault="00A22C13" w:rsidP="00A22C13">
      <w:pPr>
        <w:spacing w:line="480" w:lineRule="auto"/>
        <w:rPr>
          <w:sz w:val="24"/>
          <w:szCs w:val="24"/>
        </w:rPr>
      </w:pPr>
      <w:r w:rsidRPr="00D85E30">
        <w:rPr>
          <w:sz w:val="24"/>
          <w:szCs w:val="24"/>
        </w:rPr>
        <w:fldChar w:fldCharType="begin"/>
      </w:r>
      <w:r w:rsidRPr="00D85E30">
        <w:rPr>
          <w:sz w:val="24"/>
          <w:szCs w:val="24"/>
        </w:rPr>
        <w:instrText xml:space="preserve"> AUTONUM </w:instrText>
      </w:r>
      <w:r w:rsidRPr="00D85E30">
        <w:rPr>
          <w:sz w:val="24"/>
          <w:szCs w:val="24"/>
        </w:rPr>
        <w:fldChar w:fldCharType="end"/>
      </w:r>
      <w:r w:rsidRPr="00D85E30">
        <w:rPr>
          <w:sz w:val="24"/>
          <w:szCs w:val="24"/>
        </w:rPr>
        <w:tab/>
      </w:r>
      <w:r w:rsidR="00465ECD">
        <w:rPr>
          <w:sz w:val="24"/>
          <w:szCs w:val="24"/>
        </w:rPr>
        <w:t xml:space="preserve">PSE states that it and BPA have executed </w:t>
      </w:r>
      <w:r>
        <w:rPr>
          <w:sz w:val="24"/>
          <w:szCs w:val="24"/>
        </w:rPr>
        <w:t>a Standard Large Generator Interconnection Agreement, BPA Contract No. </w:t>
      </w:r>
      <w:r w:rsidRPr="0081185C">
        <w:rPr>
          <w:sz w:val="24"/>
          <w:szCs w:val="24"/>
        </w:rPr>
        <w:t>10TX-14570</w:t>
      </w:r>
      <w:r>
        <w:rPr>
          <w:sz w:val="24"/>
          <w:szCs w:val="24"/>
        </w:rPr>
        <w:t xml:space="preserve">, which sets forth the parties’ respective rights and obligations.  PSE </w:t>
      </w:r>
      <w:r w:rsidR="00465ECD">
        <w:rPr>
          <w:sz w:val="24"/>
          <w:szCs w:val="24"/>
        </w:rPr>
        <w:t xml:space="preserve">states that under such contract, it </w:t>
      </w:r>
      <w:r>
        <w:rPr>
          <w:sz w:val="24"/>
          <w:szCs w:val="24"/>
        </w:rPr>
        <w:t xml:space="preserve">is required to prepay $102.2 million to BPA to fund the construction of the Central Ferry Substation for the </w:t>
      </w:r>
      <w:r w:rsidRPr="00D16FAF">
        <w:rPr>
          <w:sz w:val="24"/>
          <w:szCs w:val="24"/>
        </w:rPr>
        <w:t>Lower Snake River Wind Project</w:t>
      </w:r>
      <w:r>
        <w:rPr>
          <w:sz w:val="24"/>
          <w:szCs w:val="24"/>
        </w:rPr>
        <w:t xml:space="preserve"> </w:t>
      </w:r>
      <w:r w:rsidR="00EE0367">
        <w:rPr>
          <w:sz w:val="24"/>
          <w:szCs w:val="24"/>
        </w:rPr>
        <w:t>Interconnection Facilities</w:t>
      </w:r>
      <w:r w:rsidR="00AC3109">
        <w:rPr>
          <w:sz w:val="24"/>
          <w:szCs w:val="24"/>
        </w:rPr>
        <w:t xml:space="preserve"> and</w:t>
      </w:r>
      <w:r>
        <w:rPr>
          <w:sz w:val="24"/>
          <w:szCs w:val="24"/>
        </w:rPr>
        <w:t xml:space="preserve"> </w:t>
      </w:r>
      <w:r w:rsidR="00683D76">
        <w:rPr>
          <w:sz w:val="24"/>
          <w:szCs w:val="24"/>
        </w:rPr>
        <w:t xml:space="preserve">related </w:t>
      </w:r>
      <w:r w:rsidR="00EE0367">
        <w:rPr>
          <w:sz w:val="24"/>
          <w:szCs w:val="24"/>
        </w:rPr>
        <w:t>Network Upgrade</w:t>
      </w:r>
      <w:r>
        <w:rPr>
          <w:sz w:val="24"/>
          <w:szCs w:val="24"/>
        </w:rPr>
        <w:t xml:space="preserve">s.  </w:t>
      </w:r>
      <w:r w:rsidR="00465ECD">
        <w:rPr>
          <w:i/>
          <w:sz w:val="24"/>
          <w:szCs w:val="24"/>
        </w:rPr>
        <w:t>See</w:t>
      </w:r>
      <w:r w:rsidR="00465ECD">
        <w:t xml:space="preserve"> </w:t>
      </w:r>
      <w:r w:rsidR="00465ECD">
        <w:rPr>
          <w:sz w:val="24"/>
          <w:szCs w:val="24"/>
        </w:rPr>
        <w:t xml:space="preserve">Exhibit A to PSE's Petition for the payment schedule related to such work. </w:t>
      </w:r>
      <w:r w:rsidR="00CB71B2">
        <w:rPr>
          <w:sz w:val="24"/>
          <w:szCs w:val="24"/>
        </w:rPr>
        <w:t xml:space="preserve"> PSE explains that the cost for construction of the Central Ferry Substation is determined in BPA’s sole discretion and in accordance with its standardized interconnection requirements to step up power from 230 kV to 500 kV, including transformers, breakers and other substation equipment sized specifically for 1250 MW of capacity.  </w:t>
      </w:r>
    </w:p>
    <w:p w:rsidR="00A22C13" w:rsidRPr="00576D23" w:rsidRDefault="00A22C13" w:rsidP="00A22C13">
      <w:pPr>
        <w:pStyle w:val="Heading2"/>
        <w:spacing w:before="0" w:after="280" w:line="240" w:lineRule="auto"/>
        <w:rPr>
          <w:sz w:val="24"/>
          <w:szCs w:val="24"/>
        </w:rPr>
      </w:pPr>
      <w:r>
        <w:rPr>
          <w:sz w:val="24"/>
          <w:szCs w:val="24"/>
        </w:rPr>
        <w:t>E</w:t>
      </w:r>
      <w:r w:rsidRPr="00576D23">
        <w:rPr>
          <w:sz w:val="24"/>
          <w:szCs w:val="24"/>
        </w:rPr>
        <w:t>.</w:t>
      </w:r>
      <w:r w:rsidRPr="00576D23">
        <w:rPr>
          <w:sz w:val="24"/>
          <w:szCs w:val="24"/>
        </w:rPr>
        <w:tab/>
      </w:r>
      <w:r>
        <w:rPr>
          <w:sz w:val="24"/>
          <w:szCs w:val="24"/>
        </w:rPr>
        <w:t xml:space="preserve">Network Upgrades </w:t>
      </w:r>
      <w:proofErr w:type="gramStart"/>
      <w:r>
        <w:rPr>
          <w:sz w:val="24"/>
          <w:szCs w:val="24"/>
        </w:rPr>
        <w:t>Under</w:t>
      </w:r>
      <w:proofErr w:type="gramEnd"/>
      <w:r>
        <w:rPr>
          <w:sz w:val="24"/>
          <w:szCs w:val="24"/>
        </w:rPr>
        <w:t xml:space="preserve"> the Standard Large Generator Interconnection Agreement</w:t>
      </w:r>
    </w:p>
    <w:p w:rsidR="00A22C13" w:rsidRDefault="00A22C13" w:rsidP="00A22C13">
      <w:pPr>
        <w:spacing w:line="480" w:lineRule="auto"/>
        <w:rPr>
          <w:sz w:val="24"/>
          <w:szCs w:val="24"/>
        </w:rPr>
      </w:pPr>
      <w:r w:rsidRPr="00D85E30">
        <w:rPr>
          <w:sz w:val="24"/>
          <w:szCs w:val="24"/>
        </w:rPr>
        <w:fldChar w:fldCharType="begin"/>
      </w:r>
      <w:r w:rsidRPr="00D85E30">
        <w:rPr>
          <w:sz w:val="24"/>
          <w:szCs w:val="24"/>
        </w:rPr>
        <w:instrText xml:space="preserve"> AUTONUM </w:instrText>
      </w:r>
      <w:r w:rsidRPr="00D85E30">
        <w:rPr>
          <w:sz w:val="24"/>
          <w:szCs w:val="24"/>
        </w:rPr>
        <w:fldChar w:fldCharType="end"/>
      </w:r>
      <w:r w:rsidRPr="00D85E30">
        <w:rPr>
          <w:sz w:val="24"/>
          <w:szCs w:val="24"/>
        </w:rPr>
        <w:tab/>
      </w:r>
      <w:r w:rsidR="00016CA0">
        <w:rPr>
          <w:sz w:val="24"/>
          <w:szCs w:val="24"/>
        </w:rPr>
        <w:t>PSE explains that t</w:t>
      </w:r>
      <w:r>
        <w:rPr>
          <w:sz w:val="24"/>
          <w:szCs w:val="24"/>
        </w:rPr>
        <w:t>he pricing methodology established by FERC</w:t>
      </w:r>
      <w:r>
        <w:rPr>
          <w:rStyle w:val="FootnoteReference"/>
          <w:szCs w:val="24"/>
        </w:rPr>
        <w:footnoteReference w:id="8"/>
      </w:r>
      <w:r>
        <w:rPr>
          <w:sz w:val="24"/>
          <w:szCs w:val="24"/>
        </w:rPr>
        <w:t xml:space="preserve"> in Order No.</w:t>
      </w:r>
      <w:r w:rsidR="00016CA0">
        <w:rPr>
          <w:sz w:val="24"/>
          <w:szCs w:val="24"/>
        </w:rPr>
        <w:t> </w:t>
      </w:r>
      <w:r>
        <w:rPr>
          <w:sz w:val="24"/>
          <w:szCs w:val="24"/>
        </w:rPr>
        <w:t>2003</w:t>
      </w:r>
      <w:r w:rsidR="00016CA0">
        <w:rPr>
          <w:sz w:val="24"/>
          <w:szCs w:val="24"/>
        </w:rPr>
        <w:t>,</w:t>
      </w:r>
      <w:r>
        <w:rPr>
          <w:rStyle w:val="FootnoteReference"/>
          <w:szCs w:val="24"/>
        </w:rPr>
        <w:footnoteReference w:id="9"/>
      </w:r>
      <w:r>
        <w:rPr>
          <w:sz w:val="24"/>
          <w:szCs w:val="24"/>
        </w:rPr>
        <w:t xml:space="preserve"> by which transmission providers must set their rates for interconnections</w:t>
      </w:r>
      <w:r w:rsidR="00016CA0">
        <w:rPr>
          <w:sz w:val="24"/>
          <w:szCs w:val="24"/>
        </w:rPr>
        <w:t>,</w:t>
      </w:r>
      <w:r>
        <w:rPr>
          <w:sz w:val="20"/>
          <w:lang w:eastAsia="en-US"/>
        </w:rPr>
        <w:t xml:space="preserve"> </w:t>
      </w:r>
      <w:r>
        <w:rPr>
          <w:sz w:val="24"/>
          <w:szCs w:val="24"/>
        </w:rPr>
        <w:t>recog</w:t>
      </w:r>
      <w:r w:rsidRPr="00B52C2B">
        <w:rPr>
          <w:sz w:val="24"/>
          <w:szCs w:val="24"/>
        </w:rPr>
        <w:t>nizes that interconnecti</w:t>
      </w:r>
      <w:r>
        <w:rPr>
          <w:sz w:val="24"/>
          <w:szCs w:val="24"/>
        </w:rPr>
        <w:t>on requires an initial cost out</w:t>
      </w:r>
      <w:r w:rsidRPr="00B52C2B">
        <w:rPr>
          <w:sz w:val="24"/>
          <w:szCs w:val="24"/>
        </w:rPr>
        <w:t xml:space="preserve">lay for two types of </w:t>
      </w:r>
      <w:r>
        <w:rPr>
          <w:sz w:val="24"/>
          <w:szCs w:val="24"/>
        </w:rPr>
        <w:t xml:space="preserve">facilities.  The first type of </w:t>
      </w:r>
      <w:r>
        <w:rPr>
          <w:sz w:val="24"/>
          <w:szCs w:val="24"/>
        </w:rPr>
        <w:lastRenderedPageBreak/>
        <w:t>facilities (labeled “Interconnection Fa</w:t>
      </w:r>
      <w:r w:rsidRPr="00B52C2B">
        <w:rPr>
          <w:sz w:val="24"/>
          <w:szCs w:val="24"/>
        </w:rPr>
        <w:t>cilities”</w:t>
      </w:r>
      <w:r>
        <w:rPr>
          <w:sz w:val="24"/>
          <w:szCs w:val="24"/>
        </w:rPr>
        <w:t>)</w:t>
      </w:r>
      <w:r w:rsidRPr="00B52C2B">
        <w:rPr>
          <w:sz w:val="24"/>
          <w:szCs w:val="24"/>
        </w:rPr>
        <w:t xml:space="preserve"> </w:t>
      </w:r>
      <w:r w:rsidR="00016CA0">
        <w:rPr>
          <w:sz w:val="24"/>
          <w:szCs w:val="24"/>
        </w:rPr>
        <w:t>is</w:t>
      </w:r>
      <w:r w:rsidRPr="00B52C2B">
        <w:rPr>
          <w:sz w:val="24"/>
          <w:szCs w:val="24"/>
        </w:rPr>
        <w:t xml:space="preserve"> located </w:t>
      </w:r>
      <w:r>
        <w:rPr>
          <w:sz w:val="24"/>
          <w:szCs w:val="24"/>
        </w:rPr>
        <w:t>before the point of interconnec</w:t>
      </w:r>
      <w:r w:rsidRPr="00B52C2B">
        <w:rPr>
          <w:sz w:val="24"/>
          <w:szCs w:val="24"/>
        </w:rPr>
        <w:t>tion and allow</w:t>
      </w:r>
      <w:r w:rsidR="00016CA0">
        <w:rPr>
          <w:sz w:val="24"/>
          <w:szCs w:val="24"/>
        </w:rPr>
        <w:t>s</w:t>
      </w:r>
      <w:r w:rsidRPr="00B52C2B">
        <w:rPr>
          <w:sz w:val="24"/>
          <w:szCs w:val="24"/>
        </w:rPr>
        <w:t xml:space="preserve"> genera</w:t>
      </w:r>
      <w:r>
        <w:rPr>
          <w:sz w:val="24"/>
          <w:szCs w:val="24"/>
        </w:rPr>
        <w:t>tors to connect to the transmis</w:t>
      </w:r>
      <w:r w:rsidRPr="00B52C2B">
        <w:rPr>
          <w:sz w:val="24"/>
          <w:szCs w:val="24"/>
        </w:rPr>
        <w:t xml:space="preserve">sion grid. </w:t>
      </w:r>
      <w:r>
        <w:rPr>
          <w:sz w:val="24"/>
          <w:szCs w:val="24"/>
        </w:rPr>
        <w:t xml:space="preserve"> The second type of facilities (labeled </w:t>
      </w:r>
      <w:r w:rsidRPr="00B52C2B">
        <w:rPr>
          <w:sz w:val="24"/>
          <w:szCs w:val="24"/>
        </w:rPr>
        <w:t>“Network Upgrades”</w:t>
      </w:r>
      <w:r>
        <w:rPr>
          <w:sz w:val="24"/>
          <w:szCs w:val="24"/>
        </w:rPr>
        <w:t>)</w:t>
      </w:r>
      <w:r w:rsidR="00016CA0">
        <w:rPr>
          <w:sz w:val="24"/>
          <w:szCs w:val="24"/>
        </w:rPr>
        <w:t xml:space="preserve"> is</w:t>
      </w:r>
      <w:r w:rsidRPr="00B52C2B">
        <w:rPr>
          <w:sz w:val="24"/>
          <w:szCs w:val="24"/>
        </w:rPr>
        <w:t xml:space="preserve"> located on the grid</w:t>
      </w:r>
      <w:r>
        <w:rPr>
          <w:sz w:val="24"/>
          <w:szCs w:val="24"/>
        </w:rPr>
        <w:t xml:space="preserve"> (</w:t>
      </w:r>
      <w:r w:rsidRPr="00483DAD">
        <w:rPr>
          <w:i/>
          <w:sz w:val="24"/>
          <w:szCs w:val="24"/>
        </w:rPr>
        <w:t>i.e</w:t>
      </w:r>
      <w:r>
        <w:rPr>
          <w:sz w:val="24"/>
          <w:szCs w:val="24"/>
        </w:rPr>
        <w:t xml:space="preserve">., </w:t>
      </w:r>
      <w:r w:rsidRPr="00B52C2B">
        <w:rPr>
          <w:sz w:val="24"/>
          <w:szCs w:val="24"/>
        </w:rPr>
        <w:t>“at or beyond” the point of interconnection</w:t>
      </w:r>
      <w:r>
        <w:rPr>
          <w:sz w:val="24"/>
          <w:szCs w:val="24"/>
        </w:rPr>
        <w:t xml:space="preserve">) </w:t>
      </w:r>
      <w:r w:rsidRPr="00B52C2B">
        <w:rPr>
          <w:sz w:val="24"/>
          <w:szCs w:val="24"/>
        </w:rPr>
        <w:t>and improve</w:t>
      </w:r>
      <w:r w:rsidR="00016CA0">
        <w:rPr>
          <w:sz w:val="24"/>
          <w:szCs w:val="24"/>
        </w:rPr>
        <w:t>s</w:t>
      </w:r>
      <w:r w:rsidRPr="00B52C2B">
        <w:rPr>
          <w:sz w:val="24"/>
          <w:szCs w:val="24"/>
        </w:rPr>
        <w:t xml:space="preserve"> the </w:t>
      </w:r>
      <w:r>
        <w:rPr>
          <w:sz w:val="24"/>
          <w:szCs w:val="24"/>
        </w:rPr>
        <w:t>transmission system for the benefit of all users.</w:t>
      </w:r>
    </w:p>
    <w:p w:rsidR="00A22C13" w:rsidRPr="00A2265F" w:rsidRDefault="00A22C13" w:rsidP="00A22C13">
      <w:pPr>
        <w:spacing w:line="480" w:lineRule="auto"/>
        <w:rPr>
          <w:sz w:val="20"/>
          <w:lang w:eastAsia="en-US"/>
        </w:rPr>
      </w:pPr>
      <w:r w:rsidRPr="00D85E30">
        <w:rPr>
          <w:sz w:val="24"/>
          <w:szCs w:val="24"/>
        </w:rPr>
        <w:fldChar w:fldCharType="begin"/>
      </w:r>
      <w:r w:rsidRPr="00D85E30">
        <w:rPr>
          <w:sz w:val="24"/>
          <w:szCs w:val="24"/>
        </w:rPr>
        <w:instrText xml:space="preserve"> AUTONUM </w:instrText>
      </w:r>
      <w:r w:rsidRPr="00D85E30">
        <w:rPr>
          <w:sz w:val="24"/>
          <w:szCs w:val="24"/>
        </w:rPr>
        <w:fldChar w:fldCharType="end"/>
      </w:r>
      <w:r w:rsidRPr="00D85E30">
        <w:rPr>
          <w:sz w:val="24"/>
          <w:szCs w:val="24"/>
        </w:rPr>
        <w:tab/>
      </w:r>
      <w:r w:rsidR="00016CA0">
        <w:rPr>
          <w:sz w:val="24"/>
          <w:szCs w:val="24"/>
        </w:rPr>
        <w:t>PSE further explains that a</w:t>
      </w:r>
      <w:r>
        <w:rPr>
          <w:sz w:val="24"/>
          <w:szCs w:val="24"/>
        </w:rPr>
        <w:t>lthough the interconnecting gen</w:t>
      </w:r>
      <w:r w:rsidRPr="00B52C2B">
        <w:rPr>
          <w:sz w:val="24"/>
          <w:szCs w:val="24"/>
        </w:rPr>
        <w:t xml:space="preserve">erator </w:t>
      </w:r>
      <w:r>
        <w:rPr>
          <w:sz w:val="24"/>
          <w:szCs w:val="24"/>
        </w:rPr>
        <w:t>pre</w:t>
      </w:r>
      <w:r w:rsidRPr="00B52C2B">
        <w:rPr>
          <w:sz w:val="24"/>
          <w:szCs w:val="24"/>
        </w:rPr>
        <w:t xml:space="preserve">pays for </w:t>
      </w:r>
      <w:r>
        <w:rPr>
          <w:sz w:val="24"/>
          <w:szCs w:val="24"/>
        </w:rPr>
        <w:t xml:space="preserve">both Interconnection Facilities and Network Upgrades, the treatment of prepayments vary by the type </w:t>
      </w:r>
      <w:r w:rsidRPr="00B52C2B">
        <w:rPr>
          <w:sz w:val="24"/>
          <w:szCs w:val="24"/>
        </w:rPr>
        <w:t>of facilities.</w:t>
      </w:r>
      <w:r w:rsidR="00016CA0">
        <w:rPr>
          <w:sz w:val="20"/>
          <w:lang w:eastAsia="en-US"/>
        </w:rPr>
        <w:t xml:space="preserve">  </w:t>
      </w:r>
      <w:r w:rsidR="00016CA0">
        <w:rPr>
          <w:sz w:val="24"/>
          <w:szCs w:val="24"/>
          <w:lang w:eastAsia="en-US"/>
        </w:rPr>
        <w:t>PSE states that, b</w:t>
      </w:r>
      <w:r>
        <w:rPr>
          <w:sz w:val="24"/>
          <w:szCs w:val="24"/>
        </w:rPr>
        <w:t>ecause Intercon</w:t>
      </w:r>
      <w:r w:rsidRPr="00B52C2B">
        <w:rPr>
          <w:sz w:val="24"/>
          <w:szCs w:val="24"/>
        </w:rPr>
        <w:t xml:space="preserve">nection Facilities benefit only the interconnecting generator, the generator bears their full cost. </w:t>
      </w:r>
      <w:r>
        <w:rPr>
          <w:sz w:val="24"/>
          <w:szCs w:val="24"/>
        </w:rPr>
        <w:t xml:space="preserve"> </w:t>
      </w:r>
      <w:r w:rsidRPr="00B52C2B">
        <w:rPr>
          <w:sz w:val="24"/>
          <w:szCs w:val="24"/>
        </w:rPr>
        <w:t xml:space="preserve">Network Upgrades, by contrast, improve the entire </w:t>
      </w:r>
      <w:r>
        <w:rPr>
          <w:sz w:val="24"/>
          <w:szCs w:val="24"/>
        </w:rPr>
        <w:t>transmission system</w:t>
      </w:r>
      <w:r w:rsidRPr="00B52C2B">
        <w:rPr>
          <w:sz w:val="24"/>
          <w:szCs w:val="24"/>
        </w:rPr>
        <w:t>, thus their cost must be spread among all users</w:t>
      </w:r>
      <w:r>
        <w:rPr>
          <w:sz w:val="24"/>
          <w:szCs w:val="24"/>
        </w:rPr>
        <w:t xml:space="preserve"> of the transmission system</w:t>
      </w:r>
      <w:r w:rsidRPr="00B52C2B">
        <w:rPr>
          <w:sz w:val="24"/>
          <w:szCs w:val="24"/>
        </w:rPr>
        <w:t xml:space="preserve">. </w:t>
      </w:r>
      <w:r>
        <w:rPr>
          <w:sz w:val="24"/>
          <w:szCs w:val="24"/>
        </w:rPr>
        <w:t xml:space="preserve"> </w:t>
      </w:r>
      <w:r w:rsidR="00483DAD">
        <w:rPr>
          <w:sz w:val="24"/>
          <w:szCs w:val="24"/>
        </w:rPr>
        <w:t>PSE adds that t</w:t>
      </w:r>
      <w:r>
        <w:rPr>
          <w:sz w:val="24"/>
          <w:szCs w:val="24"/>
        </w:rPr>
        <w:t xml:space="preserve">he </w:t>
      </w:r>
      <w:r w:rsidRPr="00B52C2B">
        <w:rPr>
          <w:sz w:val="24"/>
          <w:szCs w:val="24"/>
        </w:rPr>
        <w:t xml:space="preserve">cost of Network Upgrades </w:t>
      </w:r>
      <w:r>
        <w:rPr>
          <w:sz w:val="24"/>
          <w:szCs w:val="24"/>
        </w:rPr>
        <w:t xml:space="preserve">is assigned to the transmission provider </w:t>
      </w:r>
      <w:r w:rsidRPr="00B52C2B">
        <w:rPr>
          <w:sz w:val="24"/>
          <w:szCs w:val="24"/>
        </w:rPr>
        <w:t xml:space="preserve">whose </w:t>
      </w:r>
      <w:r>
        <w:rPr>
          <w:sz w:val="24"/>
          <w:szCs w:val="24"/>
        </w:rPr>
        <w:t>transmission system</w:t>
      </w:r>
      <w:r w:rsidRPr="00B52C2B">
        <w:rPr>
          <w:sz w:val="24"/>
          <w:szCs w:val="24"/>
        </w:rPr>
        <w:t xml:space="preserve"> is improved. </w:t>
      </w:r>
      <w:r>
        <w:rPr>
          <w:sz w:val="24"/>
          <w:szCs w:val="24"/>
        </w:rPr>
        <w:t xml:space="preserve"> </w:t>
      </w:r>
      <w:r w:rsidRPr="00B52C2B">
        <w:rPr>
          <w:sz w:val="24"/>
          <w:szCs w:val="24"/>
        </w:rPr>
        <w:t xml:space="preserve">The </w:t>
      </w:r>
      <w:r>
        <w:rPr>
          <w:sz w:val="24"/>
          <w:szCs w:val="24"/>
        </w:rPr>
        <w:t xml:space="preserve">transmission provider then </w:t>
      </w:r>
      <w:r w:rsidRPr="00B52C2B">
        <w:rPr>
          <w:sz w:val="24"/>
          <w:szCs w:val="24"/>
        </w:rPr>
        <w:t>rolls this cost into its transmission rates so that all users of the</w:t>
      </w:r>
      <w:r>
        <w:rPr>
          <w:sz w:val="24"/>
          <w:szCs w:val="24"/>
        </w:rPr>
        <w:t xml:space="preserve"> transmission system</w:t>
      </w:r>
      <w:r w:rsidRPr="00B52C2B">
        <w:rPr>
          <w:sz w:val="24"/>
          <w:szCs w:val="24"/>
        </w:rPr>
        <w:t xml:space="preserve"> pay their fair share. </w:t>
      </w:r>
      <w:r>
        <w:rPr>
          <w:sz w:val="24"/>
          <w:szCs w:val="24"/>
        </w:rPr>
        <w:t xml:space="preserve"> </w:t>
      </w:r>
      <w:r w:rsidR="00016CA0">
        <w:rPr>
          <w:sz w:val="24"/>
          <w:szCs w:val="24"/>
        </w:rPr>
        <w:t xml:space="preserve">PSE </w:t>
      </w:r>
      <w:r w:rsidR="002C35DD">
        <w:rPr>
          <w:sz w:val="24"/>
          <w:szCs w:val="24"/>
        </w:rPr>
        <w:t>state</w:t>
      </w:r>
      <w:r w:rsidR="00016CA0">
        <w:rPr>
          <w:sz w:val="24"/>
          <w:szCs w:val="24"/>
        </w:rPr>
        <w:t>s that b</w:t>
      </w:r>
      <w:r w:rsidRPr="00B52C2B">
        <w:rPr>
          <w:sz w:val="24"/>
          <w:szCs w:val="24"/>
        </w:rPr>
        <w:t>ecause an interconnecting g</w:t>
      </w:r>
      <w:r>
        <w:rPr>
          <w:sz w:val="24"/>
          <w:szCs w:val="24"/>
        </w:rPr>
        <w:t>en</w:t>
      </w:r>
      <w:r w:rsidRPr="00B52C2B">
        <w:rPr>
          <w:sz w:val="24"/>
          <w:szCs w:val="24"/>
        </w:rPr>
        <w:t xml:space="preserve">erator </w:t>
      </w:r>
      <w:r>
        <w:rPr>
          <w:sz w:val="24"/>
          <w:szCs w:val="24"/>
        </w:rPr>
        <w:t xml:space="preserve">prepays </w:t>
      </w:r>
      <w:r w:rsidRPr="00B52C2B">
        <w:rPr>
          <w:sz w:val="24"/>
          <w:szCs w:val="24"/>
        </w:rPr>
        <w:t>for Network Upgrades, it would be unfair to make it pay again for those upgrades through increased transmission rates designed to spread the cost of th</w:t>
      </w:r>
      <w:r>
        <w:rPr>
          <w:sz w:val="24"/>
          <w:szCs w:val="24"/>
        </w:rPr>
        <w:t>e upgrades among all beneficiar</w:t>
      </w:r>
      <w:r w:rsidRPr="00B52C2B">
        <w:rPr>
          <w:sz w:val="24"/>
          <w:szCs w:val="24"/>
        </w:rPr>
        <w:t xml:space="preserve">ies of the improved service. </w:t>
      </w:r>
      <w:r>
        <w:rPr>
          <w:sz w:val="24"/>
          <w:szCs w:val="24"/>
        </w:rPr>
        <w:t xml:space="preserve"> </w:t>
      </w:r>
      <w:r w:rsidR="00016CA0">
        <w:rPr>
          <w:sz w:val="24"/>
          <w:szCs w:val="24"/>
        </w:rPr>
        <w:t>PSE states that t</w:t>
      </w:r>
      <w:r w:rsidRPr="00B52C2B">
        <w:rPr>
          <w:sz w:val="24"/>
          <w:szCs w:val="24"/>
        </w:rPr>
        <w:t xml:space="preserve">he </w:t>
      </w:r>
      <w:r>
        <w:rPr>
          <w:sz w:val="24"/>
          <w:szCs w:val="24"/>
        </w:rPr>
        <w:t xml:space="preserve">transmission provider </w:t>
      </w:r>
      <w:r w:rsidRPr="00B52C2B">
        <w:rPr>
          <w:sz w:val="24"/>
          <w:szCs w:val="24"/>
        </w:rPr>
        <w:t xml:space="preserve">must therefore grant the interconnecting generator “transmission service credits” equal to the total cost of the Network Upgrades. </w:t>
      </w:r>
      <w:r>
        <w:rPr>
          <w:sz w:val="24"/>
          <w:szCs w:val="24"/>
        </w:rPr>
        <w:t xml:space="preserve"> </w:t>
      </w:r>
      <w:r w:rsidRPr="00B52C2B">
        <w:rPr>
          <w:sz w:val="24"/>
          <w:szCs w:val="24"/>
        </w:rPr>
        <w:t xml:space="preserve">The interconnecting generator uses its transmission </w:t>
      </w:r>
      <w:r w:rsidRPr="00B52C2B">
        <w:rPr>
          <w:sz w:val="24"/>
          <w:szCs w:val="24"/>
        </w:rPr>
        <w:lastRenderedPageBreak/>
        <w:t>service cr</w:t>
      </w:r>
      <w:r>
        <w:rPr>
          <w:sz w:val="24"/>
          <w:szCs w:val="24"/>
        </w:rPr>
        <w:t>edits to offset future transmis</w:t>
      </w:r>
      <w:r w:rsidRPr="00B52C2B">
        <w:rPr>
          <w:sz w:val="24"/>
          <w:szCs w:val="24"/>
        </w:rPr>
        <w:t xml:space="preserve">sion charges paid to move power over the improved </w:t>
      </w:r>
      <w:r>
        <w:rPr>
          <w:sz w:val="24"/>
          <w:szCs w:val="24"/>
        </w:rPr>
        <w:t>transmission system</w:t>
      </w:r>
      <w:r w:rsidRPr="00B52C2B">
        <w:rPr>
          <w:sz w:val="24"/>
          <w:szCs w:val="24"/>
        </w:rPr>
        <w:t>.</w:t>
      </w:r>
      <w:r>
        <w:rPr>
          <w:rStyle w:val="FootnoteReference"/>
          <w:szCs w:val="24"/>
        </w:rPr>
        <w:footnoteReference w:id="10"/>
      </w:r>
    </w:p>
    <w:p w:rsidR="00A22C13" w:rsidRDefault="00A22C13" w:rsidP="00A22C13">
      <w:pPr>
        <w:spacing w:line="480" w:lineRule="auto"/>
        <w:rPr>
          <w:sz w:val="24"/>
          <w:szCs w:val="24"/>
        </w:rPr>
      </w:pPr>
      <w:r w:rsidRPr="00D85E30">
        <w:rPr>
          <w:sz w:val="24"/>
          <w:szCs w:val="24"/>
        </w:rPr>
        <w:fldChar w:fldCharType="begin"/>
      </w:r>
      <w:r w:rsidRPr="00D85E30">
        <w:rPr>
          <w:sz w:val="24"/>
          <w:szCs w:val="24"/>
        </w:rPr>
        <w:instrText xml:space="preserve"> AUTONUM </w:instrText>
      </w:r>
      <w:r w:rsidRPr="00D85E30">
        <w:rPr>
          <w:sz w:val="24"/>
          <w:szCs w:val="24"/>
        </w:rPr>
        <w:fldChar w:fldCharType="end"/>
      </w:r>
      <w:r w:rsidRPr="00D85E30">
        <w:rPr>
          <w:sz w:val="24"/>
          <w:szCs w:val="24"/>
        </w:rPr>
        <w:tab/>
      </w:r>
      <w:r w:rsidR="00016CA0">
        <w:rPr>
          <w:sz w:val="24"/>
          <w:szCs w:val="24"/>
        </w:rPr>
        <w:t xml:space="preserve">PSE </w:t>
      </w:r>
      <w:r w:rsidR="002C35DD">
        <w:rPr>
          <w:sz w:val="24"/>
          <w:szCs w:val="24"/>
        </w:rPr>
        <w:t>state</w:t>
      </w:r>
      <w:r w:rsidR="00016CA0">
        <w:rPr>
          <w:sz w:val="24"/>
          <w:szCs w:val="24"/>
        </w:rPr>
        <w:t xml:space="preserve">s that </w:t>
      </w:r>
      <w:r>
        <w:rPr>
          <w:sz w:val="24"/>
          <w:szCs w:val="24"/>
        </w:rPr>
        <w:t xml:space="preserve">BPA has determined that $99.7 million of the total pre-payments of $102.2 million under the Standard Large Generator Interconnection Agreement are associated with </w:t>
      </w:r>
      <w:r w:rsidR="00CB71B2">
        <w:rPr>
          <w:sz w:val="24"/>
          <w:szCs w:val="24"/>
        </w:rPr>
        <w:t>N</w:t>
      </w:r>
      <w:r>
        <w:rPr>
          <w:sz w:val="24"/>
          <w:szCs w:val="24"/>
        </w:rPr>
        <w:t xml:space="preserve">etwork </w:t>
      </w:r>
      <w:r w:rsidR="00CB71B2">
        <w:rPr>
          <w:sz w:val="24"/>
          <w:szCs w:val="24"/>
        </w:rPr>
        <w:t>U</w:t>
      </w:r>
      <w:r>
        <w:rPr>
          <w:sz w:val="24"/>
          <w:szCs w:val="24"/>
        </w:rPr>
        <w:t xml:space="preserve">pgrades.  </w:t>
      </w:r>
      <w:r w:rsidR="00016CA0">
        <w:rPr>
          <w:sz w:val="24"/>
          <w:szCs w:val="24"/>
        </w:rPr>
        <w:t xml:space="preserve">PSE expects, pursuant to that Agreement, that </w:t>
      </w:r>
      <w:r w:rsidRPr="00D16FAF">
        <w:rPr>
          <w:sz w:val="24"/>
          <w:szCs w:val="24"/>
        </w:rPr>
        <w:t xml:space="preserve">BPA </w:t>
      </w:r>
      <w:r w:rsidR="00016CA0">
        <w:rPr>
          <w:sz w:val="24"/>
          <w:szCs w:val="24"/>
        </w:rPr>
        <w:t>will</w:t>
      </w:r>
      <w:r w:rsidRPr="00D16FAF">
        <w:rPr>
          <w:sz w:val="24"/>
          <w:szCs w:val="24"/>
        </w:rPr>
        <w:t xml:space="preserve"> </w:t>
      </w:r>
      <w:r>
        <w:rPr>
          <w:sz w:val="24"/>
          <w:szCs w:val="24"/>
        </w:rPr>
        <w:t xml:space="preserve">provide transmission credits </w:t>
      </w:r>
      <w:r w:rsidRPr="00D16FAF">
        <w:rPr>
          <w:sz w:val="24"/>
          <w:szCs w:val="24"/>
        </w:rPr>
        <w:t xml:space="preserve">to </w:t>
      </w:r>
      <w:r>
        <w:rPr>
          <w:sz w:val="24"/>
          <w:szCs w:val="24"/>
        </w:rPr>
        <w:t xml:space="preserve">PSE’s </w:t>
      </w:r>
      <w:r w:rsidRPr="00D16FAF">
        <w:rPr>
          <w:sz w:val="24"/>
          <w:szCs w:val="24"/>
        </w:rPr>
        <w:t xml:space="preserve">point-to-point transmission </w:t>
      </w:r>
      <w:r w:rsidRPr="00B52C2B">
        <w:rPr>
          <w:sz w:val="24"/>
          <w:szCs w:val="24"/>
        </w:rPr>
        <w:t>equal to the total cost of the Network Upgrades</w:t>
      </w:r>
      <w:r>
        <w:rPr>
          <w:sz w:val="24"/>
          <w:szCs w:val="24"/>
        </w:rPr>
        <w:t xml:space="preserve"> of $99.7 million, plus interest.  </w:t>
      </w:r>
      <w:r w:rsidR="00016CA0">
        <w:rPr>
          <w:sz w:val="24"/>
          <w:szCs w:val="24"/>
        </w:rPr>
        <w:t>PSE states that p</w:t>
      </w:r>
      <w:r>
        <w:rPr>
          <w:sz w:val="24"/>
          <w:szCs w:val="24"/>
        </w:rPr>
        <w:t xml:space="preserve">ayments </w:t>
      </w:r>
      <w:r w:rsidR="00016CA0">
        <w:rPr>
          <w:sz w:val="24"/>
          <w:szCs w:val="24"/>
        </w:rPr>
        <w:t xml:space="preserve">it has </w:t>
      </w:r>
      <w:r>
        <w:rPr>
          <w:sz w:val="24"/>
          <w:szCs w:val="24"/>
        </w:rPr>
        <w:t>made to BPA prior to the execution of the Agreement have accrued interest receivable from BPA at the annual FERC interest rate, updated quarterly</w:t>
      </w:r>
      <w:r w:rsidR="00016CA0">
        <w:rPr>
          <w:sz w:val="24"/>
          <w:szCs w:val="24"/>
        </w:rPr>
        <w:t xml:space="preserve">, but now </w:t>
      </w:r>
      <w:r>
        <w:rPr>
          <w:sz w:val="24"/>
          <w:szCs w:val="24"/>
        </w:rPr>
        <w:t xml:space="preserve">BPA </w:t>
      </w:r>
      <w:r w:rsidR="00AC3109">
        <w:rPr>
          <w:sz w:val="24"/>
          <w:szCs w:val="24"/>
        </w:rPr>
        <w:t>uses</w:t>
      </w:r>
      <w:r w:rsidR="006D49D6">
        <w:rPr>
          <w:sz w:val="24"/>
          <w:szCs w:val="24"/>
        </w:rPr>
        <w:t xml:space="preserve"> </w:t>
      </w:r>
      <w:r>
        <w:rPr>
          <w:sz w:val="24"/>
          <w:szCs w:val="24"/>
        </w:rPr>
        <w:t>a fixed Bloomberg 10-year Treasury bond rate to accumulate</w:t>
      </w:r>
      <w:r w:rsidR="006D49D6">
        <w:rPr>
          <w:sz w:val="24"/>
          <w:szCs w:val="24"/>
        </w:rPr>
        <w:t xml:space="preserve"> interest on all prepayments</w:t>
      </w:r>
      <w:r>
        <w:rPr>
          <w:sz w:val="24"/>
          <w:szCs w:val="24"/>
        </w:rPr>
        <w:t xml:space="preserve">.  </w:t>
      </w:r>
      <w:r w:rsidR="006D49D6">
        <w:rPr>
          <w:sz w:val="24"/>
          <w:szCs w:val="24"/>
        </w:rPr>
        <w:t xml:space="preserve">PSE states that </w:t>
      </w:r>
      <w:r>
        <w:rPr>
          <w:sz w:val="24"/>
          <w:szCs w:val="24"/>
        </w:rPr>
        <w:t xml:space="preserve">BPA has classified the remaining $2.5 million of the $102.2 million cost as </w:t>
      </w:r>
      <w:r w:rsidR="006D49D6">
        <w:rPr>
          <w:sz w:val="24"/>
          <w:szCs w:val="24"/>
        </w:rPr>
        <w:t xml:space="preserve">Interconnection Facilities.  </w:t>
      </w:r>
      <w:r>
        <w:rPr>
          <w:sz w:val="24"/>
          <w:szCs w:val="24"/>
        </w:rPr>
        <w:t xml:space="preserve">PSE </w:t>
      </w:r>
      <w:r w:rsidR="006D49D6">
        <w:rPr>
          <w:sz w:val="24"/>
          <w:szCs w:val="24"/>
        </w:rPr>
        <w:t xml:space="preserve">states that it </w:t>
      </w:r>
      <w:r>
        <w:rPr>
          <w:sz w:val="24"/>
          <w:szCs w:val="24"/>
        </w:rPr>
        <w:t>will include this $2.5 million in expense in a Construction Work In Progress account for the Lower Snake River Wind Project.</w:t>
      </w:r>
    </w:p>
    <w:p w:rsidR="00A22C13" w:rsidRPr="00576D23" w:rsidRDefault="00A22C13" w:rsidP="00A22C13">
      <w:pPr>
        <w:pStyle w:val="Heading2"/>
        <w:spacing w:before="0" w:after="280" w:line="240" w:lineRule="auto"/>
        <w:rPr>
          <w:sz w:val="24"/>
          <w:szCs w:val="24"/>
        </w:rPr>
      </w:pPr>
      <w:r>
        <w:rPr>
          <w:sz w:val="24"/>
          <w:szCs w:val="24"/>
        </w:rPr>
        <w:t>F</w:t>
      </w:r>
      <w:r w:rsidRPr="00576D23">
        <w:rPr>
          <w:sz w:val="24"/>
          <w:szCs w:val="24"/>
        </w:rPr>
        <w:t>.</w:t>
      </w:r>
      <w:r w:rsidRPr="00576D23">
        <w:rPr>
          <w:sz w:val="24"/>
          <w:szCs w:val="24"/>
        </w:rPr>
        <w:tab/>
      </w:r>
      <w:r>
        <w:rPr>
          <w:sz w:val="24"/>
          <w:szCs w:val="24"/>
        </w:rPr>
        <w:t xml:space="preserve">Allocation of Prepayments </w:t>
      </w:r>
      <w:proofErr w:type="gramStart"/>
      <w:r>
        <w:rPr>
          <w:sz w:val="24"/>
          <w:szCs w:val="24"/>
        </w:rPr>
        <w:t>Among</w:t>
      </w:r>
      <w:proofErr w:type="gramEnd"/>
      <w:r>
        <w:rPr>
          <w:sz w:val="24"/>
          <w:szCs w:val="24"/>
        </w:rPr>
        <w:t xml:space="preserve"> </w:t>
      </w:r>
      <w:smartTag w:uri="urn:schemas-microsoft-com:office:smarttags" w:element="place">
        <w:r>
          <w:rPr>
            <w:sz w:val="24"/>
            <w:szCs w:val="24"/>
          </w:rPr>
          <w:t>Lower Snake River</w:t>
        </w:r>
      </w:smartTag>
      <w:r>
        <w:rPr>
          <w:sz w:val="24"/>
          <w:szCs w:val="24"/>
        </w:rPr>
        <w:t xml:space="preserve"> Wind Project Phases</w:t>
      </w:r>
    </w:p>
    <w:p w:rsidR="00A22C13" w:rsidRDefault="00A22C13" w:rsidP="00A22C13">
      <w:pPr>
        <w:spacing w:line="480" w:lineRule="auto"/>
        <w:rPr>
          <w:sz w:val="24"/>
          <w:szCs w:val="24"/>
        </w:rPr>
      </w:pPr>
      <w:r w:rsidRPr="00D85E30">
        <w:rPr>
          <w:sz w:val="24"/>
          <w:szCs w:val="24"/>
        </w:rPr>
        <w:fldChar w:fldCharType="begin"/>
      </w:r>
      <w:r w:rsidRPr="00D85E30">
        <w:rPr>
          <w:sz w:val="24"/>
          <w:szCs w:val="24"/>
        </w:rPr>
        <w:instrText xml:space="preserve"> AUTONUM </w:instrText>
      </w:r>
      <w:r w:rsidRPr="00D85E30">
        <w:rPr>
          <w:sz w:val="24"/>
          <w:szCs w:val="24"/>
        </w:rPr>
        <w:fldChar w:fldCharType="end"/>
      </w:r>
      <w:r w:rsidRPr="00D85E30">
        <w:rPr>
          <w:sz w:val="24"/>
          <w:szCs w:val="24"/>
        </w:rPr>
        <w:tab/>
      </w:r>
      <w:r>
        <w:rPr>
          <w:sz w:val="24"/>
          <w:szCs w:val="24"/>
        </w:rPr>
        <w:t xml:space="preserve">PSE </w:t>
      </w:r>
      <w:r w:rsidR="006D49D6">
        <w:rPr>
          <w:sz w:val="24"/>
          <w:szCs w:val="24"/>
        </w:rPr>
        <w:t xml:space="preserve">states that it </w:t>
      </w:r>
      <w:r>
        <w:rPr>
          <w:sz w:val="24"/>
          <w:szCs w:val="24"/>
        </w:rPr>
        <w:t>will allocate a</w:t>
      </w:r>
      <w:r w:rsidR="00EE0367">
        <w:rPr>
          <w:sz w:val="24"/>
          <w:szCs w:val="24"/>
        </w:rPr>
        <w:t xml:space="preserve"> </w:t>
      </w:r>
      <w:r>
        <w:rPr>
          <w:sz w:val="24"/>
          <w:szCs w:val="24"/>
        </w:rPr>
        <w:t xml:space="preserve">prepayment </w:t>
      </w:r>
      <w:r w:rsidR="00483DAD">
        <w:rPr>
          <w:sz w:val="24"/>
          <w:szCs w:val="24"/>
        </w:rPr>
        <w:t>to</w:t>
      </w:r>
      <w:r>
        <w:rPr>
          <w:sz w:val="24"/>
          <w:szCs w:val="24"/>
        </w:rPr>
        <w:t xml:space="preserve"> the </w:t>
      </w:r>
      <w:r w:rsidRPr="00D16FAF">
        <w:rPr>
          <w:sz w:val="24"/>
          <w:szCs w:val="24"/>
        </w:rPr>
        <w:t>Lower Snake River Wind Project</w:t>
      </w:r>
      <w:r>
        <w:rPr>
          <w:sz w:val="24"/>
          <w:szCs w:val="24"/>
        </w:rPr>
        <w:t xml:space="preserve"> Phase</w:t>
      </w:r>
      <w:r w:rsidR="00683D76">
        <w:rPr>
          <w:sz w:val="24"/>
          <w:szCs w:val="24"/>
        </w:rPr>
        <w:t xml:space="preserve"> 1</w:t>
      </w:r>
      <w:r>
        <w:rPr>
          <w:sz w:val="24"/>
          <w:szCs w:val="24"/>
        </w:rPr>
        <w:t>, which costs will consist of:  (</w:t>
      </w:r>
      <w:proofErr w:type="spellStart"/>
      <w:r>
        <w:rPr>
          <w:sz w:val="24"/>
          <w:szCs w:val="24"/>
        </w:rPr>
        <w:t>i</w:t>
      </w:r>
      <w:proofErr w:type="spellEnd"/>
      <w:r>
        <w:rPr>
          <w:sz w:val="24"/>
          <w:szCs w:val="24"/>
        </w:rPr>
        <w:t>) </w:t>
      </w:r>
      <w:r w:rsidR="001B3AD2">
        <w:rPr>
          <w:sz w:val="24"/>
          <w:szCs w:val="24"/>
        </w:rPr>
        <w:t>a portion</w:t>
      </w:r>
      <w:r>
        <w:rPr>
          <w:sz w:val="24"/>
          <w:szCs w:val="24"/>
        </w:rPr>
        <w:t xml:space="preserve"> of the $99.7 million prepaid </w:t>
      </w:r>
      <w:r w:rsidR="00EE0367">
        <w:rPr>
          <w:sz w:val="24"/>
          <w:szCs w:val="24"/>
        </w:rPr>
        <w:t>Network Upgrade</w:t>
      </w:r>
      <w:r>
        <w:rPr>
          <w:sz w:val="24"/>
          <w:szCs w:val="24"/>
        </w:rPr>
        <w:t>s, and (ii) </w:t>
      </w:r>
      <w:r w:rsidR="006D49D6">
        <w:rPr>
          <w:sz w:val="24"/>
          <w:szCs w:val="24"/>
        </w:rPr>
        <w:t>100 percent</w:t>
      </w:r>
      <w:r>
        <w:rPr>
          <w:sz w:val="24"/>
          <w:szCs w:val="24"/>
        </w:rPr>
        <w:t xml:space="preserve"> of the direct assigned </w:t>
      </w:r>
      <w:r w:rsidR="00EE0367">
        <w:rPr>
          <w:sz w:val="24"/>
          <w:szCs w:val="24"/>
        </w:rPr>
        <w:t xml:space="preserve">Interconnection Facilities </w:t>
      </w:r>
      <w:r>
        <w:rPr>
          <w:sz w:val="24"/>
          <w:szCs w:val="24"/>
        </w:rPr>
        <w:t xml:space="preserve">costs of $2.5 million.  PSE will allocate the remainder of the prepaid </w:t>
      </w:r>
      <w:r w:rsidR="00EE0367">
        <w:rPr>
          <w:sz w:val="24"/>
          <w:szCs w:val="24"/>
        </w:rPr>
        <w:t>Network Upgrade</w:t>
      </w:r>
      <w:r>
        <w:rPr>
          <w:sz w:val="24"/>
          <w:szCs w:val="24"/>
        </w:rPr>
        <w:t xml:space="preserve"> expenditure</w:t>
      </w:r>
      <w:r w:rsidR="00EE0367">
        <w:rPr>
          <w:sz w:val="24"/>
          <w:szCs w:val="24"/>
        </w:rPr>
        <w:t>s</w:t>
      </w:r>
      <w:r>
        <w:rPr>
          <w:sz w:val="24"/>
          <w:szCs w:val="24"/>
        </w:rPr>
        <w:t xml:space="preserve"> among future phases of the </w:t>
      </w:r>
      <w:r w:rsidRPr="00D16FAF">
        <w:rPr>
          <w:sz w:val="24"/>
          <w:szCs w:val="24"/>
        </w:rPr>
        <w:t>Lower Snake River Wind Project</w:t>
      </w:r>
      <w:r>
        <w:rPr>
          <w:sz w:val="24"/>
          <w:szCs w:val="24"/>
        </w:rPr>
        <w:t xml:space="preserve">.  </w:t>
      </w:r>
      <w:r w:rsidR="006D49D6">
        <w:rPr>
          <w:sz w:val="24"/>
          <w:szCs w:val="24"/>
        </w:rPr>
        <w:t>PSE states that it has</w:t>
      </w:r>
      <w:r>
        <w:rPr>
          <w:sz w:val="24"/>
          <w:szCs w:val="24"/>
        </w:rPr>
        <w:t xml:space="preserve"> established a </w:t>
      </w:r>
      <w:r>
        <w:rPr>
          <w:sz w:val="24"/>
          <w:szCs w:val="24"/>
        </w:rPr>
        <w:lastRenderedPageBreak/>
        <w:t xml:space="preserve">methodology by which development rights costs and the cost of subsequent development work is allocated across the balance of the </w:t>
      </w:r>
      <w:r w:rsidR="00505A59">
        <w:rPr>
          <w:sz w:val="24"/>
          <w:szCs w:val="24"/>
        </w:rPr>
        <w:t xml:space="preserve">Lower Snake River Wind </w:t>
      </w:r>
      <w:r>
        <w:rPr>
          <w:sz w:val="24"/>
          <w:szCs w:val="24"/>
        </w:rPr>
        <w:t>Project.</w:t>
      </w:r>
      <w:r w:rsidRPr="003F1A96">
        <w:rPr>
          <w:sz w:val="24"/>
          <w:szCs w:val="24"/>
        </w:rPr>
        <w:t xml:space="preserve"> </w:t>
      </w:r>
      <w:r>
        <w:rPr>
          <w:sz w:val="24"/>
          <w:szCs w:val="24"/>
        </w:rPr>
        <w:t xml:space="preserve"> </w:t>
      </w:r>
      <w:r w:rsidR="006D49D6">
        <w:rPr>
          <w:sz w:val="24"/>
          <w:szCs w:val="24"/>
        </w:rPr>
        <w:t>PSE explains that a</w:t>
      </w:r>
      <w:r>
        <w:rPr>
          <w:sz w:val="24"/>
          <w:szCs w:val="24"/>
        </w:rPr>
        <w:t xml:space="preserve">t the time of the purchase of the </w:t>
      </w:r>
      <w:r w:rsidR="006D49D6">
        <w:rPr>
          <w:sz w:val="24"/>
          <w:szCs w:val="24"/>
        </w:rPr>
        <w:t>initial 50 percent</w:t>
      </w:r>
      <w:r>
        <w:rPr>
          <w:sz w:val="24"/>
          <w:szCs w:val="24"/>
        </w:rPr>
        <w:t xml:space="preserve"> development rights by PSE from </w:t>
      </w:r>
      <w:r w:rsidRPr="00590757">
        <w:rPr>
          <w:sz w:val="24"/>
          <w:szCs w:val="24"/>
        </w:rPr>
        <w:t>Renewable Energy Systems Americas Inc. (</w:t>
      </w:r>
      <w:r>
        <w:rPr>
          <w:sz w:val="24"/>
          <w:szCs w:val="24"/>
        </w:rPr>
        <w:t>“</w:t>
      </w:r>
      <w:r w:rsidRPr="00590757">
        <w:rPr>
          <w:sz w:val="24"/>
          <w:szCs w:val="24"/>
        </w:rPr>
        <w:t>RES Americas</w:t>
      </w:r>
      <w:r>
        <w:rPr>
          <w:sz w:val="24"/>
          <w:szCs w:val="24"/>
        </w:rPr>
        <w:t xml:space="preserve">”), there were four defined wind resource areas encompassing the Lower Snake River Wind Project footprint.  </w:t>
      </w:r>
      <w:r w:rsidR="006D49D6">
        <w:rPr>
          <w:sz w:val="24"/>
          <w:szCs w:val="24"/>
        </w:rPr>
        <w:t>PSE states that following</w:t>
      </w:r>
      <w:r>
        <w:rPr>
          <w:sz w:val="24"/>
          <w:szCs w:val="24"/>
        </w:rPr>
        <w:t xml:space="preserve"> </w:t>
      </w:r>
      <w:r w:rsidR="009457FA">
        <w:rPr>
          <w:sz w:val="24"/>
          <w:szCs w:val="24"/>
        </w:rPr>
        <w:t>it</w:t>
      </w:r>
      <w:r>
        <w:rPr>
          <w:sz w:val="24"/>
          <w:szCs w:val="24"/>
        </w:rPr>
        <w:t>s acquisition of the fir</w:t>
      </w:r>
      <w:r w:rsidR="006D49D6">
        <w:rPr>
          <w:sz w:val="24"/>
          <w:szCs w:val="24"/>
        </w:rPr>
        <w:t>st 50 percent</w:t>
      </w:r>
      <w:r>
        <w:rPr>
          <w:sz w:val="24"/>
          <w:szCs w:val="24"/>
        </w:rPr>
        <w:t xml:space="preserve"> interest in development rights, PSE and </w:t>
      </w:r>
      <w:r w:rsidRPr="00590757">
        <w:rPr>
          <w:sz w:val="24"/>
          <w:szCs w:val="24"/>
        </w:rPr>
        <w:t>RES Americas</w:t>
      </w:r>
      <w:r>
        <w:rPr>
          <w:sz w:val="24"/>
          <w:szCs w:val="24"/>
        </w:rPr>
        <w:t xml:space="preserve"> allocated the four wind resource areas among five conceptual project phases to better align with the initial development plan</w:t>
      </w:r>
      <w:r w:rsidR="009457FA">
        <w:rPr>
          <w:sz w:val="24"/>
          <w:szCs w:val="24"/>
        </w:rPr>
        <w:t xml:space="preserve">. </w:t>
      </w:r>
      <w:r>
        <w:rPr>
          <w:sz w:val="24"/>
          <w:szCs w:val="24"/>
        </w:rPr>
        <w:t xml:space="preserve"> </w:t>
      </w:r>
      <w:r w:rsidRPr="00D16FAF">
        <w:rPr>
          <w:sz w:val="24"/>
          <w:szCs w:val="24"/>
        </w:rPr>
        <w:t>Lower Snake River Wind Project</w:t>
      </w:r>
      <w:r>
        <w:rPr>
          <w:sz w:val="24"/>
          <w:szCs w:val="24"/>
        </w:rPr>
        <w:t xml:space="preserve"> Phase </w:t>
      </w:r>
      <w:r w:rsidR="00683D76">
        <w:rPr>
          <w:sz w:val="24"/>
          <w:szCs w:val="24"/>
        </w:rPr>
        <w:t>1</w:t>
      </w:r>
      <w:r>
        <w:rPr>
          <w:sz w:val="24"/>
          <w:szCs w:val="24"/>
        </w:rPr>
        <w:t xml:space="preserve"> contained portions of the Oliphant Ridge and </w:t>
      </w:r>
      <w:proofErr w:type="spellStart"/>
      <w:r>
        <w:rPr>
          <w:sz w:val="24"/>
          <w:szCs w:val="24"/>
        </w:rPr>
        <w:t>Kuhl</w:t>
      </w:r>
      <w:proofErr w:type="spellEnd"/>
      <w:r>
        <w:rPr>
          <w:sz w:val="24"/>
          <w:szCs w:val="24"/>
        </w:rPr>
        <w:t xml:space="preserve"> Ridge wind resource areas.</w:t>
      </w:r>
    </w:p>
    <w:p w:rsidR="00A22C13" w:rsidRDefault="00A22C13" w:rsidP="00A22C13">
      <w:pPr>
        <w:spacing w:line="480" w:lineRule="auto"/>
        <w:rPr>
          <w:sz w:val="24"/>
          <w:szCs w:val="24"/>
        </w:rPr>
      </w:pPr>
      <w:r w:rsidRPr="00D85E30">
        <w:rPr>
          <w:sz w:val="24"/>
          <w:szCs w:val="24"/>
        </w:rPr>
        <w:fldChar w:fldCharType="begin"/>
      </w:r>
      <w:r w:rsidRPr="00D85E30">
        <w:rPr>
          <w:sz w:val="24"/>
          <w:szCs w:val="24"/>
        </w:rPr>
        <w:instrText xml:space="preserve"> AUTONUM </w:instrText>
      </w:r>
      <w:r w:rsidRPr="00D85E30">
        <w:rPr>
          <w:sz w:val="24"/>
          <w:szCs w:val="24"/>
        </w:rPr>
        <w:fldChar w:fldCharType="end"/>
      </w:r>
      <w:r w:rsidRPr="00D85E30">
        <w:rPr>
          <w:sz w:val="24"/>
          <w:szCs w:val="24"/>
        </w:rPr>
        <w:tab/>
      </w:r>
      <w:r w:rsidR="009457FA">
        <w:rPr>
          <w:sz w:val="24"/>
          <w:szCs w:val="24"/>
        </w:rPr>
        <w:t xml:space="preserve">PSE </w:t>
      </w:r>
      <w:r w:rsidR="002C35DD">
        <w:rPr>
          <w:sz w:val="24"/>
          <w:szCs w:val="24"/>
        </w:rPr>
        <w:t>plans to</w:t>
      </w:r>
      <w:r>
        <w:rPr>
          <w:sz w:val="24"/>
          <w:szCs w:val="24"/>
        </w:rPr>
        <w:t xml:space="preserve"> utilize the entire transmission capacity made possible by the construction of the Central Ferry Substation and related network facilities. </w:t>
      </w:r>
      <w:r w:rsidR="009457FA">
        <w:rPr>
          <w:sz w:val="24"/>
          <w:szCs w:val="24"/>
        </w:rPr>
        <w:t xml:space="preserve"> PSE states that </w:t>
      </w:r>
      <w:r w:rsidR="00B12725">
        <w:rPr>
          <w:sz w:val="24"/>
          <w:szCs w:val="24"/>
        </w:rPr>
        <w:t>a portion</w:t>
      </w:r>
      <w:r>
        <w:rPr>
          <w:sz w:val="24"/>
          <w:szCs w:val="24"/>
        </w:rPr>
        <w:t xml:space="preserve"> of such </w:t>
      </w:r>
      <w:r w:rsidR="00EE0367">
        <w:rPr>
          <w:sz w:val="24"/>
          <w:szCs w:val="24"/>
        </w:rPr>
        <w:t>Network Upgrades</w:t>
      </w:r>
      <w:r>
        <w:rPr>
          <w:sz w:val="24"/>
          <w:szCs w:val="24"/>
        </w:rPr>
        <w:t xml:space="preserve"> will be allocated to this future generation project development</w:t>
      </w:r>
      <w:r w:rsidR="00EE0367">
        <w:rPr>
          <w:sz w:val="24"/>
          <w:szCs w:val="24"/>
        </w:rPr>
        <w:t>; however,</w:t>
      </w:r>
      <w:r>
        <w:rPr>
          <w:sz w:val="24"/>
          <w:szCs w:val="24"/>
        </w:rPr>
        <w:t xml:space="preserve"> for r</w:t>
      </w:r>
      <w:r w:rsidR="009457FA">
        <w:rPr>
          <w:sz w:val="24"/>
          <w:szCs w:val="24"/>
        </w:rPr>
        <w:t>efund purposes, BPA will not track that</w:t>
      </w:r>
      <w:r>
        <w:rPr>
          <w:sz w:val="24"/>
          <w:szCs w:val="24"/>
        </w:rPr>
        <w:t xml:space="preserve"> portion of its </w:t>
      </w:r>
      <w:r w:rsidR="00EE0367">
        <w:rPr>
          <w:sz w:val="24"/>
          <w:szCs w:val="24"/>
        </w:rPr>
        <w:t>Network</w:t>
      </w:r>
      <w:r>
        <w:rPr>
          <w:sz w:val="24"/>
          <w:szCs w:val="24"/>
        </w:rPr>
        <w:t xml:space="preserve"> </w:t>
      </w:r>
      <w:r w:rsidR="00EE0367">
        <w:rPr>
          <w:sz w:val="24"/>
          <w:szCs w:val="24"/>
        </w:rPr>
        <w:t>U</w:t>
      </w:r>
      <w:r>
        <w:rPr>
          <w:sz w:val="24"/>
          <w:szCs w:val="24"/>
        </w:rPr>
        <w:t>pgrade</w:t>
      </w:r>
      <w:r w:rsidR="00EE0367">
        <w:rPr>
          <w:sz w:val="24"/>
          <w:szCs w:val="24"/>
        </w:rPr>
        <w:t>s</w:t>
      </w:r>
      <w:r>
        <w:rPr>
          <w:sz w:val="24"/>
          <w:szCs w:val="24"/>
        </w:rPr>
        <w:t xml:space="preserve"> separately.  </w:t>
      </w:r>
      <w:r w:rsidR="002C35DD">
        <w:rPr>
          <w:sz w:val="24"/>
          <w:szCs w:val="24"/>
        </w:rPr>
        <w:t>PSE states that, over time</w:t>
      </w:r>
      <w:r w:rsidR="009457FA">
        <w:rPr>
          <w:sz w:val="24"/>
          <w:szCs w:val="24"/>
        </w:rPr>
        <w:t xml:space="preserve">, </w:t>
      </w:r>
      <w:r>
        <w:rPr>
          <w:sz w:val="24"/>
          <w:szCs w:val="24"/>
        </w:rPr>
        <w:t xml:space="preserve">the full amount of the required transmission system </w:t>
      </w:r>
      <w:r w:rsidR="00EE0367">
        <w:rPr>
          <w:sz w:val="24"/>
          <w:szCs w:val="24"/>
        </w:rPr>
        <w:t xml:space="preserve">Network Upgrades </w:t>
      </w:r>
      <w:r>
        <w:rPr>
          <w:sz w:val="24"/>
          <w:szCs w:val="24"/>
        </w:rPr>
        <w:t>of $99.7 million will be refunded as a credit to transmission service with or without the build-out of the remainder of the generation project.</w:t>
      </w:r>
    </w:p>
    <w:p w:rsidR="00A22C13" w:rsidRPr="00D16FAF" w:rsidRDefault="009457FA" w:rsidP="009457FA">
      <w:pPr>
        <w:pStyle w:val="Heading1"/>
        <w:spacing w:before="0" w:after="240" w:line="240" w:lineRule="auto"/>
        <w:ind w:left="0" w:right="0"/>
        <w:rPr>
          <w:sz w:val="24"/>
          <w:szCs w:val="24"/>
        </w:rPr>
      </w:pPr>
      <w:r>
        <w:rPr>
          <w:sz w:val="24"/>
          <w:szCs w:val="24"/>
        </w:rPr>
        <w:t xml:space="preserve">PSE'S </w:t>
      </w:r>
      <w:r w:rsidR="00A22C13" w:rsidRPr="00D16FAF">
        <w:rPr>
          <w:sz w:val="24"/>
          <w:szCs w:val="24"/>
        </w:rPr>
        <w:t>PROPOSED ACCOUNTING AND</w:t>
      </w:r>
      <w:r w:rsidR="00A22C13" w:rsidRPr="00D16FAF">
        <w:rPr>
          <w:sz w:val="24"/>
          <w:szCs w:val="24"/>
        </w:rPr>
        <w:br/>
        <w:t>RATEMAKING TREATMENT</w:t>
      </w:r>
    </w:p>
    <w:p w:rsidR="00A22C13" w:rsidRDefault="00A22C13" w:rsidP="00A22C13">
      <w:pPr>
        <w:spacing w:line="480" w:lineRule="auto"/>
        <w:rPr>
          <w:sz w:val="24"/>
          <w:szCs w:val="24"/>
        </w:rPr>
      </w:pPr>
      <w:r w:rsidRPr="00D85E30">
        <w:rPr>
          <w:sz w:val="24"/>
          <w:szCs w:val="24"/>
        </w:rPr>
        <w:fldChar w:fldCharType="begin"/>
      </w:r>
      <w:r w:rsidRPr="00D85E30">
        <w:rPr>
          <w:sz w:val="24"/>
          <w:szCs w:val="24"/>
        </w:rPr>
        <w:instrText xml:space="preserve"> AUTONUM </w:instrText>
      </w:r>
      <w:r w:rsidRPr="00D85E30">
        <w:rPr>
          <w:sz w:val="24"/>
          <w:szCs w:val="24"/>
        </w:rPr>
        <w:fldChar w:fldCharType="end"/>
      </w:r>
      <w:r w:rsidRPr="00D85E30">
        <w:rPr>
          <w:sz w:val="24"/>
          <w:szCs w:val="24"/>
        </w:rPr>
        <w:tab/>
      </w:r>
      <w:r>
        <w:rPr>
          <w:sz w:val="24"/>
          <w:szCs w:val="24"/>
        </w:rPr>
        <w:t xml:space="preserve">PSE </w:t>
      </w:r>
      <w:r w:rsidR="009457FA">
        <w:rPr>
          <w:sz w:val="24"/>
          <w:szCs w:val="24"/>
        </w:rPr>
        <w:t xml:space="preserve">has </w:t>
      </w:r>
      <w:r w:rsidRPr="00D16FAF">
        <w:rPr>
          <w:sz w:val="24"/>
          <w:szCs w:val="24"/>
        </w:rPr>
        <w:t>propose</w:t>
      </w:r>
      <w:r w:rsidR="009457FA">
        <w:rPr>
          <w:sz w:val="24"/>
          <w:szCs w:val="24"/>
        </w:rPr>
        <w:t>d</w:t>
      </w:r>
      <w:r w:rsidRPr="00D16FAF">
        <w:rPr>
          <w:sz w:val="24"/>
          <w:szCs w:val="24"/>
        </w:rPr>
        <w:t xml:space="preserve"> to </w:t>
      </w:r>
      <w:r>
        <w:rPr>
          <w:sz w:val="24"/>
          <w:szCs w:val="24"/>
        </w:rPr>
        <w:t>treat</w:t>
      </w:r>
      <w:r w:rsidRPr="00D16FAF">
        <w:rPr>
          <w:sz w:val="24"/>
          <w:szCs w:val="24"/>
        </w:rPr>
        <w:t xml:space="preserve"> </w:t>
      </w:r>
      <w:r>
        <w:rPr>
          <w:sz w:val="24"/>
          <w:szCs w:val="24"/>
        </w:rPr>
        <w:t>100% of the $99.7</w:t>
      </w:r>
      <w:r w:rsidRPr="00D16FAF">
        <w:rPr>
          <w:sz w:val="24"/>
          <w:szCs w:val="24"/>
        </w:rPr>
        <w:t xml:space="preserve"> million prepayment </w:t>
      </w:r>
      <w:r w:rsidR="00F06F62">
        <w:rPr>
          <w:sz w:val="24"/>
          <w:szCs w:val="24"/>
        </w:rPr>
        <w:t xml:space="preserve">of the transmission </w:t>
      </w:r>
      <w:r w:rsidR="00EE0367">
        <w:rPr>
          <w:sz w:val="24"/>
          <w:szCs w:val="24"/>
        </w:rPr>
        <w:t>Network Upgrades</w:t>
      </w:r>
      <w:r w:rsidR="00F06F62">
        <w:rPr>
          <w:sz w:val="24"/>
          <w:szCs w:val="24"/>
        </w:rPr>
        <w:t xml:space="preserve"> </w:t>
      </w:r>
      <w:r w:rsidRPr="00D16FAF">
        <w:rPr>
          <w:sz w:val="24"/>
          <w:szCs w:val="24"/>
        </w:rPr>
        <w:t xml:space="preserve">as a regulatory asset that will earn the current </w:t>
      </w:r>
      <w:r>
        <w:rPr>
          <w:sz w:val="24"/>
          <w:szCs w:val="24"/>
        </w:rPr>
        <w:t xml:space="preserve">allowed </w:t>
      </w:r>
      <w:r w:rsidRPr="00D16FAF">
        <w:rPr>
          <w:sz w:val="24"/>
          <w:szCs w:val="24"/>
        </w:rPr>
        <w:t xml:space="preserve">net of tax rate of return </w:t>
      </w:r>
      <w:r>
        <w:rPr>
          <w:sz w:val="24"/>
          <w:szCs w:val="24"/>
        </w:rPr>
        <w:t xml:space="preserve">consistent with the treatment accorded </w:t>
      </w:r>
      <w:r w:rsidRPr="00D16FAF">
        <w:rPr>
          <w:sz w:val="24"/>
          <w:szCs w:val="24"/>
        </w:rPr>
        <w:t>other power cost related regulatory assets</w:t>
      </w:r>
      <w:r>
        <w:rPr>
          <w:sz w:val="24"/>
          <w:szCs w:val="24"/>
        </w:rPr>
        <w:t xml:space="preserve"> </w:t>
      </w:r>
      <w:r>
        <w:rPr>
          <w:sz w:val="24"/>
          <w:szCs w:val="24"/>
        </w:rPr>
        <w:lastRenderedPageBreak/>
        <w:t>and construction work in progress</w:t>
      </w:r>
      <w:r w:rsidRPr="00D16FAF">
        <w:rPr>
          <w:sz w:val="24"/>
          <w:szCs w:val="24"/>
        </w:rPr>
        <w:t>.  BPA w</w:t>
      </w:r>
      <w:r w:rsidR="009457FA">
        <w:rPr>
          <w:sz w:val="24"/>
          <w:szCs w:val="24"/>
        </w:rPr>
        <w:t>ould</w:t>
      </w:r>
      <w:r w:rsidRPr="00D16FAF">
        <w:rPr>
          <w:sz w:val="24"/>
          <w:szCs w:val="24"/>
        </w:rPr>
        <w:t xml:space="preserve"> accrue interest on th</w:t>
      </w:r>
      <w:r>
        <w:rPr>
          <w:sz w:val="24"/>
          <w:szCs w:val="24"/>
        </w:rPr>
        <w:t>e</w:t>
      </w:r>
      <w:r w:rsidRPr="00D16FAF">
        <w:rPr>
          <w:sz w:val="24"/>
          <w:szCs w:val="24"/>
        </w:rPr>
        <w:t xml:space="preserve"> total of PSE’s deposits </w:t>
      </w:r>
      <w:r>
        <w:rPr>
          <w:sz w:val="24"/>
          <w:szCs w:val="24"/>
        </w:rPr>
        <w:t>an</w:t>
      </w:r>
      <w:r w:rsidR="009457FA">
        <w:rPr>
          <w:sz w:val="24"/>
          <w:szCs w:val="24"/>
        </w:rPr>
        <w:t>d such BPA interest accrual would</w:t>
      </w:r>
      <w:r>
        <w:rPr>
          <w:sz w:val="24"/>
          <w:szCs w:val="24"/>
        </w:rPr>
        <w:t xml:space="preserve"> be credited back to PSE customers as a reduction to future transmission point-to-point expense</w:t>
      </w:r>
      <w:r w:rsidRPr="00D16FAF">
        <w:rPr>
          <w:sz w:val="24"/>
          <w:szCs w:val="24"/>
        </w:rPr>
        <w:t>.</w:t>
      </w:r>
    </w:p>
    <w:p w:rsidR="00A22C13" w:rsidRDefault="00A22C13" w:rsidP="00A22C13">
      <w:pPr>
        <w:spacing w:line="480" w:lineRule="auto"/>
        <w:rPr>
          <w:sz w:val="24"/>
          <w:szCs w:val="24"/>
        </w:rPr>
      </w:pPr>
      <w:r w:rsidRPr="00D85E30">
        <w:rPr>
          <w:sz w:val="24"/>
          <w:szCs w:val="24"/>
        </w:rPr>
        <w:fldChar w:fldCharType="begin"/>
      </w:r>
      <w:r w:rsidRPr="00D85E30">
        <w:rPr>
          <w:sz w:val="24"/>
          <w:szCs w:val="24"/>
        </w:rPr>
        <w:instrText xml:space="preserve"> AUTONUM </w:instrText>
      </w:r>
      <w:r w:rsidRPr="00D85E30">
        <w:rPr>
          <w:sz w:val="24"/>
          <w:szCs w:val="24"/>
        </w:rPr>
        <w:fldChar w:fldCharType="end"/>
      </w:r>
      <w:r w:rsidRPr="00D85E30">
        <w:rPr>
          <w:sz w:val="24"/>
          <w:szCs w:val="24"/>
        </w:rPr>
        <w:tab/>
      </w:r>
      <w:r w:rsidR="009457FA">
        <w:rPr>
          <w:sz w:val="24"/>
          <w:szCs w:val="24"/>
        </w:rPr>
        <w:t>PSE further proposes that o</w:t>
      </w:r>
      <w:r>
        <w:rPr>
          <w:sz w:val="24"/>
          <w:szCs w:val="24"/>
        </w:rPr>
        <w:t xml:space="preserve">nce transmission service for the Lower Snake River Wind Project Phase 1 begins, </w:t>
      </w:r>
      <w:r w:rsidR="009457FA">
        <w:rPr>
          <w:sz w:val="24"/>
          <w:szCs w:val="24"/>
        </w:rPr>
        <w:t xml:space="preserve">it will </w:t>
      </w:r>
      <w:r w:rsidRPr="00D16FAF">
        <w:rPr>
          <w:sz w:val="24"/>
          <w:szCs w:val="24"/>
        </w:rPr>
        <w:t xml:space="preserve">clear </w:t>
      </w:r>
      <w:r>
        <w:rPr>
          <w:sz w:val="24"/>
          <w:szCs w:val="24"/>
        </w:rPr>
        <w:t>the regulatory asset and interest receivable</w:t>
      </w:r>
      <w:r w:rsidRPr="00D16FAF">
        <w:rPr>
          <w:sz w:val="24"/>
          <w:szCs w:val="24"/>
        </w:rPr>
        <w:t xml:space="preserve"> </w:t>
      </w:r>
      <w:r w:rsidR="00F06F62">
        <w:rPr>
          <w:sz w:val="24"/>
          <w:szCs w:val="24"/>
        </w:rPr>
        <w:t xml:space="preserve">from BPA </w:t>
      </w:r>
      <w:r w:rsidRPr="00D16FAF">
        <w:rPr>
          <w:sz w:val="24"/>
          <w:szCs w:val="24"/>
        </w:rPr>
        <w:t>account</w:t>
      </w:r>
      <w:r>
        <w:rPr>
          <w:sz w:val="24"/>
          <w:szCs w:val="24"/>
        </w:rPr>
        <w:t>s</w:t>
      </w:r>
      <w:r w:rsidRPr="00D16FAF">
        <w:rPr>
          <w:sz w:val="24"/>
          <w:szCs w:val="24"/>
        </w:rPr>
        <w:t xml:space="preserve"> based on </w:t>
      </w:r>
      <w:r w:rsidR="00F06F62">
        <w:rPr>
          <w:sz w:val="24"/>
          <w:szCs w:val="24"/>
        </w:rPr>
        <w:t xml:space="preserve">actual </w:t>
      </w:r>
      <w:r w:rsidRPr="00D16FAF">
        <w:rPr>
          <w:sz w:val="24"/>
          <w:szCs w:val="24"/>
        </w:rPr>
        <w:t>BPA transmission billings</w:t>
      </w:r>
      <w:r>
        <w:rPr>
          <w:sz w:val="24"/>
          <w:szCs w:val="24"/>
        </w:rPr>
        <w:t>.  These billings</w:t>
      </w:r>
      <w:r w:rsidRPr="00D16FAF">
        <w:rPr>
          <w:sz w:val="24"/>
          <w:szCs w:val="24"/>
        </w:rPr>
        <w:t xml:space="preserve"> will show </w:t>
      </w:r>
      <w:r>
        <w:rPr>
          <w:sz w:val="24"/>
          <w:szCs w:val="24"/>
        </w:rPr>
        <w:t>a</w:t>
      </w:r>
      <w:r w:rsidRPr="00D16FAF">
        <w:rPr>
          <w:sz w:val="24"/>
          <w:szCs w:val="24"/>
        </w:rPr>
        <w:t xml:space="preserve"> </w:t>
      </w:r>
      <w:r>
        <w:rPr>
          <w:sz w:val="24"/>
          <w:szCs w:val="24"/>
        </w:rPr>
        <w:t xml:space="preserve">credit to PSE’s </w:t>
      </w:r>
      <w:r w:rsidRPr="00D16FAF">
        <w:rPr>
          <w:sz w:val="24"/>
          <w:szCs w:val="24"/>
        </w:rPr>
        <w:t>transmission demand cost</w:t>
      </w:r>
      <w:r>
        <w:rPr>
          <w:sz w:val="24"/>
          <w:szCs w:val="24"/>
        </w:rPr>
        <w:t xml:space="preserve">s </w:t>
      </w:r>
      <w:r w:rsidRPr="00D16FAF">
        <w:rPr>
          <w:sz w:val="24"/>
          <w:szCs w:val="24"/>
        </w:rPr>
        <w:t xml:space="preserve">associated with </w:t>
      </w:r>
      <w:r>
        <w:rPr>
          <w:sz w:val="24"/>
          <w:szCs w:val="24"/>
        </w:rPr>
        <w:t xml:space="preserve">the Lower Snake River Wind Project </w:t>
      </w:r>
      <w:r w:rsidRPr="00D16FAF">
        <w:rPr>
          <w:sz w:val="24"/>
          <w:szCs w:val="24"/>
        </w:rPr>
        <w:t>for a given month.</w:t>
      </w:r>
      <w:r>
        <w:rPr>
          <w:sz w:val="24"/>
          <w:szCs w:val="24"/>
        </w:rPr>
        <w:t xml:space="preserve"> </w:t>
      </w:r>
      <w:r w:rsidRPr="00D16FAF">
        <w:rPr>
          <w:sz w:val="24"/>
          <w:szCs w:val="24"/>
        </w:rPr>
        <w:t xml:space="preserve"> </w:t>
      </w:r>
      <w:r w:rsidR="00F06F62">
        <w:rPr>
          <w:sz w:val="24"/>
          <w:szCs w:val="24"/>
        </w:rPr>
        <w:t xml:space="preserve">PSE states that BPA does not attribute the credit between principal and interest, but rather applies the full credit against the full outstanding deposit balance, which includes both principal and interest.  PSE proposes to allocate the credits first to any accumulated interest accrued prior to the then-current billing.  Once the accumulated interest has been cleared, PSE plans to then allocate the credit between monthly interest and principal.  PSE states that </w:t>
      </w:r>
      <w:r w:rsidR="00791E3A">
        <w:rPr>
          <w:sz w:val="24"/>
          <w:szCs w:val="24"/>
        </w:rPr>
        <w:t>this proposed allocation of the credits between principal and interest is consistent with the methodology used to account for the prepaid Network Upgrades PSE made to BPA for the Hopkins Ridge project</w:t>
      </w:r>
      <w:r w:rsidR="00F06F62">
        <w:rPr>
          <w:sz w:val="24"/>
          <w:szCs w:val="24"/>
        </w:rPr>
        <w:t>.</w:t>
      </w:r>
    </w:p>
    <w:p w:rsidR="00A22C13" w:rsidRPr="00D16FAF" w:rsidRDefault="00A22C13" w:rsidP="00A22C13">
      <w:pPr>
        <w:spacing w:line="480" w:lineRule="auto"/>
        <w:rPr>
          <w:sz w:val="24"/>
          <w:szCs w:val="24"/>
        </w:rPr>
      </w:pPr>
      <w:r w:rsidRPr="00D85E30">
        <w:rPr>
          <w:sz w:val="24"/>
          <w:szCs w:val="24"/>
        </w:rPr>
        <w:fldChar w:fldCharType="begin"/>
      </w:r>
      <w:r w:rsidRPr="00D85E30">
        <w:rPr>
          <w:sz w:val="24"/>
          <w:szCs w:val="24"/>
        </w:rPr>
        <w:instrText xml:space="preserve"> AUTONUM </w:instrText>
      </w:r>
      <w:r w:rsidRPr="00D85E30">
        <w:rPr>
          <w:sz w:val="24"/>
          <w:szCs w:val="24"/>
        </w:rPr>
        <w:fldChar w:fldCharType="end"/>
      </w:r>
      <w:r w:rsidRPr="00D85E30">
        <w:rPr>
          <w:sz w:val="24"/>
          <w:szCs w:val="24"/>
        </w:rPr>
        <w:tab/>
      </w:r>
      <w:r w:rsidRPr="00D16FAF">
        <w:rPr>
          <w:sz w:val="24"/>
          <w:szCs w:val="24"/>
        </w:rPr>
        <w:t xml:space="preserve">PSE will track and credit the </w:t>
      </w:r>
      <w:r>
        <w:rPr>
          <w:sz w:val="24"/>
          <w:szCs w:val="24"/>
        </w:rPr>
        <w:t xml:space="preserve">accumulated </w:t>
      </w:r>
      <w:r w:rsidRPr="00D16FAF">
        <w:rPr>
          <w:sz w:val="24"/>
          <w:szCs w:val="24"/>
        </w:rPr>
        <w:t xml:space="preserve">interest owed </w:t>
      </w:r>
      <w:r>
        <w:rPr>
          <w:sz w:val="24"/>
          <w:szCs w:val="24"/>
        </w:rPr>
        <w:t xml:space="preserve">PSE </w:t>
      </w:r>
      <w:r w:rsidRPr="00D16FAF">
        <w:rPr>
          <w:sz w:val="24"/>
          <w:szCs w:val="24"/>
        </w:rPr>
        <w:t>versus the interest owed the customer based on when the interest was accrued</w:t>
      </w:r>
      <w:r>
        <w:rPr>
          <w:sz w:val="24"/>
          <w:szCs w:val="24"/>
        </w:rPr>
        <w:t xml:space="preserve">.  Interest paid on balances prior to the date of </w:t>
      </w:r>
      <w:r w:rsidR="00585CDD">
        <w:rPr>
          <w:sz w:val="24"/>
          <w:szCs w:val="24"/>
        </w:rPr>
        <w:t>PSE's</w:t>
      </w:r>
      <w:r>
        <w:rPr>
          <w:sz w:val="24"/>
          <w:szCs w:val="24"/>
        </w:rPr>
        <w:t xml:space="preserve"> Accounting Petition will be allocated to PSE, and all BPA interest accrued after the filing date of </w:t>
      </w:r>
      <w:r w:rsidR="00585CDD">
        <w:rPr>
          <w:sz w:val="24"/>
          <w:szCs w:val="24"/>
        </w:rPr>
        <w:t>PSE's</w:t>
      </w:r>
      <w:r>
        <w:rPr>
          <w:sz w:val="24"/>
          <w:szCs w:val="24"/>
        </w:rPr>
        <w:t xml:space="preserve"> Accounting Petition will be allocated to PSE’s customers</w:t>
      </w:r>
      <w:r w:rsidRPr="00D16FAF">
        <w:rPr>
          <w:sz w:val="24"/>
          <w:szCs w:val="24"/>
        </w:rPr>
        <w:t xml:space="preserve">.  </w:t>
      </w:r>
      <w:r w:rsidR="00585CDD">
        <w:rPr>
          <w:sz w:val="24"/>
          <w:szCs w:val="24"/>
        </w:rPr>
        <w:t xml:space="preserve">PSE </w:t>
      </w:r>
      <w:r w:rsidR="002C35DD">
        <w:rPr>
          <w:sz w:val="24"/>
          <w:szCs w:val="24"/>
        </w:rPr>
        <w:t>states</w:t>
      </w:r>
      <w:r w:rsidR="00585CDD">
        <w:rPr>
          <w:sz w:val="24"/>
          <w:szCs w:val="24"/>
        </w:rPr>
        <w:t xml:space="preserve"> that t</w:t>
      </w:r>
      <w:r w:rsidRPr="00D16FAF">
        <w:rPr>
          <w:sz w:val="24"/>
          <w:szCs w:val="24"/>
        </w:rPr>
        <w:t>he customer’s portion of</w:t>
      </w:r>
      <w:r>
        <w:rPr>
          <w:sz w:val="24"/>
          <w:szCs w:val="24"/>
        </w:rPr>
        <w:t xml:space="preserve"> the BPA</w:t>
      </w:r>
      <w:r w:rsidRPr="00D16FAF">
        <w:rPr>
          <w:sz w:val="24"/>
          <w:szCs w:val="24"/>
        </w:rPr>
        <w:t xml:space="preserve"> interes</w:t>
      </w:r>
      <w:r>
        <w:rPr>
          <w:sz w:val="24"/>
          <w:szCs w:val="24"/>
        </w:rPr>
        <w:t xml:space="preserve">t </w:t>
      </w:r>
      <w:r w:rsidR="002C35DD">
        <w:rPr>
          <w:sz w:val="24"/>
          <w:szCs w:val="24"/>
        </w:rPr>
        <w:t xml:space="preserve">will </w:t>
      </w:r>
      <w:r>
        <w:rPr>
          <w:sz w:val="24"/>
          <w:szCs w:val="24"/>
        </w:rPr>
        <w:t>be used to reduce</w:t>
      </w:r>
      <w:r w:rsidRPr="00D16FAF">
        <w:rPr>
          <w:sz w:val="24"/>
          <w:szCs w:val="24"/>
        </w:rPr>
        <w:t xml:space="preserve"> transmission expense.</w:t>
      </w:r>
      <w:r>
        <w:rPr>
          <w:sz w:val="24"/>
          <w:szCs w:val="24"/>
        </w:rPr>
        <w:t xml:space="preserve">  Interest allocated to PSE </w:t>
      </w:r>
      <w:r w:rsidR="00585CDD">
        <w:rPr>
          <w:sz w:val="24"/>
          <w:szCs w:val="24"/>
        </w:rPr>
        <w:t>would</w:t>
      </w:r>
      <w:r>
        <w:rPr>
          <w:sz w:val="24"/>
          <w:szCs w:val="24"/>
        </w:rPr>
        <w:t xml:space="preserve"> be reported as below-the-line interest income.</w:t>
      </w:r>
      <w:r w:rsidRPr="00D16FAF">
        <w:rPr>
          <w:sz w:val="24"/>
          <w:szCs w:val="24"/>
        </w:rPr>
        <w:t xml:space="preserve">  </w:t>
      </w:r>
      <w:r>
        <w:rPr>
          <w:sz w:val="24"/>
          <w:szCs w:val="24"/>
        </w:rPr>
        <w:t xml:space="preserve">The portion of the BPA </w:t>
      </w:r>
      <w:r>
        <w:rPr>
          <w:sz w:val="24"/>
          <w:szCs w:val="24"/>
        </w:rPr>
        <w:lastRenderedPageBreak/>
        <w:t xml:space="preserve">credit allocated to principal </w:t>
      </w:r>
      <w:r w:rsidR="00585CDD">
        <w:rPr>
          <w:sz w:val="24"/>
          <w:szCs w:val="24"/>
        </w:rPr>
        <w:t>would</w:t>
      </w:r>
      <w:r w:rsidRPr="00D16FAF">
        <w:rPr>
          <w:sz w:val="24"/>
          <w:szCs w:val="24"/>
        </w:rPr>
        <w:t xml:space="preserve"> </w:t>
      </w:r>
      <w:r>
        <w:rPr>
          <w:sz w:val="24"/>
          <w:szCs w:val="24"/>
        </w:rPr>
        <w:t xml:space="preserve">be used to reduce the regulatory asset account associated with the $99.7 million </w:t>
      </w:r>
      <w:r w:rsidR="00505A59">
        <w:rPr>
          <w:sz w:val="24"/>
          <w:szCs w:val="24"/>
        </w:rPr>
        <w:t>pre</w:t>
      </w:r>
      <w:r>
        <w:rPr>
          <w:sz w:val="24"/>
          <w:szCs w:val="24"/>
        </w:rPr>
        <w:t xml:space="preserve">payment, with an offsetting charge to transmission expense, until the full cost associated with the prepayment is recovered.  </w:t>
      </w:r>
      <w:r w:rsidRPr="00D16FAF">
        <w:rPr>
          <w:sz w:val="24"/>
          <w:szCs w:val="24"/>
        </w:rPr>
        <w:t>Th</w:t>
      </w:r>
      <w:r>
        <w:rPr>
          <w:sz w:val="24"/>
          <w:szCs w:val="24"/>
        </w:rPr>
        <w:t>ese</w:t>
      </w:r>
      <w:r w:rsidRPr="00D16FAF">
        <w:rPr>
          <w:sz w:val="24"/>
          <w:szCs w:val="24"/>
        </w:rPr>
        <w:t xml:space="preserve"> charge</w:t>
      </w:r>
      <w:r>
        <w:rPr>
          <w:sz w:val="24"/>
          <w:szCs w:val="24"/>
        </w:rPr>
        <w:t>s</w:t>
      </w:r>
      <w:r w:rsidRPr="00D16FAF">
        <w:rPr>
          <w:sz w:val="24"/>
          <w:szCs w:val="24"/>
        </w:rPr>
        <w:t xml:space="preserve"> </w:t>
      </w:r>
      <w:r>
        <w:rPr>
          <w:sz w:val="24"/>
          <w:szCs w:val="24"/>
        </w:rPr>
        <w:t xml:space="preserve">or reductions </w:t>
      </w:r>
      <w:r w:rsidR="00585CDD">
        <w:rPr>
          <w:sz w:val="24"/>
          <w:szCs w:val="24"/>
        </w:rPr>
        <w:t>to transmission expense would</w:t>
      </w:r>
      <w:r w:rsidRPr="00D16FAF">
        <w:rPr>
          <w:sz w:val="24"/>
          <w:szCs w:val="24"/>
        </w:rPr>
        <w:t xml:space="preserve"> be </w:t>
      </w:r>
      <w:r>
        <w:rPr>
          <w:sz w:val="24"/>
          <w:szCs w:val="24"/>
        </w:rPr>
        <w:t xml:space="preserve">reflected </w:t>
      </w:r>
      <w:r w:rsidRPr="00D16FAF">
        <w:rPr>
          <w:sz w:val="24"/>
          <w:szCs w:val="24"/>
        </w:rPr>
        <w:t>in the P</w:t>
      </w:r>
      <w:r>
        <w:rPr>
          <w:sz w:val="24"/>
          <w:szCs w:val="24"/>
        </w:rPr>
        <w:t>ower Cost Adjustment mechanism</w:t>
      </w:r>
      <w:r w:rsidRPr="00D16FAF">
        <w:rPr>
          <w:sz w:val="24"/>
          <w:szCs w:val="24"/>
        </w:rPr>
        <w:t>.</w:t>
      </w:r>
    </w:p>
    <w:p w:rsidR="00A22C13" w:rsidRPr="00D16FAF" w:rsidRDefault="00A22C13" w:rsidP="00A22C13">
      <w:pPr>
        <w:spacing w:line="480" w:lineRule="auto"/>
        <w:rPr>
          <w:sz w:val="24"/>
          <w:szCs w:val="24"/>
        </w:rPr>
      </w:pPr>
      <w:r w:rsidRPr="00D85E30">
        <w:rPr>
          <w:sz w:val="24"/>
          <w:szCs w:val="24"/>
        </w:rPr>
        <w:fldChar w:fldCharType="begin"/>
      </w:r>
      <w:r w:rsidRPr="00D85E30">
        <w:rPr>
          <w:sz w:val="24"/>
          <w:szCs w:val="24"/>
        </w:rPr>
        <w:instrText xml:space="preserve"> AUTONUM </w:instrText>
      </w:r>
      <w:r w:rsidRPr="00D85E30">
        <w:rPr>
          <w:sz w:val="24"/>
          <w:szCs w:val="24"/>
        </w:rPr>
        <w:fldChar w:fldCharType="end"/>
      </w:r>
      <w:r w:rsidRPr="00D85E30">
        <w:rPr>
          <w:sz w:val="24"/>
          <w:szCs w:val="24"/>
        </w:rPr>
        <w:tab/>
      </w:r>
      <w:r>
        <w:rPr>
          <w:sz w:val="24"/>
          <w:szCs w:val="24"/>
        </w:rPr>
        <w:t xml:space="preserve">PSE’s currently authorized rate of return is equivalent to the allowed </w:t>
      </w:r>
      <w:r w:rsidRPr="00B55EC8">
        <w:rPr>
          <w:sz w:val="24"/>
          <w:szCs w:val="24"/>
        </w:rPr>
        <w:t xml:space="preserve">Allowance for Funds Used </w:t>
      </w:r>
      <w:proofErr w:type="gramStart"/>
      <w:r w:rsidRPr="00B55EC8">
        <w:rPr>
          <w:sz w:val="24"/>
          <w:szCs w:val="24"/>
        </w:rPr>
        <w:t>During</w:t>
      </w:r>
      <w:proofErr w:type="gramEnd"/>
      <w:r w:rsidRPr="00B55EC8">
        <w:rPr>
          <w:sz w:val="24"/>
          <w:szCs w:val="24"/>
        </w:rPr>
        <w:t xml:space="preserve"> Construction </w:t>
      </w:r>
      <w:r>
        <w:rPr>
          <w:sz w:val="24"/>
          <w:szCs w:val="24"/>
        </w:rPr>
        <w:t xml:space="preserve">(“AFUDC”) rate for </w:t>
      </w:r>
      <w:smartTag w:uri="urn:schemas-microsoft-com:office:smarttags" w:element="place">
        <w:smartTag w:uri="urn:schemas-microsoft-com:office:smarttags" w:element="State">
          <w:r>
            <w:rPr>
              <w:sz w:val="24"/>
              <w:szCs w:val="24"/>
            </w:rPr>
            <w:t>Washington</w:t>
          </w:r>
        </w:smartTag>
      </w:smartTag>
      <w:r w:rsidRPr="00D16FAF">
        <w:rPr>
          <w:sz w:val="24"/>
          <w:szCs w:val="24"/>
        </w:rPr>
        <w:t xml:space="preserve">. </w:t>
      </w:r>
      <w:r>
        <w:rPr>
          <w:sz w:val="24"/>
          <w:szCs w:val="24"/>
        </w:rPr>
        <w:t xml:space="preserve"> Accordingly, under this proposed accounting treatment PSE will</w:t>
      </w:r>
      <w:r w:rsidRPr="00D16FAF">
        <w:rPr>
          <w:sz w:val="24"/>
          <w:szCs w:val="24"/>
        </w:rPr>
        <w:t xml:space="preserve"> earn its authorized rate of return on the transmission investment </w:t>
      </w:r>
      <w:r>
        <w:rPr>
          <w:sz w:val="24"/>
          <w:szCs w:val="24"/>
        </w:rPr>
        <w:t xml:space="preserve">for the BPA </w:t>
      </w:r>
      <w:r w:rsidR="00362504">
        <w:rPr>
          <w:sz w:val="24"/>
          <w:szCs w:val="24"/>
        </w:rPr>
        <w:t>Central Ferry Substation and related Network Upgrades</w:t>
      </w:r>
      <w:r>
        <w:rPr>
          <w:sz w:val="24"/>
          <w:szCs w:val="24"/>
        </w:rPr>
        <w:t xml:space="preserve">.  </w:t>
      </w:r>
      <w:r w:rsidR="00585CDD">
        <w:rPr>
          <w:sz w:val="24"/>
          <w:szCs w:val="24"/>
        </w:rPr>
        <w:t>PSE's proposed a</w:t>
      </w:r>
      <w:r>
        <w:rPr>
          <w:sz w:val="24"/>
          <w:szCs w:val="24"/>
        </w:rPr>
        <w:t>ccounting treatment</w:t>
      </w:r>
      <w:r w:rsidR="00585CDD">
        <w:rPr>
          <w:sz w:val="24"/>
          <w:szCs w:val="24"/>
        </w:rPr>
        <w:t xml:space="preserve"> would</w:t>
      </w:r>
      <w:r w:rsidRPr="00D16FAF">
        <w:rPr>
          <w:sz w:val="24"/>
          <w:szCs w:val="24"/>
        </w:rPr>
        <w:t xml:space="preserve"> reimburse </w:t>
      </w:r>
      <w:r>
        <w:rPr>
          <w:sz w:val="24"/>
          <w:szCs w:val="24"/>
        </w:rPr>
        <w:t xml:space="preserve">PSE </w:t>
      </w:r>
      <w:r w:rsidRPr="00D16FAF">
        <w:rPr>
          <w:sz w:val="24"/>
          <w:szCs w:val="24"/>
        </w:rPr>
        <w:t xml:space="preserve">for its actual cost of funds as allowed in its </w:t>
      </w:r>
      <w:r w:rsidR="00505A59" w:rsidRPr="00D16FAF">
        <w:rPr>
          <w:sz w:val="24"/>
          <w:szCs w:val="24"/>
        </w:rPr>
        <w:t>2009 general rate case</w:t>
      </w:r>
      <w:r w:rsidR="00505A59">
        <w:rPr>
          <w:sz w:val="24"/>
          <w:szCs w:val="24"/>
        </w:rPr>
        <w:t xml:space="preserve"> </w:t>
      </w:r>
      <w:r>
        <w:rPr>
          <w:sz w:val="24"/>
          <w:szCs w:val="24"/>
        </w:rPr>
        <w:t xml:space="preserve">during the construction period of the Lower Snake River Wind Project Phase </w:t>
      </w:r>
      <w:r w:rsidR="00683D76">
        <w:rPr>
          <w:sz w:val="24"/>
          <w:szCs w:val="24"/>
        </w:rPr>
        <w:t>1</w:t>
      </w:r>
      <w:r w:rsidRPr="00D16FAF">
        <w:rPr>
          <w:sz w:val="24"/>
          <w:szCs w:val="24"/>
        </w:rPr>
        <w:t xml:space="preserve">. </w:t>
      </w:r>
      <w:r>
        <w:rPr>
          <w:sz w:val="24"/>
          <w:szCs w:val="24"/>
        </w:rPr>
        <w:t xml:space="preserve"> </w:t>
      </w:r>
      <w:r w:rsidR="00585CDD">
        <w:rPr>
          <w:sz w:val="24"/>
          <w:szCs w:val="24"/>
        </w:rPr>
        <w:t>PSE states that w</w:t>
      </w:r>
      <w:r>
        <w:rPr>
          <w:sz w:val="24"/>
          <w:szCs w:val="24"/>
        </w:rPr>
        <w:t xml:space="preserve">hen the Lower Snake River Wind Project Phase 1 is </w:t>
      </w:r>
      <w:r w:rsidR="00362504">
        <w:rPr>
          <w:sz w:val="24"/>
          <w:szCs w:val="24"/>
        </w:rPr>
        <w:t>placed</w:t>
      </w:r>
      <w:r>
        <w:rPr>
          <w:sz w:val="24"/>
          <w:szCs w:val="24"/>
        </w:rPr>
        <w:t xml:space="preserve"> in</w:t>
      </w:r>
      <w:r w:rsidR="00362504">
        <w:rPr>
          <w:sz w:val="24"/>
          <w:szCs w:val="24"/>
        </w:rPr>
        <w:t xml:space="preserve"> </w:t>
      </w:r>
      <w:r>
        <w:rPr>
          <w:sz w:val="24"/>
          <w:szCs w:val="24"/>
        </w:rPr>
        <w:t>service</w:t>
      </w:r>
      <w:r w:rsidR="00362504">
        <w:rPr>
          <w:sz w:val="24"/>
          <w:szCs w:val="24"/>
        </w:rPr>
        <w:t>,</w:t>
      </w:r>
      <w:r>
        <w:rPr>
          <w:sz w:val="24"/>
          <w:szCs w:val="24"/>
        </w:rPr>
        <w:t xml:space="preserve"> this accrued interest will be included in rate base in the same manner as AFUDC is included for other construction costs and amortized over the life of the Lower Snake River Wind Project Phase 1.</w:t>
      </w:r>
    </w:p>
    <w:p w:rsidR="00585CDD" w:rsidRPr="001914F1" w:rsidRDefault="00585CDD" w:rsidP="00585CDD">
      <w:pPr>
        <w:pStyle w:val="Heading1"/>
        <w:spacing w:after="240" w:line="240" w:lineRule="auto"/>
        <w:rPr>
          <w:sz w:val="24"/>
          <w:szCs w:val="24"/>
        </w:rPr>
      </w:pPr>
      <w:r w:rsidRPr="001914F1">
        <w:rPr>
          <w:sz w:val="24"/>
          <w:szCs w:val="24"/>
        </w:rPr>
        <w:t>FINDINGS AND CONCLUSIONS</w:t>
      </w:r>
    </w:p>
    <w:p w:rsidR="00585CDD" w:rsidRPr="001914F1" w:rsidRDefault="00585CDD" w:rsidP="00585CDD">
      <w:pPr>
        <w:spacing w:line="480" w:lineRule="auto"/>
        <w:rPr>
          <w:sz w:val="24"/>
          <w:szCs w:val="24"/>
        </w:rPr>
      </w:pPr>
      <w:r w:rsidRPr="001914F1">
        <w:rPr>
          <w:sz w:val="24"/>
          <w:szCs w:val="24"/>
        </w:rPr>
        <w:t>1</w:t>
      </w:r>
      <w:r>
        <w:rPr>
          <w:sz w:val="24"/>
          <w:szCs w:val="24"/>
        </w:rPr>
        <w:t>8</w:t>
      </w:r>
      <w:r w:rsidRPr="001914F1">
        <w:rPr>
          <w:sz w:val="24"/>
          <w:szCs w:val="24"/>
        </w:rPr>
        <w:t>.</w:t>
      </w:r>
      <w:r w:rsidRPr="001914F1">
        <w:rPr>
          <w:sz w:val="24"/>
          <w:szCs w:val="24"/>
        </w:rPr>
        <w:tab/>
        <w:t>PSE is engaged in the business of furnishing electric and gas service within the state of Washington as a public service company and is subject to the jurisdiction of this Commission.</w:t>
      </w:r>
    </w:p>
    <w:p w:rsidR="00585CDD" w:rsidRPr="001914F1" w:rsidRDefault="00585CDD" w:rsidP="00585CDD">
      <w:pPr>
        <w:spacing w:line="480" w:lineRule="auto"/>
        <w:rPr>
          <w:sz w:val="24"/>
          <w:szCs w:val="24"/>
        </w:rPr>
      </w:pPr>
      <w:r>
        <w:rPr>
          <w:sz w:val="24"/>
          <w:szCs w:val="24"/>
        </w:rPr>
        <w:t>19</w:t>
      </w:r>
      <w:r w:rsidRPr="001914F1">
        <w:rPr>
          <w:sz w:val="24"/>
          <w:szCs w:val="24"/>
        </w:rPr>
        <w:t>.</w:t>
      </w:r>
      <w:r w:rsidRPr="001914F1">
        <w:rPr>
          <w:sz w:val="24"/>
          <w:szCs w:val="24"/>
        </w:rPr>
        <w:tab/>
        <w:t xml:space="preserve">On </w:t>
      </w:r>
      <w:r w:rsidR="008B2159">
        <w:rPr>
          <w:sz w:val="24"/>
          <w:szCs w:val="24"/>
        </w:rPr>
        <w:t xml:space="preserve">May </w:t>
      </w:r>
      <w:r w:rsidR="00CB6111">
        <w:rPr>
          <w:sz w:val="24"/>
          <w:szCs w:val="24"/>
        </w:rPr>
        <w:t>20</w:t>
      </w:r>
      <w:r w:rsidR="008B2159">
        <w:rPr>
          <w:sz w:val="24"/>
          <w:szCs w:val="24"/>
        </w:rPr>
        <w:t>, 2010</w:t>
      </w:r>
      <w:r w:rsidRPr="001914F1">
        <w:rPr>
          <w:sz w:val="24"/>
          <w:szCs w:val="24"/>
        </w:rPr>
        <w:t xml:space="preserve">, PSE filed </w:t>
      </w:r>
      <w:r w:rsidR="008B2159">
        <w:rPr>
          <w:sz w:val="24"/>
          <w:szCs w:val="24"/>
        </w:rPr>
        <w:t>a</w:t>
      </w:r>
      <w:r>
        <w:rPr>
          <w:sz w:val="24"/>
          <w:szCs w:val="24"/>
        </w:rPr>
        <w:t xml:space="preserve"> Petition </w:t>
      </w:r>
      <w:r w:rsidRPr="001914F1">
        <w:rPr>
          <w:sz w:val="24"/>
          <w:szCs w:val="24"/>
        </w:rPr>
        <w:t xml:space="preserve">with the Commission for an </w:t>
      </w:r>
      <w:r w:rsidRPr="001914F1">
        <w:rPr>
          <w:rStyle w:val="BodyText3Char"/>
          <w:sz w:val="24"/>
          <w:szCs w:val="24"/>
        </w:rPr>
        <w:t xml:space="preserve">order </w:t>
      </w:r>
      <w:r w:rsidR="008B2159">
        <w:rPr>
          <w:rStyle w:val="BodyText3Char"/>
          <w:sz w:val="24"/>
          <w:szCs w:val="24"/>
        </w:rPr>
        <w:t xml:space="preserve">authorizing </w:t>
      </w:r>
      <w:r w:rsidR="008B2159" w:rsidRPr="008B2159">
        <w:rPr>
          <w:rStyle w:val="BodyText3Char"/>
          <w:sz w:val="24"/>
          <w:szCs w:val="24"/>
        </w:rPr>
        <w:t xml:space="preserve">the cost deferral accounting treatment related to prepayments made to the Bonneville </w:t>
      </w:r>
      <w:r w:rsidR="008B2159" w:rsidRPr="008B2159">
        <w:rPr>
          <w:rStyle w:val="BodyText3Char"/>
          <w:sz w:val="24"/>
          <w:szCs w:val="24"/>
        </w:rPr>
        <w:lastRenderedPageBreak/>
        <w:t xml:space="preserve">Power Administration by PSE to construct the new Central Ferry Substation and certain transmission </w:t>
      </w:r>
      <w:r w:rsidR="00EE0367">
        <w:rPr>
          <w:rStyle w:val="BodyText3Char"/>
          <w:sz w:val="24"/>
          <w:szCs w:val="24"/>
        </w:rPr>
        <w:t>Network Upgrade</w:t>
      </w:r>
      <w:r w:rsidR="008B2159" w:rsidRPr="008B2159">
        <w:rPr>
          <w:rStyle w:val="BodyText3Char"/>
          <w:sz w:val="24"/>
          <w:szCs w:val="24"/>
        </w:rPr>
        <w:t xml:space="preserve">s required to </w:t>
      </w:r>
      <w:r w:rsidR="00362504">
        <w:t xml:space="preserve">meet the transmission capacity needs of the region and to serve the </w:t>
      </w:r>
      <w:r w:rsidR="00362504" w:rsidRPr="009551AA">
        <w:t>Lower Snake River Wind Project</w:t>
      </w:r>
      <w:r w:rsidR="008B2159">
        <w:rPr>
          <w:rStyle w:val="BodyText3Char"/>
          <w:sz w:val="24"/>
          <w:szCs w:val="24"/>
        </w:rPr>
        <w:t>.</w:t>
      </w:r>
      <w:r w:rsidRPr="001914F1">
        <w:rPr>
          <w:sz w:val="24"/>
          <w:szCs w:val="24"/>
        </w:rPr>
        <w:t xml:space="preserve">  </w:t>
      </w:r>
    </w:p>
    <w:p w:rsidR="00585CDD" w:rsidRPr="001914F1" w:rsidRDefault="00585CDD" w:rsidP="00585CDD">
      <w:pPr>
        <w:spacing w:line="480" w:lineRule="auto"/>
        <w:rPr>
          <w:sz w:val="24"/>
          <w:szCs w:val="24"/>
        </w:rPr>
      </w:pPr>
      <w:r w:rsidRPr="001914F1">
        <w:rPr>
          <w:sz w:val="24"/>
          <w:szCs w:val="24"/>
        </w:rPr>
        <w:t>2</w:t>
      </w:r>
      <w:r>
        <w:rPr>
          <w:sz w:val="24"/>
          <w:szCs w:val="24"/>
        </w:rPr>
        <w:t>0</w:t>
      </w:r>
      <w:r w:rsidRPr="001914F1">
        <w:rPr>
          <w:sz w:val="24"/>
          <w:szCs w:val="24"/>
        </w:rPr>
        <w:t>.</w:t>
      </w:r>
      <w:r w:rsidRPr="001914F1">
        <w:rPr>
          <w:sz w:val="24"/>
          <w:szCs w:val="24"/>
        </w:rPr>
        <w:tab/>
        <w:t>The accounting treatment methodology proposed in the Petition is reasonable and in the public interest, and should be approved.</w:t>
      </w:r>
    </w:p>
    <w:p w:rsidR="00585CDD" w:rsidRPr="001914F1" w:rsidRDefault="00585CDD" w:rsidP="00585CDD">
      <w:pPr>
        <w:pStyle w:val="Heading1"/>
        <w:spacing w:after="240" w:line="480" w:lineRule="auto"/>
        <w:rPr>
          <w:bCs/>
          <w:sz w:val="24"/>
          <w:szCs w:val="24"/>
        </w:rPr>
      </w:pPr>
      <w:r w:rsidRPr="001914F1">
        <w:rPr>
          <w:bCs/>
          <w:sz w:val="24"/>
          <w:szCs w:val="24"/>
        </w:rPr>
        <w:t>DETERMINATION AND ORDER</w:t>
      </w:r>
    </w:p>
    <w:p w:rsidR="00585CDD" w:rsidRPr="001914F1" w:rsidRDefault="00585CDD" w:rsidP="00585CDD">
      <w:pPr>
        <w:spacing w:line="480" w:lineRule="auto"/>
        <w:rPr>
          <w:sz w:val="24"/>
          <w:szCs w:val="24"/>
        </w:rPr>
      </w:pPr>
      <w:r w:rsidRPr="001914F1">
        <w:rPr>
          <w:sz w:val="24"/>
          <w:szCs w:val="24"/>
        </w:rPr>
        <w:t>WHEREFORE, THE COMMISSION HEREBY:</w:t>
      </w:r>
    </w:p>
    <w:p w:rsidR="00585CDD" w:rsidRPr="001914F1" w:rsidRDefault="00585CDD" w:rsidP="00585CDD">
      <w:pPr>
        <w:spacing w:line="480" w:lineRule="auto"/>
        <w:rPr>
          <w:sz w:val="24"/>
          <w:szCs w:val="24"/>
        </w:rPr>
      </w:pPr>
      <w:r>
        <w:rPr>
          <w:sz w:val="24"/>
          <w:szCs w:val="24"/>
        </w:rPr>
        <w:t>21</w:t>
      </w:r>
      <w:r w:rsidRPr="001914F1">
        <w:rPr>
          <w:sz w:val="24"/>
          <w:szCs w:val="24"/>
        </w:rPr>
        <w:t>.</w:t>
      </w:r>
      <w:r w:rsidRPr="001914F1">
        <w:rPr>
          <w:sz w:val="24"/>
          <w:szCs w:val="24"/>
        </w:rPr>
        <w:tab/>
        <w:t xml:space="preserve">Approves the accounting treatment in </w:t>
      </w:r>
      <w:r>
        <w:rPr>
          <w:sz w:val="24"/>
          <w:szCs w:val="24"/>
        </w:rPr>
        <w:t xml:space="preserve">PSE's </w:t>
      </w:r>
      <w:r w:rsidRPr="001914F1">
        <w:rPr>
          <w:sz w:val="24"/>
          <w:szCs w:val="24"/>
        </w:rPr>
        <w:t xml:space="preserve">Petition with respect </w:t>
      </w:r>
      <w:r w:rsidR="008B2159" w:rsidRPr="008B2159">
        <w:rPr>
          <w:sz w:val="24"/>
          <w:szCs w:val="24"/>
        </w:rPr>
        <w:t xml:space="preserve">to prepayments made to the Bonneville Power Administration by PSE to construct the new Central Ferry Substation and certain transmission </w:t>
      </w:r>
      <w:r w:rsidR="00EE0367">
        <w:rPr>
          <w:sz w:val="24"/>
          <w:szCs w:val="24"/>
        </w:rPr>
        <w:t>Network Upgrade</w:t>
      </w:r>
      <w:r w:rsidR="008B2159" w:rsidRPr="008B2159">
        <w:rPr>
          <w:sz w:val="24"/>
          <w:szCs w:val="24"/>
        </w:rPr>
        <w:t xml:space="preserve">s required to </w:t>
      </w:r>
      <w:r w:rsidR="00362504">
        <w:t xml:space="preserve">meet the transmission capacity needs of the region and to serve the </w:t>
      </w:r>
      <w:r w:rsidR="00362504" w:rsidRPr="009551AA">
        <w:t>Lower Snake River Wind Project</w:t>
      </w:r>
      <w:r w:rsidRPr="001914F1">
        <w:rPr>
          <w:sz w:val="24"/>
          <w:szCs w:val="24"/>
        </w:rPr>
        <w:t>.</w:t>
      </w:r>
    </w:p>
    <w:p w:rsidR="00585CDD" w:rsidRPr="001914F1" w:rsidRDefault="00585CDD" w:rsidP="00585CDD">
      <w:pPr>
        <w:spacing w:line="480" w:lineRule="auto"/>
        <w:rPr>
          <w:sz w:val="24"/>
          <w:szCs w:val="24"/>
        </w:rPr>
      </w:pPr>
      <w:r w:rsidRPr="001914F1">
        <w:rPr>
          <w:sz w:val="24"/>
          <w:szCs w:val="24"/>
        </w:rPr>
        <w:t>2</w:t>
      </w:r>
      <w:r>
        <w:rPr>
          <w:sz w:val="24"/>
          <w:szCs w:val="24"/>
        </w:rPr>
        <w:t>2</w:t>
      </w:r>
      <w:r w:rsidRPr="001914F1">
        <w:rPr>
          <w:sz w:val="24"/>
          <w:szCs w:val="24"/>
        </w:rPr>
        <w:t>.</w:t>
      </w:r>
      <w:r w:rsidRPr="001914F1">
        <w:rPr>
          <w:sz w:val="24"/>
          <w:szCs w:val="24"/>
        </w:rPr>
        <w:tab/>
        <w:t xml:space="preserve">This order shall in no way affect the authority of this Commission over rates, services, accounts, evaluations, estimates, or determination of cost or any matters whatsoever that may come before it, nor shall anything herein be construed as </w:t>
      </w:r>
      <w:proofErr w:type="gramStart"/>
      <w:r w:rsidRPr="001914F1">
        <w:rPr>
          <w:sz w:val="24"/>
          <w:szCs w:val="24"/>
        </w:rPr>
        <w:t>an acquiescence</w:t>
      </w:r>
      <w:proofErr w:type="gramEnd"/>
      <w:r w:rsidRPr="001914F1">
        <w:rPr>
          <w:sz w:val="24"/>
          <w:szCs w:val="24"/>
        </w:rPr>
        <w:t xml:space="preserve"> in any estimate or determination of costs claimed or asserted.</w:t>
      </w:r>
    </w:p>
    <w:p w:rsidR="00585CDD" w:rsidRPr="001914F1" w:rsidRDefault="00585CDD" w:rsidP="00585CDD">
      <w:pPr>
        <w:spacing w:line="480" w:lineRule="auto"/>
        <w:rPr>
          <w:sz w:val="24"/>
          <w:szCs w:val="24"/>
        </w:rPr>
      </w:pPr>
      <w:r w:rsidRPr="001914F1">
        <w:rPr>
          <w:sz w:val="24"/>
          <w:szCs w:val="24"/>
        </w:rPr>
        <w:t>2</w:t>
      </w:r>
      <w:r>
        <w:rPr>
          <w:sz w:val="24"/>
          <w:szCs w:val="24"/>
        </w:rPr>
        <w:t>3</w:t>
      </w:r>
      <w:r w:rsidRPr="001914F1">
        <w:rPr>
          <w:sz w:val="24"/>
          <w:szCs w:val="24"/>
        </w:rPr>
        <w:t>.</w:t>
      </w:r>
      <w:r w:rsidRPr="001914F1">
        <w:rPr>
          <w:sz w:val="24"/>
          <w:szCs w:val="24"/>
        </w:rPr>
        <w:tab/>
        <w:t>The Commission retains jurisdiction over the subject matter of the Petition and PSE to effect the provisions of this order.</w:t>
      </w:r>
    </w:p>
    <w:p w:rsidR="00585CDD" w:rsidRDefault="00585CDD" w:rsidP="00585CDD">
      <w:pPr>
        <w:keepNext/>
        <w:keepLines/>
        <w:spacing w:line="480" w:lineRule="auto"/>
        <w:ind w:firstLine="0"/>
        <w:rPr>
          <w:sz w:val="24"/>
          <w:szCs w:val="24"/>
        </w:rPr>
      </w:pPr>
    </w:p>
    <w:p w:rsidR="00585CDD" w:rsidRPr="001914F1" w:rsidRDefault="00585CDD" w:rsidP="00585CDD">
      <w:pPr>
        <w:keepNext/>
        <w:keepLines/>
        <w:spacing w:line="480" w:lineRule="auto"/>
        <w:ind w:firstLine="0"/>
        <w:rPr>
          <w:sz w:val="24"/>
          <w:szCs w:val="24"/>
        </w:rPr>
      </w:pPr>
      <w:r w:rsidRPr="001914F1">
        <w:rPr>
          <w:sz w:val="24"/>
          <w:szCs w:val="24"/>
        </w:rPr>
        <w:t>DATED at Olympia, Washington, and effective this _____ day of ___________</w:t>
      </w:r>
      <w:proofErr w:type="gramStart"/>
      <w:r w:rsidRPr="001914F1">
        <w:rPr>
          <w:sz w:val="24"/>
          <w:szCs w:val="24"/>
        </w:rPr>
        <w:t>,  _</w:t>
      </w:r>
      <w:proofErr w:type="gramEnd"/>
      <w:r w:rsidRPr="001914F1">
        <w:rPr>
          <w:sz w:val="24"/>
          <w:szCs w:val="24"/>
        </w:rPr>
        <w:t>____.</w:t>
      </w:r>
    </w:p>
    <w:p w:rsidR="00585CDD" w:rsidRPr="001914F1" w:rsidRDefault="00585CDD" w:rsidP="00585CDD">
      <w:pPr>
        <w:pStyle w:val="righthalf"/>
        <w:tabs>
          <w:tab w:val="right" w:pos="8820"/>
        </w:tabs>
        <w:rPr>
          <w:sz w:val="24"/>
          <w:szCs w:val="24"/>
        </w:rPr>
      </w:pPr>
      <w:r w:rsidRPr="001914F1">
        <w:rPr>
          <w:sz w:val="24"/>
          <w:szCs w:val="24"/>
          <w:u w:val="single"/>
        </w:rPr>
        <w:tab/>
      </w:r>
      <w:r w:rsidRPr="001914F1">
        <w:rPr>
          <w:sz w:val="24"/>
          <w:szCs w:val="24"/>
          <w:u w:val="single"/>
        </w:rPr>
        <w:tab/>
      </w:r>
      <w:r w:rsidRPr="001914F1">
        <w:rPr>
          <w:sz w:val="24"/>
          <w:szCs w:val="24"/>
        </w:rPr>
        <w:br/>
        <w:t>JEFFREY D. GOLTZ, Chairman</w:t>
      </w:r>
      <w:r w:rsidRPr="001914F1">
        <w:rPr>
          <w:sz w:val="24"/>
          <w:szCs w:val="24"/>
        </w:rPr>
        <w:br/>
      </w:r>
    </w:p>
    <w:p w:rsidR="00585CDD" w:rsidRPr="001914F1" w:rsidRDefault="00585CDD" w:rsidP="00585CDD">
      <w:pPr>
        <w:pStyle w:val="righthalf"/>
        <w:tabs>
          <w:tab w:val="right" w:pos="8820"/>
        </w:tabs>
        <w:rPr>
          <w:sz w:val="24"/>
          <w:szCs w:val="24"/>
        </w:rPr>
      </w:pPr>
      <w:r w:rsidRPr="001914F1">
        <w:rPr>
          <w:sz w:val="24"/>
          <w:szCs w:val="24"/>
          <w:u w:val="single"/>
        </w:rPr>
        <w:tab/>
      </w:r>
      <w:r w:rsidRPr="001914F1">
        <w:rPr>
          <w:sz w:val="24"/>
          <w:szCs w:val="24"/>
          <w:u w:val="single"/>
        </w:rPr>
        <w:tab/>
      </w:r>
      <w:r w:rsidRPr="001914F1">
        <w:rPr>
          <w:sz w:val="24"/>
          <w:szCs w:val="24"/>
        </w:rPr>
        <w:br/>
        <w:t>PATRICK J. OSHIE, Commissioner</w:t>
      </w:r>
      <w:r w:rsidRPr="001914F1">
        <w:rPr>
          <w:sz w:val="24"/>
          <w:szCs w:val="24"/>
        </w:rPr>
        <w:br/>
      </w:r>
    </w:p>
    <w:p w:rsidR="00585CDD" w:rsidRPr="001914F1" w:rsidRDefault="00585CDD" w:rsidP="00585CDD">
      <w:pPr>
        <w:pStyle w:val="righthalf"/>
        <w:tabs>
          <w:tab w:val="left" w:pos="-90"/>
          <w:tab w:val="right" w:pos="8820"/>
        </w:tabs>
        <w:ind w:right="18"/>
        <w:rPr>
          <w:sz w:val="24"/>
          <w:szCs w:val="24"/>
        </w:rPr>
      </w:pPr>
      <w:r w:rsidRPr="001914F1">
        <w:rPr>
          <w:sz w:val="24"/>
          <w:szCs w:val="24"/>
          <w:u w:val="single"/>
        </w:rPr>
        <w:tab/>
      </w:r>
      <w:r w:rsidRPr="001914F1">
        <w:rPr>
          <w:sz w:val="24"/>
          <w:szCs w:val="24"/>
          <w:u w:val="single"/>
        </w:rPr>
        <w:tab/>
      </w:r>
      <w:r w:rsidRPr="001914F1">
        <w:rPr>
          <w:sz w:val="24"/>
          <w:szCs w:val="24"/>
          <w:u w:val="single"/>
        </w:rPr>
        <w:br/>
      </w:r>
      <w:r w:rsidRPr="001914F1">
        <w:rPr>
          <w:sz w:val="24"/>
          <w:szCs w:val="24"/>
        </w:rPr>
        <w:t>PHILIP B. JONES, Commissioner</w:t>
      </w:r>
    </w:p>
    <w:p w:rsidR="00A22C13" w:rsidRDefault="00A22C13" w:rsidP="00A22C13">
      <w:pPr>
        <w:spacing w:line="480" w:lineRule="auto"/>
        <w:rPr>
          <w:sz w:val="24"/>
          <w:szCs w:val="24"/>
        </w:rPr>
      </w:pPr>
    </w:p>
    <w:p w:rsidR="001534CB" w:rsidRPr="00D16FAF" w:rsidRDefault="001534CB" w:rsidP="00084603">
      <w:pPr>
        <w:keepNext/>
        <w:keepLines/>
        <w:tabs>
          <w:tab w:val="left" w:pos="-90"/>
        </w:tabs>
        <w:spacing w:line="480" w:lineRule="auto"/>
        <w:ind w:firstLine="0"/>
        <w:rPr>
          <w:sz w:val="24"/>
          <w:szCs w:val="24"/>
        </w:rPr>
      </w:pPr>
    </w:p>
    <w:p w:rsidR="008766A4" w:rsidRPr="008766A4" w:rsidRDefault="008766A4" w:rsidP="00CA1D78">
      <w:pPr>
        <w:pStyle w:val="plain"/>
        <w:jc w:val="right"/>
      </w:pPr>
    </w:p>
    <w:sectPr w:rsidR="008766A4" w:rsidRPr="008766A4" w:rsidSect="00054205">
      <w:footerReference w:type="default" r:id="rId7"/>
      <w:pgSz w:w="12240" w:h="15840" w:code="1"/>
      <w:pgMar w:top="2160" w:right="1440" w:bottom="2304" w:left="1440" w:header="720" w:footer="57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76D" w:rsidRDefault="00ED776D">
      <w:r>
        <w:separator/>
      </w:r>
    </w:p>
  </w:endnote>
  <w:endnote w:type="continuationSeparator" w:id="0">
    <w:p w:rsidR="00ED776D" w:rsidRDefault="00ED77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76D" w:rsidRPr="001B78F7" w:rsidRDefault="00F77054" w:rsidP="001B78F7">
    <w:pPr>
      <w:pStyle w:val="Footer"/>
    </w:pPr>
    <w:r>
      <w:t>ORDER (PROPOSED)</w:t>
    </w:r>
    <w:r w:rsidR="001B3AD2">
      <w:tab/>
    </w:r>
    <w:r w:rsidR="001B3AD2">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76D" w:rsidRDefault="00ED776D">
      <w:r>
        <w:separator/>
      </w:r>
    </w:p>
  </w:footnote>
  <w:footnote w:type="continuationSeparator" w:id="0">
    <w:p w:rsidR="00ED776D" w:rsidRDefault="00ED776D">
      <w:r>
        <w:continuationSeparator/>
      </w:r>
    </w:p>
  </w:footnote>
  <w:footnote w:id="1">
    <w:p w:rsidR="00B5774E" w:rsidRPr="006835A1" w:rsidRDefault="00B5774E" w:rsidP="00B5774E">
      <w:pPr>
        <w:pStyle w:val="FootnoteText"/>
      </w:pPr>
      <w:r>
        <w:rPr>
          <w:rStyle w:val="FootnoteReference"/>
        </w:rPr>
        <w:footnoteRef/>
      </w:r>
      <w:r>
        <w:t xml:space="preserve"> </w:t>
      </w:r>
      <w:r w:rsidR="00362504">
        <w:t>A "</w:t>
      </w:r>
      <w:r w:rsidR="00362504" w:rsidRPr="00B5774E">
        <w:rPr>
          <w:szCs w:val="22"/>
        </w:rPr>
        <w:t>Network</w:t>
      </w:r>
      <w:r w:rsidRPr="00B5774E">
        <w:rPr>
          <w:szCs w:val="22"/>
        </w:rPr>
        <w:t xml:space="preserve"> Upgrade" </w:t>
      </w:r>
      <w:r w:rsidR="00362504">
        <w:rPr>
          <w:szCs w:val="22"/>
        </w:rPr>
        <w:t>is</w:t>
      </w:r>
      <w:r w:rsidR="00362504" w:rsidRPr="00B5774E">
        <w:rPr>
          <w:szCs w:val="22"/>
        </w:rPr>
        <w:t xml:space="preserve"> </w:t>
      </w:r>
      <w:r w:rsidRPr="00B5774E">
        <w:rPr>
          <w:szCs w:val="22"/>
        </w:rPr>
        <w:t xml:space="preserve">described by PSE as </w:t>
      </w:r>
      <w:r w:rsidR="00362504">
        <w:rPr>
          <w:szCs w:val="22"/>
        </w:rPr>
        <w:t xml:space="preserve">a </w:t>
      </w:r>
      <w:r w:rsidR="00362504" w:rsidRPr="00B5774E">
        <w:rPr>
          <w:szCs w:val="22"/>
        </w:rPr>
        <w:t>type</w:t>
      </w:r>
      <w:r w:rsidRPr="00B5774E">
        <w:rPr>
          <w:szCs w:val="22"/>
        </w:rPr>
        <w:t xml:space="preserve"> of transmission </w:t>
      </w:r>
      <w:r w:rsidR="00362504">
        <w:rPr>
          <w:szCs w:val="22"/>
        </w:rPr>
        <w:t>i</w:t>
      </w:r>
      <w:r w:rsidR="00EE0367">
        <w:rPr>
          <w:szCs w:val="22"/>
        </w:rPr>
        <w:t xml:space="preserve">nterconnection </w:t>
      </w:r>
      <w:r w:rsidR="00362504">
        <w:rPr>
          <w:szCs w:val="22"/>
        </w:rPr>
        <w:t>that is</w:t>
      </w:r>
      <w:r w:rsidRPr="00B5774E">
        <w:rPr>
          <w:szCs w:val="22"/>
        </w:rPr>
        <w:t xml:space="preserve"> located on the grid </w:t>
      </w:r>
      <w:r w:rsidRPr="00B5774E">
        <w:rPr>
          <w:i/>
          <w:szCs w:val="22"/>
        </w:rPr>
        <w:t>(i.e</w:t>
      </w:r>
      <w:r w:rsidRPr="00B5774E">
        <w:rPr>
          <w:szCs w:val="22"/>
        </w:rPr>
        <w:t>., “at or beyond” the point of interconnection) and</w:t>
      </w:r>
      <w:r w:rsidR="00362504">
        <w:rPr>
          <w:szCs w:val="22"/>
        </w:rPr>
        <w:t xml:space="preserve"> that</w:t>
      </w:r>
      <w:r w:rsidRPr="00B5774E">
        <w:rPr>
          <w:szCs w:val="22"/>
        </w:rPr>
        <w:t xml:space="preserve"> improve</w:t>
      </w:r>
      <w:r w:rsidR="00362504">
        <w:rPr>
          <w:szCs w:val="22"/>
        </w:rPr>
        <w:t>s</w:t>
      </w:r>
      <w:r w:rsidRPr="00B5774E">
        <w:rPr>
          <w:szCs w:val="22"/>
        </w:rPr>
        <w:t xml:space="preserve"> the transmission system for the benefit of all users.</w:t>
      </w:r>
      <w:r>
        <w:t xml:space="preserve">  </w:t>
      </w:r>
    </w:p>
  </w:footnote>
  <w:footnote w:id="2">
    <w:p w:rsidR="00B5774E" w:rsidRPr="006835A1" w:rsidRDefault="00B5774E" w:rsidP="00B5774E">
      <w:pPr>
        <w:pStyle w:val="FootnoteText"/>
        <w:rPr>
          <w:i/>
        </w:rPr>
      </w:pPr>
      <w:r>
        <w:rPr>
          <w:rStyle w:val="FootnoteReference"/>
        </w:rPr>
        <w:footnoteRef/>
      </w:r>
      <w:r>
        <w:t xml:space="preserve"> </w:t>
      </w:r>
      <w:r w:rsidR="00362504">
        <w:t xml:space="preserve">An </w:t>
      </w:r>
      <w:r w:rsidR="00483DAD">
        <w:t>"</w:t>
      </w:r>
      <w:r>
        <w:t>Interconnection Facilit</w:t>
      </w:r>
      <w:r w:rsidR="00362504">
        <w:t>y</w:t>
      </w:r>
      <w:r>
        <w:t xml:space="preserve">" </w:t>
      </w:r>
      <w:r w:rsidR="00362504">
        <w:t>is</w:t>
      </w:r>
      <w:r>
        <w:t xml:space="preserve"> </w:t>
      </w:r>
      <w:r w:rsidR="00362504">
        <w:t xml:space="preserve">described by PSE as a type of transmission interconnection that </w:t>
      </w:r>
      <w:r w:rsidR="00362504" w:rsidRPr="00362504">
        <w:t>is located before the point of interconnection and</w:t>
      </w:r>
      <w:r w:rsidR="00362504">
        <w:t xml:space="preserve"> that</w:t>
      </w:r>
      <w:r w:rsidR="00362504" w:rsidRPr="00362504">
        <w:t xml:space="preserve"> allows generators to connect to the transmission grid</w:t>
      </w:r>
      <w:r>
        <w:rPr>
          <w:i/>
        </w:rPr>
        <w:t xml:space="preserve">.  </w:t>
      </w:r>
    </w:p>
  </w:footnote>
  <w:footnote w:id="3">
    <w:p w:rsidR="00ED776D" w:rsidRPr="00AB1E32" w:rsidRDefault="00ED776D" w:rsidP="00A22C13">
      <w:pPr>
        <w:pStyle w:val="FootnoteText"/>
        <w:widowControl w:val="0"/>
        <w:spacing w:beforeLines="60" w:line="240" w:lineRule="auto"/>
        <w:rPr>
          <w:sz w:val="20"/>
        </w:rPr>
      </w:pPr>
      <w:r w:rsidRPr="00AB1E32">
        <w:rPr>
          <w:rStyle w:val="FootnoteReference"/>
          <w:szCs w:val="16"/>
        </w:rPr>
        <w:footnoteRef/>
      </w:r>
      <w:r w:rsidRPr="00AB1E32">
        <w:rPr>
          <w:sz w:val="20"/>
        </w:rPr>
        <w:t xml:space="preserve"> See the Record of Decision for the Electrical Interconnection of the Lower Snake River Wind Energy Project, issued by BPA, on January 28, 2010, at page 3 </w:t>
      </w:r>
      <w:r>
        <w:rPr>
          <w:sz w:val="20"/>
        </w:rPr>
        <w:t xml:space="preserve">(the “Interconnection Record of Decision”) </w:t>
      </w:r>
      <w:r w:rsidRPr="00AB1E32">
        <w:rPr>
          <w:sz w:val="20"/>
        </w:rPr>
        <w:t xml:space="preserve">(available at </w:t>
      </w:r>
      <w:hyperlink r:id="rId1" w:history="1">
        <w:r w:rsidRPr="00AB1E32">
          <w:rPr>
            <w:rStyle w:val="Hyperlink"/>
            <w:sz w:val="20"/>
          </w:rPr>
          <w:t>http://www.efw.bpa.gov/environmental_services/Document_Library/Central_Ferry_Substation_Project/CFS_LowerSnakeRiverWindEnergyROD.pdf</w:t>
        </w:r>
      </w:hyperlink>
    </w:p>
  </w:footnote>
  <w:footnote w:id="4">
    <w:p w:rsidR="00CB71B2" w:rsidRPr="00AB1E32" w:rsidRDefault="00CB71B2" w:rsidP="00CB71B2">
      <w:pPr>
        <w:pStyle w:val="FootnoteText"/>
        <w:widowControl w:val="0"/>
        <w:spacing w:beforeLines="60" w:line="240" w:lineRule="auto"/>
        <w:rPr>
          <w:sz w:val="20"/>
        </w:rPr>
      </w:pPr>
      <w:r w:rsidRPr="00AB1E32">
        <w:rPr>
          <w:rStyle w:val="FootnoteReference"/>
          <w:szCs w:val="16"/>
        </w:rPr>
        <w:footnoteRef/>
      </w:r>
      <w:r w:rsidRPr="00AB1E32">
        <w:rPr>
          <w:sz w:val="20"/>
        </w:rPr>
        <w:t xml:space="preserve"> </w:t>
      </w:r>
      <w:r w:rsidRPr="00AB1E32">
        <w:rPr>
          <w:i/>
          <w:sz w:val="20"/>
        </w:rPr>
        <w:t xml:space="preserve">See </w:t>
      </w:r>
      <w:r>
        <w:rPr>
          <w:sz w:val="20"/>
        </w:rPr>
        <w:t>Interconnection Record of Decision at page 3.</w:t>
      </w:r>
    </w:p>
  </w:footnote>
  <w:footnote w:id="5">
    <w:p w:rsidR="00ED776D" w:rsidRPr="00AB1E32" w:rsidRDefault="00ED776D" w:rsidP="00A22C13">
      <w:pPr>
        <w:pStyle w:val="FootnoteText"/>
        <w:widowControl w:val="0"/>
        <w:spacing w:beforeLines="60" w:line="240" w:lineRule="auto"/>
        <w:rPr>
          <w:sz w:val="20"/>
        </w:rPr>
      </w:pPr>
      <w:r w:rsidRPr="00AB1E32">
        <w:rPr>
          <w:rStyle w:val="FootnoteReference"/>
          <w:szCs w:val="16"/>
        </w:rPr>
        <w:footnoteRef/>
      </w:r>
      <w:r w:rsidRPr="00AB1E32">
        <w:rPr>
          <w:sz w:val="20"/>
        </w:rPr>
        <w:t xml:space="preserve"> BPA describes its Network Open Season process as a “process to eliminate the bottleneck in the queue so that BPA could provide transmission for new generation to meet growing loads, transmit new renewable generation to meet state renewable portfolio standards, and meet the obligations under BPA’s [Open Access Transmission Tariff] to process [Transmission Service Requests].”  </w:t>
      </w:r>
      <w:proofErr w:type="gramStart"/>
      <w:r w:rsidRPr="00AB1E32">
        <w:rPr>
          <w:sz w:val="20"/>
        </w:rPr>
        <w:t>2008 Network Open Season Administrator’s Decision Letter, dated February 16, 2009, Attachment A (</w:t>
      </w:r>
      <w:r w:rsidRPr="00AB1E32">
        <w:rPr>
          <w:color w:val="000000"/>
          <w:sz w:val="20"/>
          <w:lang w:eastAsia="en-US"/>
        </w:rPr>
        <w:t xml:space="preserve">Rationale Supporting Determination of Rate Treatment Applicable to Projects Under 2008 Network Open Season) at </w:t>
      </w:r>
      <w:r>
        <w:rPr>
          <w:color w:val="000000"/>
          <w:sz w:val="20"/>
          <w:lang w:eastAsia="en-US"/>
        </w:rPr>
        <w:t>page </w:t>
      </w:r>
      <w:r w:rsidRPr="00AB1E32">
        <w:rPr>
          <w:color w:val="000000"/>
          <w:sz w:val="20"/>
          <w:lang w:eastAsia="en-US"/>
        </w:rPr>
        <w:t xml:space="preserve">2 (available at </w:t>
      </w:r>
      <w:hyperlink r:id="rId2" w:history="1">
        <w:r w:rsidRPr="00AB1E32">
          <w:rPr>
            <w:rStyle w:val="Hyperlink"/>
            <w:sz w:val="20"/>
          </w:rPr>
          <w:t>http://www.transmission.bpa.gov/customer_forums/open_season/docs/Attachment_A_-_Rationale_of_Rate_Treatment.pdf</w:t>
        </w:r>
      </w:hyperlink>
      <w:r w:rsidRPr="00AB1E32">
        <w:rPr>
          <w:sz w:val="20"/>
        </w:rPr>
        <w:t>).</w:t>
      </w:r>
      <w:proofErr w:type="gramEnd"/>
      <w:r w:rsidRPr="00AB1E32">
        <w:rPr>
          <w:sz w:val="20"/>
        </w:rPr>
        <w:t xml:space="preserve">  The Federal Energy Regulatory Commission (“</w:t>
      </w:r>
      <w:proofErr w:type="spellStart"/>
      <w:r w:rsidRPr="00AB1E32">
        <w:rPr>
          <w:sz w:val="20"/>
        </w:rPr>
        <w:t>FERC</w:t>
      </w:r>
      <w:proofErr w:type="spellEnd"/>
      <w:r w:rsidRPr="00AB1E32">
        <w:rPr>
          <w:sz w:val="20"/>
        </w:rPr>
        <w:t xml:space="preserve">”) approved BPA’s Network Open Season process as meeting </w:t>
      </w:r>
      <w:proofErr w:type="spellStart"/>
      <w:r w:rsidRPr="00AB1E32">
        <w:rPr>
          <w:sz w:val="20"/>
        </w:rPr>
        <w:t>FERC’s</w:t>
      </w:r>
      <w:proofErr w:type="spellEnd"/>
      <w:r w:rsidRPr="00AB1E32">
        <w:rPr>
          <w:sz w:val="20"/>
        </w:rPr>
        <w:t xml:space="preserve"> reciprocity standards.  </w:t>
      </w:r>
      <w:r w:rsidRPr="00AB1E32">
        <w:rPr>
          <w:i/>
          <w:sz w:val="20"/>
        </w:rPr>
        <w:t>See Bonneville Power Admin.</w:t>
      </w:r>
      <w:r w:rsidRPr="00AB1E32">
        <w:rPr>
          <w:sz w:val="20"/>
        </w:rPr>
        <w:t xml:space="preserve">, 123 </w:t>
      </w:r>
      <w:proofErr w:type="spellStart"/>
      <w:r w:rsidRPr="00AB1E32">
        <w:rPr>
          <w:sz w:val="20"/>
        </w:rPr>
        <w:t>FERC</w:t>
      </w:r>
      <w:proofErr w:type="spellEnd"/>
      <w:r w:rsidRPr="00AB1E32">
        <w:rPr>
          <w:sz w:val="20"/>
        </w:rPr>
        <w:t xml:space="preserve"> ¶ 61,264 (2008).</w:t>
      </w:r>
    </w:p>
  </w:footnote>
  <w:footnote w:id="6">
    <w:p w:rsidR="00ED776D" w:rsidRPr="00AB1E32" w:rsidRDefault="00ED776D" w:rsidP="00A22C13">
      <w:pPr>
        <w:pStyle w:val="FootnoteText"/>
        <w:widowControl w:val="0"/>
        <w:spacing w:beforeLines="60" w:line="240" w:lineRule="auto"/>
        <w:rPr>
          <w:sz w:val="20"/>
        </w:rPr>
      </w:pPr>
      <w:r w:rsidRPr="00AB1E32">
        <w:rPr>
          <w:rStyle w:val="FootnoteReference"/>
          <w:szCs w:val="16"/>
        </w:rPr>
        <w:footnoteRef/>
      </w:r>
      <w:r w:rsidRPr="00AB1E32">
        <w:rPr>
          <w:sz w:val="20"/>
        </w:rPr>
        <w:t xml:space="preserve"> </w:t>
      </w:r>
      <w:r w:rsidRPr="00AB1E32">
        <w:rPr>
          <w:i/>
          <w:sz w:val="20"/>
        </w:rPr>
        <w:t>See</w:t>
      </w:r>
      <w:r w:rsidRPr="00AB1E32">
        <w:rPr>
          <w:sz w:val="20"/>
        </w:rPr>
        <w:t xml:space="preserve"> 2008 Network Open Season Administrator’s Decision Letter, dated February 16, 2009 (available at </w:t>
      </w:r>
      <w:hyperlink r:id="rId3" w:history="1">
        <w:r w:rsidRPr="00AB1E32">
          <w:rPr>
            <w:rStyle w:val="Hyperlink"/>
            <w:sz w:val="20"/>
          </w:rPr>
          <w:t>http://www.transmission.bpa.gov/customer_forums/open_season/docs/Decision_Letter_02_16_2009.pdf</w:t>
        </w:r>
      </w:hyperlink>
      <w:r w:rsidRPr="00AB1E32">
        <w:rPr>
          <w:sz w:val="20"/>
        </w:rPr>
        <w:t>).</w:t>
      </w:r>
    </w:p>
  </w:footnote>
  <w:footnote w:id="7">
    <w:p w:rsidR="00ED776D" w:rsidRPr="00D40895" w:rsidRDefault="00ED776D" w:rsidP="00A22C13">
      <w:pPr>
        <w:pStyle w:val="FootnoteText"/>
        <w:spacing w:before="60"/>
        <w:rPr>
          <w:sz w:val="20"/>
        </w:rPr>
      </w:pPr>
      <w:r>
        <w:rPr>
          <w:rStyle w:val="FootnoteReference"/>
        </w:rPr>
        <w:footnoteRef/>
      </w:r>
      <w:r>
        <w:t xml:space="preserve"> </w:t>
      </w:r>
      <w:r w:rsidRPr="00D40895">
        <w:rPr>
          <w:sz w:val="20"/>
        </w:rPr>
        <w:t>See</w:t>
      </w:r>
      <w:r>
        <w:t xml:space="preserve"> </w:t>
      </w:r>
      <w:r w:rsidRPr="00AB1E32">
        <w:rPr>
          <w:sz w:val="20"/>
        </w:rPr>
        <w:t xml:space="preserve">2008 Network Open Season Administrator’s Decision </w:t>
      </w:r>
      <w:proofErr w:type="gramStart"/>
      <w:r w:rsidRPr="00AB1E32">
        <w:rPr>
          <w:sz w:val="20"/>
        </w:rPr>
        <w:t>Letter,</w:t>
      </w:r>
      <w:proofErr w:type="gramEnd"/>
      <w:r w:rsidRPr="00AB1E32">
        <w:rPr>
          <w:sz w:val="20"/>
        </w:rPr>
        <w:t xml:space="preserve"> dated February 16, 2009, Attachment </w:t>
      </w:r>
      <w:r>
        <w:rPr>
          <w:sz w:val="20"/>
        </w:rPr>
        <w:t>C</w:t>
      </w:r>
      <w:r w:rsidRPr="00AB1E32">
        <w:rPr>
          <w:sz w:val="20"/>
        </w:rPr>
        <w:t xml:space="preserve"> (</w:t>
      </w:r>
      <w:r w:rsidRPr="00D40895">
        <w:rPr>
          <w:color w:val="000000"/>
          <w:sz w:val="20"/>
          <w:lang w:eastAsia="en-US"/>
        </w:rPr>
        <w:t xml:space="preserve">Description of 2008 Network Open Season Projects Moving Forward with </w:t>
      </w:r>
      <w:proofErr w:type="spellStart"/>
      <w:r w:rsidRPr="00D40895">
        <w:rPr>
          <w:color w:val="000000"/>
          <w:sz w:val="20"/>
          <w:lang w:eastAsia="en-US"/>
        </w:rPr>
        <w:t>NEPA</w:t>
      </w:r>
      <w:proofErr w:type="spellEnd"/>
      <w:r w:rsidRPr="00AB1E32">
        <w:rPr>
          <w:color w:val="000000"/>
          <w:sz w:val="20"/>
          <w:lang w:eastAsia="en-US"/>
        </w:rPr>
        <w:t xml:space="preserve">) at </w:t>
      </w:r>
      <w:r>
        <w:rPr>
          <w:color w:val="000000"/>
          <w:sz w:val="20"/>
          <w:lang w:eastAsia="en-US"/>
        </w:rPr>
        <w:t>page 4</w:t>
      </w:r>
      <w:r w:rsidRPr="00AB1E32">
        <w:rPr>
          <w:color w:val="000000"/>
          <w:sz w:val="20"/>
          <w:lang w:eastAsia="en-US"/>
        </w:rPr>
        <w:t xml:space="preserve"> (available at </w:t>
      </w:r>
      <w:hyperlink r:id="rId4" w:history="1">
        <w:r w:rsidRPr="00D40895">
          <w:rPr>
            <w:rStyle w:val="Hyperlink"/>
            <w:sz w:val="20"/>
          </w:rPr>
          <w:t>http://www.transmission.bpa.gov/customer_forums/open_season/docs/2008_NOS_Project_Descriptions_AttachC_updated_Oct2009.pdf</w:t>
        </w:r>
      </w:hyperlink>
      <w:r>
        <w:rPr>
          <w:sz w:val="20"/>
        </w:rPr>
        <w:t>).</w:t>
      </w:r>
      <w:r w:rsidRPr="00D40895">
        <w:rPr>
          <w:sz w:val="20"/>
        </w:rPr>
        <w:t xml:space="preserve"> </w:t>
      </w:r>
    </w:p>
  </w:footnote>
  <w:footnote w:id="8">
    <w:p w:rsidR="00ED776D" w:rsidRPr="00AB1E32" w:rsidRDefault="00ED776D" w:rsidP="00A22C13">
      <w:pPr>
        <w:pStyle w:val="FootnoteText"/>
        <w:widowControl w:val="0"/>
        <w:spacing w:beforeLines="60" w:line="240" w:lineRule="auto"/>
        <w:rPr>
          <w:sz w:val="20"/>
          <w:lang w:eastAsia="en-US"/>
        </w:rPr>
      </w:pPr>
      <w:r w:rsidRPr="002A37A6">
        <w:rPr>
          <w:rStyle w:val="FootnoteReference"/>
          <w:szCs w:val="16"/>
        </w:rPr>
        <w:footnoteRef/>
      </w:r>
      <w:r w:rsidRPr="00AB1E32">
        <w:rPr>
          <w:sz w:val="20"/>
        </w:rPr>
        <w:t xml:space="preserve"> </w:t>
      </w:r>
      <w:r w:rsidR="00483DAD">
        <w:rPr>
          <w:sz w:val="20"/>
        </w:rPr>
        <w:t>PSE states that,</w:t>
      </w:r>
      <w:r w:rsidR="00483DAD">
        <w:rPr>
          <w:sz w:val="20"/>
          <w:lang w:eastAsia="en-US"/>
        </w:rPr>
        <w:t xml:space="preserve"> a</w:t>
      </w:r>
      <w:r w:rsidRPr="00AB1E32">
        <w:rPr>
          <w:sz w:val="20"/>
          <w:lang w:eastAsia="en-US"/>
        </w:rPr>
        <w:t xml:space="preserve">lthough BPA is not subject to </w:t>
      </w:r>
      <w:proofErr w:type="spellStart"/>
      <w:r w:rsidRPr="00AB1E32">
        <w:rPr>
          <w:sz w:val="20"/>
          <w:lang w:eastAsia="en-US"/>
        </w:rPr>
        <w:t>FERC</w:t>
      </w:r>
      <w:proofErr w:type="spellEnd"/>
      <w:r w:rsidRPr="00AB1E32">
        <w:rPr>
          <w:sz w:val="20"/>
          <w:lang w:eastAsia="en-US"/>
        </w:rPr>
        <w:t xml:space="preserve"> jurisdiction, BPA has elected to follow the open access transmission tariff to ensure that </w:t>
      </w:r>
      <w:r w:rsidR="00483DAD">
        <w:rPr>
          <w:sz w:val="20"/>
          <w:lang w:eastAsia="en-US"/>
        </w:rPr>
        <w:t>it</w:t>
      </w:r>
      <w:r w:rsidR="00483DAD" w:rsidRPr="00AB1E32">
        <w:rPr>
          <w:sz w:val="20"/>
          <w:lang w:eastAsia="en-US"/>
        </w:rPr>
        <w:t xml:space="preserve"> </w:t>
      </w:r>
      <w:r w:rsidRPr="00AB1E32">
        <w:rPr>
          <w:sz w:val="20"/>
          <w:lang w:eastAsia="en-US"/>
        </w:rPr>
        <w:t xml:space="preserve">will receive reciprocal and non-discriminatory access to the transmission systems of utilities that are subject to </w:t>
      </w:r>
      <w:proofErr w:type="spellStart"/>
      <w:r w:rsidRPr="00AB1E32">
        <w:rPr>
          <w:sz w:val="20"/>
          <w:lang w:eastAsia="en-US"/>
        </w:rPr>
        <w:t>FERC’s</w:t>
      </w:r>
      <w:proofErr w:type="spellEnd"/>
      <w:r w:rsidRPr="00AB1E32">
        <w:rPr>
          <w:sz w:val="20"/>
          <w:lang w:eastAsia="en-US"/>
        </w:rPr>
        <w:t xml:space="preserve"> jurisdiction.</w:t>
      </w:r>
      <w:r>
        <w:rPr>
          <w:sz w:val="20"/>
          <w:lang w:eastAsia="en-US"/>
        </w:rPr>
        <w:t xml:space="preserve">  </w:t>
      </w:r>
      <w:r w:rsidRPr="002A37A6">
        <w:rPr>
          <w:i/>
          <w:sz w:val="20"/>
          <w:lang w:eastAsia="en-US"/>
        </w:rPr>
        <w:t>See</w:t>
      </w:r>
      <w:r>
        <w:rPr>
          <w:sz w:val="20"/>
          <w:lang w:eastAsia="en-US"/>
        </w:rPr>
        <w:t xml:space="preserve"> Interconnection Record of Decision at page 1.</w:t>
      </w:r>
    </w:p>
  </w:footnote>
  <w:footnote w:id="9">
    <w:p w:rsidR="00ED776D" w:rsidRPr="002A37A6" w:rsidRDefault="00ED776D" w:rsidP="00A22C13">
      <w:pPr>
        <w:pStyle w:val="FootnoteText"/>
        <w:spacing w:before="60"/>
        <w:rPr>
          <w:sz w:val="20"/>
          <w:lang w:eastAsia="en-US"/>
        </w:rPr>
      </w:pPr>
      <w:r>
        <w:rPr>
          <w:rStyle w:val="FootnoteReference"/>
        </w:rPr>
        <w:footnoteRef/>
      </w:r>
      <w:r>
        <w:t xml:space="preserve"> </w:t>
      </w:r>
      <w:proofErr w:type="gramStart"/>
      <w:r w:rsidRPr="002A37A6">
        <w:rPr>
          <w:i/>
          <w:sz w:val="20"/>
          <w:lang w:eastAsia="en-US"/>
        </w:rPr>
        <w:t>Standardization of Generator Interconnection Agreements and Procedures</w:t>
      </w:r>
      <w:r>
        <w:rPr>
          <w:sz w:val="20"/>
          <w:lang w:eastAsia="en-US"/>
        </w:rPr>
        <w:t xml:space="preserve">, Order No. 2003, </w:t>
      </w:r>
      <w:proofErr w:type="spellStart"/>
      <w:r>
        <w:rPr>
          <w:sz w:val="20"/>
          <w:lang w:eastAsia="en-US"/>
        </w:rPr>
        <w:t>FERC</w:t>
      </w:r>
      <w:proofErr w:type="spellEnd"/>
      <w:r>
        <w:rPr>
          <w:sz w:val="20"/>
          <w:lang w:eastAsia="en-US"/>
        </w:rPr>
        <w:t xml:space="preserve"> Stats.</w:t>
      </w:r>
      <w:proofErr w:type="gramEnd"/>
      <w:r>
        <w:rPr>
          <w:sz w:val="20"/>
          <w:lang w:eastAsia="en-US"/>
        </w:rPr>
        <w:t> </w:t>
      </w:r>
      <w:proofErr w:type="gramStart"/>
      <w:r>
        <w:rPr>
          <w:sz w:val="20"/>
          <w:lang w:eastAsia="en-US"/>
        </w:rPr>
        <w:t xml:space="preserve">&amp; </w:t>
      </w:r>
      <w:proofErr w:type="spellStart"/>
      <w:r>
        <w:rPr>
          <w:sz w:val="20"/>
          <w:lang w:eastAsia="en-US"/>
        </w:rPr>
        <w:t>Regs</w:t>
      </w:r>
      <w:proofErr w:type="spellEnd"/>
      <w:r>
        <w:rPr>
          <w:sz w:val="20"/>
          <w:lang w:eastAsia="en-US"/>
        </w:rPr>
        <w:t>.</w:t>
      </w:r>
      <w:proofErr w:type="gramEnd"/>
      <w:r>
        <w:rPr>
          <w:sz w:val="20"/>
          <w:lang w:eastAsia="en-US"/>
        </w:rPr>
        <w:t xml:space="preserve"> ¶ 31,146 (2003), </w:t>
      </w:r>
      <w:r>
        <w:rPr>
          <w:i/>
          <w:iCs/>
          <w:sz w:val="20"/>
          <w:lang w:eastAsia="en-US"/>
        </w:rPr>
        <w:t xml:space="preserve">on </w:t>
      </w:r>
      <w:proofErr w:type="spellStart"/>
      <w:r>
        <w:rPr>
          <w:i/>
          <w:iCs/>
          <w:sz w:val="20"/>
          <w:lang w:eastAsia="en-US"/>
        </w:rPr>
        <w:t>reh'g</w:t>
      </w:r>
      <w:proofErr w:type="spellEnd"/>
      <w:r>
        <w:rPr>
          <w:i/>
          <w:iCs/>
          <w:sz w:val="20"/>
          <w:lang w:eastAsia="en-US"/>
        </w:rPr>
        <w:t xml:space="preserve">, </w:t>
      </w:r>
      <w:r>
        <w:rPr>
          <w:sz w:val="20"/>
          <w:lang w:eastAsia="en-US"/>
        </w:rPr>
        <w:t xml:space="preserve">Order No. 2003-A, </w:t>
      </w:r>
      <w:proofErr w:type="spellStart"/>
      <w:r>
        <w:rPr>
          <w:sz w:val="20"/>
          <w:lang w:eastAsia="en-US"/>
        </w:rPr>
        <w:t>FERC</w:t>
      </w:r>
      <w:proofErr w:type="spellEnd"/>
      <w:r>
        <w:rPr>
          <w:sz w:val="20"/>
          <w:lang w:eastAsia="en-US"/>
        </w:rPr>
        <w:t xml:space="preserve"> Stats. </w:t>
      </w:r>
      <w:proofErr w:type="gramStart"/>
      <w:r>
        <w:rPr>
          <w:sz w:val="20"/>
          <w:lang w:eastAsia="en-US"/>
        </w:rPr>
        <w:t xml:space="preserve">&amp; </w:t>
      </w:r>
      <w:proofErr w:type="spellStart"/>
      <w:r>
        <w:rPr>
          <w:sz w:val="20"/>
          <w:lang w:eastAsia="en-US"/>
        </w:rPr>
        <w:t>Regs</w:t>
      </w:r>
      <w:proofErr w:type="spellEnd"/>
      <w:r>
        <w:rPr>
          <w:sz w:val="20"/>
          <w:lang w:eastAsia="en-US"/>
        </w:rPr>
        <w:t>.</w:t>
      </w:r>
      <w:proofErr w:type="gramEnd"/>
      <w:r>
        <w:rPr>
          <w:sz w:val="20"/>
          <w:lang w:eastAsia="en-US"/>
        </w:rPr>
        <w:t xml:space="preserve"> ¶ 31,160 (2004), </w:t>
      </w:r>
      <w:r>
        <w:rPr>
          <w:i/>
          <w:iCs/>
          <w:sz w:val="20"/>
          <w:lang w:eastAsia="en-US"/>
        </w:rPr>
        <w:t xml:space="preserve">on </w:t>
      </w:r>
      <w:proofErr w:type="spellStart"/>
      <w:r>
        <w:rPr>
          <w:i/>
          <w:iCs/>
          <w:sz w:val="20"/>
          <w:lang w:eastAsia="en-US"/>
        </w:rPr>
        <w:t>reh’g</w:t>
      </w:r>
      <w:proofErr w:type="spellEnd"/>
      <w:r>
        <w:rPr>
          <w:sz w:val="20"/>
          <w:lang w:eastAsia="en-US"/>
        </w:rPr>
        <w:t>, Order No. </w:t>
      </w:r>
      <w:r w:rsidRPr="002A37A6">
        <w:rPr>
          <w:sz w:val="20"/>
          <w:lang w:eastAsia="en-US"/>
        </w:rPr>
        <w:t xml:space="preserve">2003-B, </w:t>
      </w:r>
      <w:proofErr w:type="spellStart"/>
      <w:r w:rsidRPr="002A37A6">
        <w:rPr>
          <w:sz w:val="20"/>
          <w:lang w:eastAsia="en-US"/>
        </w:rPr>
        <w:t>FERC</w:t>
      </w:r>
      <w:proofErr w:type="spellEnd"/>
      <w:r w:rsidRPr="002A37A6">
        <w:rPr>
          <w:sz w:val="20"/>
          <w:lang w:eastAsia="en-US"/>
        </w:rPr>
        <w:t xml:space="preserve"> Stats. </w:t>
      </w:r>
      <w:proofErr w:type="gramStart"/>
      <w:r w:rsidRPr="002A37A6">
        <w:rPr>
          <w:sz w:val="20"/>
          <w:lang w:eastAsia="en-US"/>
        </w:rPr>
        <w:t xml:space="preserve">&amp; </w:t>
      </w:r>
      <w:proofErr w:type="spellStart"/>
      <w:r w:rsidRPr="002A37A6">
        <w:rPr>
          <w:sz w:val="20"/>
          <w:lang w:eastAsia="en-US"/>
        </w:rPr>
        <w:t>Regs</w:t>
      </w:r>
      <w:proofErr w:type="spellEnd"/>
      <w:r w:rsidRPr="002A37A6">
        <w:rPr>
          <w:sz w:val="20"/>
          <w:lang w:eastAsia="en-US"/>
        </w:rPr>
        <w:t>.</w:t>
      </w:r>
      <w:proofErr w:type="gramEnd"/>
      <w:r w:rsidRPr="002A37A6">
        <w:rPr>
          <w:sz w:val="20"/>
          <w:lang w:eastAsia="en-US"/>
        </w:rPr>
        <w:t xml:space="preserve"> ¶ 31,171 (2004), on </w:t>
      </w:r>
      <w:proofErr w:type="spellStart"/>
      <w:r w:rsidRPr="002A37A6">
        <w:rPr>
          <w:sz w:val="20"/>
          <w:lang w:eastAsia="en-US"/>
        </w:rPr>
        <w:t>reh’g</w:t>
      </w:r>
      <w:proofErr w:type="spellEnd"/>
      <w:r w:rsidRPr="002A37A6">
        <w:rPr>
          <w:sz w:val="20"/>
          <w:lang w:eastAsia="en-US"/>
        </w:rPr>
        <w:t xml:space="preserve">, Order No. 2003-C, </w:t>
      </w:r>
      <w:proofErr w:type="spellStart"/>
      <w:r w:rsidRPr="002A37A6">
        <w:rPr>
          <w:sz w:val="20"/>
          <w:lang w:eastAsia="en-US"/>
        </w:rPr>
        <w:t>FERC</w:t>
      </w:r>
      <w:proofErr w:type="spellEnd"/>
      <w:r w:rsidRPr="002A37A6">
        <w:rPr>
          <w:sz w:val="20"/>
          <w:lang w:eastAsia="en-US"/>
        </w:rPr>
        <w:t xml:space="preserve"> Stats. </w:t>
      </w:r>
      <w:proofErr w:type="gramStart"/>
      <w:r w:rsidRPr="002A37A6">
        <w:rPr>
          <w:sz w:val="20"/>
          <w:lang w:eastAsia="en-US"/>
        </w:rPr>
        <w:t xml:space="preserve">&amp; </w:t>
      </w:r>
      <w:proofErr w:type="spellStart"/>
      <w:r w:rsidRPr="002A37A6">
        <w:rPr>
          <w:sz w:val="20"/>
          <w:lang w:eastAsia="en-US"/>
        </w:rPr>
        <w:t>Regs</w:t>
      </w:r>
      <w:proofErr w:type="spellEnd"/>
      <w:r w:rsidRPr="002A37A6">
        <w:rPr>
          <w:sz w:val="20"/>
          <w:lang w:eastAsia="en-US"/>
        </w:rPr>
        <w:t>.</w:t>
      </w:r>
      <w:proofErr w:type="gramEnd"/>
      <w:r w:rsidRPr="002A37A6">
        <w:rPr>
          <w:sz w:val="20"/>
          <w:lang w:eastAsia="en-US"/>
        </w:rPr>
        <w:t xml:space="preserve"> </w:t>
      </w:r>
      <w:r>
        <w:rPr>
          <w:sz w:val="20"/>
          <w:lang w:eastAsia="en-US"/>
        </w:rPr>
        <w:t>¶ </w:t>
      </w:r>
      <w:r w:rsidRPr="002A37A6">
        <w:rPr>
          <w:sz w:val="20"/>
          <w:lang w:eastAsia="en-US"/>
        </w:rPr>
        <w:t xml:space="preserve">31,190 (2005), </w:t>
      </w:r>
      <w:proofErr w:type="spellStart"/>
      <w:r w:rsidRPr="002A37A6">
        <w:rPr>
          <w:i/>
          <w:sz w:val="20"/>
          <w:lang w:eastAsia="en-US"/>
        </w:rPr>
        <w:t>aff’d</w:t>
      </w:r>
      <w:proofErr w:type="spellEnd"/>
      <w:r w:rsidRPr="002A37A6">
        <w:rPr>
          <w:i/>
          <w:sz w:val="20"/>
          <w:lang w:eastAsia="en-US"/>
        </w:rPr>
        <w:t xml:space="preserve"> sub nom. Nat’l </w:t>
      </w:r>
      <w:proofErr w:type="spellStart"/>
      <w:r w:rsidRPr="002A37A6">
        <w:rPr>
          <w:i/>
          <w:sz w:val="20"/>
          <w:lang w:eastAsia="en-US"/>
        </w:rPr>
        <w:t>Ass’n</w:t>
      </w:r>
      <w:proofErr w:type="spellEnd"/>
      <w:r w:rsidRPr="002A37A6">
        <w:rPr>
          <w:i/>
          <w:sz w:val="20"/>
          <w:lang w:eastAsia="en-US"/>
        </w:rPr>
        <w:t xml:space="preserve"> of Regulatory Util. </w:t>
      </w:r>
      <w:proofErr w:type="spellStart"/>
      <w:r w:rsidRPr="002A37A6">
        <w:rPr>
          <w:i/>
          <w:sz w:val="20"/>
          <w:lang w:eastAsia="en-US"/>
        </w:rPr>
        <w:t>Comm’rs</w:t>
      </w:r>
      <w:proofErr w:type="spellEnd"/>
      <w:r w:rsidRPr="002A37A6">
        <w:rPr>
          <w:i/>
          <w:sz w:val="20"/>
          <w:lang w:eastAsia="en-US"/>
        </w:rPr>
        <w:t xml:space="preserve"> v. </w:t>
      </w:r>
      <w:proofErr w:type="spellStart"/>
      <w:r w:rsidRPr="002A37A6">
        <w:rPr>
          <w:i/>
          <w:sz w:val="20"/>
          <w:lang w:eastAsia="en-US"/>
        </w:rPr>
        <w:t>FERC</w:t>
      </w:r>
      <w:proofErr w:type="spellEnd"/>
      <w:r w:rsidRPr="002A37A6">
        <w:rPr>
          <w:sz w:val="20"/>
          <w:lang w:eastAsia="en-US"/>
        </w:rPr>
        <w:t>, 475 F.3d 1277 (D.C. Cir. 2007).</w:t>
      </w:r>
    </w:p>
  </w:footnote>
  <w:footnote w:id="10">
    <w:p w:rsidR="00ED776D" w:rsidRDefault="00ED776D" w:rsidP="00A22C13">
      <w:pPr>
        <w:pStyle w:val="FootnoteText"/>
        <w:spacing w:before="60"/>
      </w:pPr>
      <w:r>
        <w:rPr>
          <w:rStyle w:val="FootnoteReference"/>
        </w:rPr>
        <w:footnoteRef/>
      </w:r>
      <w:r>
        <w:t xml:space="preserve"> </w:t>
      </w:r>
      <w:r w:rsidRPr="00A2265F">
        <w:rPr>
          <w:i/>
          <w:sz w:val="20"/>
        </w:rPr>
        <w:t>See generally</w:t>
      </w:r>
      <w:r w:rsidRPr="00A2265F">
        <w:rPr>
          <w:sz w:val="20"/>
        </w:rPr>
        <w:t xml:space="preserve"> Order No. 2003.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4626422"/>
    <w:lvl w:ilvl="0">
      <w:start w:val="1"/>
      <w:numFmt w:val="decimal"/>
      <w:lvlText w:val="%1."/>
      <w:lvlJc w:val="left"/>
      <w:pPr>
        <w:tabs>
          <w:tab w:val="num" w:pos="1800"/>
        </w:tabs>
        <w:ind w:left="1800" w:hanging="360"/>
      </w:pPr>
    </w:lvl>
  </w:abstractNum>
  <w:abstractNum w:abstractNumId="1">
    <w:nsid w:val="FFFFFF7D"/>
    <w:multiLevelType w:val="singleLevel"/>
    <w:tmpl w:val="CD188BAC"/>
    <w:lvl w:ilvl="0">
      <w:start w:val="1"/>
      <w:numFmt w:val="decimal"/>
      <w:lvlText w:val="%1."/>
      <w:lvlJc w:val="left"/>
      <w:pPr>
        <w:tabs>
          <w:tab w:val="num" w:pos="1440"/>
        </w:tabs>
        <w:ind w:left="1440" w:hanging="360"/>
      </w:pPr>
    </w:lvl>
  </w:abstractNum>
  <w:abstractNum w:abstractNumId="2">
    <w:nsid w:val="FFFFFF7E"/>
    <w:multiLevelType w:val="singleLevel"/>
    <w:tmpl w:val="93687270"/>
    <w:lvl w:ilvl="0">
      <w:start w:val="1"/>
      <w:numFmt w:val="decimal"/>
      <w:lvlText w:val="%1."/>
      <w:lvlJc w:val="left"/>
      <w:pPr>
        <w:tabs>
          <w:tab w:val="num" w:pos="1080"/>
        </w:tabs>
        <w:ind w:left="1080" w:hanging="360"/>
      </w:pPr>
    </w:lvl>
  </w:abstractNum>
  <w:abstractNum w:abstractNumId="3">
    <w:nsid w:val="FFFFFF7F"/>
    <w:multiLevelType w:val="singleLevel"/>
    <w:tmpl w:val="BF7A2B40"/>
    <w:lvl w:ilvl="0">
      <w:start w:val="1"/>
      <w:numFmt w:val="decimal"/>
      <w:lvlText w:val="%1."/>
      <w:lvlJc w:val="left"/>
      <w:pPr>
        <w:tabs>
          <w:tab w:val="num" w:pos="720"/>
        </w:tabs>
        <w:ind w:left="720" w:hanging="360"/>
      </w:pPr>
    </w:lvl>
  </w:abstractNum>
  <w:abstractNum w:abstractNumId="4">
    <w:nsid w:val="FFFFFF80"/>
    <w:multiLevelType w:val="singleLevel"/>
    <w:tmpl w:val="668694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13066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D271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685E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092F258"/>
    <w:lvl w:ilvl="0">
      <w:start w:val="1"/>
      <w:numFmt w:val="decimal"/>
      <w:lvlText w:val="%1."/>
      <w:lvlJc w:val="left"/>
      <w:pPr>
        <w:tabs>
          <w:tab w:val="num" w:pos="360"/>
        </w:tabs>
        <w:ind w:left="360" w:hanging="360"/>
      </w:pPr>
    </w:lvl>
  </w:abstractNum>
  <w:abstractNum w:abstractNumId="9">
    <w:nsid w:val="FFFFFF89"/>
    <w:multiLevelType w:val="singleLevel"/>
    <w:tmpl w:val="D11A7440"/>
    <w:lvl w:ilvl="0">
      <w:start w:val="1"/>
      <w:numFmt w:val="bullet"/>
      <w:lvlText w:val=""/>
      <w:lvlJc w:val="left"/>
      <w:pPr>
        <w:tabs>
          <w:tab w:val="num" w:pos="360"/>
        </w:tabs>
        <w:ind w:left="360" w:hanging="360"/>
      </w:pPr>
      <w:rPr>
        <w:rFonts w:ascii="Symbol" w:hAnsi="Symbol" w:hint="default"/>
      </w:rPr>
    </w:lvl>
  </w:abstractNum>
  <w:abstractNum w:abstractNumId="10">
    <w:nsid w:val="047100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BAB4C57"/>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0FD51371"/>
    <w:multiLevelType w:val="singleLevel"/>
    <w:tmpl w:val="0409000F"/>
    <w:lvl w:ilvl="0">
      <w:start w:val="1"/>
      <w:numFmt w:val="decimal"/>
      <w:lvlText w:val="%1."/>
      <w:lvlJc w:val="left"/>
      <w:pPr>
        <w:tabs>
          <w:tab w:val="num" w:pos="360"/>
        </w:tabs>
        <w:ind w:left="360" w:hanging="360"/>
      </w:pPr>
    </w:lvl>
  </w:abstractNum>
  <w:abstractNum w:abstractNumId="13">
    <w:nsid w:val="1400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6712198"/>
    <w:multiLevelType w:val="singleLevel"/>
    <w:tmpl w:val="E1F637B0"/>
    <w:lvl w:ilvl="0">
      <w:start w:val="2"/>
      <w:numFmt w:val="upperRoman"/>
      <w:lvlText w:val="%1."/>
      <w:lvlJc w:val="left"/>
      <w:pPr>
        <w:tabs>
          <w:tab w:val="num" w:pos="1440"/>
        </w:tabs>
        <w:ind w:left="1440" w:hanging="720"/>
      </w:pPr>
      <w:rPr>
        <w:rFonts w:hint="default"/>
      </w:rPr>
    </w:lvl>
  </w:abstractNum>
  <w:abstractNum w:abstractNumId="15">
    <w:nsid w:val="1ABC5E70"/>
    <w:multiLevelType w:val="singleLevel"/>
    <w:tmpl w:val="75387D56"/>
    <w:lvl w:ilvl="0">
      <w:start w:val="1"/>
      <w:numFmt w:val="upperLetter"/>
      <w:lvlText w:val="%1."/>
      <w:lvlJc w:val="left"/>
      <w:pPr>
        <w:tabs>
          <w:tab w:val="num" w:pos="720"/>
        </w:tabs>
        <w:ind w:left="720" w:hanging="720"/>
      </w:pPr>
      <w:rPr>
        <w:rFonts w:hint="default"/>
      </w:rPr>
    </w:lvl>
  </w:abstractNum>
  <w:abstractNum w:abstractNumId="16">
    <w:nsid w:val="1C687AA6"/>
    <w:multiLevelType w:val="singleLevel"/>
    <w:tmpl w:val="E2FA56D8"/>
    <w:lvl w:ilvl="0">
      <w:start w:val="1"/>
      <w:numFmt w:val="bullet"/>
      <w:lvlText w:val=""/>
      <w:lvlJc w:val="left"/>
      <w:pPr>
        <w:tabs>
          <w:tab w:val="num" w:pos="720"/>
        </w:tabs>
        <w:ind w:left="720" w:hanging="648"/>
      </w:pPr>
      <w:rPr>
        <w:rFonts w:ascii="Symbol" w:hAnsi="Symbol" w:hint="default"/>
      </w:rPr>
    </w:lvl>
  </w:abstractNum>
  <w:abstractNum w:abstractNumId="17">
    <w:nsid w:val="24BF6D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4D36FA1"/>
    <w:multiLevelType w:val="singleLevel"/>
    <w:tmpl w:val="0409000F"/>
    <w:lvl w:ilvl="0">
      <w:start w:val="1"/>
      <w:numFmt w:val="decimal"/>
      <w:lvlText w:val="%1."/>
      <w:lvlJc w:val="left"/>
      <w:pPr>
        <w:tabs>
          <w:tab w:val="num" w:pos="360"/>
        </w:tabs>
        <w:ind w:left="360" w:hanging="360"/>
      </w:pPr>
    </w:lvl>
  </w:abstractNum>
  <w:abstractNum w:abstractNumId="19">
    <w:nsid w:val="2A28797A"/>
    <w:multiLevelType w:val="singleLevel"/>
    <w:tmpl w:val="20720322"/>
    <w:lvl w:ilvl="0">
      <w:start w:val="1"/>
      <w:numFmt w:val="decimal"/>
      <w:lvlText w:val="%1."/>
      <w:lvlJc w:val="left"/>
      <w:pPr>
        <w:tabs>
          <w:tab w:val="num" w:pos="720"/>
        </w:tabs>
        <w:ind w:left="720" w:hanging="720"/>
      </w:pPr>
      <w:rPr>
        <w:rFonts w:hint="default"/>
      </w:rPr>
    </w:lvl>
  </w:abstractNum>
  <w:abstractNum w:abstractNumId="20">
    <w:nsid w:val="2EF93E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54422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82234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D7A30B7"/>
    <w:multiLevelType w:val="singleLevel"/>
    <w:tmpl w:val="508A54DC"/>
    <w:lvl w:ilvl="0">
      <w:start w:val="2"/>
      <w:numFmt w:val="decimal"/>
      <w:lvlText w:val="%1."/>
      <w:lvlJc w:val="left"/>
      <w:pPr>
        <w:tabs>
          <w:tab w:val="num" w:pos="1440"/>
        </w:tabs>
        <w:ind w:left="1440" w:hanging="720"/>
      </w:pPr>
      <w:rPr>
        <w:rFonts w:hint="default"/>
      </w:rPr>
    </w:lvl>
  </w:abstractNum>
  <w:abstractNum w:abstractNumId="24">
    <w:nsid w:val="41B635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77525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8837FA0"/>
    <w:multiLevelType w:val="singleLevel"/>
    <w:tmpl w:val="E3AAB440"/>
    <w:lvl w:ilvl="0">
      <w:start w:val="2"/>
      <w:numFmt w:val="decimal"/>
      <w:lvlText w:val="%1."/>
      <w:lvlJc w:val="left"/>
      <w:pPr>
        <w:tabs>
          <w:tab w:val="num" w:pos="720"/>
        </w:tabs>
        <w:ind w:left="720" w:hanging="720"/>
      </w:pPr>
      <w:rPr>
        <w:rFonts w:hint="default"/>
      </w:rPr>
    </w:lvl>
  </w:abstractNum>
  <w:abstractNum w:abstractNumId="27">
    <w:nsid w:val="495B62AB"/>
    <w:multiLevelType w:val="singleLevel"/>
    <w:tmpl w:val="18526D6A"/>
    <w:lvl w:ilvl="0">
      <w:start w:val="1"/>
      <w:numFmt w:val="decimal"/>
      <w:lvlText w:val="(%1)"/>
      <w:lvlJc w:val="left"/>
      <w:pPr>
        <w:tabs>
          <w:tab w:val="num" w:pos="1095"/>
        </w:tabs>
        <w:ind w:left="1095" w:hanging="375"/>
      </w:pPr>
      <w:rPr>
        <w:rFonts w:hint="default"/>
      </w:rPr>
    </w:lvl>
  </w:abstractNum>
  <w:abstractNum w:abstractNumId="28">
    <w:nsid w:val="4CA3418A"/>
    <w:multiLevelType w:val="singleLevel"/>
    <w:tmpl w:val="374CB2E0"/>
    <w:lvl w:ilvl="0">
      <w:start w:val="1"/>
      <w:numFmt w:val="decimal"/>
      <w:lvlText w:val="%1."/>
      <w:lvlJc w:val="left"/>
      <w:pPr>
        <w:tabs>
          <w:tab w:val="num" w:pos="720"/>
        </w:tabs>
        <w:ind w:left="720" w:hanging="720"/>
      </w:pPr>
      <w:rPr>
        <w:rFonts w:hint="default"/>
      </w:rPr>
    </w:lvl>
  </w:abstractNum>
  <w:abstractNum w:abstractNumId="29">
    <w:nsid w:val="4D1B3A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DDE74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E497B9E"/>
    <w:multiLevelType w:val="singleLevel"/>
    <w:tmpl w:val="2F5EA23E"/>
    <w:lvl w:ilvl="0">
      <w:start w:val="3"/>
      <w:numFmt w:val="upperRoman"/>
      <w:lvlText w:val="%1."/>
      <w:lvlJc w:val="left"/>
      <w:pPr>
        <w:tabs>
          <w:tab w:val="num" w:pos="1440"/>
        </w:tabs>
        <w:ind w:left="1440" w:hanging="720"/>
      </w:pPr>
      <w:rPr>
        <w:rFonts w:hint="default"/>
      </w:rPr>
    </w:lvl>
  </w:abstractNum>
  <w:abstractNum w:abstractNumId="32">
    <w:nsid w:val="4EA55E2C"/>
    <w:multiLevelType w:val="singleLevel"/>
    <w:tmpl w:val="FEE2C528"/>
    <w:lvl w:ilvl="0">
      <w:start w:val="3"/>
      <w:numFmt w:val="decimal"/>
      <w:lvlText w:val="%1"/>
      <w:lvlJc w:val="left"/>
      <w:pPr>
        <w:tabs>
          <w:tab w:val="num" w:pos="1440"/>
        </w:tabs>
        <w:ind w:left="1440" w:hanging="720"/>
      </w:pPr>
      <w:rPr>
        <w:rFonts w:hint="default"/>
      </w:rPr>
    </w:lvl>
  </w:abstractNum>
  <w:abstractNum w:abstractNumId="33">
    <w:nsid w:val="561D5134"/>
    <w:multiLevelType w:val="singleLevel"/>
    <w:tmpl w:val="FC8629D8"/>
    <w:lvl w:ilvl="0">
      <w:start w:val="1"/>
      <w:numFmt w:val="upperLetter"/>
      <w:lvlText w:val="%1."/>
      <w:lvlJc w:val="left"/>
      <w:pPr>
        <w:tabs>
          <w:tab w:val="num" w:pos="2160"/>
        </w:tabs>
        <w:ind w:left="2160" w:hanging="720"/>
      </w:pPr>
      <w:rPr>
        <w:rFonts w:hint="default"/>
      </w:rPr>
    </w:lvl>
  </w:abstractNum>
  <w:abstractNum w:abstractNumId="34">
    <w:nsid w:val="5A8B5272"/>
    <w:multiLevelType w:val="singleLevel"/>
    <w:tmpl w:val="53741D60"/>
    <w:lvl w:ilvl="0">
      <w:start w:val="1"/>
      <w:numFmt w:val="upperLetter"/>
      <w:lvlText w:val="%1."/>
      <w:lvlJc w:val="left"/>
      <w:pPr>
        <w:tabs>
          <w:tab w:val="num" w:pos="360"/>
        </w:tabs>
        <w:ind w:left="360" w:hanging="360"/>
      </w:pPr>
      <w:rPr>
        <w:rFonts w:hint="default"/>
      </w:rPr>
    </w:lvl>
  </w:abstractNum>
  <w:abstractNum w:abstractNumId="35">
    <w:nsid w:val="5F6E4243"/>
    <w:multiLevelType w:val="singleLevel"/>
    <w:tmpl w:val="A2B812DE"/>
    <w:lvl w:ilvl="0">
      <w:start w:val="2"/>
      <w:numFmt w:val="decimal"/>
      <w:lvlText w:val="%1."/>
      <w:lvlJc w:val="left"/>
      <w:pPr>
        <w:tabs>
          <w:tab w:val="num" w:pos="720"/>
        </w:tabs>
        <w:ind w:left="720" w:hanging="720"/>
      </w:pPr>
      <w:rPr>
        <w:rFonts w:hint="default"/>
      </w:rPr>
    </w:lvl>
  </w:abstractNum>
  <w:abstractNum w:abstractNumId="36">
    <w:nsid w:val="5FAA3581"/>
    <w:multiLevelType w:val="hybridMultilevel"/>
    <w:tmpl w:val="B4AE15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5FBD2E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1513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56346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EC54E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3CA4B8C"/>
    <w:multiLevelType w:val="singleLevel"/>
    <w:tmpl w:val="011E345C"/>
    <w:lvl w:ilvl="0">
      <w:start w:val="2"/>
      <w:numFmt w:val="decimal"/>
      <w:lvlText w:val="%1."/>
      <w:lvlJc w:val="left"/>
      <w:pPr>
        <w:tabs>
          <w:tab w:val="num" w:pos="1440"/>
        </w:tabs>
        <w:ind w:left="1440" w:hanging="720"/>
      </w:pPr>
      <w:rPr>
        <w:rFonts w:hint="default"/>
      </w:rPr>
    </w:lvl>
  </w:abstractNum>
  <w:abstractNum w:abstractNumId="42">
    <w:nsid w:val="7A7E0F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B117F16"/>
    <w:multiLevelType w:val="hybridMultilevel"/>
    <w:tmpl w:val="6ECE5A6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2"/>
  </w:num>
  <w:num w:numId="13">
    <w:abstractNumId w:val="14"/>
  </w:num>
  <w:num w:numId="14">
    <w:abstractNumId w:val="41"/>
  </w:num>
  <w:num w:numId="15">
    <w:abstractNumId w:val="15"/>
  </w:num>
  <w:num w:numId="16">
    <w:abstractNumId w:val="33"/>
  </w:num>
  <w:num w:numId="17">
    <w:abstractNumId w:val="23"/>
  </w:num>
  <w:num w:numId="18">
    <w:abstractNumId w:val="34"/>
  </w:num>
  <w:num w:numId="19">
    <w:abstractNumId w:val="37"/>
  </w:num>
  <w:num w:numId="20">
    <w:abstractNumId w:val="11"/>
  </w:num>
  <w:num w:numId="21">
    <w:abstractNumId w:val="21"/>
  </w:num>
  <w:num w:numId="22">
    <w:abstractNumId w:val="38"/>
  </w:num>
  <w:num w:numId="23">
    <w:abstractNumId w:val="13"/>
  </w:num>
  <w:num w:numId="24">
    <w:abstractNumId w:val="30"/>
  </w:num>
  <w:num w:numId="25">
    <w:abstractNumId w:val="10"/>
  </w:num>
  <w:num w:numId="26">
    <w:abstractNumId w:val="22"/>
  </w:num>
  <w:num w:numId="27">
    <w:abstractNumId w:val="20"/>
  </w:num>
  <w:num w:numId="28">
    <w:abstractNumId w:val="12"/>
  </w:num>
  <w:num w:numId="29">
    <w:abstractNumId w:val="42"/>
  </w:num>
  <w:num w:numId="30">
    <w:abstractNumId w:val="24"/>
  </w:num>
  <w:num w:numId="31">
    <w:abstractNumId w:val="16"/>
  </w:num>
  <w:num w:numId="32">
    <w:abstractNumId w:val="31"/>
  </w:num>
  <w:num w:numId="33">
    <w:abstractNumId w:val="19"/>
  </w:num>
  <w:num w:numId="34">
    <w:abstractNumId w:val="28"/>
  </w:num>
  <w:num w:numId="35">
    <w:abstractNumId w:val="35"/>
  </w:num>
  <w:num w:numId="36">
    <w:abstractNumId w:val="17"/>
  </w:num>
  <w:num w:numId="37">
    <w:abstractNumId w:val="26"/>
  </w:num>
  <w:num w:numId="38">
    <w:abstractNumId w:val="29"/>
  </w:num>
  <w:num w:numId="39">
    <w:abstractNumId w:val="25"/>
  </w:num>
  <w:num w:numId="40">
    <w:abstractNumId w:val="39"/>
  </w:num>
  <w:num w:numId="41">
    <w:abstractNumId w:val="27"/>
  </w:num>
  <w:num w:numId="42">
    <w:abstractNumId w:val="40"/>
  </w:num>
  <w:num w:numId="43">
    <w:abstractNumId w:val="36"/>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intFractionalCharacterWidth/>
  <w:embedTrueTypeFonts/>
  <w:saveSubsetFonts/>
  <w:activeWritingStyle w:appName="MSWord" w:lang="en-US" w:vendorID="8" w:dllVersion="513" w:checkStyle="1"/>
  <w:proofState w:spelling="clean" w:grammar="clean"/>
  <w:attachedTemplate r:id="rId1"/>
  <w:stylePaneFormatFilter w:val="3F01"/>
  <w:defaultTabStop w:val="720"/>
  <w:hyphenationZone w:val="144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534CB"/>
    <w:rsid w:val="000023E9"/>
    <w:rsid w:val="0000418F"/>
    <w:rsid w:val="00006D5D"/>
    <w:rsid w:val="00011188"/>
    <w:rsid w:val="00011C5D"/>
    <w:rsid w:val="00016CA0"/>
    <w:rsid w:val="00027DF1"/>
    <w:rsid w:val="000369D0"/>
    <w:rsid w:val="000454B2"/>
    <w:rsid w:val="00054205"/>
    <w:rsid w:val="00060A6E"/>
    <w:rsid w:val="00061737"/>
    <w:rsid w:val="000667A5"/>
    <w:rsid w:val="00073072"/>
    <w:rsid w:val="0007612C"/>
    <w:rsid w:val="00077D45"/>
    <w:rsid w:val="000802D1"/>
    <w:rsid w:val="00084603"/>
    <w:rsid w:val="0009042A"/>
    <w:rsid w:val="000A4C14"/>
    <w:rsid w:val="000A630F"/>
    <w:rsid w:val="000A6F49"/>
    <w:rsid w:val="000C17E3"/>
    <w:rsid w:val="000C6551"/>
    <w:rsid w:val="000D3405"/>
    <w:rsid w:val="000D4473"/>
    <w:rsid w:val="000D6D96"/>
    <w:rsid w:val="000E72DA"/>
    <w:rsid w:val="000F1B8C"/>
    <w:rsid w:val="000F5554"/>
    <w:rsid w:val="00101827"/>
    <w:rsid w:val="001100C0"/>
    <w:rsid w:val="00113D59"/>
    <w:rsid w:val="001241F1"/>
    <w:rsid w:val="0013233A"/>
    <w:rsid w:val="0013258A"/>
    <w:rsid w:val="001354A2"/>
    <w:rsid w:val="00140B43"/>
    <w:rsid w:val="00146D00"/>
    <w:rsid w:val="00152221"/>
    <w:rsid w:val="00152EBC"/>
    <w:rsid w:val="001534CB"/>
    <w:rsid w:val="001614A3"/>
    <w:rsid w:val="00161C65"/>
    <w:rsid w:val="00171CD8"/>
    <w:rsid w:val="0017569D"/>
    <w:rsid w:val="00175D8F"/>
    <w:rsid w:val="001828B0"/>
    <w:rsid w:val="00184490"/>
    <w:rsid w:val="00187EF0"/>
    <w:rsid w:val="00191B91"/>
    <w:rsid w:val="00193527"/>
    <w:rsid w:val="0019374E"/>
    <w:rsid w:val="00194A27"/>
    <w:rsid w:val="00197BE4"/>
    <w:rsid w:val="001A3B8F"/>
    <w:rsid w:val="001A7363"/>
    <w:rsid w:val="001B3164"/>
    <w:rsid w:val="001B3AD2"/>
    <w:rsid w:val="001B51B3"/>
    <w:rsid w:val="001B78F7"/>
    <w:rsid w:val="001C0F57"/>
    <w:rsid w:val="001C66CB"/>
    <w:rsid w:val="001D3BEE"/>
    <w:rsid w:val="001D4197"/>
    <w:rsid w:val="001D6B05"/>
    <w:rsid w:val="001D6E27"/>
    <w:rsid w:val="001E0827"/>
    <w:rsid w:val="001E2E86"/>
    <w:rsid w:val="001E5EB6"/>
    <w:rsid w:val="001E7025"/>
    <w:rsid w:val="001E788A"/>
    <w:rsid w:val="001F28AF"/>
    <w:rsid w:val="001F35C3"/>
    <w:rsid w:val="00204365"/>
    <w:rsid w:val="00204A3E"/>
    <w:rsid w:val="00211175"/>
    <w:rsid w:val="00214368"/>
    <w:rsid w:val="002159EE"/>
    <w:rsid w:val="00223645"/>
    <w:rsid w:val="002239E6"/>
    <w:rsid w:val="002246A2"/>
    <w:rsid w:val="00232E48"/>
    <w:rsid w:val="00233FB7"/>
    <w:rsid w:val="00235917"/>
    <w:rsid w:val="0023757E"/>
    <w:rsid w:val="00244C87"/>
    <w:rsid w:val="0025033F"/>
    <w:rsid w:val="002542A9"/>
    <w:rsid w:val="0025477C"/>
    <w:rsid w:val="0026111C"/>
    <w:rsid w:val="0026204B"/>
    <w:rsid w:val="00264B32"/>
    <w:rsid w:val="002702D8"/>
    <w:rsid w:val="00270636"/>
    <w:rsid w:val="002707C1"/>
    <w:rsid w:val="0027479A"/>
    <w:rsid w:val="002758A2"/>
    <w:rsid w:val="00276584"/>
    <w:rsid w:val="00280576"/>
    <w:rsid w:val="00281EAA"/>
    <w:rsid w:val="00296326"/>
    <w:rsid w:val="00296E79"/>
    <w:rsid w:val="002A0389"/>
    <w:rsid w:val="002A3C37"/>
    <w:rsid w:val="002A43C4"/>
    <w:rsid w:val="002A59F2"/>
    <w:rsid w:val="002A79E6"/>
    <w:rsid w:val="002C3527"/>
    <w:rsid w:val="002C35DD"/>
    <w:rsid w:val="002D09DB"/>
    <w:rsid w:val="002D0C9D"/>
    <w:rsid w:val="002D11A5"/>
    <w:rsid w:val="002D18EF"/>
    <w:rsid w:val="002D21B2"/>
    <w:rsid w:val="002D64F2"/>
    <w:rsid w:val="002E247D"/>
    <w:rsid w:val="002E2C8F"/>
    <w:rsid w:val="002E4534"/>
    <w:rsid w:val="002E6482"/>
    <w:rsid w:val="002F3C38"/>
    <w:rsid w:val="002F458F"/>
    <w:rsid w:val="00305B5D"/>
    <w:rsid w:val="00306284"/>
    <w:rsid w:val="00306B11"/>
    <w:rsid w:val="0030752C"/>
    <w:rsid w:val="003143D8"/>
    <w:rsid w:val="00315BBF"/>
    <w:rsid w:val="00316339"/>
    <w:rsid w:val="00317720"/>
    <w:rsid w:val="00321F98"/>
    <w:rsid w:val="0032203E"/>
    <w:rsid w:val="00330050"/>
    <w:rsid w:val="00331564"/>
    <w:rsid w:val="00331888"/>
    <w:rsid w:val="00331DCA"/>
    <w:rsid w:val="00340609"/>
    <w:rsid w:val="00342671"/>
    <w:rsid w:val="00344DED"/>
    <w:rsid w:val="003463C6"/>
    <w:rsid w:val="003532EE"/>
    <w:rsid w:val="00355807"/>
    <w:rsid w:val="00361814"/>
    <w:rsid w:val="00362504"/>
    <w:rsid w:val="003735CE"/>
    <w:rsid w:val="0037455F"/>
    <w:rsid w:val="00387895"/>
    <w:rsid w:val="00391B58"/>
    <w:rsid w:val="003939B8"/>
    <w:rsid w:val="00394F22"/>
    <w:rsid w:val="003A20A6"/>
    <w:rsid w:val="003A3233"/>
    <w:rsid w:val="003A3775"/>
    <w:rsid w:val="003A64E1"/>
    <w:rsid w:val="003A70C5"/>
    <w:rsid w:val="003B7297"/>
    <w:rsid w:val="003B7B08"/>
    <w:rsid w:val="003D1557"/>
    <w:rsid w:val="003D5F63"/>
    <w:rsid w:val="003F1A96"/>
    <w:rsid w:val="003F593F"/>
    <w:rsid w:val="003F75A9"/>
    <w:rsid w:val="00400F78"/>
    <w:rsid w:val="004036B9"/>
    <w:rsid w:val="00403D61"/>
    <w:rsid w:val="00412C76"/>
    <w:rsid w:val="0041657B"/>
    <w:rsid w:val="00417A93"/>
    <w:rsid w:val="00420725"/>
    <w:rsid w:val="004209B2"/>
    <w:rsid w:val="004227A9"/>
    <w:rsid w:val="00426C4B"/>
    <w:rsid w:val="00437BCD"/>
    <w:rsid w:val="0044171F"/>
    <w:rsid w:val="00441C87"/>
    <w:rsid w:val="00442FD7"/>
    <w:rsid w:val="0045088D"/>
    <w:rsid w:val="0045153A"/>
    <w:rsid w:val="00452FF2"/>
    <w:rsid w:val="00454C93"/>
    <w:rsid w:val="00460FAE"/>
    <w:rsid w:val="00465ECD"/>
    <w:rsid w:val="0046790A"/>
    <w:rsid w:val="00475CAB"/>
    <w:rsid w:val="00483DAD"/>
    <w:rsid w:val="004871E6"/>
    <w:rsid w:val="0049101F"/>
    <w:rsid w:val="00491447"/>
    <w:rsid w:val="0049257E"/>
    <w:rsid w:val="004954DD"/>
    <w:rsid w:val="004A0AE1"/>
    <w:rsid w:val="004A447A"/>
    <w:rsid w:val="004B17E0"/>
    <w:rsid w:val="004B2FA5"/>
    <w:rsid w:val="004C4690"/>
    <w:rsid w:val="004C7BAA"/>
    <w:rsid w:val="004D62D7"/>
    <w:rsid w:val="004D6E64"/>
    <w:rsid w:val="004D7B50"/>
    <w:rsid w:val="004F4107"/>
    <w:rsid w:val="0050123C"/>
    <w:rsid w:val="00502D75"/>
    <w:rsid w:val="00505A59"/>
    <w:rsid w:val="00506828"/>
    <w:rsid w:val="005106BA"/>
    <w:rsid w:val="0051503E"/>
    <w:rsid w:val="00521413"/>
    <w:rsid w:val="00524E91"/>
    <w:rsid w:val="0053103B"/>
    <w:rsid w:val="0053690D"/>
    <w:rsid w:val="0053727F"/>
    <w:rsid w:val="0053763B"/>
    <w:rsid w:val="00543AEF"/>
    <w:rsid w:val="0054412B"/>
    <w:rsid w:val="00545189"/>
    <w:rsid w:val="00547F2D"/>
    <w:rsid w:val="00555A48"/>
    <w:rsid w:val="0056025F"/>
    <w:rsid w:val="005616B8"/>
    <w:rsid w:val="00561AF6"/>
    <w:rsid w:val="00563894"/>
    <w:rsid w:val="005653D6"/>
    <w:rsid w:val="00585CDD"/>
    <w:rsid w:val="00587434"/>
    <w:rsid w:val="0059104A"/>
    <w:rsid w:val="005917FD"/>
    <w:rsid w:val="005933D1"/>
    <w:rsid w:val="0059490F"/>
    <w:rsid w:val="005A0352"/>
    <w:rsid w:val="005A0D95"/>
    <w:rsid w:val="005A159A"/>
    <w:rsid w:val="005A1FA9"/>
    <w:rsid w:val="005A7A2A"/>
    <w:rsid w:val="005B17DC"/>
    <w:rsid w:val="005B6401"/>
    <w:rsid w:val="005C1EF2"/>
    <w:rsid w:val="005C2EF0"/>
    <w:rsid w:val="005C6AD2"/>
    <w:rsid w:val="005D4F40"/>
    <w:rsid w:val="005E0C0D"/>
    <w:rsid w:val="005E312C"/>
    <w:rsid w:val="005E39EC"/>
    <w:rsid w:val="005F439B"/>
    <w:rsid w:val="006005B8"/>
    <w:rsid w:val="00614178"/>
    <w:rsid w:val="00614914"/>
    <w:rsid w:val="0062128B"/>
    <w:rsid w:val="00625432"/>
    <w:rsid w:val="00635011"/>
    <w:rsid w:val="00637EB7"/>
    <w:rsid w:val="00643DCC"/>
    <w:rsid w:val="00662162"/>
    <w:rsid w:val="0066622D"/>
    <w:rsid w:val="00666B58"/>
    <w:rsid w:val="0067099C"/>
    <w:rsid w:val="00674956"/>
    <w:rsid w:val="006753CD"/>
    <w:rsid w:val="00676CB2"/>
    <w:rsid w:val="00682364"/>
    <w:rsid w:val="00683D76"/>
    <w:rsid w:val="006841F0"/>
    <w:rsid w:val="00691616"/>
    <w:rsid w:val="00691A02"/>
    <w:rsid w:val="006A0164"/>
    <w:rsid w:val="006A3AA9"/>
    <w:rsid w:val="006A5CA0"/>
    <w:rsid w:val="006A7A7F"/>
    <w:rsid w:val="006B1DDD"/>
    <w:rsid w:val="006B3506"/>
    <w:rsid w:val="006B4DFA"/>
    <w:rsid w:val="006B6D9F"/>
    <w:rsid w:val="006B7564"/>
    <w:rsid w:val="006C6CCE"/>
    <w:rsid w:val="006D49D6"/>
    <w:rsid w:val="006E16DD"/>
    <w:rsid w:val="006E178B"/>
    <w:rsid w:val="006E4DC8"/>
    <w:rsid w:val="006E780D"/>
    <w:rsid w:val="006F690E"/>
    <w:rsid w:val="006F6E2D"/>
    <w:rsid w:val="0070484C"/>
    <w:rsid w:val="00710DC3"/>
    <w:rsid w:val="00714D63"/>
    <w:rsid w:val="00726B0A"/>
    <w:rsid w:val="00730D1C"/>
    <w:rsid w:val="0073162E"/>
    <w:rsid w:val="00736544"/>
    <w:rsid w:val="007401BE"/>
    <w:rsid w:val="00744E74"/>
    <w:rsid w:val="00750B2F"/>
    <w:rsid w:val="00750C8C"/>
    <w:rsid w:val="007519D7"/>
    <w:rsid w:val="0075296F"/>
    <w:rsid w:val="00761E9C"/>
    <w:rsid w:val="007622F4"/>
    <w:rsid w:val="007665D6"/>
    <w:rsid w:val="00774831"/>
    <w:rsid w:val="007815C9"/>
    <w:rsid w:val="00784AC2"/>
    <w:rsid w:val="007862B7"/>
    <w:rsid w:val="00791E3A"/>
    <w:rsid w:val="00792444"/>
    <w:rsid w:val="007948A6"/>
    <w:rsid w:val="007A0183"/>
    <w:rsid w:val="007A3B9E"/>
    <w:rsid w:val="007B1AB5"/>
    <w:rsid w:val="007C40E2"/>
    <w:rsid w:val="007C745D"/>
    <w:rsid w:val="007D5195"/>
    <w:rsid w:val="007D6F4A"/>
    <w:rsid w:val="007D7C32"/>
    <w:rsid w:val="007D7CCB"/>
    <w:rsid w:val="007E22DB"/>
    <w:rsid w:val="007F24CE"/>
    <w:rsid w:val="007F714B"/>
    <w:rsid w:val="0080231C"/>
    <w:rsid w:val="00802819"/>
    <w:rsid w:val="00805255"/>
    <w:rsid w:val="00814467"/>
    <w:rsid w:val="00821F1F"/>
    <w:rsid w:val="0082205E"/>
    <w:rsid w:val="00841544"/>
    <w:rsid w:val="00842863"/>
    <w:rsid w:val="00844D3F"/>
    <w:rsid w:val="00846D7B"/>
    <w:rsid w:val="00852E2A"/>
    <w:rsid w:val="00853273"/>
    <w:rsid w:val="00854965"/>
    <w:rsid w:val="00862AEB"/>
    <w:rsid w:val="008636F3"/>
    <w:rsid w:val="00864001"/>
    <w:rsid w:val="008651E0"/>
    <w:rsid w:val="00867F70"/>
    <w:rsid w:val="008730A6"/>
    <w:rsid w:val="008751F2"/>
    <w:rsid w:val="008766A4"/>
    <w:rsid w:val="00882385"/>
    <w:rsid w:val="008915E0"/>
    <w:rsid w:val="008926E1"/>
    <w:rsid w:val="00892FBF"/>
    <w:rsid w:val="008A6B7B"/>
    <w:rsid w:val="008B0002"/>
    <w:rsid w:val="008B0CA5"/>
    <w:rsid w:val="008B2159"/>
    <w:rsid w:val="008B2B81"/>
    <w:rsid w:val="008B4A26"/>
    <w:rsid w:val="008C4617"/>
    <w:rsid w:val="008C474B"/>
    <w:rsid w:val="008D5C99"/>
    <w:rsid w:val="008D723C"/>
    <w:rsid w:val="008E2C40"/>
    <w:rsid w:val="008E5985"/>
    <w:rsid w:val="008E6CF1"/>
    <w:rsid w:val="008E750C"/>
    <w:rsid w:val="008F37CD"/>
    <w:rsid w:val="009002C7"/>
    <w:rsid w:val="0091563C"/>
    <w:rsid w:val="00921442"/>
    <w:rsid w:val="00922CEF"/>
    <w:rsid w:val="009238A5"/>
    <w:rsid w:val="00923C60"/>
    <w:rsid w:val="00927A39"/>
    <w:rsid w:val="00930492"/>
    <w:rsid w:val="0093085B"/>
    <w:rsid w:val="009418C9"/>
    <w:rsid w:val="0094277D"/>
    <w:rsid w:val="009457FA"/>
    <w:rsid w:val="00951D5C"/>
    <w:rsid w:val="0095267B"/>
    <w:rsid w:val="00953741"/>
    <w:rsid w:val="009551AA"/>
    <w:rsid w:val="0096331B"/>
    <w:rsid w:val="009662A1"/>
    <w:rsid w:val="00972721"/>
    <w:rsid w:val="00981C1F"/>
    <w:rsid w:val="00984912"/>
    <w:rsid w:val="009911F7"/>
    <w:rsid w:val="00991208"/>
    <w:rsid w:val="009960FD"/>
    <w:rsid w:val="009974BD"/>
    <w:rsid w:val="009A292D"/>
    <w:rsid w:val="009A410A"/>
    <w:rsid w:val="009A4BE8"/>
    <w:rsid w:val="009B1BC9"/>
    <w:rsid w:val="009B1C82"/>
    <w:rsid w:val="009D129C"/>
    <w:rsid w:val="009D21EC"/>
    <w:rsid w:val="009D3122"/>
    <w:rsid w:val="009E1EB2"/>
    <w:rsid w:val="009E1FB2"/>
    <w:rsid w:val="009F2159"/>
    <w:rsid w:val="009F4362"/>
    <w:rsid w:val="00A00F23"/>
    <w:rsid w:val="00A122DD"/>
    <w:rsid w:val="00A22C13"/>
    <w:rsid w:val="00A40AC1"/>
    <w:rsid w:val="00A42E30"/>
    <w:rsid w:val="00A45914"/>
    <w:rsid w:val="00A54840"/>
    <w:rsid w:val="00A55153"/>
    <w:rsid w:val="00A55BBF"/>
    <w:rsid w:val="00A60586"/>
    <w:rsid w:val="00A61493"/>
    <w:rsid w:val="00A620F0"/>
    <w:rsid w:val="00A63EF5"/>
    <w:rsid w:val="00A70D48"/>
    <w:rsid w:val="00A74319"/>
    <w:rsid w:val="00A77844"/>
    <w:rsid w:val="00A80013"/>
    <w:rsid w:val="00A80ED8"/>
    <w:rsid w:val="00A82031"/>
    <w:rsid w:val="00A82E24"/>
    <w:rsid w:val="00A83ADC"/>
    <w:rsid w:val="00A8585F"/>
    <w:rsid w:val="00A86B47"/>
    <w:rsid w:val="00A933A9"/>
    <w:rsid w:val="00A9524D"/>
    <w:rsid w:val="00A96B29"/>
    <w:rsid w:val="00AA23F3"/>
    <w:rsid w:val="00AA6CB1"/>
    <w:rsid w:val="00AB70EC"/>
    <w:rsid w:val="00AC06A8"/>
    <w:rsid w:val="00AC221B"/>
    <w:rsid w:val="00AC3109"/>
    <w:rsid w:val="00AC457C"/>
    <w:rsid w:val="00AD1D89"/>
    <w:rsid w:val="00AD234B"/>
    <w:rsid w:val="00AE17D3"/>
    <w:rsid w:val="00AE4B5C"/>
    <w:rsid w:val="00AF23F2"/>
    <w:rsid w:val="00B00CC6"/>
    <w:rsid w:val="00B032B1"/>
    <w:rsid w:val="00B12212"/>
    <w:rsid w:val="00B12725"/>
    <w:rsid w:val="00B176EF"/>
    <w:rsid w:val="00B228CB"/>
    <w:rsid w:val="00B35495"/>
    <w:rsid w:val="00B52C1A"/>
    <w:rsid w:val="00B54E1B"/>
    <w:rsid w:val="00B56F21"/>
    <w:rsid w:val="00B575FE"/>
    <w:rsid w:val="00B5774E"/>
    <w:rsid w:val="00B63296"/>
    <w:rsid w:val="00B64A6C"/>
    <w:rsid w:val="00B66DD6"/>
    <w:rsid w:val="00B703A4"/>
    <w:rsid w:val="00B7612F"/>
    <w:rsid w:val="00B8559A"/>
    <w:rsid w:val="00B9086E"/>
    <w:rsid w:val="00B909D6"/>
    <w:rsid w:val="00B97A36"/>
    <w:rsid w:val="00BA7637"/>
    <w:rsid w:val="00BB1FB7"/>
    <w:rsid w:val="00BB4AB3"/>
    <w:rsid w:val="00BB79CB"/>
    <w:rsid w:val="00BC771A"/>
    <w:rsid w:val="00BD5B40"/>
    <w:rsid w:val="00BE000D"/>
    <w:rsid w:val="00BE2456"/>
    <w:rsid w:val="00C05462"/>
    <w:rsid w:val="00C05925"/>
    <w:rsid w:val="00C06EC6"/>
    <w:rsid w:val="00C21D4D"/>
    <w:rsid w:val="00C25ED7"/>
    <w:rsid w:val="00C3218B"/>
    <w:rsid w:val="00C35889"/>
    <w:rsid w:val="00C424D0"/>
    <w:rsid w:val="00C46433"/>
    <w:rsid w:val="00C536B5"/>
    <w:rsid w:val="00C75941"/>
    <w:rsid w:val="00C86B6E"/>
    <w:rsid w:val="00C91FE4"/>
    <w:rsid w:val="00C92358"/>
    <w:rsid w:val="00C94C86"/>
    <w:rsid w:val="00CA02F8"/>
    <w:rsid w:val="00CA1D78"/>
    <w:rsid w:val="00CB0941"/>
    <w:rsid w:val="00CB5D43"/>
    <w:rsid w:val="00CB6111"/>
    <w:rsid w:val="00CB71B2"/>
    <w:rsid w:val="00CC2FF6"/>
    <w:rsid w:val="00CC5C80"/>
    <w:rsid w:val="00CD1649"/>
    <w:rsid w:val="00CD5B5C"/>
    <w:rsid w:val="00CD716E"/>
    <w:rsid w:val="00CE0A75"/>
    <w:rsid w:val="00CE246B"/>
    <w:rsid w:val="00CE304F"/>
    <w:rsid w:val="00CE45D6"/>
    <w:rsid w:val="00CE71F1"/>
    <w:rsid w:val="00CE7839"/>
    <w:rsid w:val="00CE7DFE"/>
    <w:rsid w:val="00CF5B1F"/>
    <w:rsid w:val="00D01E9D"/>
    <w:rsid w:val="00D04779"/>
    <w:rsid w:val="00D06E96"/>
    <w:rsid w:val="00D10086"/>
    <w:rsid w:val="00D1402F"/>
    <w:rsid w:val="00D16FAF"/>
    <w:rsid w:val="00D201C7"/>
    <w:rsid w:val="00D20963"/>
    <w:rsid w:val="00D20E5D"/>
    <w:rsid w:val="00D23EC4"/>
    <w:rsid w:val="00D3477D"/>
    <w:rsid w:val="00D357E5"/>
    <w:rsid w:val="00D36658"/>
    <w:rsid w:val="00D42C08"/>
    <w:rsid w:val="00D43934"/>
    <w:rsid w:val="00D46F2B"/>
    <w:rsid w:val="00D47673"/>
    <w:rsid w:val="00D52BF2"/>
    <w:rsid w:val="00D54348"/>
    <w:rsid w:val="00D606FD"/>
    <w:rsid w:val="00D704FE"/>
    <w:rsid w:val="00D7118F"/>
    <w:rsid w:val="00D7259F"/>
    <w:rsid w:val="00D72BCA"/>
    <w:rsid w:val="00D7624C"/>
    <w:rsid w:val="00D958FA"/>
    <w:rsid w:val="00D9774A"/>
    <w:rsid w:val="00D9795D"/>
    <w:rsid w:val="00DA7160"/>
    <w:rsid w:val="00DB4BA2"/>
    <w:rsid w:val="00DB604C"/>
    <w:rsid w:val="00DB7A4F"/>
    <w:rsid w:val="00DB7E5D"/>
    <w:rsid w:val="00DC7DFD"/>
    <w:rsid w:val="00DD4591"/>
    <w:rsid w:val="00DD510B"/>
    <w:rsid w:val="00DD7D32"/>
    <w:rsid w:val="00DE009D"/>
    <w:rsid w:val="00DE4D61"/>
    <w:rsid w:val="00DF0061"/>
    <w:rsid w:val="00DF03E3"/>
    <w:rsid w:val="00DF2597"/>
    <w:rsid w:val="00E00051"/>
    <w:rsid w:val="00E02ECA"/>
    <w:rsid w:val="00E109AB"/>
    <w:rsid w:val="00E138A7"/>
    <w:rsid w:val="00E16D52"/>
    <w:rsid w:val="00E20789"/>
    <w:rsid w:val="00E20CB5"/>
    <w:rsid w:val="00E2701E"/>
    <w:rsid w:val="00E333C0"/>
    <w:rsid w:val="00E3390F"/>
    <w:rsid w:val="00E34944"/>
    <w:rsid w:val="00E36AEE"/>
    <w:rsid w:val="00E43248"/>
    <w:rsid w:val="00E50C6F"/>
    <w:rsid w:val="00E60CA6"/>
    <w:rsid w:val="00E67664"/>
    <w:rsid w:val="00E72C31"/>
    <w:rsid w:val="00E74A0B"/>
    <w:rsid w:val="00E8060D"/>
    <w:rsid w:val="00E901E0"/>
    <w:rsid w:val="00E97ACD"/>
    <w:rsid w:val="00EA0B78"/>
    <w:rsid w:val="00EA3786"/>
    <w:rsid w:val="00EB0236"/>
    <w:rsid w:val="00EC1810"/>
    <w:rsid w:val="00ED41EA"/>
    <w:rsid w:val="00ED776D"/>
    <w:rsid w:val="00EE0367"/>
    <w:rsid w:val="00EE1DD2"/>
    <w:rsid w:val="00EE2DCE"/>
    <w:rsid w:val="00EE330F"/>
    <w:rsid w:val="00EE4C1D"/>
    <w:rsid w:val="00EE61E4"/>
    <w:rsid w:val="00EF4533"/>
    <w:rsid w:val="00EF545D"/>
    <w:rsid w:val="00F01B91"/>
    <w:rsid w:val="00F06D64"/>
    <w:rsid w:val="00F06F62"/>
    <w:rsid w:val="00F2190C"/>
    <w:rsid w:val="00F26D6E"/>
    <w:rsid w:val="00F271F6"/>
    <w:rsid w:val="00F318E4"/>
    <w:rsid w:val="00F37EC9"/>
    <w:rsid w:val="00F410CD"/>
    <w:rsid w:val="00F44500"/>
    <w:rsid w:val="00F46507"/>
    <w:rsid w:val="00F77054"/>
    <w:rsid w:val="00F92F21"/>
    <w:rsid w:val="00F9495B"/>
    <w:rsid w:val="00FA1A38"/>
    <w:rsid w:val="00FA2B4F"/>
    <w:rsid w:val="00FA3423"/>
    <w:rsid w:val="00FB2C00"/>
    <w:rsid w:val="00FB5B39"/>
    <w:rsid w:val="00FC0093"/>
    <w:rsid w:val="00FC140D"/>
    <w:rsid w:val="00FC18DB"/>
    <w:rsid w:val="00FD2466"/>
    <w:rsid w:val="00FE0E03"/>
    <w:rsid w:val="00FE22C7"/>
    <w:rsid w:val="00FE61E6"/>
    <w:rsid w:val="00FE6F4B"/>
    <w:rsid w:val="00FF3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tLeast"/>
      <w:ind w:firstLine="720"/>
    </w:pPr>
    <w:rPr>
      <w:rFonts w:ascii="Times New Roman" w:hAnsi="Times New Roman"/>
      <w:sz w:val="26"/>
      <w:lang w:eastAsia="zh-CN"/>
    </w:rPr>
  </w:style>
  <w:style w:type="paragraph" w:styleId="Heading1">
    <w:name w:val="heading 1"/>
    <w:basedOn w:val="Heading2"/>
    <w:next w:val="Normal"/>
    <w:qFormat/>
    <w:pPr>
      <w:ind w:firstLine="0"/>
      <w:jc w:val="center"/>
      <w:outlineLvl w:val="0"/>
    </w:pPr>
  </w:style>
  <w:style w:type="paragraph" w:styleId="Heading2">
    <w:name w:val="heading 2"/>
    <w:basedOn w:val="single"/>
    <w:next w:val="Normal"/>
    <w:qFormat/>
    <w:pPr>
      <w:keepNext/>
      <w:keepLines/>
      <w:ind w:left="720" w:right="720" w:hanging="720"/>
      <w:outlineLvl w:val="1"/>
    </w:pPr>
    <w:rPr>
      <w:b/>
    </w:rPr>
  </w:style>
  <w:style w:type="paragraph" w:styleId="Heading3">
    <w:name w:val="heading 3"/>
    <w:basedOn w:val="Heading2"/>
    <w:next w:val="Normal"/>
    <w:qFormat/>
    <w:pPr>
      <w:ind w:left="1440"/>
      <w:outlineLvl w:val="2"/>
    </w:pPr>
  </w:style>
  <w:style w:type="paragraph" w:styleId="Heading4">
    <w:name w:val="heading 4"/>
    <w:basedOn w:val="Heading3"/>
    <w:next w:val="Normal"/>
    <w:qFormat/>
    <w:pPr>
      <w:ind w:left="2160"/>
      <w:outlineLvl w:val="3"/>
    </w:pPr>
  </w:style>
  <w:style w:type="paragraph" w:styleId="Heading5">
    <w:name w:val="heading 5"/>
    <w:basedOn w:val="Heading4"/>
    <w:next w:val="Normal"/>
    <w:qFormat/>
    <w:pPr>
      <w:ind w:left="2880"/>
      <w:outlineLvl w:val="4"/>
    </w:pPr>
  </w:style>
  <w:style w:type="paragraph" w:styleId="Heading6">
    <w:name w:val="heading 6"/>
    <w:basedOn w:val="Heading5"/>
    <w:next w:val="Normal"/>
    <w:qFormat/>
    <w:pPr>
      <w:ind w:left="3600"/>
      <w:outlineLvl w:val="5"/>
    </w:pPr>
  </w:style>
  <w:style w:type="paragraph" w:styleId="Heading7">
    <w:name w:val="heading 7"/>
    <w:basedOn w:val="Heading6"/>
    <w:next w:val="Normal"/>
    <w:qFormat/>
    <w:pPr>
      <w:ind w:left="4320"/>
      <w:outlineLvl w:val="6"/>
    </w:pPr>
  </w:style>
  <w:style w:type="paragraph" w:styleId="Heading8">
    <w:name w:val="heading 8"/>
    <w:basedOn w:val="Heading6"/>
    <w:next w:val="Normal"/>
    <w:qFormat/>
    <w:pPr>
      <w:ind w:left="5040"/>
      <w:outlineLvl w:val="7"/>
    </w:pPr>
  </w:style>
  <w:style w:type="paragraph" w:styleId="Heading9">
    <w:name w:val="heading 9"/>
    <w:basedOn w:val="Heading6"/>
    <w:next w:val="Normal"/>
    <w:qFormat/>
    <w:pPr>
      <w:ind w:left="576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
    <w:name w:val="single"/>
    <w:basedOn w:val="Normal"/>
    <w:pPr>
      <w:spacing w:before="240" w:line="240" w:lineRule="atLeast"/>
    </w:pPr>
  </w:style>
  <w:style w:type="character" w:styleId="CommentReference">
    <w:name w:val="annotation reference"/>
    <w:basedOn w:val="DefaultParagraphFont"/>
    <w:semiHidden/>
    <w:rPr>
      <w:rFonts w:ascii="Univers (WN)" w:hAnsi="Univers (WN)"/>
      <w:position w:val="4"/>
      <w:sz w:val="16"/>
      <w:u w:val="double"/>
    </w:rPr>
  </w:style>
  <w:style w:type="paragraph" w:styleId="CommentText">
    <w:name w:val="annotation text"/>
    <w:basedOn w:val="FootnoteText"/>
    <w:semiHidden/>
  </w:style>
  <w:style w:type="paragraph" w:styleId="FootnoteText">
    <w:name w:val="footnote text"/>
    <w:basedOn w:val="single"/>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semiHidden/>
    <w:pPr>
      <w:ind w:left="2160"/>
    </w:pPr>
  </w:style>
  <w:style w:type="paragraph" w:styleId="TOC2">
    <w:name w:val="toc 2"/>
    <w:basedOn w:val="TOC1"/>
    <w:semiHidden/>
    <w:pPr>
      <w:ind w:left="1440"/>
    </w:pPr>
  </w:style>
  <w:style w:type="paragraph" w:styleId="TOC1">
    <w:name w:val="toc 1"/>
    <w:basedOn w:val="unjustifiedblock"/>
    <w:semiHidden/>
    <w:pPr>
      <w:keepLines/>
      <w:tabs>
        <w:tab w:val="right" w:leader="dot" w:pos="9000"/>
      </w:tabs>
      <w:ind w:left="720" w:right="720" w:hanging="720"/>
    </w:pPr>
    <w:rPr>
      <w:color w:val="0000FF"/>
    </w:rPr>
  </w:style>
  <w:style w:type="paragraph" w:customStyle="1" w:styleId="unjustifiedblock">
    <w:name w:val="unjustified block"/>
    <w:basedOn w:val="singleblock"/>
  </w:style>
  <w:style w:type="paragraph" w:customStyle="1" w:styleId="singleblock">
    <w:name w:val="single block"/>
    <w:basedOn w:val="single"/>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3">
    <w:name w:val="index 3"/>
    <w:basedOn w:val="Index2"/>
    <w:semiHidden/>
    <w:pPr>
      <w:tabs>
        <w:tab w:val="right" w:pos="9000"/>
      </w:tabs>
      <w:spacing w:before="0"/>
    </w:pPr>
  </w:style>
  <w:style w:type="paragraph" w:styleId="Index2">
    <w:name w:val="index 2"/>
    <w:basedOn w:val="Normal"/>
    <w:next w:val="Normal"/>
    <w:semiHidden/>
    <w:pPr>
      <w:tabs>
        <w:tab w:val="right" w:leader="dot" w:pos="9000"/>
      </w:tabs>
      <w:spacing w:before="240" w:line="240" w:lineRule="atLeast"/>
      <w:ind w:left="360" w:right="1440" w:hanging="360"/>
    </w:pPr>
    <w:rPr>
      <w:color w:val="0000FF"/>
    </w:rPr>
  </w:style>
  <w:style w:type="paragraph" w:styleId="Index1">
    <w:name w:val="index 1"/>
    <w:basedOn w:val="Normal"/>
    <w:next w:val="Normal"/>
    <w:semiHidden/>
    <w:pPr>
      <w:spacing w:before="240" w:line="240" w:lineRule="atLeast"/>
      <w:ind w:firstLine="0"/>
    </w:pPr>
    <w:rPr>
      <w:b/>
      <w:color w:val="0000FF"/>
    </w:rPr>
  </w:style>
  <w:style w:type="paragraph" w:styleId="IndexHeading">
    <w:name w:val="index heading"/>
    <w:basedOn w:val="Normal"/>
    <w:next w:val="Normal"/>
    <w:semiHidden/>
    <w:rPr>
      <w:b/>
    </w:rPr>
  </w:style>
  <w:style w:type="paragraph" w:styleId="Footer">
    <w:name w:val="footer"/>
    <w:basedOn w:val="plain"/>
    <w:pPr>
      <w:tabs>
        <w:tab w:val="center" w:pos="4507"/>
        <w:tab w:val="right" w:pos="9000"/>
      </w:tabs>
      <w:ind w:right="4320"/>
    </w:pPr>
  </w:style>
  <w:style w:type="paragraph" w:customStyle="1" w:styleId="plain">
    <w:name w:val="plain"/>
    <w:basedOn w:val="unjustifiedblock"/>
    <w:pPr>
      <w:spacing w:before="0"/>
    </w:pPr>
  </w:style>
  <w:style w:type="paragraph" w:styleId="Header">
    <w:name w:val="header"/>
    <w:basedOn w:val="plain"/>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pPr>
      <w:ind w:left="1440" w:right="720"/>
    </w:pPr>
  </w:style>
  <w:style w:type="paragraph" w:styleId="BlockText">
    <w:name w:val="Block Text"/>
    <w:basedOn w:val="Normal"/>
    <w:pPr>
      <w:spacing w:after="120"/>
      <w:ind w:left="1440" w:right="1440"/>
    </w:pPr>
  </w:style>
  <w:style w:type="paragraph" w:customStyle="1" w:styleId="normalblock">
    <w:name w:val="normal block"/>
    <w:basedOn w:val="Normal"/>
    <w:pPr>
      <w:ind w:firstLine="0"/>
    </w:pPr>
  </w:style>
  <w:style w:type="paragraph" w:customStyle="1" w:styleId="coverpage">
    <w:name w:val="cover page"/>
    <w:basedOn w:val="unjustifiedblock"/>
    <w:pPr>
      <w:jc w:val="right"/>
    </w:pPr>
  </w:style>
  <w:style w:type="paragraph" w:customStyle="1" w:styleId="center">
    <w:name w:val="center"/>
    <w:basedOn w:val="unjustifiedblock"/>
    <w:pPr>
      <w:keepLines/>
      <w:jc w:val="center"/>
    </w:pPr>
  </w:style>
  <w:style w:type="paragraph" w:customStyle="1" w:styleId="cclist">
    <w:name w:val="cc list"/>
    <w:basedOn w:val="unjustifiedblock"/>
    <w:pPr>
      <w:keepLines/>
      <w:ind w:left="720" w:hanging="72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styleId="Title">
    <w:name w:val="Title"/>
    <w:basedOn w:val="center"/>
    <w:qFormat/>
    <w:pPr>
      <w:keepNext/>
      <w:spacing w:after="240"/>
      <w:ind w:left="720" w:right="720"/>
    </w:pPr>
    <w:rPr>
      <w:b/>
    </w:rPr>
  </w:style>
  <w:style w:type="paragraph" w:customStyle="1" w:styleId="hangingindent">
    <w:name w:val="hanging indent"/>
    <w:basedOn w:val="normalblock"/>
    <w:pPr>
      <w:ind w:left="720" w:hanging="720"/>
    </w:pPr>
  </w:style>
  <w:style w:type="paragraph" w:customStyle="1" w:styleId="bulletitem">
    <w:name w:val="bullet item"/>
    <w:basedOn w:val="single"/>
    <w:pPr>
      <w:keepLines/>
      <w:ind w:left="720" w:right="360" w:hanging="720"/>
    </w:pPr>
  </w:style>
  <w:style w:type="paragraph" w:customStyle="1" w:styleId="righthalf">
    <w:name w:val="right half"/>
    <w:basedOn w:val="unjustifiedblock"/>
    <w:pPr>
      <w:keepLines/>
      <w:tabs>
        <w:tab w:val="left" w:pos="4860"/>
        <w:tab w:val="right" w:pos="8730"/>
      </w:tabs>
      <w:spacing w:before="480"/>
      <w:ind w:left="4320" w:right="187"/>
    </w:pPr>
  </w:style>
  <w:style w:type="paragraph" w:customStyle="1" w:styleId="hangingnormal">
    <w:name w:val="hanging normal"/>
    <w:basedOn w:val="normalblock"/>
    <w:pPr>
      <w:tabs>
        <w:tab w:val="right" w:pos="8820"/>
      </w:tabs>
      <w:ind w:left="720" w:hanging="720"/>
    </w:pPr>
  </w:style>
  <w:style w:type="paragraph" w:customStyle="1" w:styleId="hangingsingle">
    <w:name w:val="hanging single"/>
    <w:basedOn w:val="single"/>
    <w:pPr>
      <w:keepLines/>
      <w:tabs>
        <w:tab w:val="right" w:pos="8820"/>
      </w:tabs>
      <w:ind w:left="720" w:right="360" w:hanging="720"/>
    </w:pPr>
  </w:style>
  <w:style w:type="paragraph" w:customStyle="1" w:styleId="hangingunjustified">
    <w:name w:val="hanging unjustified"/>
    <w:basedOn w:val="unjustifiedblock"/>
    <w:pPr>
      <w:keepLines/>
      <w:tabs>
        <w:tab w:val="right" w:pos="8820"/>
      </w:tabs>
      <w:ind w:left="720" w:hanging="720"/>
    </w:pPr>
  </w:style>
  <w:style w:type="paragraph" w:customStyle="1" w:styleId="pleading-linenums">
    <w:name w:val="pleading-line nums"/>
    <w:pPr>
      <w:framePr w:w="360" w:hSpace="144" w:vSpace="144" w:wrap="auto" w:vAnchor="page" w:hAnchor="page" w:x="1081" w:y="2161"/>
      <w:spacing w:line="240" w:lineRule="exact"/>
      <w:jc w:val="right"/>
    </w:pPr>
    <w:rPr>
      <w:lang w:eastAsia="zh-CN"/>
    </w:rPr>
  </w:style>
  <w:style w:type="paragraph" w:customStyle="1" w:styleId="c">
    <w:name w:val="c"/>
    <w:basedOn w:val="center"/>
  </w:style>
  <w:style w:type="paragraph" w:customStyle="1" w:styleId="response">
    <w:name w:val="response"/>
    <w:basedOn w:val="Normal"/>
    <w:pPr>
      <w:spacing w:after="2880"/>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rPr>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styleId="EnvelopeAddress">
    <w:name w:val="envelope address"/>
    <w:basedOn w:val="Normal"/>
    <w:pPr>
      <w:framePr w:w="7920" w:h="1987" w:hRule="exact" w:hSpace="187" w:wrap="around" w:hAnchor="page" w:xAlign="center" w:yAlign="bottom"/>
      <w:spacing w:line="240" w:lineRule="auto"/>
      <w:ind w:firstLine="0"/>
    </w:pPr>
  </w:style>
  <w:style w:type="paragraph" w:styleId="EnvelopeReturn">
    <w:name w:val="envelope return"/>
    <w:basedOn w:val="Normal"/>
    <w:pPr>
      <w:spacing w:line="240" w:lineRule="auto"/>
      <w:ind w:firstLine="0"/>
    </w:pPr>
    <w:rPr>
      <w:sz w:val="20"/>
    </w:rPr>
  </w:style>
  <w:style w:type="paragraph" w:styleId="TOAHeading">
    <w:name w:val="toa heading"/>
    <w:basedOn w:val="Normal"/>
    <w:next w:val="Normal"/>
    <w:semiHidden/>
    <w:pPr>
      <w:keepNext/>
      <w:keepLines/>
      <w:spacing w:before="120"/>
      <w:ind w:firstLine="0"/>
    </w:pPr>
    <w:rPr>
      <w:b/>
      <w:color w:val="0000FF"/>
    </w:rPr>
  </w:style>
  <w:style w:type="paragraph" w:styleId="TableofAuthorities">
    <w:name w:val="table of authorities"/>
    <w:basedOn w:val="Normal"/>
    <w:next w:val="Normal"/>
    <w:semiHidden/>
    <w:pPr>
      <w:tabs>
        <w:tab w:val="right" w:leader="dot" w:pos="9000"/>
      </w:tabs>
      <w:spacing w:before="240" w:line="240" w:lineRule="auto"/>
      <w:ind w:left="245" w:right="1440" w:hanging="245"/>
    </w:pPr>
    <w:rPr>
      <w:color w:val="0000FF"/>
    </w:rPr>
  </w:style>
  <w:style w:type="paragraph" w:customStyle="1" w:styleId="cite">
    <w:name w:val="cite"/>
    <w:basedOn w:val="hangingunjustified"/>
    <w:pPr>
      <w:framePr w:wrap="auto" w:hAnchor="text" w:yAlign="bottom"/>
      <w:tabs>
        <w:tab w:val="clear" w:pos="8820"/>
      </w:tabs>
      <w:spacing w:before="0"/>
      <w:ind w:left="360" w:hanging="360"/>
    </w:pPr>
    <w:rPr>
      <w:color w:val="0000FF"/>
    </w:rPr>
  </w:style>
  <w:style w:type="paragraph" w:customStyle="1" w:styleId="plead-firmname">
    <w:name w:val="plead-firm name"/>
    <w:pPr>
      <w:framePr w:w="2880" w:vSpace="360" w:wrap="around" w:vAnchor="page" w:hAnchor="text" w:xAlign="right" w:yAlign="bottom"/>
      <w:spacing w:after="360"/>
      <w:jc w:val="center"/>
    </w:pPr>
    <w:rPr>
      <w:noProof/>
      <w:lang w:eastAsia="zh-CN"/>
    </w:rPr>
  </w:style>
  <w:style w:type="paragraph" w:customStyle="1" w:styleId="plead-linenums">
    <w:name w:val="plead-line nums"/>
    <w:pPr>
      <w:framePr w:w="360" w:hSpace="144" w:vSpace="144" w:wrap="around" w:vAnchor="page" w:hAnchor="page" w:x="1081" w:y="2161"/>
      <w:spacing w:line="240" w:lineRule="exact"/>
      <w:jc w:val="right"/>
    </w:pPr>
    <w:rPr>
      <w:noProof/>
      <w:color w:val="0000FF"/>
      <w:lang w:eastAsia="zh-CN"/>
    </w:rPr>
  </w:style>
  <w:style w:type="paragraph" w:customStyle="1" w:styleId="plead-leftrule">
    <w:name w:val="plead-left rule"/>
    <w:basedOn w:val="Normal"/>
    <w:pPr>
      <w:framePr w:w="144" w:wrap="around" w:vAnchor="page" w:hAnchor="page" w:x="1513" w:yAlign="top"/>
      <w:pBdr>
        <w:right w:val="double" w:sz="6" w:space="0" w:color="auto"/>
      </w:pBdr>
      <w:spacing w:after="15600" w:line="240" w:lineRule="exact"/>
      <w:ind w:firstLine="0"/>
    </w:pPr>
    <w:rPr>
      <w:color w:val="0000FF"/>
      <w:sz w:val="20"/>
    </w:rPr>
  </w:style>
  <w:style w:type="paragraph" w:customStyle="1" w:styleId="plead-rightrule">
    <w:name w:val="plead-right rule"/>
    <w:basedOn w:val="plead-leftrule"/>
    <w:pPr>
      <w:framePr w:wrap="around" w:x="11737"/>
      <w:pBdr>
        <w:left w:val="single" w:sz="6" w:space="0" w:color="auto"/>
        <w:right w:val="none" w:sz="0" w:space="0" w:color="auto"/>
      </w:pBdr>
    </w:pPr>
  </w:style>
  <w:style w:type="paragraph" w:customStyle="1" w:styleId="CaptionTitle">
    <w:name w:val="CaptionTitle"/>
    <w:basedOn w:val="Normal"/>
    <w:pPr>
      <w:keepNext/>
      <w:keepLines/>
      <w:spacing w:before="240" w:after="240" w:line="240" w:lineRule="atLeast"/>
      <w:ind w:left="720" w:right="720" w:firstLine="0"/>
      <w:jc w:val="center"/>
    </w:pPr>
  </w:style>
  <w:style w:type="paragraph" w:customStyle="1" w:styleId="title0">
    <w:name w:val="title"/>
    <w:basedOn w:val="center"/>
    <w:pPr>
      <w:keepNext/>
      <w:spacing w:after="240"/>
      <w:ind w:left="720" w:right="720"/>
    </w:pPr>
  </w:style>
  <w:style w:type="paragraph" w:styleId="TOC8">
    <w:name w:val="toc 8"/>
    <w:basedOn w:val="Normal"/>
    <w:next w:val="Normal"/>
    <w:semiHidden/>
    <w:pPr>
      <w:ind w:left="1680"/>
    </w:pPr>
    <w:rPr>
      <w:color w:val="0000FF"/>
    </w:rPr>
  </w:style>
  <w:style w:type="paragraph" w:styleId="TOC9">
    <w:name w:val="toc 9"/>
    <w:basedOn w:val="Normal"/>
    <w:next w:val="Normal"/>
    <w:semiHidden/>
    <w:pPr>
      <w:ind w:left="1920"/>
    </w:pPr>
    <w:rPr>
      <w:color w:val="0000FF"/>
    </w:rPr>
  </w:style>
  <w:style w:type="paragraph" w:customStyle="1" w:styleId="nest">
    <w:name w:val="nest"/>
    <w:basedOn w:val="NormalIndent"/>
    <w:pPr>
      <w:spacing w:line="240" w:lineRule="auto"/>
      <w:ind w:left="720" w:firstLine="720"/>
    </w:pPr>
  </w:style>
  <w:style w:type="paragraph" w:customStyle="1" w:styleId="normalhanging">
    <w:name w:val="normal hanging"/>
    <w:basedOn w:val="Normal"/>
    <w:pPr>
      <w:spacing w:before="240" w:line="240" w:lineRule="atLeast"/>
      <w:ind w:left="720" w:hanging="720"/>
    </w:pPr>
  </w:style>
  <w:style w:type="paragraph" w:customStyle="1" w:styleId="answer">
    <w:name w:val="answer"/>
    <w:basedOn w:val="Normal"/>
    <w:next w:val="Normal"/>
    <w:pPr>
      <w:spacing w:before="240"/>
      <w:ind w:left="720" w:hanging="720"/>
    </w:pPr>
  </w:style>
  <w:style w:type="paragraph" w:styleId="BodyTextIndent">
    <w:name w:val="Body Text Indent"/>
    <w:basedOn w:val="Normal"/>
    <w:pPr>
      <w:spacing w:before="240" w:line="240" w:lineRule="atLeast"/>
    </w:pPr>
    <w:rPr>
      <w:i/>
    </w:rPr>
  </w:style>
  <w:style w:type="paragraph" w:styleId="BodyText">
    <w:name w:val="Body Text"/>
    <w:basedOn w:val="Normal"/>
    <w:rsid w:val="001100C0"/>
    <w:pPr>
      <w:spacing w:line="240" w:lineRule="auto"/>
      <w:ind w:firstLine="0"/>
    </w:pPr>
    <w:rPr>
      <w:sz w:val="24"/>
      <w:lang w:eastAsia="en-US"/>
    </w:rPr>
  </w:style>
  <w:style w:type="character" w:styleId="EndnoteReference">
    <w:name w:val="endnote reference"/>
    <w:basedOn w:val="DefaultParagraphFont"/>
    <w:semiHidden/>
    <w:rsid w:val="001100C0"/>
    <w:rPr>
      <w:vertAlign w:val="superscript"/>
    </w:rPr>
  </w:style>
  <w:style w:type="character" w:styleId="Hyperlink">
    <w:name w:val="Hyperlink"/>
    <w:basedOn w:val="DefaultParagraphFont"/>
    <w:rsid w:val="00FD2466"/>
    <w:rPr>
      <w:color w:val="0000FF"/>
      <w:u w:val="single"/>
    </w:rPr>
  </w:style>
  <w:style w:type="paragraph" w:styleId="BalloonText">
    <w:name w:val="Balloon Text"/>
    <w:basedOn w:val="Normal"/>
    <w:semiHidden/>
    <w:rsid w:val="00264B32"/>
    <w:rPr>
      <w:rFonts w:ascii="Tahoma" w:hAnsi="Tahoma" w:cs="Tahoma"/>
      <w:sz w:val="16"/>
      <w:szCs w:val="16"/>
    </w:rPr>
  </w:style>
  <w:style w:type="paragraph" w:styleId="CommentSubject">
    <w:name w:val="annotation subject"/>
    <w:basedOn w:val="CommentText"/>
    <w:next w:val="CommentText"/>
    <w:semiHidden/>
    <w:rsid w:val="003A20A6"/>
    <w:pPr>
      <w:spacing w:before="0" w:line="480" w:lineRule="atLeast"/>
    </w:pPr>
    <w:rPr>
      <w:b/>
      <w:bCs/>
      <w:sz w:val="20"/>
    </w:rPr>
  </w:style>
  <w:style w:type="character" w:styleId="PageNumber">
    <w:name w:val="page number"/>
    <w:basedOn w:val="DefaultParagraphFont"/>
    <w:rsid w:val="002246A2"/>
  </w:style>
  <w:style w:type="paragraph" w:styleId="Revision">
    <w:name w:val="Revision"/>
    <w:hidden/>
    <w:uiPriority w:val="99"/>
    <w:semiHidden/>
    <w:rsid w:val="00DF0061"/>
    <w:rPr>
      <w:rFonts w:ascii="Times New Roman" w:hAnsi="Times New Roman"/>
      <w:sz w:val="26"/>
      <w:lang w:eastAsia="zh-CN"/>
    </w:rPr>
  </w:style>
  <w:style w:type="paragraph" w:styleId="NormalWeb">
    <w:name w:val="Normal (Web)"/>
    <w:basedOn w:val="Normal"/>
    <w:uiPriority w:val="99"/>
    <w:unhideWhenUsed/>
    <w:rsid w:val="009551AA"/>
    <w:pPr>
      <w:spacing w:before="100" w:beforeAutospacing="1" w:after="100" w:afterAutospacing="1" w:line="240" w:lineRule="auto"/>
      <w:ind w:firstLine="0"/>
    </w:pPr>
    <w:rPr>
      <w:rFonts w:eastAsia="Calibri"/>
      <w:sz w:val="24"/>
      <w:szCs w:val="24"/>
      <w:lang w:eastAsia="en-US"/>
    </w:rPr>
  </w:style>
  <w:style w:type="paragraph" w:styleId="BodyText3">
    <w:name w:val="Body Text 3"/>
    <w:basedOn w:val="Normal"/>
    <w:link w:val="BodyText3Char"/>
    <w:rsid w:val="00585CDD"/>
    <w:pPr>
      <w:spacing w:after="120"/>
    </w:pPr>
    <w:rPr>
      <w:sz w:val="16"/>
      <w:szCs w:val="16"/>
    </w:rPr>
  </w:style>
  <w:style w:type="character" w:customStyle="1" w:styleId="BodyText3Char">
    <w:name w:val="Body Text 3 Char"/>
    <w:basedOn w:val="DefaultParagraphFont"/>
    <w:link w:val="BodyText3"/>
    <w:rsid w:val="00585CDD"/>
    <w:rPr>
      <w:sz w:val="16"/>
      <w:szCs w:val="16"/>
      <w:lang w:val="en-US" w:eastAsia="zh-CN" w:bidi="ar-SA"/>
    </w:rPr>
  </w:style>
</w:styles>
</file>

<file path=word/webSettings.xml><?xml version="1.0" encoding="utf-8"?>
<w:webSettings xmlns:r="http://schemas.openxmlformats.org/officeDocument/2006/relationships" xmlns:w="http://schemas.openxmlformats.org/wordprocessingml/2006/main">
  <w:divs>
    <w:div w:id="270623437">
      <w:bodyDiv w:val="1"/>
      <w:marLeft w:val="0"/>
      <w:marRight w:val="0"/>
      <w:marTop w:val="0"/>
      <w:marBottom w:val="0"/>
      <w:divBdr>
        <w:top w:val="none" w:sz="0" w:space="0" w:color="auto"/>
        <w:left w:val="none" w:sz="0" w:space="0" w:color="auto"/>
        <w:bottom w:val="none" w:sz="0" w:space="0" w:color="auto"/>
        <w:right w:val="none" w:sz="0" w:space="0" w:color="auto"/>
      </w:divBdr>
    </w:div>
    <w:div w:id="375354969">
      <w:bodyDiv w:val="1"/>
      <w:marLeft w:val="0"/>
      <w:marRight w:val="0"/>
      <w:marTop w:val="0"/>
      <w:marBottom w:val="0"/>
      <w:divBdr>
        <w:top w:val="none" w:sz="0" w:space="0" w:color="auto"/>
        <w:left w:val="none" w:sz="0" w:space="0" w:color="auto"/>
        <w:bottom w:val="none" w:sz="0" w:space="0" w:color="auto"/>
        <w:right w:val="none" w:sz="0" w:space="0" w:color="auto"/>
      </w:divBdr>
    </w:div>
    <w:div w:id="452093452">
      <w:bodyDiv w:val="1"/>
      <w:marLeft w:val="0"/>
      <w:marRight w:val="0"/>
      <w:marTop w:val="0"/>
      <w:marBottom w:val="0"/>
      <w:divBdr>
        <w:top w:val="none" w:sz="0" w:space="0" w:color="auto"/>
        <w:left w:val="none" w:sz="0" w:space="0" w:color="auto"/>
        <w:bottom w:val="none" w:sz="0" w:space="0" w:color="auto"/>
        <w:right w:val="none" w:sz="0" w:space="0" w:color="auto"/>
      </w:divBdr>
    </w:div>
    <w:div w:id="788285702">
      <w:bodyDiv w:val="1"/>
      <w:marLeft w:val="0"/>
      <w:marRight w:val="0"/>
      <w:marTop w:val="0"/>
      <w:marBottom w:val="0"/>
      <w:divBdr>
        <w:top w:val="none" w:sz="0" w:space="0" w:color="auto"/>
        <w:left w:val="none" w:sz="0" w:space="0" w:color="auto"/>
        <w:bottom w:val="none" w:sz="0" w:space="0" w:color="auto"/>
        <w:right w:val="none" w:sz="0" w:space="0" w:color="auto"/>
      </w:divBdr>
    </w:div>
    <w:div w:id="971131420">
      <w:bodyDiv w:val="1"/>
      <w:marLeft w:val="0"/>
      <w:marRight w:val="0"/>
      <w:marTop w:val="0"/>
      <w:marBottom w:val="0"/>
      <w:divBdr>
        <w:top w:val="none" w:sz="0" w:space="0" w:color="auto"/>
        <w:left w:val="none" w:sz="0" w:space="0" w:color="auto"/>
        <w:bottom w:val="none" w:sz="0" w:space="0" w:color="auto"/>
        <w:right w:val="none" w:sz="0" w:space="0" w:color="auto"/>
      </w:divBdr>
    </w:div>
    <w:div w:id="995956881">
      <w:bodyDiv w:val="1"/>
      <w:marLeft w:val="0"/>
      <w:marRight w:val="0"/>
      <w:marTop w:val="0"/>
      <w:marBottom w:val="0"/>
      <w:divBdr>
        <w:top w:val="none" w:sz="0" w:space="0" w:color="auto"/>
        <w:left w:val="none" w:sz="0" w:space="0" w:color="auto"/>
        <w:bottom w:val="none" w:sz="0" w:space="0" w:color="auto"/>
        <w:right w:val="none" w:sz="0" w:space="0" w:color="auto"/>
      </w:divBdr>
    </w:div>
    <w:div w:id="1262643319">
      <w:bodyDiv w:val="1"/>
      <w:marLeft w:val="0"/>
      <w:marRight w:val="0"/>
      <w:marTop w:val="0"/>
      <w:marBottom w:val="0"/>
      <w:divBdr>
        <w:top w:val="none" w:sz="0" w:space="0" w:color="auto"/>
        <w:left w:val="none" w:sz="0" w:space="0" w:color="auto"/>
        <w:bottom w:val="none" w:sz="0" w:space="0" w:color="auto"/>
        <w:right w:val="none" w:sz="0" w:space="0" w:color="auto"/>
      </w:divBdr>
    </w:div>
    <w:div w:id="140826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transmission.bpa.gov/customer_forums/open_season/docs/Decision_Letter_02_16_2009.pdf" TargetMode="External"/><Relationship Id="rId2" Type="http://schemas.openxmlformats.org/officeDocument/2006/relationships/hyperlink" Target="http://www.transmission.bpa.gov/customer_forums/open_season/docs/Attachment_A_-_Rationale_of_Rate_Treatment.pdf" TargetMode="External"/><Relationship Id="rId1" Type="http://schemas.openxmlformats.org/officeDocument/2006/relationships/hyperlink" Target="http://www.efw.bpa.gov/environmental_services/Document_Library/Central_Ferry_Substation_Project/CFS_LowerSnakeRiverWindEnergyROD.pdf" TargetMode="External"/><Relationship Id="rId4" Type="http://schemas.openxmlformats.org/officeDocument/2006/relationships/hyperlink" Target="http://www.transmission.bpa.gov/customer_forums/open_season/docs/2008_NOS_Project_Descriptions_AttachC_updated_Oct200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C-WA_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11A4FC16714A4E8C9FCEAD0E510362" ma:contentTypeVersion="123" ma:contentTypeDescription="" ma:contentTypeScope="" ma:versionID="c88d4b9012943c9b0082ee6feab791c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2010-05-20T07:00:00+00:00</OpenedDate>
    <Date1 xmlns="dc463f71-b30c-4ab2-9473-d307f9d35888">2010-05-20T07:00:00+00:00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100882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F88FDB2-B64E-43B8-80AC-7A80404252C3}"/>
</file>

<file path=customXml/itemProps2.xml><?xml version="1.0" encoding="utf-8"?>
<ds:datastoreItem xmlns:ds="http://schemas.openxmlformats.org/officeDocument/2006/customXml" ds:itemID="{04D6BB2C-AB9E-4281-8C0D-63C2F4C61D70}"/>
</file>

<file path=customXml/itemProps3.xml><?xml version="1.0" encoding="utf-8"?>
<ds:datastoreItem xmlns:ds="http://schemas.openxmlformats.org/officeDocument/2006/customXml" ds:itemID="{7968FD63-B457-43FD-B379-33C1EDAD9DD2}"/>
</file>

<file path=customXml/itemProps4.xml><?xml version="1.0" encoding="utf-8"?>
<ds:datastoreItem xmlns:ds="http://schemas.openxmlformats.org/officeDocument/2006/customXml" ds:itemID="{F1AEFCA0-7230-483A-94EE-66D9B597C1D9}"/>
</file>

<file path=docProps/app.xml><?xml version="1.0" encoding="utf-8"?>
<Properties xmlns="http://schemas.openxmlformats.org/officeDocument/2006/extended-properties" xmlns:vt="http://schemas.openxmlformats.org/officeDocument/2006/docPropsVTypes">
  <Template>PC-WA_T.DOT</Template>
  <TotalTime>0</TotalTime>
  <Pages>13</Pages>
  <Words>2643</Words>
  <Characters>15071</Characters>
  <Application>Microsoft Office Word</Application>
  <DocSecurity>4</DocSecurity>
  <PresentationFormat/>
  <Lines>125</Lines>
  <Paragraphs>35</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17679</CharactersWithSpaces>
  <SharedDoc>false</SharedDoc>
  <HLinks>
    <vt:vector size="24" baseType="variant">
      <vt:variant>
        <vt:i4>5111834</vt:i4>
      </vt:variant>
      <vt:variant>
        <vt:i4>9</vt:i4>
      </vt:variant>
      <vt:variant>
        <vt:i4>0</vt:i4>
      </vt:variant>
      <vt:variant>
        <vt:i4>5</vt:i4>
      </vt:variant>
      <vt:variant>
        <vt:lpwstr>http://www.transmission.bpa.gov/customer_forums/open_season/docs/2008_NOS_Project_Descriptions_AttachC_updated_Oct2009.pdf</vt:lpwstr>
      </vt:variant>
      <vt:variant>
        <vt:lpwstr/>
      </vt:variant>
      <vt:variant>
        <vt:i4>2490466</vt:i4>
      </vt:variant>
      <vt:variant>
        <vt:i4>6</vt:i4>
      </vt:variant>
      <vt:variant>
        <vt:i4>0</vt:i4>
      </vt:variant>
      <vt:variant>
        <vt:i4>5</vt:i4>
      </vt:variant>
      <vt:variant>
        <vt:lpwstr>http://www.transmission.bpa.gov/customer_forums/open_season/docs/Decision_Letter_02_16_2009.pdf</vt:lpwstr>
      </vt:variant>
      <vt:variant>
        <vt:lpwstr/>
      </vt:variant>
      <vt:variant>
        <vt:i4>655379</vt:i4>
      </vt:variant>
      <vt:variant>
        <vt:i4>3</vt:i4>
      </vt:variant>
      <vt:variant>
        <vt:i4>0</vt:i4>
      </vt:variant>
      <vt:variant>
        <vt:i4>5</vt:i4>
      </vt:variant>
      <vt:variant>
        <vt:lpwstr>http://www.transmission.bpa.gov/customer_forums/open_season/docs/Attachment_A_-_Rationale_of_Rate_Treatment.pdf</vt:lpwstr>
      </vt:variant>
      <vt:variant>
        <vt:lpwstr/>
      </vt:variant>
      <vt:variant>
        <vt:i4>5963779</vt:i4>
      </vt:variant>
      <vt:variant>
        <vt:i4>0</vt:i4>
      </vt:variant>
      <vt:variant>
        <vt:i4>0</vt:i4>
      </vt:variant>
      <vt:variant>
        <vt:i4>5</vt:i4>
      </vt:variant>
      <vt:variant>
        <vt:lpwstr>http://www.efw.bpa.gov/environmental_services/Document_Library/Central_Ferry_Substation_Project/CFS_LowerSnakeRiverWindEnergyROD.pdf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Catherine Hudspeth</cp:lastModifiedBy>
  <cp:revision>2</cp:revision>
  <dcterms:created xsi:type="dcterms:W3CDTF">2010-05-24T20:30:00Z</dcterms:created>
  <dcterms:modified xsi:type="dcterms:W3CDTF">2010-05-24T20:30:00Z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gFAAvvm1OVlBaXHg+26G8BX3bBYIkmqhcfiDPeu9dCTwQKn6LE1FAPmnXvsVB5zasEW4BjCUOVtegNkk_x000d_
XGedJwDX9r5yuhDD5pmpBGrEhRCAnneX8Nh6liSKhE4WFmPT6FFX/hMxekj/EvIkXGedJwDX9r5y_x000d_
uhDD5pmpBGrEhRCAnneX8Nh6liSKhGXoUHBdygeeLtvIKG5d+4j2nB5mEVhiw3NOVkctNSpgswn3_x000d_
YFtjE3zuR2hQUNbbh</vt:lpwstr>
  </property>
  <property fmtid="{D5CDD505-2E9C-101B-9397-08002B2CF9AE}" pid="3" name="MAIL_MSG_ID2">
    <vt:lpwstr>9WBYfRbMLfKzYEjgWzBHRvMgjUIGgIUOzYxFhKivHxiffi+UsVy03R3feIx_x000d_
FOUFgVNETFiPzU4Wq68ib+bALrlGfQIcDKUpFg==</vt:lpwstr>
  </property>
  <property fmtid="{D5CDD505-2E9C-101B-9397-08002B2CF9AE}" pid="4" name="RESPONSE_SENDER_NAME">
    <vt:lpwstr>sAAAE34RQVAK31lTn0xU5/8WswmKPLlgAOtwNnucCEeEN4I=</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0x0101006E56B4D1795A2E4DB2F0B01679ED314A00D311A4FC16714A4E8C9FCEAD0E510362</vt:lpwstr>
  </property>
  <property fmtid="{D5CDD505-2E9C-101B-9397-08002B2CF9AE}" pid="7" name="_docset_NoMedatataSyncRequired">
    <vt:lpwstr>False</vt:lpwstr>
  </property>
</Properties>
</file>