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2C10">
      <w:pPr>
        <w:pStyle w:val="Header"/>
        <w:tabs>
          <w:tab w:val="clear" w:pos="8640"/>
          <w:tab w:val="right" w:pos="10440"/>
        </w:tabs>
      </w:pPr>
      <w:r>
        <w:t>Tariff No. 8</w:t>
      </w:r>
      <w:r>
        <w:tab/>
      </w:r>
      <w:r>
        <w:tab/>
        <w:t>0 Revised Page No. 33</w:t>
      </w:r>
    </w:p>
    <w:p w:rsidR="00000000" w:rsidRDefault="00532C10">
      <w:pPr>
        <w:pStyle w:val="Header"/>
        <w:tabs>
          <w:tab w:val="clear" w:pos="8640"/>
          <w:tab w:val="right" w:pos="10440"/>
        </w:tabs>
      </w:pPr>
    </w:p>
    <w:p w:rsidR="00000000" w:rsidRDefault="00532C10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 xml:space="preserve">Company Name/Permit Number: Harold </w:t>
      </w:r>
      <w:proofErr w:type="gramStart"/>
      <w:r>
        <w:t>LeMay Enterprises, Inc.</w:t>
      </w:r>
      <w:proofErr w:type="gramEnd"/>
      <w:r>
        <w:t xml:space="preserve">  G-98</w:t>
      </w:r>
    </w:p>
    <w:p w:rsidR="00000000" w:rsidRDefault="00532C10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>Registered Trade Name: Pacific Disposal and Butlers Cove Refuse Service</w:t>
      </w:r>
    </w:p>
    <w:p w:rsidR="00000000" w:rsidRDefault="00532C10">
      <w:pPr>
        <w:pStyle w:val="Heading1"/>
      </w:pPr>
    </w:p>
    <w:p w:rsidR="00000000" w:rsidRDefault="00532C10">
      <w:pPr>
        <w:pStyle w:val="Heading1"/>
      </w:pPr>
      <w:r>
        <w:t>Item 245 – Container Service – Dumped in Company's Vehicle</w:t>
      </w:r>
    </w:p>
    <w:p w:rsidR="00000000" w:rsidRDefault="00532C10">
      <w:pPr>
        <w:jc w:val="center"/>
      </w:pPr>
      <w:r>
        <w:t>Non-Compacted Material</w:t>
      </w:r>
      <w:r>
        <w:t xml:space="preserve"> (Customer-owned container)</w:t>
      </w:r>
    </w:p>
    <w:p w:rsidR="00000000" w:rsidRDefault="00532C10">
      <w:pPr>
        <w:jc w:val="center"/>
      </w:pPr>
      <w:r>
        <w:t xml:space="preserve">Includes Commercial Can Service </w:t>
      </w:r>
    </w:p>
    <w:p w:rsidR="00000000" w:rsidRDefault="00532C10">
      <w:pPr>
        <w:jc w:val="center"/>
      </w:pPr>
      <w:r>
        <w:t>Rates stated per container, per pickup</w:t>
      </w:r>
    </w:p>
    <w:p w:rsidR="00000000" w:rsidRDefault="00532C10">
      <w:pPr>
        <w:jc w:val="center"/>
      </w:pPr>
    </w:p>
    <w:p w:rsidR="00000000" w:rsidRDefault="00532C10">
      <w:r>
        <w:t>Service Area:  See Appendix A</w:t>
      </w:r>
    </w:p>
    <w:p w:rsidR="00000000" w:rsidRDefault="00532C10">
      <w:pPr>
        <w:jc w:val="center"/>
      </w:pPr>
    </w:p>
    <w:tbl>
      <w:tblPr>
        <w:tblpPr w:leftFromText="180" w:rightFromText="180" w:vertAnchor="text" w:tblpY="1"/>
        <w:tblOverlap w:val="never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6"/>
        <w:gridCol w:w="1363"/>
        <w:gridCol w:w="1289"/>
        <w:gridCol w:w="180"/>
        <w:gridCol w:w="900"/>
        <w:gridCol w:w="360"/>
        <w:gridCol w:w="540"/>
        <w:gridCol w:w="720"/>
        <w:gridCol w:w="505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6" w:type="dxa"/>
            <w:vMerge w:val="restart"/>
          </w:tcPr>
          <w:p w:rsidR="00000000" w:rsidRDefault="00532C10"/>
          <w:p w:rsidR="00000000" w:rsidRDefault="00532C10">
            <w:r>
              <w:t>Permanent Service</w:t>
            </w:r>
          </w:p>
        </w:tc>
        <w:tc>
          <w:tcPr>
            <w:tcW w:w="7117" w:type="dxa"/>
            <w:gridSpan w:val="9"/>
          </w:tcPr>
          <w:p w:rsidR="00000000" w:rsidRDefault="00532C10">
            <w:pPr>
              <w:jc w:val="center"/>
            </w:pPr>
            <w:r>
              <w:t xml:space="preserve"> Size or Type of Container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216" w:type="dxa"/>
            <w:vMerge/>
          </w:tcPr>
          <w:p w:rsidR="00000000" w:rsidRDefault="00532C10"/>
        </w:tc>
        <w:tc>
          <w:tcPr>
            <w:tcW w:w="1363" w:type="dxa"/>
          </w:tcPr>
          <w:p w:rsidR="00000000" w:rsidRDefault="00532C10">
            <w:pPr>
              <w:jc w:val="center"/>
            </w:pPr>
            <w:r>
              <w:t xml:space="preserve">32-gallon </w:t>
            </w:r>
          </w:p>
          <w:p w:rsidR="00000000" w:rsidRDefault="00532C10">
            <w:pPr>
              <w:jc w:val="center"/>
            </w:pPr>
            <w:r>
              <w:t>can or unit</w:t>
            </w:r>
          </w:p>
        </w:tc>
        <w:tc>
          <w:tcPr>
            <w:tcW w:w="1469" w:type="dxa"/>
            <w:gridSpan w:val="2"/>
          </w:tcPr>
          <w:p w:rsidR="00000000" w:rsidRDefault="00532C1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35 Gal. </w:t>
            </w:r>
          </w:p>
          <w:p w:rsidR="00000000" w:rsidRDefault="00532C1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Toter</w:t>
            </w:r>
          </w:p>
        </w:tc>
        <w:tc>
          <w:tcPr>
            <w:tcW w:w="1260" w:type="dxa"/>
            <w:gridSpan w:val="2"/>
          </w:tcPr>
          <w:p w:rsidR="00000000" w:rsidRDefault="00532C10">
            <w:pPr>
              <w:jc w:val="center"/>
            </w:pPr>
            <w:r>
              <w:t>65 Gal</w:t>
            </w:r>
          </w:p>
          <w:p w:rsidR="00000000" w:rsidRDefault="00532C10">
            <w:pPr>
              <w:jc w:val="center"/>
            </w:pPr>
            <w:r>
              <w:t>Toter</w:t>
            </w:r>
          </w:p>
        </w:tc>
        <w:tc>
          <w:tcPr>
            <w:tcW w:w="1260" w:type="dxa"/>
            <w:gridSpan w:val="2"/>
          </w:tcPr>
          <w:p w:rsidR="00000000" w:rsidRDefault="00532C10">
            <w:pPr>
              <w:jc w:val="center"/>
            </w:pPr>
            <w:r>
              <w:t>95Yard</w:t>
            </w:r>
          </w:p>
          <w:p w:rsidR="00000000" w:rsidRDefault="00532C10">
            <w:pPr>
              <w:jc w:val="center"/>
            </w:pPr>
            <w:r>
              <w:t>Toter</w:t>
            </w:r>
          </w:p>
        </w:tc>
        <w:tc>
          <w:tcPr>
            <w:tcW w:w="505" w:type="dxa"/>
          </w:tcPr>
          <w:p w:rsidR="00000000" w:rsidRDefault="00532C10">
            <w:pPr>
              <w:jc w:val="center"/>
            </w:pPr>
          </w:p>
        </w:tc>
        <w:tc>
          <w:tcPr>
            <w:tcW w:w="1260" w:type="dxa"/>
          </w:tcPr>
          <w:p w:rsidR="00000000" w:rsidRDefault="00532C1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6" w:type="dxa"/>
          </w:tcPr>
          <w:p w:rsidR="00000000" w:rsidRDefault="00532C10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First Fiv</w:t>
            </w:r>
            <w:r>
              <w:rPr>
                <w:b w:val="0"/>
                <w:bCs w:val="0"/>
                <w:sz w:val="24"/>
              </w:rPr>
              <w:t>e grouped together</w:t>
            </w:r>
          </w:p>
        </w:tc>
        <w:tc>
          <w:tcPr>
            <w:tcW w:w="1363" w:type="dxa"/>
          </w:tcPr>
          <w:p w:rsidR="00000000" w:rsidRDefault="00532C10">
            <w:r>
              <w:t>$   2.05 (A)</w:t>
            </w:r>
          </w:p>
        </w:tc>
        <w:tc>
          <w:tcPr>
            <w:tcW w:w="1469" w:type="dxa"/>
            <w:gridSpan w:val="2"/>
          </w:tcPr>
          <w:p w:rsidR="00000000" w:rsidRDefault="00532C10">
            <w:r>
              <w:t xml:space="preserve">$   2.43 (A) </w:t>
            </w:r>
          </w:p>
        </w:tc>
        <w:tc>
          <w:tcPr>
            <w:tcW w:w="1260" w:type="dxa"/>
            <w:gridSpan w:val="2"/>
          </w:tcPr>
          <w:p w:rsidR="00000000" w:rsidRDefault="00532C10">
            <w:r>
              <w:t xml:space="preserve">$ 4.06 (A) </w:t>
            </w:r>
          </w:p>
        </w:tc>
        <w:tc>
          <w:tcPr>
            <w:tcW w:w="1260" w:type="dxa"/>
            <w:gridSpan w:val="2"/>
          </w:tcPr>
          <w:p w:rsidR="00000000" w:rsidRDefault="00532C10">
            <w:r>
              <w:t xml:space="preserve">$ 5.37 (A) </w:t>
            </w:r>
          </w:p>
        </w:tc>
        <w:tc>
          <w:tcPr>
            <w:tcW w:w="505" w:type="dxa"/>
          </w:tcPr>
          <w:p w:rsidR="00000000" w:rsidRDefault="00532C10"/>
        </w:tc>
        <w:tc>
          <w:tcPr>
            <w:tcW w:w="1260" w:type="dxa"/>
          </w:tcPr>
          <w:p w:rsidR="00000000" w:rsidRDefault="00532C10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6" w:type="dxa"/>
          </w:tcPr>
          <w:p w:rsidR="00000000" w:rsidRDefault="00532C10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Over 5 units grouped together</w:t>
            </w:r>
          </w:p>
        </w:tc>
        <w:tc>
          <w:tcPr>
            <w:tcW w:w="1363" w:type="dxa"/>
          </w:tcPr>
          <w:p w:rsidR="00000000" w:rsidRDefault="00532C10">
            <w:r>
              <w:t>$   1.85 (A)</w:t>
            </w:r>
          </w:p>
        </w:tc>
        <w:tc>
          <w:tcPr>
            <w:tcW w:w="1469" w:type="dxa"/>
            <w:gridSpan w:val="2"/>
          </w:tcPr>
          <w:p w:rsidR="00000000" w:rsidRDefault="00532C10">
            <w:r>
              <w:t>$   2.43 (A)</w:t>
            </w:r>
          </w:p>
        </w:tc>
        <w:tc>
          <w:tcPr>
            <w:tcW w:w="1260" w:type="dxa"/>
            <w:gridSpan w:val="2"/>
          </w:tcPr>
          <w:p w:rsidR="00000000" w:rsidRDefault="00532C10">
            <w:r>
              <w:t>$ 4.06 (A)</w:t>
            </w:r>
          </w:p>
        </w:tc>
        <w:tc>
          <w:tcPr>
            <w:tcW w:w="1260" w:type="dxa"/>
            <w:gridSpan w:val="2"/>
          </w:tcPr>
          <w:p w:rsidR="00000000" w:rsidRDefault="00532C10">
            <w:r>
              <w:t>$ 5.37 (A)</w:t>
            </w:r>
          </w:p>
        </w:tc>
        <w:tc>
          <w:tcPr>
            <w:tcW w:w="505" w:type="dxa"/>
          </w:tcPr>
          <w:p w:rsidR="00000000" w:rsidRDefault="00532C10"/>
        </w:tc>
        <w:tc>
          <w:tcPr>
            <w:tcW w:w="1260" w:type="dxa"/>
          </w:tcPr>
          <w:p w:rsidR="00000000" w:rsidRDefault="00532C10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6" w:type="dxa"/>
          </w:tcPr>
          <w:p w:rsidR="00000000" w:rsidRDefault="00532C10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Single cans not grouped</w:t>
            </w:r>
          </w:p>
        </w:tc>
        <w:tc>
          <w:tcPr>
            <w:tcW w:w="1363" w:type="dxa"/>
          </w:tcPr>
          <w:p w:rsidR="00000000" w:rsidRDefault="00532C10">
            <w:r>
              <w:t>$   2.05 (A)</w:t>
            </w:r>
          </w:p>
        </w:tc>
        <w:tc>
          <w:tcPr>
            <w:tcW w:w="1469" w:type="dxa"/>
            <w:gridSpan w:val="2"/>
          </w:tcPr>
          <w:p w:rsidR="00000000" w:rsidRDefault="00532C10">
            <w:r>
              <w:t xml:space="preserve">$   2.43 (A) </w:t>
            </w:r>
          </w:p>
        </w:tc>
        <w:tc>
          <w:tcPr>
            <w:tcW w:w="1260" w:type="dxa"/>
            <w:gridSpan w:val="2"/>
          </w:tcPr>
          <w:p w:rsidR="00000000" w:rsidRDefault="00532C10">
            <w:r>
              <w:t xml:space="preserve">$ 4.06(A) </w:t>
            </w:r>
          </w:p>
        </w:tc>
        <w:tc>
          <w:tcPr>
            <w:tcW w:w="1260" w:type="dxa"/>
            <w:gridSpan w:val="2"/>
          </w:tcPr>
          <w:p w:rsidR="00000000" w:rsidRDefault="00532C10">
            <w:r>
              <w:t>$ 5.37 (A)</w:t>
            </w:r>
          </w:p>
        </w:tc>
        <w:tc>
          <w:tcPr>
            <w:tcW w:w="505" w:type="dxa"/>
          </w:tcPr>
          <w:p w:rsidR="00000000" w:rsidRDefault="00532C10"/>
        </w:tc>
        <w:tc>
          <w:tcPr>
            <w:tcW w:w="1260" w:type="dxa"/>
          </w:tcPr>
          <w:p w:rsidR="00000000" w:rsidRDefault="00532C10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6" w:type="dxa"/>
          </w:tcPr>
          <w:p w:rsidR="00000000" w:rsidRDefault="00532C10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Minimum Monthly Charge</w:t>
            </w:r>
          </w:p>
        </w:tc>
        <w:tc>
          <w:tcPr>
            <w:tcW w:w="1363" w:type="dxa"/>
          </w:tcPr>
          <w:p w:rsidR="00000000" w:rsidRDefault="00532C10">
            <w:r>
              <w:t>$ 1</w:t>
            </w:r>
            <w:r>
              <w:t>1.65 (A)</w:t>
            </w:r>
          </w:p>
        </w:tc>
        <w:tc>
          <w:tcPr>
            <w:tcW w:w="1469" w:type="dxa"/>
            <w:gridSpan w:val="2"/>
          </w:tcPr>
          <w:p w:rsidR="00000000" w:rsidRDefault="00532C10">
            <w:r>
              <w:t xml:space="preserve">$ 11.78(A) </w:t>
            </w:r>
          </w:p>
        </w:tc>
        <w:tc>
          <w:tcPr>
            <w:tcW w:w="1260" w:type="dxa"/>
            <w:gridSpan w:val="2"/>
          </w:tcPr>
          <w:p w:rsidR="00000000" w:rsidRDefault="00532C10">
            <w:r>
              <w:t>$</w:t>
            </w:r>
          </w:p>
        </w:tc>
        <w:tc>
          <w:tcPr>
            <w:tcW w:w="1260" w:type="dxa"/>
            <w:gridSpan w:val="2"/>
          </w:tcPr>
          <w:p w:rsidR="00000000" w:rsidRDefault="00532C10">
            <w:r>
              <w:t>$</w:t>
            </w:r>
          </w:p>
        </w:tc>
        <w:tc>
          <w:tcPr>
            <w:tcW w:w="505" w:type="dxa"/>
          </w:tcPr>
          <w:p w:rsidR="00000000" w:rsidRDefault="00532C10"/>
        </w:tc>
        <w:tc>
          <w:tcPr>
            <w:tcW w:w="1260" w:type="dxa"/>
          </w:tcPr>
          <w:p w:rsidR="00000000" w:rsidRDefault="00532C10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10333" w:type="dxa"/>
            <w:gridSpan w:val="10"/>
          </w:tcPr>
          <w:p w:rsidR="00000000" w:rsidRDefault="00532C10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6" w:type="dxa"/>
          </w:tcPr>
          <w:p w:rsidR="00000000" w:rsidRDefault="00532C10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Special Pickups</w:t>
            </w:r>
          </w:p>
        </w:tc>
        <w:tc>
          <w:tcPr>
            <w:tcW w:w="7117" w:type="dxa"/>
            <w:gridSpan w:val="9"/>
          </w:tcPr>
          <w:p w:rsidR="00000000" w:rsidRDefault="00532C1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6" w:type="dxa"/>
          </w:tcPr>
          <w:p w:rsidR="00000000" w:rsidRDefault="00532C10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First</w:t>
            </w:r>
          </w:p>
        </w:tc>
        <w:tc>
          <w:tcPr>
            <w:tcW w:w="1363" w:type="dxa"/>
          </w:tcPr>
          <w:p w:rsidR="00000000" w:rsidRDefault="00532C10">
            <w:r>
              <w:t xml:space="preserve">$ 11.05 (A) </w:t>
            </w:r>
          </w:p>
        </w:tc>
        <w:tc>
          <w:tcPr>
            <w:tcW w:w="1289" w:type="dxa"/>
          </w:tcPr>
          <w:p w:rsidR="00000000" w:rsidRDefault="00532C10">
            <w:r>
              <w:t>$</w:t>
            </w:r>
          </w:p>
        </w:tc>
        <w:tc>
          <w:tcPr>
            <w:tcW w:w="1080" w:type="dxa"/>
            <w:gridSpan w:val="2"/>
          </w:tcPr>
          <w:p w:rsidR="00000000" w:rsidRDefault="00532C10">
            <w:r>
              <w:t>$</w:t>
            </w:r>
          </w:p>
        </w:tc>
        <w:tc>
          <w:tcPr>
            <w:tcW w:w="900" w:type="dxa"/>
            <w:gridSpan w:val="2"/>
          </w:tcPr>
          <w:p w:rsidR="00000000" w:rsidRDefault="00532C10">
            <w:r>
              <w:t>$</w:t>
            </w:r>
          </w:p>
        </w:tc>
        <w:tc>
          <w:tcPr>
            <w:tcW w:w="1225" w:type="dxa"/>
            <w:gridSpan w:val="2"/>
          </w:tcPr>
          <w:p w:rsidR="00000000" w:rsidRDefault="00532C10">
            <w:r>
              <w:t>$</w:t>
            </w:r>
          </w:p>
        </w:tc>
        <w:tc>
          <w:tcPr>
            <w:tcW w:w="1260" w:type="dxa"/>
          </w:tcPr>
          <w:p w:rsidR="00000000" w:rsidRDefault="00532C10">
            <w:r>
              <w:t>$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6" w:type="dxa"/>
          </w:tcPr>
          <w:p w:rsidR="00000000" w:rsidRDefault="00532C10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Each Additional</w:t>
            </w:r>
          </w:p>
        </w:tc>
        <w:tc>
          <w:tcPr>
            <w:tcW w:w="1363" w:type="dxa"/>
          </w:tcPr>
          <w:p w:rsidR="00000000" w:rsidRDefault="00532C10">
            <w:r>
              <w:t>$   3.15 (A)</w:t>
            </w:r>
          </w:p>
        </w:tc>
        <w:tc>
          <w:tcPr>
            <w:tcW w:w="1289" w:type="dxa"/>
          </w:tcPr>
          <w:p w:rsidR="00000000" w:rsidRDefault="00532C10"/>
        </w:tc>
        <w:tc>
          <w:tcPr>
            <w:tcW w:w="1080" w:type="dxa"/>
            <w:gridSpan w:val="2"/>
          </w:tcPr>
          <w:p w:rsidR="00000000" w:rsidRDefault="00532C10"/>
        </w:tc>
        <w:tc>
          <w:tcPr>
            <w:tcW w:w="900" w:type="dxa"/>
            <w:gridSpan w:val="2"/>
          </w:tcPr>
          <w:p w:rsidR="00000000" w:rsidRDefault="00532C10"/>
        </w:tc>
        <w:tc>
          <w:tcPr>
            <w:tcW w:w="1225" w:type="dxa"/>
            <w:gridSpan w:val="2"/>
          </w:tcPr>
          <w:p w:rsidR="00000000" w:rsidRDefault="00532C10"/>
        </w:tc>
        <w:tc>
          <w:tcPr>
            <w:tcW w:w="1260" w:type="dxa"/>
          </w:tcPr>
          <w:p w:rsidR="00000000" w:rsidRDefault="00532C10"/>
        </w:tc>
      </w:tr>
    </w:tbl>
    <w:p w:rsidR="00000000" w:rsidRDefault="00532C10">
      <w:pPr>
        <w:pStyle w:val="Header"/>
        <w:tabs>
          <w:tab w:val="clear" w:pos="4320"/>
          <w:tab w:val="clear" w:pos="8640"/>
        </w:tabs>
      </w:pPr>
      <w:r>
        <w:br w:type="textWrapping" w:clear="all"/>
      </w:r>
    </w:p>
    <w:p w:rsidR="00000000" w:rsidRDefault="00532C10">
      <w:pPr>
        <w:tabs>
          <w:tab w:val="left" w:pos="900"/>
        </w:tabs>
        <w:ind w:left="907" w:hanging="907"/>
      </w:pPr>
      <w:r>
        <w:t>Note 1:</w:t>
      </w:r>
      <w:r>
        <w:tab/>
      </w:r>
      <w:r>
        <w:rPr>
          <w:u w:val="single"/>
        </w:rPr>
        <w:t xml:space="preserve">Permanent Service: </w:t>
      </w:r>
      <w:r>
        <w:t xml:space="preserve"> Service is defined as no less than scheduled, weekly pickup, unless local government requires more frequent servi</w:t>
      </w:r>
      <w:r>
        <w:t>ce or unless putrescibles are involved.  Customer will be charged for service requested, even if fewer containers are serviced on a particular trip.  No credit will be given for partially filled containers.</w:t>
      </w:r>
    </w:p>
    <w:p w:rsidR="00000000" w:rsidRDefault="00532C10"/>
    <w:p w:rsidR="00000000" w:rsidRDefault="00532C10">
      <w:r>
        <w:t>Accessorial charges assessed (lids, tarping, unl</w:t>
      </w:r>
      <w:r>
        <w:t>ocking, unlatching, etc.):</w:t>
      </w:r>
    </w:p>
    <w:p w:rsidR="00000000" w:rsidRDefault="00532C10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00000" w:rsidRDefault="00532C10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00000" w:rsidRDefault="00532C10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00000" w:rsidRDefault="00532C10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00000" w:rsidRDefault="00532C10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00000" w:rsidRDefault="00532C10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00000" w:rsidRDefault="00532C10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00000" w:rsidRDefault="00532C10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00000" w:rsidRDefault="00532C10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00000" w:rsidRDefault="00532C10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00000" w:rsidRDefault="00532C10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00000" w:rsidRDefault="00532C10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00000" w:rsidRDefault="00532C10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00000" w:rsidRDefault="00532C10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00000" w:rsidRDefault="00532C10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00000" w:rsidRDefault="00532C10">
      <w:pPr>
        <w:pStyle w:val="Footer"/>
        <w:tabs>
          <w:tab w:val="clear" w:pos="8640"/>
          <w:tab w:val="right" w:pos="9360"/>
        </w:tabs>
      </w:pPr>
      <w:r>
        <w:t>Issued by: Irmgard R Wilcox</w:t>
      </w:r>
    </w:p>
    <w:p w:rsidR="00000000" w:rsidRDefault="00532C10">
      <w:pPr>
        <w:pStyle w:val="Footer"/>
        <w:tabs>
          <w:tab w:val="clear" w:pos="8640"/>
          <w:tab w:val="right" w:pos="9360"/>
        </w:tabs>
      </w:pPr>
    </w:p>
    <w:p w:rsidR="00000000" w:rsidRDefault="00532C10">
      <w:pPr>
        <w:pStyle w:val="Footer"/>
        <w:pBdr>
          <w:bottom w:val="single" w:sz="12" w:space="1" w:color="auto"/>
        </w:pBdr>
        <w:tabs>
          <w:tab w:val="clear" w:pos="8640"/>
          <w:tab w:val="left" w:pos="7200"/>
          <w:tab w:val="right" w:pos="9360"/>
        </w:tabs>
      </w:pPr>
      <w:r>
        <w:t>Issue Date: November 14, 2008</w:t>
      </w:r>
      <w:r>
        <w:tab/>
      </w:r>
      <w:r>
        <w:tab/>
        <w:t>Effective Date: January 1, 2009</w:t>
      </w:r>
    </w:p>
    <w:p w:rsidR="00000000" w:rsidRDefault="00532C10">
      <w:pPr>
        <w:pStyle w:val="Footer"/>
        <w:tabs>
          <w:tab w:val="clear" w:pos="8640"/>
          <w:tab w:val="left" w:pos="8100"/>
          <w:tab w:val="right" w:pos="9360"/>
        </w:tabs>
        <w:jc w:val="center"/>
      </w:pPr>
      <w:r>
        <w:t xml:space="preserve"> (For Official Use Only)</w:t>
      </w:r>
    </w:p>
    <w:p w:rsidR="00000000" w:rsidRDefault="00532C10">
      <w:pPr>
        <w:pStyle w:val="Footer"/>
        <w:tabs>
          <w:tab w:val="clear" w:pos="8640"/>
          <w:tab w:val="left" w:pos="8100"/>
          <w:tab w:val="right" w:pos="9360"/>
        </w:tabs>
        <w:jc w:val="center"/>
      </w:pPr>
    </w:p>
    <w:p w:rsidR="00000000" w:rsidRDefault="00532C10">
      <w:pPr>
        <w:pStyle w:val="Footer"/>
        <w:tabs>
          <w:tab w:val="clear" w:pos="8640"/>
          <w:tab w:val="left" w:pos="8100"/>
          <w:tab w:val="right" w:pos="9360"/>
        </w:tabs>
      </w:pPr>
      <w:r>
        <w:t>Docket No. TG- ___________________   Date: ___________________________    By</w:t>
      </w:r>
      <w:proofErr w:type="gramStart"/>
      <w:r>
        <w:t>:_</w:t>
      </w:r>
      <w:proofErr w:type="gramEnd"/>
      <w:r>
        <w:t>__________________</w:t>
      </w:r>
    </w:p>
    <w:sectPr w:rsidR="00000000">
      <w:headerReference w:type="default" r:id="rId7"/>
      <w:footerReference w:type="default" r:id="rId8"/>
      <w:pgSz w:w="12240" w:h="15840"/>
      <w:pgMar w:top="720" w:right="720" w:bottom="720" w:left="720" w:header="0" w:footer="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32C10">
      <w:r>
        <w:separator/>
      </w:r>
    </w:p>
  </w:endnote>
  <w:endnote w:type="continuationSeparator" w:id="1">
    <w:p w:rsidR="00000000" w:rsidRDefault="0053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2C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32C10">
      <w:r>
        <w:separator/>
      </w:r>
    </w:p>
  </w:footnote>
  <w:footnote w:type="continuationSeparator" w:id="1">
    <w:p w:rsidR="00000000" w:rsidRDefault="0053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2C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1910"/>
    <w:multiLevelType w:val="singleLevel"/>
    <w:tmpl w:val="595C978C"/>
    <w:lvl w:ilvl="0">
      <w:start w:val="3"/>
      <w:numFmt w:val="lowerLetter"/>
      <w:lvlText w:val="(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A059F8"/>
    <w:multiLevelType w:val="hybridMultilevel"/>
    <w:tmpl w:val="3374420C"/>
    <w:lvl w:ilvl="0" w:tplc="CE96FFA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9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5E5098"/>
    <w:multiLevelType w:val="singleLevel"/>
    <w:tmpl w:val="6088DD3E"/>
    <w:lvl w:ilvl="0">
      <w:start w:val="2"/>
      <w:numFmt w:val="lowerLetter"/>
      <w:lvlText w:val="(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70A543F6"/>
    <w:multiLevelType w:val="singleLevel"/>
    <w:tmpl w:val="E13666D6"/>
    <w:lvl w:ilvl="0">
      <w:start w:val="5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4">
    <w:nsid w:val="7E8F140C"/>
    <w:multiLevelType w:val="singleLevel"/>
    <w:tmpl w:val="838627EC"/>
    <w:lvl w:ilvl="0">
      <w:start w:val="1"/>
      <w:numFmt w:val="lowerLetter"/>
      <w:lvlText w:val="(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3"/>
  </w:num>
  <w:num w:numId="12">
    <w:abstractNumId w:val="14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8"/>
  <w:proofState w:grammar="clean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32C10"/>
    <w:rsid w:val="0053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Pr>
      <w:i/>
      <w:iCs/>
      <w:sz w:val="20"/>
    </w:rPr>
  </w:style>
  <w:style w:type="paragraph" w:styleId="BodyTextIndent2">
    <w:name w:val="Body Text Indent 2"/>
    <w:basedOn w:val="Normal"/>
    <w:semiHidden/>
    <w:pPr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2008-11-14T08:00:00+00:00</OpenedDate>
    <Date1 xmlns="dc463f71-b30c-4ab2-9473-d307f9d35888">2008-12-16T08:00:00+00:00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082057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C3727AC095BD4D9F095E43527F47E8" ma:contentTypeVersion="135" ma:contentTypeDescription="" ma:contentTypeScope="" ma:versionID="9769d922c8b3e95edde53776c65092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BFCC8A3-8375-4B3A-8169-C98F8E578166}"/>
</file>

<file path=customXml/itemProps2.xml><?xml version="1.0" encoding="utf-8"?>
<ds:datastoreItem xmlns:ds="http://schemas.openxmlformats.org/officeDocument/2006/customXml" ds:itemID="{65DF38F6-1A2D-44DF-A3A4-50A929BE1C03}"/>
</file>

<file path=customXml/itemProps3.xml><?xml version="1.0" encoding="utf-8"?>
<ds:datastoreItem xmlns:ds="http://schemas.openxmlformats.org/officeDocument/2006/customXml" ds:itemID="{E4C3AC4E-8B48-4EF2-AC6B-3AC3102D9E6B}"/>
</file>

<file path=customXml/itemProps4.xml><?xml version="1.0" encoding="utf-8"?>
<ds:datastoreItem xmlns:ds="http://schemas.openxmlformats.org/officeDocument/2006/customXml" ds:itemID="{B78E1330-E68E-4D10-A5C8-F282F72685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Hudspeth, Forms and Records Analyst 2</cp:lastModifiedBy>
  <cp:revision>2</cp:revision>
  <cp:lastPrinted>2008-11-14T17:14:00Z</cp:lastPrinted>
  <dcterms:created xsi:type="dcterms:W3CDTF">2008-12-16T22:02:00Z</dcterms:created>
  <dcterms:modified xsi:type="dcterms:W3CDTF">2008-12-16T22:02:00Z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0x0101006E56B4D1795A2E4DB2F0B01679ED314A00DDC3727AC095BD4D9F095E43527F47E8</vt:lpwstr>
  </property>
  <property fmtid="{D5CDD505-2E9C-101B-9397-08002B2CF9AE}" pid="3" name="_docset_NoMedatataSyncRequired">
    <vt:lpwstr>False</vt:lpwstr>
  </property>
</Properties>
</file>