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864B14">
      <w:pPr>
        <w:pStyle w:val="Heading1"/>
        <w:tabs>
          <w:tab w:val="clear" w:pos="4320"/>
          <w:tab w:val="left" w:pos="4770"/>
          <w:tab w:val="left" w:pos="693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C35E6B">
        <w:t>0</w:t>
      </w:r>
      <w:r w:rsidR="00DA6DF5">
        <w:t>7</w:t>
      </w:r>
      <w:r w:rsidR="00C35E6B">
        <w:t>/</w:t>
      </w:r>
      <w:r w:rsidR="00C91794">
        <w:t>11</w:t>
      </w:r>
      <w:r w:rsidR="00C35E6B">
        <w:t>/2016</w:t>
      </w:r>
    </w:p>
    <w:p w:rsidR="00FD536A" w:rsidRDefault="00FD536A" w:rsidP="00864B14">
      <w:pPr>
        <w:pStyle w:val="Heading1"/>
        <w:tabs>
          <w:tab w:val="clear" w:pos="4320"/>
          <w:tab w:val="left" w:pos="4770"/>
          <w:tab w:val="left" w:pos="6930"/>
        </w:tabs>
      </w:pPr>
      <w:r>
        <w:t>CASE NO</w:t>
      </w:r>
      <w:r w:rsidR="00A92E80">
        <w:t>.</w:t>
      </w:r>
      <w:r>
        <w:t>:</w:t>
      </w:r>
      <w:r>
        <w:tab/>
      </w:r>
      <w:r w:rsidRPr="00941853">
        <w:t>U</w:t>
      </w:r>
      <w:r w:rsidR="00E64D12" w:rsidRPr="00941853">
        <w:t>E-</w:t>
      </w:r>
      <w:r w:rsidR="009727ED">
        <w:t>1</w:t>
      </w:r>
      <w:r w:rsidR="006A19E8">
        <w:t>60228</w:t>
      </w:r>
      <w:r w:rsidR="00E64D12" w:rsidRPr="00941853">
        <w:t xml:space="preserve"> &amp; </w:t>
      </w:r>
      <w:r w:rsidR="00C73FA6" w:rsidRPr="00941853">
        <w:t>UG-</w:t>
      </w:r>
      <w:r w:rsidR="00B76EAC">
        <w:t>1</w:t>
      </w:r>
      <w:r w:rsidR="006A19E8">
        <w:t>60229</w:t>
      </w:r>
      <w:r>
        <w:tab/>
        <w:t>WITNESS:</w:t>
      </w:r>
      <w:r>
        <w:tab/>
      </w:r>
      <w:r w:rsidR="00D45AFF">
        <w:tab/>
        <w:t>Karen Schuh</w:t>
      </w:r>
    </w:p>
    <w:p w:rsidR="001004DE" w:rsidRDefault="00C73FA6" w:rsidP="00864B14">
      <w:pPr>
        <w:pStyle w:val="Heading1"/>
        <w:tabs>
          <w:tab w:val="clear" w:pos="4320"/>
          <w:tab w:val="left" w:pos="4770"/>
          <w:tab w:val="left" w:pos="6930"/>
        </w:tabs>
      </w:pPr>
      <w:r>
        <w:t>REQUESTER:</w:t>
      </w:r>
      <w:r>
        <w:tab/>
      </w:r>
      <w:r w:rsidR="001A3F42">
        <w:t xml:space="preserve">UTC Staff </w:t>
      </w:r>
      <w:r w:rsidR="00DA6DF5">
        <w:t>–</w:t>
      </w:r>
      <w:r w:rsidR="001A3F42">
        <w:t xml:space="preserve"> </w:t>
      </w:r>
      <w:r w:rsidR="00F85244">
        <w:t>H</w:t>
      </w:r>
      <w:r w:rsidR="00864B14">
        <w:t>uang</w:t>
      </w:r>
      <w:r w:rsidR="00FD536A">
        <w:tab/>
        <w:t>RESPONDER:</w:t>
      </w:r>
      <w:r w:rsidR="00FD536A">
        <w:tab/>
      </w:r>
      <w:r w:rsidR="00864B14">
        <w:tab/>
      </w:r>
      <w:r w:rsidR="00DA6DF5">
        <w:t>David Machado</w:t>
      </w:r>
    </w:p>
    <w:p w:rsidR="0038329F" w:rsidRDefault="00FD536A" w:rsidP="00864B14">
      <w:pPr>
        <w:pStyle w:val="Heading1"/>
        <w:tabs>
          <w:tab w:val="clear" w:pos="4320"/>
          <w:tab w:val="left" w:pos="4770"/>
          <w:tab w:val="left" w:pos="6930"/>
        </w:tabs>
        <w:ind w:right="-918"/>
      </w:pPr>
      <w:r>
        <w:t>TYPE:</w:t>
      </w:r>
      <w:r>
        <w:tab/>
        <w:t>Data Request</w:t>
      </w:r>
      <w:r>
        <w:tab/>
        <w:t>DEPT:</w:t>
      </w:r>
      <w:r>
        <w:tab/>
      </w:r>
      <w:r w:rsidR="00864B14">
        <w:tab/>
      </w:r>
      <w:r w:rsidR="001D4BE0">
        <w:t>State &amp; Federal Regulation</w:t>
      </w:r>
    </w:p>
    <w:p w:rsidR="00FD536A" w:rsidRDefault="001004DE" w:rsidP="00864B14">
      <w:pPr>
        <w:pStyle w:val="Heading1"/>
        <w:tabs>
          <w:tab w:val="clear" w:pos="4320"/>
          <w:tab w:val="left" w:pos="4770"/>
          <w:tab w:val="left" w:pos="693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1A3F42">
        <w:t xml:space="preserve">Staff - </w:t>
      </w:r>
      <w:r w:rsidR="00DA6DF5">
        <w:t>1</w:t>
      </w:r>
      <w:r w:rsidR="00864B14">
        <w:t>32</w:t>
      </w:r>
      <w:r w:rsidR="004A7704">
        <w:tab/>
      </w:r>
      <w:r w:rsidR="00FD536A">
        <w:t>TELEPHONE:</w:t>
      </w:r>
      <w:r w:rsidR="00FD536A">
        <w:tab/>
      </w:r>
      <w:r w:rsidR="00864B14">
        <w:tab/>
      </w:r>
      <w:r w:rsidR="00FD536A">
        <w:t>(509) 495</w:t>
      </w:r>
      <w:r w:rsidR="00FE3E7F">
        <w:t>-</w:t>
      </w:r>
      <w:r w:rsidR="00DA6DF5">
        <w:t>4554</w:t>
      </w:r>
    </w:p>
    <w:p w:rsidR="00FD536A" w:rsidRDefault="00AA791F" w:rsidP="00864B14">
      <w:pPr>
        <w:tabs>
          <w:tab w:val="left" w:pos="1890"/>
          <w:tab w:val="left" w:pos="4770"/>
          <w:tab w:val="left" w:pos="6480"/>
          <w:tab w:val="left" w:pos="6930"/>
        </w:tabs>
        <w:ind w:right="-91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DA6DF5">
        <w:rPr>
          <w:sz w:val="24"/>
          <w:szCs w:val="24"/>
        </w:rPr>
        <w:t>david.machado</w:t>
      </w:r>
      <w:r w:rsidR="001D4BE0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6045D3" w:rsidRDefault="006045D3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F731E6" w:rsidRPr="00F85244" w:rsidRDefault="00D45AFF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D45AFF">
        <w:rPr>
          <w:sz w:val="24"/>
          <w:szCs w:val="24"/>
        </w:rPr>
        <w:t>Please provide the total amounts of the ongoing capital expenditures associated with normal outage activities on Units 3 &amp; 4 at Colstrip from 2005-2015.  Please make this Data Request comparable to the information provided in Karen Schuh’s Exhibit No.___ (KKS-5), Section 1, page 20, for the 2016, 2017 and 2018 information.</w:t>
      </w:r>
    </w:p>
    <w:p w:rsidR="004C170C" w:rsidRDefault="004C170C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C91794" w:rsidRDefault="00C91794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637CFC" w:rsidRDefault="00637CFC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1F7E2C" w:rsidRDefault="00864B1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Staff_DR_132 Attachment A includes transfers to plant for Colstrip Thermal Capital from 2005-2015. </w:t>
      </w:r>
    </w:p>
    <w:p w:rsidR="00864B14" w:rsidRDefault="00864B1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AD30AC" w:rsidRDefault="00C81B72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C81B72">
        <w:rPr>
          <w:sz w:val="24"/>
          <w:szCs w:val="24"/>
        </w:rPr>
        <w:t>Colstrip capital expenditures generally coincide with outages that occur every 3rd year for each unit.  Some years, such as was the case in 2015, we do not have a scheduled outage on a unit</w:t>
      </w:r>
      <w:r>
        <w:rPr>
          <w:sz w:val="24"/>
          <w:szCs w:val="24"/>
        </w:rPr>
        <w:t>, resulting in a lower level of capital investment for that year (though some investment continues to occur)</w:t>
      </w:r>
      <w:r w:rsidR="00E8122C">
        <w:rPr>
          <w:sz w:val="24"/>
          <w:szCs w:val="24"/>
        </w:rPr>
        <w:t>,</w:t>
      </w:r>
      <w:r w:rsidRPr="00C81B72">
        <w:rPr>
          <w:sz w:val="24"/>
          <w:szCs w:val="24"/>
        </w:rPr>
        <w:t xml:space="preserve"> </w:t>
      </w:r>
      <w:r w:rsidR="00E8122C">
        <w:rPr>
          <w:sz w:val="24"/>
          <w:szCs w:val="24"/>
        </w:rPr>
        <w:t>a</w:t>
      </w:r>
      <w:r w:rsidRPr="00C81B72">
        <w:rPr>
          <w:sz w:val="24"/>
          <w:szCs w:val="24"/>
        </w:rPr>
        <w:t xml:space="preserve">s </w:t>
      </w:r>
      <w:r>
        <w:rPr>
          <w:sz w:val="24"/>
          <w:szCs w:val="24"/>
        </w:rPr>
        <w:t>illustrated in</w:t>
      </w:r>
      <w:r w:rsidRPr="00C81B72">
        <w:rPr>
          <w:sz w:val="24"/>
          <w:szCs w:val="24"/>
        </w:rPr>
        <w:t xml:space="preserve"> the graph below</w:t>
      </w:r>
      <w:r w:rsidR="00E8122C">
        <w:rPr>
          <w:sz w:val="24"/>
          <w:szCs w:val="24"/>
        </w:rPr>
        <w:t xml:space="preserve"> until 2016</w:t>
      </w:r>
      <w:r w:rsidRPr="00C81B72">
        <w:rPr>
          <w:sz w:val="24"/>
          <w:szCs w:val="24"/>
        </w:rPr>
        <w:t xml:space="preserve">.  </w:t>
      </w:r>
    </w:p>
    <w:p w:rsidR="00AD30AC" w:rsidRDefault="00AD30AC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F85244" w:rsidRDefault="00F8524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F85244" w:rsidRDefault="00F8524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F85244">
        <w:rPr>
          <w:noProof/>
          <w:sz w:val="24"/>
          <w:szCs w:val="24"/>
        </w:rPr>
        <w:drawing>
          <wp:inline distT="0" distB="0" distL="0" distR="0" wp14:anchorId="38BD3FEE" wp14:editId="115AF114">
            <wp:extent cx="6160770" cy="2121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077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0AC" w:rsidRDefault="00AD30AC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F85244" w:rsidRDefault="00F8524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F85244" w:rsidRDefault="00F8524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F85244" w:rsidRDefault="00F8524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F85244" w:rsidRDefault="00F8524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bookmarkStart w:id="0" w:name="_GoBack"/>
      <w:bookmarkEnd w:id="0"/>
    </w:p>
    <w:p w:rsidR="00F85244" w:rsidRDefault="00F8524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F85244" w:rsidRDefault="00F8524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F85244" w:rsidRDefault="00F8524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C81B72" w:rsidRDefault="00C81B72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C81B72">
        <w:rPr>
          <w:sz w:val="24"/>
          <w:szCs w:val="24"/>
        </w:rPr>
        <w:lastRenderedPageBreak/>
        <w:t xml:space="preserve">The major jump in capital </w:t>
      </w:r>
      <w:r>
        <w:rPr>
          <w:sz w:val="24"/>
          <w:szCs w:val="24"/>
        </w:rPr>
        <w:t xml:space="preserve">investment </w:t>
      </w:r>
      <w:r w:rsidRPr="00C81B72">
        <w:rPr>
          <w:sz w:val="24"/>
          <w:szCs w:val="24"/>
        </w:rPr>
        <w:t>in 2016, 2017, and 2018 is due primarily to new NOx reduction equipment and the new Coal Combus</w:t>
      </w:r>
      <w:r>
        <w:rPr>
          <w:sz w:val="24"/>
          <w:szCs w:val="24"/>
        </w:rPr>
        <w:t xml:space="preserve">tion Residual (CCR) regulations, with </w:t>
      </w:r>
      <w:r w:rsidRPr="00C81B72">
        <w:rPr>
          <w:sz w:val="24"/>
          <w:szCs w:val="24"/>
        </w:rPr>
        <w:t xml:space="preserve">which Colstrip must comply.  </w:t>
      </w:r>
      <w:r w:rsidR="00AD30AC">
        <w:rPr>
          <w:sz w:val="24"/>
          <w:szCs w:val="24"/>
        </w:rPr>
        <w:t xml:space="preserve">The </w:t>
      </w:r>
      <w:r w:rsidR="00E8122C">
        <w:rPr>
          <w:sz w:val="24"/>
          <w:szCs w:val="24"/>
        </w:rPr>
        <w:t>planned additional</w:t>
      </w:r>
      <w:r w:rsidR="00AD30AC">
        <w:rPr>
          <w:sz w:val="24"/>
          <w:szCs w:val="24"/>
        </w:rPr>
        <w:t xml:space="preserve"> capital investment related to these</w:t>
      </w:r>
      <w:r w:rsidRPr="00C81B72">
        <w:rPr>
          <w:sz w:val="24"/>
          <w:szCs w:val="24"/>
        </w:rPr>
        <w:t xml:space="preserve"> specific projects </w:t>
      </w:r>
      <w:r w:rsidR="00AD30AC">
        <w:rPr>
          <w:sz w:val="24"/>
          <w:szCs w:val="24"/>
        </w:rPr>
        <w:t xml:space="preserve">is provided </w:t>
      </w:r>
      <w:r w:rsidRPr="00C81B72">
        <w:rPr>
          <w:sz w:val="24"/>
          <w:szCs w:val="24"/>
        </w:rPr>
        <w:t>below</w:t>
      </w:r>
      <w:r w:rsidR="00AD30AC">
        <w:rPr>
          <w:sz w:val="24"/>
          <w:szCs w:val="24"/>
        </w:rPr>
        <w:t>:</w:t>
      </w:r>
    </w:p>
    <w:p w:rsidR="00AD30AC" w:rsidRDefault="00B33528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28" editas="canvas" style="position:absolute;left:0;text-align:left;margin-left:93.6pt;margin-top:12.75pt;width:264pt;height:84pt;z-index:251660288" coordorigin="-15,-15" coordsize="5280,16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5;top:-15;width:5280;height:1680" o:preferrelative="f">
              <v:fill o:detectmouseclick="t"/>
              <v:path o:extrusionok="t" o:connecttype="none"/>
              <o:lock v:ext="edit" text="t"/>
            </v:shape>
            <v:rect id="_x0000_s1029" style="position:absolute;left:2055;top:260;width:401;height:230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b/>
                        <w:bCs/>
                        <w:color w:val="000000"/>
                      </w:rPr>
                      <w:t>2016</w:t>
                    </w:r>
                  </w:p>
                </w:txbxContent>
              </v:textbox>
            </v:rect>
            <v:rect id="_x0000_s1030" style="position:absolute;left:3180;top:260;width:401;height:230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b/>
                        <w:bCs/>
                        <w:color w:val="000000"/>
                      </w:rPr>
                      <w:t>2017</w:t>
                    </w:r>
                  </w:p>
                </w:txbxContent>
              </v:textbox>
            </v:rect>
            <v:rect id="_x0000_s1031" style="position:absolute;left:4305;top:260;width:401;height:230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b/>
                        <w:bCs/>
                        <w:color w:val="000000"/>
                      </w:rPr>
                      <w:t>2018</w:t>
                    </w:r>
                  </w:p>
                </w:txbxContent>
              </v:textbox>
            </v:rect>
            <v:rect id="_x0000_s1035" style="position:absolute;left:45;top:645;width:1317;height:230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color w:val="000000"/>
                      </w:rPr>
                      <w:t>NOx Equipment</w:t>
                    </w:r>
                  </w:p>
                </w:txbxContent>
              </v:textbox>
            </v:rect>
            <v:rect id="_x0000_s1036" style="position:absolute;left:2370;top:630;width:355;height:244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>2.05</w:t>
                    </w:r>
                  </w:p>
                </w:txbxContent>
              </v:textbox>
            </v:rect>
            <v:rect id="_x0000_s1037" style="position:absolute;left:1845;top:630;width:102;height:244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 xml:space="preserve">$         </w:t>
                    </w:r>
                  </w:p>
                </w:txbxContent>
              </v:textbox>
            </v:rect>
            <v:rect id="_x0000_s1038" style="position:absolute;left:2355;top:630;width:46;height:230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left:3495;top:630;width:355;height:244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>1.33</w:t>
                    </w:r>
                  </w:p>
                </w:txbxContent>
              </v:textbox>
            </v:rect>
            <v:rect id="_x0000_s1040" style="position:absolute;left:2970;top:630;width:102;height:244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 xml:space="preserve">$         </w:t>
                    </w:r>
                  </w:p>
                </w:txbxContent>
              </v:textbox>
            </v:rect>
            <v:rect id="_x0000_s1041" style="position:absolute;left:3480;top:630;width:46;height:230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42" style="position:absolute;left:45;top:945;width:1328;height:230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color w:val="000000"/>
                      </w:rPr>
                      <w:t>CCR Equipment</w:t>
                    </w:r>
                  </w:p>
                </w:txbxContent>
              </v:textbox>
            </v:rect>
            <v:rect id="_x0000_s1043" style="position:absolute;left:2370;top:930;width:355;height:244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>3.34</w:t>
                    </w:r>
                  </w:p>
                </w:txbxContent>
              </v:textbox>
            </v:rect>
            <v:rect id="_x0000_s1044" style="position:absolute;left:1845;top:930;width:102;height:244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 xml:space="preserve">$         </w:t>
                    </w:r>
                  </w:p>
                </w:txbxContent>
              </v:textbox>
            </v:rect>
            <v:rect id="_x0000_s1045" style="position:absolute;left:2355;top:930;width:46;height:230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46" style="position:absolute;left:3495;top:930;width:355;height:244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>2.77</w:t>
                    </w:r>
                  </w:p>
                </w:txbxContent>
              </v:textbox>
            </v:rect>
            <v:rect id="_x0000_s1047" style="position:absolute;left:2970;top:930;width:102;height:244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 xml:space="preserve">$         </w:t>
                    </w:r>
                  </w:p>
                </w:txbxContent>
              </v:textbox>
            </v:rect>
            <v:rect id="_x0000_s1048" style="position:absolute;left:3480;top:930;width:46;height:230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49" style="position:absolute;left:4620;top:930;width:355;height:244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>2.10</w:t>
                    </w:r>
                  </w:p>
                </w:txbxContent>
              </v:textbox>
            </v:rect>
            <v:rect id="_x0000_s1050" style="position:absolute;left:4095;top:930;width:102;height:244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 xml:space="preserve">$         </w:t>
                    </w:r>
                  </w:p>
                </w:txbxContent>
              </v:textbox>
            </v:rect>
            <v:rect id="_x0000_s1051" style="position:absolute;left:4605;top:930;width:46;height:230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52" style="position:absolute;left:45;top:1245;width:423;height:230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color w:val="000000"/>
                      </w:rPr>
                      <w:t>Total</w:t>
                    </w:r>
                  </w:p>
                </w:txbxContent>
              </v:textbox>
            </v:rect>
            <v:rect id="_x0000_s1053" style="position:absolute;left:2370;top:1230;width:355;height:244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>5.39</w:t>
                    </w:r>
                  </w:p>
                </w:txbxContent>
              </v:textbox>
            </v:rect>
            <v:rect id="_x0000_s1054" style="position:absolute;left:1845;top:1230;width:102;height:244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 xml:space="preserve">$         </w:t>
                    </w:r>
                  </w:p>
                </w:txbxContent>
              </v:textbox>
            </v:rect>
            <v:rect id="_x0000_s1055" style="position:absolute;left:2355;top:1230;width:46;height:230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56" style="position:absolute;left:3495;top:1230;width:355;height:244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>4.10</w:t>
                    </w:r>
                  </w:p>
                </w:txbxContent>
              </v:textbox>
            </v:rect>
            <v:rect id="_x0000_s1057" style="position:absolute;left:2970;top:1230;width:102;height:244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 xml:space="preserve">$         </w:t>
                    </w:r>
                  </w:p>
                </w:txbxContent>
              </v:textbox>
            </v:rect>
            <v:rect id="_x0000_s1058" style="position:absolute;left:3480;top:1230;width:46;height:230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59" style="position:absolute;left:4620;top:1230;width:355;height:244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>2.10</w:t>
                    </w:r>
                  </w:p>
                </w:txbxContent>
              </v:textbox>
            </v:rect>
            <v:rect id="_x0000_s1060" style="position:absolute;left:4095;top:1230;width:102;height:244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 xml:space="preserve">$         </w:t>
                    </w:r>
                  </w:p>
                </w:txbxContent>
              </v:textbox>
            </v:rect>
            <v:rect id="_x0000_s1061" style="position:absolute;left:4605;top:1230;width:46;height:230;mso-wrap-style:none;v-text-anchor:top" filled="f" stroked="f">
              <v:textbox style="mso-rotate-with-shape:t;mso-fit-shape-to-text:t" inset="0,0,0,0">
                <w:txbxContent>
                  <w:p w:rsidR="00E8122C" w:rsidRDefault="00E8122C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62" style="position:absolute;left:-15;top:-15;width:30;height:1680" fillcolor="black" stroked="f"/>
            <v:rect id="_x0000_s1063" style="position:absolute;left:5235;top:15;width:30;height:1650" fillcolor="black" stroked="f"/>
            <v:rect id="_x0000_s1064" style="position:absolute;left:15;top:-15;width:5250;height:30" fillcolor="black" stroked="f"/>
            <v:line id="_x0000_s1065" style="position:absolute" from="1725,600" to="5115,600" strokeweight="0"/>
            <v:rect id="_x0000_s1066" style="position:absolute;left:1725;top:600;width:3390;height:15" fillcolor="black" stroked="f"/>
            <v:line id="_x0000_s1067" style="position:absolute" from="1725,1200" to="5115,1200" strokeweight="0"/>
            <v:rect id="_x0000_s1068" style="position:absolute;left:1725;top:1200;width:3390;height:15" fillcolor="black" stroked="f"/>
            <v:rect id="_x0000_s1069" style="position:absolute;left:15;top:1635;width:5250;height:30" fillcolor="black" stroked="f"/>
          </v:group>
        </w:pict>
      </w:r>
    </w:p>
    <w:p w:rsidR="00864B14" w:rsidRDefault="00864B14" w:rsidP="00F85244">
      <w:pPr>
        <w:tabs>
          <w:tab w:val="left" w:pos="1890"/>
          <w:tab w:val="left" w:pos="4320"/>
          <w:tab w:val="left" w:pos="6480"/>
        </w:tabs>
        <w:jc w:val="center"/>
        <w:rPr>
          <w:sz w:val="24"/>
          <w:szCs w:val="24"/>
        </w:rPr>
      </w:pPr>
    </w:p>
    <w:p w:rsidR="00F85244" w:rsidRPr="000E629D" w:rsidRDefault="00F85244" w:rsidP="00F85244">
      <w:pPr>
        <w:tabs>
          <w:tab w:val="left" w:pos="1890"/>
          <w:tab w:val="left" w:pos="4320"/>
          <w:tab w:val="left" w:pos="6480"/>
        </w:tabs>
        <w:jc w:val="center"/>
        <w:rPr>
          <w:sz w:val="24"/>
          <w:szCs w:val="24"/>
        </w:rPr>
      </w:pPr>
    </w:p>
    <w:sectPr w:rsidR="00F85244" w:rsidRPr="000E629D" w:rsidSect="004C170C">
      <w:headerReference w:type="default" r:id="rId8"/>
      <w:footerReference w:type="default" r:id="rId9"/>
      <w:footerReference w:type="first" r:id="rId10"/>
      <w:pgSz w:w="12240" w:h="15840" w:code="1"/>
      <w:pgMar w:top="720" w:right="1530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6E" w:rsidRDefault="004C436E">
      <w:r>
        <w:separator/>
      </w:r>
    </w:p>
  </w:endnote>
  <w:endnote w:type="continuationSeparator" w:id="0">
    <w:p w:rsidR="004C436E" w:rsidRDefault="004C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4F" w:rsidRDefault="008236B6" w:rsidP="008236B6">
    <w:pPr>
      <w:pStyle w:val="Footer"/>
    </w:pPr>
    <w:r>
      <w:t>Bench Request No. 6</w:t>
    </w:r>
    <w:r w:rsidR="00B33528">
      <w:t xml:space="preserve"> – Attachment A</w:t>
    </w:r>
    <w:r>
      <w:tab/>
    </w:r>
    <w:r>
      <w:tab/>
    </w:r>
    <w:r w:rsidR="00DA234F">
      <w:t xml:space="preserve">Page </w:t>
    </w:r>
    <w:r w:rsidR="00A0351B">
      <w:rPr>
        <w:rStyle w:val="PageNumber"/>
      </w:rPr>
      <w:fldChar w:fldCharType="begin"/>
    </w:r>
    <w:r w:rsidR="00DA234F">
      <w:rPr>
        <w:rStyle w:val="PageNumber"/>
      </w:rPr>
      <w:instrText xml:space="preserve"> PAGE </w:instrText>
    </w:r>
    <w:r w:rsidR="00A0351B">
      <w:rPr>
        <w:rStyle w:val="PageNumber"/>
      </w:rPr>
      <w:fldChar w:fldCharType="separate"/>
    </w:r>
    <w:r w:rsidR="00B33528">
      <w:rPr>
        <w:rStyle w:val="PageNumber"/>
        <w:noProof/>
      </w:rPr>
      <w:t>1</w:t>
    </w:r>
    <w:r w:rsidR="00A0351B">
      <w:rPr>
        <w:rStyle w:val="PageNumber"/>
      </w:rPr>
      <w:fldChar w:fldCharType="end"/>
    </w:r>
    <w:r w:rsidR="00DA234F">
      <w:rPr>
        <w:rStyle w:val="PageNumber"/>
      </w:rPr>
      <w:t xml:space="preserve"> of </w:t>
    </w:r>
    <w:r w:rsidR="00A0351B">
      <w:rPr>
        <w:rStyle w:val="PageNumber"/>
      </w:rPr>
      <w:fldChar w:fldCharType="begin"/>
    </w:r>
    <w:r w:rsidR="00DA234F">
      <w:rPr>
        <w:rStyle w:val="PageNumber"/>
      </w:rPr>
      <w:instrText xml:space="preserve"> NUMPAGES </w:instrText>
    </w:r>
    <w:r w:rsidR="00A0351B">
      <w:rPr>
        <w:rStyle w:val="PageNumber"/>
      </w:rPr>
      <w:fldChar w:fldCharType="separate"/>
    </w:r>
    <w:r w:rsidR="00B33528">
      <w:rPr>
        <w:rStyle w:val="PageNumber"/>
        <w:noProof/>
      </w:rPr>
      <w:t>2</w:t>
    </w:r>
    <w:r w:rsidR="00A0351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4F" w:rsidRDefault="00DA234F" w:rsidP="00E64D12">
    <w:pPr>
      <w:pStyle w:val="Footer"/>
      <w:jc w:val="center"/>
    </w:pPr>
    <w:r>
      <w:t xml:space="preserve">Page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351B">
      <w:rPr>
        <w:rStyle w:val="PageNumber"/>
      </w:rPr>
      <w:fldChar w:fldCharType="separate"/>
    </w:r>
    <w:r>
      <w:rPr>
        <w:rStyle w:val="PageNumber"/>
        <w:noProof/>
      </w:rPr>
      <w:t>1</w:t>
    </w:r>
    <w:r w:rsidR="00A0351B">
      <w:rPr>
        <w:rStyle w:val="PageNumber"/>
      </w:rPr>
      <w:fldChar w:fldCharType="end"/>
    </w:r>
    <w:r>
      <w:rPr>
        <w:rStyle w:val="PageNumber"/>
      </w:rPr>
      <w:t xml:space="preserve"> of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0351B">
      <w:rPr>
        <w:rStyle w:val="PageNumber"/>
      </w:rPr>
      <w:fldChar w:fldCharType="separate"/>
    </w:r>
    <w:r w:rsidR="00B33528">
      <w:rPr>
        <w:rStyle w:val="PageNumber"/>
        <w:noProof/>
      </w:rPr>
      <w:t>2</w:t>
    </w:r>
    <w:r w:rsidR="00A0351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6E" w:rsidRDefault="004C436E">
      <w:r>
        <w:separator/>
      </w:r>
    </w:p>
  </w:footnote>
  <w:footnote w:type="continuationSeparator" w:id="0">
    <w:p w:rsidR="004C436E" w:rsidRDefault="004C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4F" w:rsidRDefault="00DA234F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 w15:restartNumberingAfterBreak="0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 w15:restartNumberingAfterBreak="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 w15:restartNumberingAfterBreak="0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 w15:restartNumberingAfterBreak="0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 w15:restartNumberingAfterBreak="0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 w15:restartNumberingAfterBreak="0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 w15:restartNumberingAfterBreak="0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 w15:restartNumberingAfterBreak="0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FAC"/>
    <w:rsid w:val="0001142D"/>
    <w:rsid w:val="000121D0"/>
    <w:rsid w:val="000177E6"/>
    <w:rsid w:val="00023B8E"/>
    <w:rsid w:val="00056C64"/>
    <w:rsid w:val="00081D52"/>
    <w:rsid w:val="000E629D"/>
    <w:rsid w:val="001004DE"/>
    <w:rsid w:val="001055CB"/>
    <w:rsid w:val="0011273E"/>
    <w:rsid w:val="0012408C"/>
    <w:rsid w:val="00147CD2"/>
    <w:rsid w:val="00153C42"/>
    <w:rsid w:val="00176B56"/>
    <w:rsid w:val="00177390"/>
    <w:rsid w:val="00186A26"/>
    <w:rsid w:val="001A3F42"/>
    <w:rsid w:val="001B03C0"/>
    <w:rsid w:val="001D4BE0"/>
    <w:rsid w:val="001E06F3"/>
    <w:rsid w:val="001E07A6"/>
    <w:rsid w:val="001F2C4B"/>
    <w:rsid w:val="001F6472"/>
    <w:rsid w:val="001F7E2C"/>
    <w:rsid w:val="002146D9"/>
    <w:rsid w:val="00236EDE"/>
    <w:rsid w:val="002677D5"/>
    <w:rsid w:val="00285078"/>
    <w:rsid w:val="002B16E6"/>
    <w:rsid w:val="002D4804"/>
    <w:rsid w:val="002E674E"/>
    <w:rsid w:val="003348C4"/>
    <w:rsid w:val="00375C8C"/>
    <w:rsid w:val="0038329F"/>
    <w:rsid w:val="00383DD3"/>
    <w:rsid w:val="003B4E20"/>
    <w:rsid w:val="003C0AED"/>
    <w:rsid w:val="003C1D9A"/>
    <w:rsid w:val="003E487F"/>
    <w:rsid w:val="003E50F1"/>
    <w:rsid w:val="00417AA4"/>
    <w:rsid w:val="00422CC4"/>
    <w:rsid w:val="00446369"/>
    <w:rsid w:val="004658DE"/>
    <w:rsid w:val="004A7704"/>
    <w:rsid w:val="004C170C"/>
    <w:rsid w:val="004C436E"/>
    <w:rsid w:val="004F03CE"/>
    <w:rsid w:val="004F0E06"/>
    <w:rsid w:val="004F7DA8"/>
    <w:rsid w:val="00500F1F"/>
    <w:rsid w:val="00503226"/>
    <w:rsid w:val="005048A8"/>
    <w:rsid w:val="005050C4"/>
    <w:rsid w:val="0055045F"/>
    <w:rsid w:val="005906BD"/>
    <w:rsid w:val="00591481"/>
    <w:rsid w:val="005968F5"/>
    <w:rsid w:val="005A2255"/>
    <w:rsid w:val="005A49F0"/>
    <w:rsid w:val="005C0BD8"/>
    <w:rsid w:val="005C1EDF"/>
    <w:rsid w:val="005D72D7"/>
    <w:rsid w:val="005E78F2"/>
    <w:rsid w:val="005E7C5F"/>
    <w:rsid w:val="006045D3"/>
    <w:rsid w:val="00633137"/>
    <w:rsid w:val="00633F9B"/>
    <w:rsid w:val="00637CFC"/>
    <w:rsid w:val="00663AE9"/>
    <w:rsid w:val="00684ADD"/>
    <w:rsid w:val="006A19E8"/>
    <w:rsid w:val="00741CF2"/>
    <w:rsid w:val="00753FE9"/>
    <w:rsid w:val="00754422"/>
    <w:rsid w:val="007A30D4"/>
    <w:rsid w:val="007B5EE6"/>
    <w:rsid w:val="007E3A66"/>
    <w:rsid w:val="008022DE"/>
    <w:rsid w:val="008074FC"/>
    <w:rsid w:val="008236B6"/>
    <w:rsid w:val="00864B14"/>
    <w:rsid w:val="00893D6F"/>
    <w:rsid w:val="008A16DD"/>
    <w:rsid w:val="008D1DFC"/>
    <w:rsid w:val="008E3932"/>
    <w:rsid w:val="009052D2"/>
    <w:rsid w:val="009257B1"/>
    <w:rsid w:val="00941853"/>
    <w:rsid w:val="00957712"/>
    <w:rsid w:val="009727ED"/>
    <w:rsid w:val="009B3249"/>
    <w:rsid w:val="009D7503"/>
    <w:rsid w:val="00A0351B"/>
    <w:rsid w:val="00A825B8"/>
    <w:rsid w:val="00A82D5A"/>
    <w:rsid w:val="00A92E80"/>
    <w:rsid w:val="00A96A19"/>
    <w:rsid w:val="00AA791F"/>
    <w:rsid w:val="00AB5D5A"/>
    <w:rsid w:val="00AD30AC"/>
    <w:rsid w:val="00B25021"/>
    <w:rsid w:val="00B33528"/>
    <w:rsid w:val="00B41482"/>
    <w:rsid w:val="00B72352"/>
    <w:rsid w:val="00B76EAC"/>
    <w:rsid w:val="00BB73DC"/>
    <w:rsid w:val="00BD5789"/>
    <w:rsid w:val="00C040A5"/>
    <w:rsid w:val="00C35E6B"/>
    <w:rsid w:val="00C3641F"/>
    <w:rsid w:val="00C41F75"/>
    <w:rsid w:val="00C73FA6"/>
    <w:rsid w:val="00C81B72"/>
    <w:rsid w:val="00C83E18"/>
    <w:rsid w:val="00C91794"/>
    <w:rsid w:val="00CA15F9"/>
    <w:rsid w:val="00CD4D4E"/>
    <w:rsid w:val="00D04046"/>
    <w:rsid w:val="00D323DF"/>
    <w:rsid w:val="00D376F6"/>
    <w:rsid w:val="00D40664"/>
    <w:rsid w:val="00D41724"/>
    <w:rsid w:val="00D45AFF"/>
    <w:rsid w:val="00D75120"/>
    <w:rsid w:val="00D77A4E"/>
    <w:rsid w:val="00D82930"/>
    <w:rsid w:val="00DA234F"/>
    <w:rsid w:val="00DA6DF5"/>
    <w:rsid w:val="00DB4781"/>
    <w:rsid w:val="00DE5D38"/>
    <w:rsid w:val="00E404F2"/>
    <w:rsid w:val="00E43DB3"/>
    <w:rsid w:val="00E64D12"/>
    <w:rsid w:val="00E8122C"/>
    <w:rsid w:val="00E84C7F"/>
    <w:rsid w:val="00E94E42"/>
    <w:rsid w:val="00EA2239"/>
    <w:rsid w:val="00EC527F"/>
    <w:rsid w:val="00ED1DE2"/>
    <w:rsid w:val="00ED6C6D"/>
    <w:rsid w:val="00EE30BA"/>
    <w:rsid w:val="00F06D34"/>
    <w:rsid w:val="00F268AE"/>
    <w:rsid w:val="00F45461"/>
    <w:rsid w:val="00F514A7"/>
    <w:rsid w:val="00F65229"/>
    <w:rsid w:val="00F731E6"/>
    <w:rsid w:val="00F85244"/>
    <w:rsid w:val="00F87AEC"/>
    <w:rsid w:val="00FA4AFD"/>
    <w:rsid w:val="00FC099B"/>
    <w:rsid w:val="00FC1828"/>
    <w:rsid w:val="00FD0578"/>
    <w:rsid w:val="00FD159D"/>
    <w:rsid w:val="00FD536A"/>
    <w:rsid w:val="00FD6FAC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."/>
  <w:listSeparator w:val=","/>
  <w15:docId w15:val="{CB7C2EF7-9A75-4E85-8211-6BFEF8BF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DAD227-670C-4376-989B-3E31FDD2D7AA}"/>
</file>

<file path=customXml/itemProps2.xml><?xml version="1.0" encoding="utf-8"?>
<ds:datastoreItem xmlns:ds="http://schemas.openxmlformats.org/officeDocument/2006/customXml" ds:itemID="{C09F4A4C-5D0D-4B6F-901F-242CB6823B07}"/>
</file>

<file path=customXml/itemProps3.xml><?xml version="1.0" encoding="utf-8"?>
<ds:datastoreItem xmlns:ds="http://schemas.openxmlformats.org/officeDocument/2006/customXml" ds:itemID="{575AB673-A441-4B99-89F8-C2EE4C8BCC72}"/>
</file>

<file path=customXml/itemProps4.xml><?xml version="1.0" encoding="utf-8"?>
<ds:datastoreItem xmlns:ds="http://schemas.openxmlformats.org/officeDocument/2006/customXml" ds:itemID="{D7660DB8-108D-401D-A0F3-073BE2ADDF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subject/>
  <dc:creator>Kelly Norwood</dc:creator>
  <cp:keywords/>
  <dc:description/>
  <cp:lastModifiedBy>Andrews, Liz</cp:lastModifiedBy>
  <cp:revision>13</cp:revision>
  <cp:lastPrinted>2016-10-18T18:23:00Z</cp:lastPrinted>
  <dcterms:created xsi:type="dcterms:W3CDTF">2016-07-07T23:33:00Z</dcterms:created>
  <dcterms:modified xsi:type="dcterms:W3CDTF">2016-10-18T18:23:00Z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