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08" w:rsidRDefault="00914F08">
      <w:pPr>
        <w:tabs>
          <w:tab w:val="left" w:pos="1260"/>
        </w:tabs>
        <w:spacing w:line="480" w:lineRule="auto"/>
        <w:ind w:firstLine="720"/>
        <w:jc w:val="center"/>
      </w:pPr>
    </w:p>
    <w:p w:rsidR="00F22C45" w:rsidRDefault="00F22C45">
      <w:pPr>
        <w:tabs>
          <w:tab w:val="left" w:pos="1260"/>
        </w:tabs>
        <w:spacing w:line="480" w:lineRule="auto"/>
        <w:ind w:firstLine="720"/>
        <w:jc w:val="center"/>
      </w:pPr>
    </w:p>
    <w:p w:rsidR="00F22C45" w:rsidRPr="005540EB" w:rsidRDefault="00F22C45">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pPr>
    </w:p>
    <w:p w:rsidR="00914F08" w:rsidRPr="005540EB" w:rsidRDefault="00914F08" w:rsidP="000F6CFB">
      <w:pPr>
        <w:tabs>
          <w:tab w:val="left" w:pos="1260"/>
        </w:tabs>
        <w:spacing w:line="480" w:lineRule="auto"/>
        <w:ind w:left="-1350" w:firstLine="720"/>
        <w:jc w:val="center"/>
      </w:pPr>
    </w:p>
    <w:p w:rsidR="00914F08" w:rsidRPr="005540EB" w:rsidRDefault="00914F08" w:rsidP="000F6CFB">
      <w:pPr>
        <w:spacing w:line="480" w:lineRule="auto"/>
        <w:ind w:left="-270"/>
        <w:jc w:val="center"/>
      </w:pPr>
      <w:r w:rsidRPr="005540EB">
        <w:t>BEFORE THE WASHINGTON UTILITIES AND TRANSPORTATION COMMISSION</w:t>
      </w:r>
    </w:p>
    <w:p w:rsidR="00775966" w:rsidRDefault="00775966"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 xml:space="preserve">DOCKET NO. </w:t>
      </w:r>
      <w:r w:rsidR="00131A33" w:rsidRPr="005540EB">
        <w:t>UE-</w:t>
      </w:r>
      <w:r w:rsidR="00551C2D">
        <w:t>1</w:t>
      </w:r>
      <w:r w:rsidR="00FE3A52">
        <w:t>5</w:t>
      </w:r>
      <w:r w:rsidRPr="005540EB">
        <w:t>__</w:t>
      </w:r>
      <w:r w:rsidR="00975FB9" w:rsidRPr="005540EB">
        <w:t>___</w:t>
      </w:r>
    </w:p>
    <w:p w:rsidR="00914F08" w:rsidRPr="005540EB" w:rsidRDefault="00131A33" w:rsidP="000F6CFB">
      <w:pPr>
        <w:tabs>
          <w:tab w:val="left" w:pos="1260"/>
        </w:tabs>
        <w:spacing w:line="480" w:lineRule="auto"/>
        <w:ind w:left="-270"/>
        <w:jc w:val="center"/>
      </w:pPr>
      <w:r w:rsidRPr="005540EB">
        <w:t>DOCKET NO. UG-</w:t>
      </w:r>
      <w:r w:rsidR="00551C2D">
        <w:t>1</w:t>
      </w:r>
      <w:r w:rsidR="00FE3A52">
        <w:t>5</w:t>
      </w:r>
      <w:r w:rsidR="00914F08" w:rsidRPr="005540EB">
        <w:t>_</w:t>
      </w:r>
      <w:r w:rsidR="00975FB9" w:rsidRPr="005540EB">
        <w:t>___</w:t>
      </w:r>
      <w:r w:rsidR="00914F08" w:rsidRPr="005540EB">
        <w:t>_</w:t>
      </w:r>
    </w:p>
    <w:p w:rsidR="00914F08" w:rsidRPr="005540EB" w:rsidRDefault="00914F08"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DIRECT TESTIMONY OF</w:t>
      </w:r>
    </w:p>
    <w:p w:rsidR="00914F08" w:rsidRPr="005540EB" w:rsidRDefault="00F85036" w:rsidP="000F6CFB">
      <w:pPr>
        <w:tabs>
          <w:tab w:val="left" w:pos="1260"/>
        </w:tabs>
        <w:spacing w:line="480" w:lineRule="auto"/>
        <w:ind w:left="-270"/>
        <w:jc w:val="center"/>
      </w:pPr>
      <w:r>
        <w:t>PATRICK D. EHRBAR</w:t>
      </w:r>
    </w:p>
    <w:p w:rsidR="00914F08" w:rsidRPr="005540EB" w:rsidRDefault="00914F08" w:rsidP="000F6CFB">
      <w:pPr>
        <w:tabs>
          <w:tab w:val="left" w:pos="1260"/>
        </w:tabs>
        <w:spacing w:line="480" w:lineRule="auto"/>
        <w:ind w:left="-270"/>
        <w:jc w:val="center"/>
      </w:pPr>
      <w:r w:rsidRPr="005540EB">
        <w:t>REPRESENTING AVISTA CORPORATION</w:t>
      </w: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both"/>
      </w:pPr>
    </w:p>
    <w:p w:rsidR="00914F08" w:rsidRPr="005540EB" w:rsidRDefault="00914F08">
      <w:pPr>
        <w:tabs>
          <w:tab w:val="left" w:pos="1260"/>
        </w:tabs>
        <w:spacing w:line="480" w:lineRule="auto"/>
        <w:ind w:firstLine="720"/>
        <w:jc w:val="both"/>
        <w:sectPr w:rsidR="00914F08" w:rsidRPr="005540EB" w:rsidSect="003E19C9">
          <w:headerReference w:type="default" r:id="rId8"/>
          <w:footerReference w:type="default" r:id="rId9"/>
          <w:headerReference w:type="first" r:id="rId10"/>
          <w:footerReference w:type="first" r:id="rId11"/>
          <w:type w:val="continuous"/>
          <w:pgSz w:w="12240" w:h="15840" w:code="1"/>
          <w:pgMar w:top="1440" w:right="1296" w:bottom="1728" w:left="187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rsidR="00914F08" w:rsidRPr="001D76D1" w:rsidRDefault="00914F08">
      <w:pPr>
        <w:pStyle w:val="Heading5"/>
        <w:rPr>
          <w:rStyle w:val="PageNumber"/>
          <w:u w:val="single"/>
        </w:rPr>
      </w:pPr>
      <w:r w:rsidRPr="001D76D1">
        <w:rPr>
          <w:rStyle w:val="PageNumber"/>
          <w:u w:val="single"/>
        </w:rPr>
        <w:lastRenderedPageBreak/>
        <w:t xml:space="preserve">I.  </w:t>
      </w:r>
      <w:r w:rsidR="000D6ABC" w:rsidRPr="001D76D1">
        <w:rPr>
          <w:rStyle w:val="PageNumber"/>
          <w:u w:val="single"/>
        </w:rPr>
        <w:t xml:space="preserve">   </w:t>
      </w:r>
      <w:r w:rsidRPr="001D76D1">
        <w:rPr>
          <w:rStyle w:val="PageNumber"/>
          <w:u w:val="single"/>
        </w:rPr>
        <w:t>INTRODUCTION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Please state your name, business address and present position with Avista Corporation?</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name is </w:t>
      </w:r>
      <w:r w:rsidR="00F85036">
        <w:rPr>
          <w:rFonts w:ascii="Times New Roman" w:hAnsi="Times New Roman" w:cs="Times New Roman"/>
        </w:rPr>
        <w:t>Patrick D. Ehrbar</w:t>
      </w:r>
      <w:r w:rsidRPr="005540EB">
        <w:rPr>
          <w:rFonts w:ascii="Times New Roman" w:hAnsi="Times New Roman" w:cs="Times New Roman"/>
        </w:rPr>
        <w:t xml:space="preserve"> and my business address is </w:t>
      </w:r>
      <w:smartTag w:uri="urn:schemas-microsoft-com:office:smarttags" w:element="Street">
        <w:r w:rsidRPr="005540EB">
          <w:rPr>
            <w:rFonts w:ascii="Times New Roman" w:hAnsi="Times New Roman" w:cs="Times New Roman"/>
          </w:rPr>
          <w:t>1411 East Mission Avenue</w:t>
        </w:r>
      </w:smartTag>
      <w:r w:rsidRPr="005540EB">
        <w:rPr>
          <w:rFonts w:ascii="Times New Roman" w:hAnsi="Times New Roman" w:cs="Times New Roman"/>
        </w:rPr>
        <w:t xml:space="preserve">, </w:t>
      </w:r>
      <w:smartTag w:uri="urn:schemas-microsoft-com:office:smarttags" w:element="City">
        <w:r w:rsidRPr="005540EB">
          <w:rPr>
            <w:rFonts w:ascii="Times New Roman" w:hAnsi="Times New Roman" w:cs="Times New Roman"/>
          </w:rPr>
          <w:t>Spokane</w:t>
        </w:r>
      </w:smartTag>
      <w:r w:rsidRPr="005540EB">
        <w:rPr>
          <w:rFonts w:ascii="Times New Roman" w:hAnsi="Times New Roman" w:cs="Times New Roman"/>
        </w:rPr>
        <w:t xml:space="preserve">, Washington.  I am presently assigned to the State and Federal Regulation Department as Manager of </w:t>
      </w:r>
      <w:r w:rsidR="00F85036">
        <w:rPr>
          <w:rFonts w:ascii="Times New Roman" w:hAnsi="Times New Roman" w:cs="Times New Roman"/>
        </w:rPr>
        <w:t>Rates and Tariffs</w:t>
      </w:r>
      <w:r w:rsidRPr="005540EB">
        <w:rPr>
          <w:rFonts w:ascii="Times New Roman" w:hAnsi="Times New Roman" w:cs="Times New Roman"/>
        </w:rPr>
        <w:t>.</w:t>
      </w:r>
    </w:p>
    <w:p w:rsidR="005540EB" w:rsidRPr="005540EB" w:rsidRDefault="005540EB" w:rsidP="005540EB">
      <w:pPr>
        <w:pStyle w:val="P65"/>
        <w:jc w:val="both"/>
        <w:outlineLvl w:val="0"/>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briefly describe your duties?</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334F95">
        <w:rPr>
          <w:rFonts w:ascii="Times New Roman" w:hAnsi="Times New Roman" w:cs="Times New Roman"/>
        </w:rPr>
        <w:t xml:space="preserve">Yes.  </w:t>
      </w:r>
      <w:r w:rsidR="00147D24">
        <w:rPr>
          <w:rFonts w:ascii="Times New Roman" w:hAnsi="Times New Roman" w:cs="Times New Roman"/>
        </w:rPr>
        <w:t>M</w:t>
      </w:r>
      <w:r w:rsidRPr="005540EB">
        <w:rPr>
          <w:rFonts w:ascii="Times New Roman" w:hAnsi="Times New Roman" w:cs="Times New Roman"/>
        </w:rPr>
        <w:t xml:space="preserve">y primary areas of responsibility include electric and </w:t>
      </w:r>
      <w:r w:rsidR="00B312FA">
        <w:rPr>
          <w:rFonts w:ascii="Times New Roman" w:hAnsi="Times New Roman" w:cs="Times New Roman"/>
        </w:rPr>
        <w:t xml:space="preserve">natural </w:t>
      </w:r>
      <w:r w:rsidRPr="005540EB">
        <w:rPr>
          <w:rFonts w:ascii="Times New Roman" w:hAnsi="Times New Roman" w:cs="Times New Roman"/>
        </w:rPr>
        <w:t>gas rate design, customer usage and revenue analysis, and tariff administration.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sidR="00334F95">
        <w:rPr>
          <w:rFonts w:ascii="Times New Roman" w:hAnsi="Times New Roman" w:cs="Times New Roman"/>
        </w:rPr>
        <w:t>Please</w:t>
      </w:r>
      <w:r w:rsidRPr="005540EB">
        <w:rPr>
          <w:rFonts w:ascii="Times New Roman" w:hAnsi="Times New Roman" w:cs="Times New Roman"/>
        </w:rPr>
        <w:t xml:space="preserve"> briefly describe your educational background</w:t>
      </w:r>
      <w:r w:rsidR="00586CB3">
        <w:rPr>
          <w:rFonts w:ascii="Times New Roman" w:hAnsi="Times New Roman" w:cs="Times New Roman"/>
        </w:rPr>
        <w:t xml:space="preserve"> and professional experience</w:t>
      </w:r>
      <w:r w:rsidR="00334F95">
        <w:rPr>
          <w:rFonts w:ascii="Times New Roman" w:hAnsi="Times New Roman" w:cs="Times New Roman"/>
        </w:rPr>
        <w:t>?</w:t>
      </w:r>
    </w:p>
    <w:p w:rsidR="006A4CE9" w:rsidRPr="007C0B2C" w:rsidRDefault="005540EB" w:rsidP="006A4CE9">
      <w:pPr>
        <w:pStyle w:val="P31"/>
        <w:jc w:val="both"/>
        <w:rPr>
          <w:rFonts w:ascii="Times New Roman" w:hAnsi="Times New Roman" w:cs="Times New Roman"/>
          <w:szCs w:val="24"/>
        </w:rPr>
      </w:pPr>
      <w:r w:rsidRPr="005540EB">
        <w:rPr>
          <w:rFonts w:ascii="Times New Roman" w:hAnsi="Times New Roman" w:cs="Times New Roman"/>
        </w:rPr>
        <w:t>A.</w:t>
      </w:r>
      <w:r w:rsidRPr="005540EB">
        <w:rPr>
          <w:rFonts w:ascii="Times New Roman" w:hAnsi="Times New Roman" w:cs="Times New Roman"/>
        </w:rPr>
        <w:tab/>
      </w:r>
      <w:r w:rsidR="006A4CE9" w:rsidRPr="007C0B2C">
        <w:rPr>
          <w:rFonts w:ascii="Times New Roman" w:hAnsi="Times New Roman" w:cs="Times New Roman"/>
          <w:szCs w:val="24"/>
        </w:rPr>
        <w:t xml:space="preserve">I am a 1995 graduate of Gonzaga University with a Bachelors degree in Business Administration.  In 1997 I graduated from Gonzaga University with a Masters degree in Business Administration.  I started with Avista in April 1997 as a Resource Management Analyst in the Company’s DSM </w:t>
      </w:r>
      <w:r w:rsidR="0061606F">
        <w:rPr>
          <w:rFonts w:ascii="Times New Roman" w:hAnsi="Times New Roman" w:cs="Times New Roman"/>
          <w:szCs w:val="24"/>
        </w:rPr>
        <w:t>D</w:t>
      </w:r>
      <w:r w:rsidR="006A4CE9" w:rsidRPr="007C0B2C">
        <w:rPr>
          <w:rFonts w:ascii="Times New Roman" w:hAnsi="Times New Roman" w:cs="Times New Roman"/>
          <w:szCs w:val="24"/>
        </w:rPr>
        <w:t>epartment. Later, I became a Program Manager, responsible for energy efficiency program offerings for the Company’s educational and governmental customers.  In 2000, I was selected to be one of the Company’s key Account Executives.  In this role I was responsible for, among other things, being the primary point of contact for numerous commercial and industrial customers, including delivery of the Company’s site specific energy efficiency programs.</w:t>
      </w:r>
    </w:p>
    <w:p w:rsidR="006A4CE9" w:rsidRDefault="006A4CE9" w:rsidP="006A4CE9">
      <w:pPr>
        <w:pStyle w:val="P31"/>
        <w:jc w:val="both"/>
        <w:rPr>
          <w:rFonts w:ascii="Times New Roman" w:hAnsi="Times New Roman" w:cs="Times New Roman"/>
          <w:szCs w:val="24"/>
        </w:rPr>
      </w:pPr>
      <w:r w:rsidRPr="007C0B2C">
        <w:rPr>
          <w:rFonts w:ascii="Times New Roman" w:hAnsi="Times New Roman" w:cs="Times New Roman"/>
          <w:szCs w:val="24"/>
        </w:rPr>
        <w:t xml:space="preserve">I joined the State and Federal Regulation Department as a Senior Regulatory Analyst in 2007.  Responsibilities in this role included being the discovery coordinator for the Company’s rate cases, </w:t>
      </w:r>
      <w:r w:rsidR="00B50A07">
        <w:rPr>
          <w:rFonts w:ascii="Times New Roman" w:hAnsi="Times New Roman" w:cs="Times New Roman"/>
          <w:szCs w:val="24"/>
        </w:rPr>
        <w:t xml:space="preserve">the development of </w:t>
      </w:r>
      <w:r w:rsidRPr="007C0B2C">
        <w:rPr>
          <w:rFonts w:ascii="Times New Roman" w:hAnsi="Times New Roman" w:cs="Times New Roman"/>
          <w:szCs w:val="24"/>
        </w:rPr>
        <w:t xml:space="preserve">line extension policy tariffs, as well as </w:t>
      </w:r>
      <w:r w:rsidR="00B50A07">
        <w:rPr>
          <w:rFonts w:ascii="Times New Roman" w:hAnsi="Times New Roman" w:cs="Times New Roman"/>
          <w:szCs w:val="24"/>
        </w:rPr>
        <w:t xml:space="preserve">addressing </w:t>
      </w:r>
      <w:r w:rsidRPr="007C0B2C">
        <w:rPr>
          <w:rFonts w:ascii="Times New Roman" w:hAnsi="Times New Roman" w:cs="Times New Roman"/>
          <w:szCs w:val="24"/>
        </w:rPr>
        <w:lastRenderedPageBreak/>
        <w:t>miscellaneous regulatory issues.  In November 2009, I was promoted to my current role.</w:t>
      </w:r>
    </w:p>
    <w:p w:rsidR="005540EB" w:rsidRPr="00A4037C" w:rsidRDefault="005540EB" w:rsidP="006A4CE9">
      <w:pPr>
        <w:pStyle w:val="P31"/>
        <w:jc w:val="both"/>
        <w:rPr>
          <w:rFonts w:ascii="Times New Roman" w:hAnsi="Times New Roman" w:cs="Times New Roman"/>
          <w:b/>
        </w:rPr>
      </w:pPr>
      <w:r w:rsidRPr="00A4037C">
        <w:rPr>
          <w:rFonts w:ascii="Times New Roman" w:hAnsi="Times New Roman" w:cs="Times New Roman"/>
          <w:b/>
        </w:rPr>
        <w:t>Q.</w:t>
      </w:r>
      <w:r w:rsidRPr="00A4037C">
        <w:rPr>
          <w:rFonts w:ascii="Times New Roman" w:hAnsi="Times New Roman" w:cs="Times New Roman"/>
          <w:b/>
        </w:rPr>
        <w:tab/>
        <w:t>What is the scope of your testimony in this proceeding?</w:t>
      </w:r>
    </w:p>
    <w:p w:rsidR="007D16EF" w:rsidRDefault="005540EB" w:rsidP="007D16EF">
      <w:pPr>
        <w:pStyle w:val="P106"/>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7D16EF" w:rsidRPr="005540EB">
        <w:rPr>
          <w:rFonts w:ascii="Times New Roman" w:hAnsi="Times New Roman" w:cs="Times New Roman"/>
        </w:rPr>
        <w:t xml:space="preserve">My testimony </w:t>
      </w:r>
      <w:r w:rsidR="007D16EF" w:rsidRPr="000A6734">
        <w:rPr>
          <w:rFonts w:ascii="Times New Roman" w:hAnsi="Times New Roman" w:cs="Times New Roman"/>
        </w:rPr>
        <w:t xml:space="preserve">will cover the spread of the proposed annual electric </w:t>
      </w:r>
      <w:r w:rsidR="007D16EF" w:rsidRPr="00371D94">
        <w:rPr>
          <w:rFonts w:ascii="Times New Roman" w:hAnsi="Times New Roman" w:cs="Times New Roman"/>
          <w:u w:val="single"/>
        </w:rPr>
        <w:t>base</w:t>
      </w:r>
      <w:r w:rsidR="007D16EF">
        <w:rPr>
          <w:rFonts w:ascii="Times New Roman" w:hAnsi="Times New Roman" w:cs="Times New Roman"/>
        </w:rPr>
        <w:t xml:space="preserve"> </w:t>
      </w:r>
      <w:r w:rsidR="007D16EF" w:rsidRPr="000A6734">
        <w:rPr>
          <w:rFonts w:ascii="Times New Roman" w:hAnsi="Times New Roman" w:cs="Times New Roman"/>
        </w:rPr>
        <w:t xml:space="preserve">revenue increase </w:t>
      </w:r>
      <w:r w:rsidR="007D16EF" w:rsidRPr="00A47B5B">
        <w:rPr>
          <w:rFonts w:ascii="Times New Roman" w:hAnsi="Times New Roman" w:cs="Times New Roman"/>
        </w:rPr>
        <w:t>of $</w:t>
      </w:r>
      <w:r w:rsidR="0042464B">
        <w:rPr>
          <w:rFonts w:ascii="Times New Roman" w:hAnsi="Times New Roman" w:cs="Times New Roman"/>
        </w:rPr>
        <w:t>33</w:t>
      </w:r>
      <w:r w:rsidR="007D16EF">
        <w:rPr>
          <w:rFonts w:ascii="Times New Roman" w:hAnsi="Times New Roman" w:cs="Times New Roman"/>
        </w:rPr>
        <w:t>,</w:t>
      </w:r>
      <w:r w:rsidR="0042464B">
        <w:rPr>
          <w:rFonts w:ascii="Times New Roman" w:hAnsi="Times New Roman" w:cs="Times New Roman"/>
        </w:rPr>
        <w:t>229</w:t>
      </w:r>
      <w:r w:rsidR="007D16EF">
        <w:rPr>
          <w:rFonts w:ascii="Times New Roman" w:hAnsi="Times New Roman" w:cs="Times New Roman"/>
        </w:rPr>
        <w:t>,000</w:t>
      </w:r>
      <w:r w:rsidR="007D16EF" w:rsidRPr="00A47B5B">
        <w:rPr>
          <w:rFonts w:ascii="Times New Roman" w:hAnsi="Times New Roman" w:cs="Times New Roman"/>
        </w:rPr>
        <w:t xml:space="preserve">, or </w:t>
      </w:r>
      <w:r w:rsidR="0042464B">
        <w:rPr>
          <w:rFonts w:ascii="Times New Roman" w:hAnsi="Times New Roman" w:cs="Times New Roman"/>
        </w:rPr>
        <w:t>6.</w:t>
      </w:r>
      <w:r w:rsidR="00F03E78">
        <w:rPr>
          <w:rFonts w:ascii="Times New Roman" w:hAnsi="Times New Roman" w:cs="Times New Roman"/>
        </w:rPr>
        <w:t>6</w:t>
      </w:r>
      <w:r w:rsidR="007D16EF" w:rsidRPr="00A47B5B">
        <w:rPr>
          <w:rFonts w:ascii="Times New Roman" w:hAnsi="Times New Roman" w:cs="Times New Roman"/>
        </w:rPr>
        <w:t>%,</w:t>
      </w:r>
      <w:r w:rsidR="007D16EF" w:rsidRPr="00D91979">
        <w:rPr>
          <w:rFonts w:ascii="Times New Roman" w:hAnsi="Times New Roman" w:cs="Times New Roman"/>
        </w:rPr>
        <w:t xml:space="preserve"> among</w:t>
      </w:r>
      <w:r w:rsidR="007D16EF" w:rsidRPr="000A6734">
        <w:rPr>
          <w:rFonts w:ascii="Times New Roman" w:hAnsi="Times New Roman" w:cs="Times New Roman"/>
        </w:rPr>
        <w:t xml:space="preserve"> the Company’s electric general service schedules.  With </w:t>
      </w:r>
      <w:r w:rsidR="007D16EF" w:rsidRPr="00A47B5B">
        <w:rPr>
          <w:rFonts w:ascii="Times New Roman" w:hAnsi="Times New Roman" w:cs="Times New Roman"/>
        </w:rPr>
        <w:t xml:space="preserve">regard to natural gas service, I will describe the spread of the proposed annual </w:t>
      </w:r>
      <w:r w:rsidR="007D16EF" w:rsidRPr="00A47B5B">
        <w:rPr>
          <w:rFonts w:ascii="Times New Roman" w:hAnsi="Times New Roman" w:cs="Times New Roman"/>
          <w:u w:val="single"/>
        </w:rPr>
        <w:t>base</w:t>
      </w:r>
      <w:r w:rsidR="007D16EF" w:rsidRPr="00A47B5B">
        <w:rPr>
          <w:rFonts w:ascii="Times New Roman" w:hAnsi="Times New Roman" w:cs="Times New Roman"/>
        </w:rPr>
        <w:t xml:space="preserve"> revenue increase of $</w:t>
      </w:r>
      <w:r w:rsidR="007D16EF">
        <w:rPr>
          <w:rFonts w:ascii="Times New Roman" w:hAnsi="Times New Roman" w:cs="Times New Roman"/>
        </w:rPr>
        <w:t>12,</w:t>
      </w:r>
      <w:r w:rsidR="0042464B">
        <w:rPr>
          <w:rFonts w:ascii="Times New Roman" w:hAnsi="Times New Roman" w:cs="Times New Roman"/>
        </w:rPr>
        <w:t>021</w:t>
      </w:r>
      <w:r w:rsidR="007D16EF" w:rsidRPr="00A47B5B">
        <w:rPr>
          <w:rFonts w:ascii="Times New Roman" w:hAnsi="Times New Roman" w:cs="Times New Roman"/>
        </w:rPr>
        <w:t>,</w:t>
      </w:r>
      <w:r w:rsidR="007D16EF">
        <w:rPr>
          <w:rFonts w:ascii="Times New Roman" w:hAnsi="Times New Roman" w:cs="Times New Roman"/>
        </w:rPr>
        <w:t>000,</w:t>
      </w:r>
      <w:r w:rsidR="007D16EF" w:rsidRPr="00A47B5B">
        <w:rPr>
          <w:rFonts w:ascii="Times New Roman" w:hAnsi="Times New Roman" w:cs="Times New Roman"/>
        </w:rPr>
        <w:t xml:space="preserve"> or </w:t>
      </w:r>
      <w:r w:rsidR="0042464B">
        <w:rPr>
          <w:rFonts w:ascii="Times New Roman" w:hAnsi="Times New Roman" w:cs="Times New Roman"/>
        </w:rPr>
        <w:t>7.0</w:t>
      </w:r>
      <w:r w:rsidR="007D16EF" w:rsidRPr="00A47B5B">
        <w:rPr>
          <w:rFonts w:ascii="Times New Roman" w:hAnsi="Times New Roman" w:cs="Times New Roman"/>
        </w:rPr>
        <w:t>%,</w:t>
      </w:r>
      <w:r w:rsidR="007D16EF" w:rsidRPr="004940D3">
        <w:rPr>
          <w:rFonts w:ascii="Times New Roman" w:hAnsi="Times New Roman" w:cs="Times New Roman"/>
        </w:rPr>
        <w:t xml:space="preserve"> </w:t>
      </w:r>
      <w:r w:rsidR="007D16EF" w:rsidRPr="005540EB">
        <w:rPr>
          <w:rFonts w:ascii="Times New Roman" w:hAnsi="Times New Roman" w:cs="Times New Roman"/>
        </w:rPr>
        <w:t xml:space="preserve">among the Company’s natural gas service schedules.  </w:t>
      </w:r>
    </w:p>
    <w:p w:rsidR="000B6A29" w:rsidRDefault="005540EB" w:rsidP="007D16EF">
      <w:pPr>
        <w:pStyle w:val="P106"/>
        <w:jc w:val="both"/>
        <w:rPr>
          <w:rFonts w:ascii="Times New Roman" w:hAnsi="Times New Roman" w:cs="Times New Roman"/>
        </w:rPr>
      </w:pPr>
      <w:r w:rsidRPr="005540EB">
        <w:rPr>
          <w:rFonts w:ascii="Times New Roman" w:hAnsi="Times New Roman" w:cs="Times New Roman"/>
        </w:rPr>
        <w:t>My testimony will also describe the changes to the rates within the Company’s electric and natural gas service schedules</w:t>
      </w:r>
      <w:r w:rsidR="00F10C1F">
        <w:rPr>
          <w:rFonts w:ascii="Times New Roman" w:hAnsi="Times New Roman" w:cs="Times New Roman"/>
        </w:rPr>
        <w:t xml:space="preserve">, as well the proposed increase in the basic charge for </w:t>
      </w:r>
      <w:r w:rsidR="004C3DE4">
        <w:rPr>
          <w:rFonts w:ascii="Times New Roman" w:hAnsi="Times New Roman" w:cs="Times New Roman"/>
        </w:rPr>
        <w:t xml:space="preserve">residential </w:t>
      </w:r>
      <w:r w:rsidR="00F10C1F">
        <w:rPr>
          <w:rFonts w:ascii="Times New Roman" w:hAnsi="Times New Roman" w:cs="Times New Roman"/>
        </w:rPr>
        <w:t xml:space="preserve">electric rate </w:t>
      </w:r>
      <w:r w:rsidR="00E54BA8">
        <w:rPr>
          <w:rFonts w:ascii="Times New Roman" w:hAnsi="Times New Roman" w:cs="Times New Roman"/>
        </w:rPr>
        <w:t>S</w:t>
      </w:r>
      <w:r w:rsidR="00F10C1F">
        <w:rPr>
          <w:rFonts w:ascii="Times New Roman" w:hAnsi="Times New Roman" w:cs="Times New Roman"/>
        </w:rPr>
        <w:t xml:space="preserve">chedule 1 and natural gas rate </w:t>
      </w:r>
      <w:r w:rsidR="00E54BA8">
        <w:rPr>
          <w:rFonts w:ascii="Times New Roman" w:hAnsi="Times New Roman" w:cs="Times New Roman"/>
        </w:rPr>
        <w:t>S</w:t>
      </w:r>
      <w:r w:rsidR="00F10C1F">
        <w:rPr>
          <w:rFonts w:ascii="Times New Roman" w:hAnsi="Times New Roman" w:cs="Times New Roman"/>
        </w:rPr>
        <w:t>chedule 101</w:t>
      </w:r>
      <w:r w:rsidR="0042464B">
        <w:rPr>
          <w:rFonts w:ascii="Times New Roman" w:hAnsi="Times New Roman" w:cs="Times New Roman"/>
        </w:rPr>
        <w:t xml:space="preserve">. </w:t>
      </w:r>
      <w:r w:rsidR="00334F95">
        <w:rPr>
          <w:rFonts w:ascii="Times New Roman" w:hAnsi="Times New Roman" w:cs="Times New Roman"/>
        </w:rPr>
        <w:t xml:space="preserve">Finally, I will </w:t>
      </w:r>
      <w:r w:rsidR="00F10C1F">
        <w:rPr>
          <w:rFonts w:ascii="Times New Roman" w:hAnsi="Times New Roman" w:cs="Times New Roman"/>
        </w:rPr>
        <w:t>provide an overview of the items required of the Company in Order No</w:t>
      </w:r>
      <w:r w:rsidR="00F10C1F" w:rsidRPr="00F03E78">
        <w:rPr>
          <w:rFonts w:ascii="Times New Roman" w:hAnsi="Times New Roman" w:cs="Times New Roman"/>
        </w:rPr>
        <w:t xml:space="preserve">. </w:t>
      </w:r>
      <w:r w:rsidR="00BE67DE" w:rsidRPr="00F03E78">
        <w:rPr>
          <w:rFonts w:ascii="Times New Roman" w:hAnsi="Times New Roman" w:cs="Times New Roman"/>
        </w:rPr>
        <w:t>0</w:t>
      </w:r>
      <w:r w:rsidR="000547A1" w:rsidRPr="00F03E78">
        <w:rPr>
          <w:rFonts w:ascii="Times New Roman" w:hAnsi="Times New Roman" w:cs="Times New Roman"/>
        </w:rPr>
        <w:t>5</w:t>
      </w:r>
      <w:r w:rsidR="00F10C1F">
        <w:rPr>
          <w:rFonts w:ascii="Times New Roman" w:hAnsi="Times New Roman" w:cs="Times New Roman"/>
        </w:rPr>
        <w:t xml:space="preserve">, </w:t>
      </w:r>
      <w:r w:rsidR="00B50A07">
        <w:rPr>
          <w:rFonts w:ascii="Times New Roman" w:hAnsi="Times New Roman" w:cs="Times New Roman"/>
        </w:rPr>
        <w:t>approving the</w:t>
      </w:r>
      <w:r w:rsidR="00F10C1F">
        <w:rPr>
          <w:rFonts w:ascii="Times New Roman" w:hAnsi="Times New Roman" w:cs="Times New Roman"/>
        </w:rPr>
        <w:t xml:space="preserve"> Se</w:t>
      </w:r>
      <w:r w:rsidR="0042464B">
        <w:rPr>
          <w:rFonts w:ascii="Times New Roman" w:hAnsi="Times New Roman" w:cs="Times New Roman"/>
        </w:rPr>
        <w:t>ttlement Stipulation, in Docket Nos.</w:t>
      </w:r>
      <w:r w:rsidR="00F10C1F">
        <w:rPr>
          <w:rFonts w:ascii="Times New Roman" w:hAnsi="Times New Roman" w:cs="Times New Roman"/>
        </w:rPr>
        <w:t xml:space="preserve"> </w:t>
      </w:r>
      <w:proofErr w:type="gramStart"/>
      <w:r w:rsidR="00F10C1F">
        <w:rPr>
          <w:rFonts w:ascii="Times New Roman" w:hAnsi="Times New Roman" w:cs="Times New Roman"/>
        </w:rPr>
        <w:t>UE-</w:t>
      </w:r>
      <w:r w:rsidR="000547A1">
        <w:rPr>
          <w:rFonts w:ascii="Times New Roman" w:hAnsi="Times New Roman" w:cs="Times New Roman"/>
        </w:rPr>
        <w:t>140188 &amp; UG-140189</w:t>
      </w:r>
      <w:r w:rsidR="00B50A07">
        <w:rPr>
          <w:rFonts w:ascii="Times New Roman" w:hAnsi="Times New Roman" w:cs="Times New Roman"/>
        </w:rPr>
        <w:t>.</w:t>
      </w:r>
      <w:proofErr w:type="gramEnd"/>
      <w:r w:rsidR="000B6A29">
        <w:rPr>
          <w:rFonts w:ascii="Times New Roman" w:hAnsi="Times New Roman" w:cs="Times New Roman"/>
        </w:rPr>
        <w:t xml:space="preserve">  </w:t>
      </w:r>
    </w:p>
    <w:p w:rsidR="005540EB" w:rsidRPr="005540EB" w:rsidRDefault="005540EB" w:rsidP="000B6A29">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Are you sponsoring any </w:t>
      </w:r>
      <w:r w:rsidR="00B50A07">
        <w:rPr>
          <w:rStyle w:val="T11"/>
          <w:rFonts w:ascii="Times New Roman" w:hAnsi="Times New Roman" w:cs="Times New Roman"/>
        </w:rPr>
        <w:t>e</w:t>
      </w:r>
      <w:r w:rsidRPr="005540EB">
        <w:rPr>
          <w:rStyle w:val="T11"/>
          <w:rFonts w:ascii="Times New Roman" w:hAnsi="Times New Roman" w:cs="Times New Roman"/>
        </w:rPr>
        <w:t>xhibits that accompany your testimony?</w:t>
      </w:r>
    </w:p>
    <w:p w:rsidR="00015AD9" w:rsidRDefault="005540EB" w:rsidP="00936BE1">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7D16EF" w:rsidRPr="005540EB">
        <w:rPr>
          <w:rFonts w:ascii="Times New Roman" w:hAnsi="Times New Roman" w:cs="Times New Roman"/>
        </w:rPr>
        <w:t>Yes.  I am sponsoring Exhibit Nos._</w:t>
      </w:r>
      <w:r w:rsidR="007D16EF">
        <w:rPr>
          <w:rFonts w:ascii="Times New Roman" w:hAnsi="Times New Roman" w:cs="Times New Roman"/>
        </w:rPr>
        <w:t>__</w:t>
      </w:r>
      <w:r w:rsidR="007D16EF" w:rsidRPr="005540EB">
        <w:rPr>
          <w:rFonts w:ascii="Times New Roman" w:hAnsi="Times New Roman" w:cs="Times New Roman"/>
        </w:rPr>
        <w:t>(</w:t>
      </w:r>
      <w:r w:rsidR="007D16EF">
        <w:rPr>
          <w:rFonts w:ascii="Times New Roman" w:hAnsi="Times New Roman" w:cs="Times New Roman"/>
        </w:rPr>
        <w:t>PDE</w:t>
      </w:r>
      <w:r w:rsidR="007D16EF" w:rsidRPr="005540EB">
        <w:rPr>
          <w:rFonts w:ascii="Times New Roman" w:hAnsi="Times New Roman" w:cs="Times New Roman"/>
        </w:rPr>
        <w:t>-2), _</w:t>
      </w:r>
      <w:r w:rsidR="007D16EF">
        <w:rPr>
          <w:rFonts w:ascii="Times New Roman" w:hAnsi="Times New Roman" w:cs="Times New Roman"/>
        </w:rPr>
        <w:t>__</w:t>
      </w:r>
      <w:r w:rsidR="007D16EF" w:rsidRPr="005540EB">
        <w:rPr>
          <w:rFonts w:ascii="Times New Roman" w:hAnsi="Times New Roman" w:cs="Times New Roman"/>
        </w:rPr>
        <w:t>(</w:t>
      </w:r>
      <w:r w:rsidR="007D16EF">
        <w:rPr>
          <w:rFonts w:ascii="Times New Roman" w:hAnsi="Times New Roman" w:cs="Times New Roman"/>
        </w:rPr>
        <w:t>PDE</w:t>
      </w:r>
      <w:r w:rsidR="007D16EF" w:rsidRPr="005540EB">
        <w:rPr>
          <w:rFonts w:ascii="Times New Roman" w:hAnsi="Times New Roman" w:cs="Times New Roman"/>
        </w:rPr>
        <w:t>-3), and _</w:t>
      </w:r>
      <w:r w:rsidR="007D16EF">
        <w:rPr>
          <w:rFonts w:ascii="Times New Roman" w:hAnsi="Times New Roman" w:cs="Times New Roman"/>
        </w:rPr>
        <w:t>__</w:t>
      </w:r>
      <w:r w:rsidR="007D16EF" w:rsidRPr="005540EB">
        <w:rPr>
          <w:rFonts w:ascii="Times New Roman" w:hAnsi="Times New Roman" w:cs="Times New Roman"/>
          <w:iCs/>
        </w:rPr>
        <w:t>(</w:t>
      </w:r>
      <w:r w:rsidR="007D16EF">
        <w:rPr>
          <w:rFonts w:ascii="Times New Roman" w:hAnsi="Times New Roman" w:cs="Times New Roman"/>
          <w:iCs/>
        </w:rPr>
        <w:t>PDE</w:t>
      </w:r>
      <w:r w:rsidR="007D16EF" w:rsidRPr="005540EB">
        <w:rPr>
          <w:rFonts w:ascii="Times New Roman" w:hAnsi="Times New Roman" w:cs="Times New Roman"/>
          <w:iCs/>
        </w:rPr>
        <w:t>-4) related to the proposed electric increase, and Exhibit Nos.</w:t>
      </w:r>
      <w:r w:rsidR="007D16EF" w:rsidRPr="005540EB">
        <w:rPr>
          <w:rFonts w:ascii="Times New Roman" w:hAnsi="Times New Roman" w:cs="Times New Roman"/>
        </w:rPr>
        <w:t>_</w:t>
      </w:r>
      <w:r w:rsidR="007D16EF">
        <w:rPr>
          <w:rFonts w:ascii="Times New Roman" w:hAnsi="Times New Roman" w:cs="Times New Roman"/>
        </w:rPr>
        <w:t>__</w:t>
      </w:r>
      <w:r w:rsidR="007D16EF" w:rsidRPr="005540EB">
        <w:rPr>
          <w:rFonts w:ascii="Times New Roman" w:hAnsi="Times New Roman" w:cs="Times New Roman"/>
        </w:rPr>
        <w:t>(</w:t>
      </w:r>
      <w:r w:rsidR="007D16EF">
        <w:rPr>
          <w:rFonts w:ascii="Times New Roman" w:hAnsi="Times New Roman" w:cs="Times New Roman"/>
        </w:rPr>
        <w:t>PDE</w:t>
      </w:r>
      <w:r w:rsidR="007D16EF" w:rsidRPr="005540EB">
        <w:rPr>
          <w:rFonts w:ascii="Times New Roman" w:hAnsi="Times New Roman" w:cs="Times New Roman"/>
        </w:rPr>
        <w:t>-5), _</w:t>
      </w:r>
      <w:r w:rsidR="007D16EF">
        <w:rPr>
          <w:rFonts w:ascii="Times New Roman" w:hAnsi="Times New Roman" w:cs="Times New Roman"/>
        </w:rPr>
        <w:t>__</w:t>
      </w:r>
      <w:r w:rsidR="007D16EF" w:rsidRPr="005540EB">
        <w:rPr>
          <w:rFonts w:ascii="Times New Roman" w:hAnsi="Times New Roman" w:cs="Times New Roman"/>
        </w:rPr>
        <w:t>(</w:t>
      </w:r>
      <w:r w:rsidR="007D16EF">
        <w:rPr>
          <w:rFonts w:ascii="Times New Roman" w:hAnsi="Times New Roman" w:cs="Times New Roman"/>
        </w:rPr>
        <w:t>PDE</w:t>
      </w:r>
      <w:r w:rsidR="007D16EF" w:rsidRPr="005540EB">
        <w:rPr>
          <w:rFonts w:ascii="Times New Roman" w:hAnsi="Times New Roman" w:cs="Times New Roman"/>
        </w:rPr>
        <w:t>-6), and _</w:t>
      </w:r>
      <w:r w:rsidR="007D16EF">
        <w:rPr>
          <w:rFonts w:ascii="Times New Roman" w:hAnsi="Times New Roman" w:cs="Times New Roman"/>
        </w:rPr>
        <w:t>__</w:t>
      </w:r>
      <w:r w:rsidR="007D16EF" w:rsidRPr="005540EB">
        <w:rPr>
          <w:rFonts w:ascii="Times New Roman" w:hAnsi="Times New Roman" w:cs="Times New Roman"/>
        </w:rPr>
        <w:t>(</w:t>
      </w:r>
      <w:r w:rsidR="007D16EF">
        <w:rPr>
          <w:rFonts w:ascii="Times New Roman" w:hAnsi="Times New Roman" w:cs="Times New Roman"/>
        </w:rPr>
        <w:t>PDE</w:t>
      </w:r>
      <w:r w:rsidR="007D16EF" w:rsidRPr="005540EB">
        <w:rPr>
          <w:rFonts w:ascii="Times New Roman" w:hAnsi="Times New Roman" w:cs="Times New Roman"/>
        </w:rPr>
        <w:t xml:space="preserve">-7) related to the proposed natural gas increase.  </w:t>
      </w:r>
      <w:r w:rsidR="00916D0F" w:rsidRPr="00C92A6D">
        <w:rPr>
          <w:rFonts w:ascii="Times New Roman" w:hAnsi="Times New Roman" w:cs="Times New Roman"/>
        </w:rPr>
        <w:t>These</w:t>
      </w:r>
      <w:r w:rsidR="00916D0F">
        <w:rPr>
          <w:rFonts w:ascii="Times New Roman" w:hAnsi="Times New Roman" w:cs="Times New Roman"/>
        </w:rPr>
        <w:t xml:space="preserve"> </w:t>
      </w:r>
      <w:r w:rsidR="005B0B41">
        <w:rPr>
          <w:rFonts w:ascii="Times New Roman" w:hAnsi="Times New Roman" w:cs="Times New Roman"/>
        </w:rPr>
        <w:t xml:space="preserve">exhibits </w:t>
      </w:r>
      <w:r w:rsidR="00916D0F">
        <w:rPr>
          <w:rFonts w:ascii="Times New Roman" w:hAnsi="Times New Roman" w:cs="Times New Roman"/>
        </w:rPr>
        <w:t>were prepared by me or under my supervision.</w:t>
      </w:r>
      <w:r w:rsidR="00015AD9">
        <w:rPr>
          <w:rFonts w:ascii="Times New Roman" w:hAnsi="Times New Roman" w:cs="Times New Roman"/>
        </w:rPr>
        <w:t xml:space="preserve"> </w:t>
      </w:r>
      <w:r w:rsidR="0061606F">
        <w:rPr>
          <w:rFonts w:ascii="Times New Roman" w:hAnsi="Times New Roman" w:cs="Times New Roman"/>
        </w:rPr>
        <w:t xml:space="preserve"> </w:t>
      </w:r>
      <w:r w:rsidR="004C3DE4">
        <w:rPr>
          <w:rFonts w:ascii="Times New Roman" w:hAnsi="Times New Roman" w:cs="Times New Roman"/>
        </w:rPr>
        <w:t>A table of contents for my testimony is as follows:</w:t>
      </w:r>
    </w:p>
    <w:p w:rsidR="005540EB" w:rsidRPr="007B58C5" w:rsidRDefault="0061606F" w:rsidP="005A10A8">
      <w:pPr>
        <w:pStyle w:val="Heading1"/>
        <w:tabs>
          <w:tab w:val="left" w:pos="810"/>
          <w:tab w:val="left" w:pos="1440"/>
        </w:tabs>
        <w:ind w:right="-720" w:firstLine="720"/>
        <w:rPr>
          <w:b w:val="0"/>
          <w:u w:val="single"/>
        </w:rPr>
      </w:pPr>
      <w:r>
        <w:rPr>
          <w:b w:val="0"/>
          <w:u w:val="single"/>
        </w:rPr>
        <w:t>Description</w:t>
      </w:r>
      <w:r w:rsidR="00AA41A9">
        <w:rPr>
          <w:b w:val="0"/>
          <w:u w:val="single"/>
        </w:rPr>
        <w:tab/>
      </w:r>
      <w:r w:rsidR="00AA41A9">
        <w:rPr>
          <w:b w:val="0"/>
          <w:u w:val="single"/>
        </w:rPr>
        <w:tab/>
      </w:r>
      <w:r w:rsidR="00AA41A9">
        <w:rPr>
          <w:b w:val="0"/>
          <w:u w:val="single"/>
        </w:rPr>
        <w:tab/>
        <w:t>Page</w:t>
      </w:r>
      <w:r w:rsidR="00AA41A9">
        <w:rPr>
          <w:b w:val="0"/>
          <w:u w:val="single"/>
        </w:rPr>
        <w:tab/>
      </w:r>
    </w:p>
    <w:p w:rsidR="00BF6CAC" w:rsidRPr="00593603" w:rsidRDefault="00BF6CAC" w:rsidP="00C37C56">
      <w:pPr>
        <w:numPr>
          <w:ilvl w:val="0"/>
          <w:numId w:val="33"/>
        </w:numPr>
        <w:tabs>
          <w:tab w:val="left" w:pos="810"/>
          <w:tab w:val="left" w:pos="1440"/>
          <w:tab w:val="left" w:pos="6120"/>
          <w:tab w:val="left" w:pos="7920"/>
        </w:tabs>
        <w:spacing w:line="360" w:lineRule="auto"/>
        <w:ind w:right="-720"/>
        <w:rPr>
          <w:bCs/>
          <w:szCs w:val="22"/>
        </w:rPr>
      </w:pPr>
      <w:r w:rsidRPr="00916D0F">
        <w:rPr>
          <w:bCs/>
          <w:szCs w:val="22"/>
        </w:rPr>
        <w:t>Introduction</w:t>
      </w:r>
      <w:r w:rsidRPr="00916D0F">
        <w:rPr>
          <w:bCs/>
          <w:szCs w:val="22"/>
        </w:rPr>
        <w:tab/>
      </w:r>
      <w:r w:rsidRPr="00916D0F">
        <w:rPr>
          <w:bCs/>
          <w:szCs w:val="22"/>
        </w:rPr>
        <w:tab/>
      </w:r>
      <w:r w:rsidR="0080740D" w:rsidRPr="0061606F">
        <w:rPr>
          <w:bCs/>
          <w:szCs w:val="22"/>
        </w:rPr>
        <w:t xml:space="preserve">  </w:t>
      </w:r>
      <w:r w:rsidRPr="0061606F">
        <w:rPr>
          <w:bCs/>
          <w:szCs w:val="22"/>
        </w:rPr>
        <w:t>1</w:t>
      </w:r>
    </w:p>
    <w:p w:rsidR="005540EB" w:rsidRPr="003E2C1F" w:rsidRDefault="005540EB" w:rsidP="00C37C56">
      <w:pPr>
        <w:numPr>
          <w:ilvl w:val="0"/>
          <w:numId w:val="33"/>
        </w:numPr>
        <w:tabs>
          <w:tab w:val="right" w:pos="810"/>
          <w:tab w:val="left" w:pos="1440"/>
          <w:tab w:val="left" w:pos="6120"/>
          <w:tab w:val="left" w:pos="7920"/>
          <w:tab w:val="left" w:pos="8100"/>
        </w:tabs>
        <w:spacing w:line="360" w:lineRule="auto"/>
        <w:ind w:right="-720"/>
        <w:rPr>
          <w:bCs/>
          <w:szCs w:val="22"/>
        </w:rPr>
      </w:pPr>
      <w:r w:rsidRPr="003E2C1F">
        <w:rPr>
          <w:bCs/>
          <w:szCs w:val="22"/>
        </w:rPr>
        <w:t>Executive Summary</w:t>
      </w:r>
      <w:r w:rsidRPr="003E2C1F">
        <w:rPr>
          <w:bCs/>
          <w:szCs w:val="22"/>
        </w:rPr>
        <w:tab/>
        <w:t xml:space="preserve"> </w:t>
      </w:r>
      <w:r w:rsidRPr="003E2C1F">
        <w:rPr>
          <w:bCs/>
          <w:szCs w:val="22"/>
        </w:rPr>
        <w:tab/>
      </w:r>
      <w:r w:rsidR="0080740D">
        <w:rPr>
          <w:bCs/>
          <w:szCs w:val="22"/>
        </w:rPr>
        <w:t xml:space="preserve">  </w:t>
      </w:r>
      <w:r w:rsidR="008C51DB">
        <w:rPr>
          <w:bCs/>
          <w:szCs w:val="22"/>
        </w:rPr>
        <w:t>3</w:t>
      </w:r>
    </w:p>
    <w:p w:rsidR="005540EB" w:rsidRPr="003E2C1F" w:rsidRDefault="005540EB" w:rsidP="008E580F">
      <w:pPr>
        <w:numPr>
          <w:ilvl w:val="0"/>
          <w:numId w:val="33"/>
        </w:numPr>
        <w:tabs>
          <w:tab w:val="left" w:pos="810"/>
          <w:tab w:val="left" w:pos="1440"/>
        </w:tabs>
        <w:ind w:right="-720"/>
        <w:rPr>
          <w:bCs/>
          <w:szCs w:val="22"/>
        </w:rPr>
      </w:pPr>
      <w:r w:rsidRPr="003E2C1F">
        <w:rPr>
          <w:bCs/>
          <w:szCs w:val="22"/>
        </w:rPr>
        <w:t xml:space="preserve">Proposed Electric Revenue </w:t>
      </w:r>
      <w:r w:rsidR="000D3A30">
        <w:rPr>
          <w:bCs/>
          <w:szCs w:val="22"/>
        </w:rPr>
        <w:t>Changes</w:t>
      </w:r>
    </w:p>
    <w:p w:rsidR="005540EB" w:rsidRPr="003E2C1F" w:rsidRDefault="005540EB" w:rsidP="005A10A8">
      <w:pPr>
        <w:tabs>
          <w:tab w:val="left" w:pos="810"/>
          <w:tab w:val="left" w:pos="1080"/>
          <w:tab w:val="left" w:pos="1440"/>
        </w:tabs>
        <w:ind w:right="-720" w:firstLine="1440"/>
        <w:rPr>
          <w:bCs/>
          <w:szCs w:val="22"/>
        </w:rPr>
      </w:pPr>
      <w:r w:rsidRPr="003E2C1F">
        <w:rPr>
          <w:bCs/>
          <w:szCs w:val="22"/>
        </w:rPr>
        <w:t>Summary of Rate Schedules and Tariffs</w:t>
      </w:r>
      <w:r w:rsidRPr="003E2C1F">
        <w:rPr>
          <w:bCs/>
          <w:szCs w:val="22"/>
        </w:rPr>
        <w:tab/>
      </w:r>
      <w:r w:rsidRPr="003E2C1F">
        <w:rPr>
          <w:bCs/>
          <w:szCs w:val="22"/>
        </w:rPr>
        <w:tab/>
        <w:t xml:space="preserve">  </w:t>
      </w:r>
      <w:r w:rsidRPr="003E2C1F">
        <w:rPr>
          <w:bCs/>
          <w:szCs w:val="22"/>
        </w:rPr>
        <w:tab/>
      </w:r>
      <w:r w:rsidR="00BF6CAC" w:rsidRPr="003E2C1F">
        <w:rPr>
          <w:bCs/>
          <w:szCs w:val="22"/>
        </w:rPr>
        <w:tab/>
      </w:r>
      <w:r w:rsidR="0080740D">
        <w:rPr>
          <w:bCs/>
          <w:szCs w:val="22"/>
        </w:rPr>
        <w:t xml:space="preserve">  </w:t>
      </w:r>
      <w:r w:rsidR="008C51DB">
        <w:rPr>
          <w:bCs/>
          <w:szCs w:val="22"/>
        </w:rPr>
        <w:t>6</w:t>
      </w:r>
    </w:p>
    <w:p w:rsidR="005540EB" w:rsidRPr="003E2C1F" w:rsidRDefault="005540EB" w:rsidP="005A10A8">
      <w:pPr>
        <w:tabs>
          <w:tab w:val="left" w:pos="810"/>
          <w:tab w:val="left" w:pos="1080"/>
          <w:tab w:val="left" w:pos="1440"/>
        </w:tabs>
        <w:ind w:right="-720" w:firstLine="1440"/>
        <w:rPr>
          <w:bCs/>
          <w:szCs w:val="22"/>
        </w:rPr>
      </w:pPr>
      <w:r w:rsidRPr="003E2C1F">
        <w:rPr>
          <w:bCs/>
          <w:szCs w:val="22"/>
        </w:rPr>
        <w:t>Proposed Rate Spre</w:t>
      </w:r>
      <w:r w:rsidR="00476E35" w:rsidRPr="003E2C1F">
        <w:rPr>
          <w:bCs/>
          <w:szCs w:val="22"/>
        </w:rPr>
        <w:t xml:space="preserve">ad (Increase by Schedule)  </w:t>
      </w:r>
      <w:r w:rsidR="00476E35" w:rsidRPr="003E2C1F">
        <w:rPr>
          <w:bCs/>
          <w:szCs w:val="22"/>
        </w:rPr>
        <w:tab/>
      </w:r>
      <w:r w:rsidR="00476E35" w:rsidRPr="003E2C1F">
        <w:rPr>
          <w:bCs/>
          <w:szCs w:val="22"/>
        </w:rPr>
        <w:tab/>
      </w:r>
      <w:r w:rsidR="00476E35" w:rsidRPr="003E2C1F">
        <w:rPr>
          <w:bCs/>
          <w:szCs w:val="22"/>
        </w:rPr>
        <w:tab/>
      </w:r>
      <w:r w:rsidR="008C51DB">
        <w:rPr>
          <w:bCs/>
          <w:szCs w:val="22"/>
        </w:rPr>
        <w:t xml:space="preserve">  7</w:t>
      </w:r>
    </w:p>
    <w:p w:rsidR="005540EB" w:rsidRPr="003E2C1F" w:rsidRDefault="005540EB" w:rsidP="005A10A8">
      <w:pPr>
        <w:tabs>
          <w:tab w:val="left" w:pos="810"/>
          <w:tab w:val="left" w:pos="1080"/>
          <w:tab w:val="left" w:pos="1440"/>
        </w:tabs>
        <w:ind w:right="-720" w:firstLine="1440"/>
        <w:rPr>
          <w:bCs/>
          <w:szCs w:val="22"/>
        </w:rPr>
      </w:pPr>
      <w:r w:rsidRPr="003E2C1F">
        <w:rPr>
          <w:bCs/>
          <w:szCs w:val="22"/>
        </w:rPr>
        <w:t>Proposed Rate Desig</w:t>
      </w:r>
      <w:r w:rsidR="009605C7" w:rsidRPr="003E2C1F">
        <w:rPr>
          <w:bCs/>
          <w:szCs w:val="22"/>
        </w:rPr>
        <w:t>n (</w:t>
      </w:r>
      <w:r w:rsidR="008B0C99">
        <w:rPr>
          <w:bCs/>
          <w:szCs w:val="22"/>
        </w:rPr>
        <w:t>Rates within Schedules)</w:t>
      </w:r>
      <w:r w:rsidR="008B0C99">
        <w:rPr>
          <w:bCs/>
          <w:szCs w:val="22"/>
        </w:rPr>
        <w:tab/>
      </w:r>
      <w:r w:rsidR="008B0C99">
        <w:rPr>
          <w:bCs/>
          <w:szCs w:val="22"/>
        </w:rPr>
        <w:tab/>
      </w:r>
      <w:r w:rsidR="00D64945" w:rsidRPr="003E2C1F">
        <w:rPr>
          <w:bCs/>
          <w:szCs w:val="22"/>
        </w:rPr>
        <w:tab/>
      </w:r>
      <w:r w:rsidR="008C51DB">
        <w:rPr>
          <w:bCs/>
          <w:szCs w:val="22"/>
        </w:rPr>
        <w:t xml:space="preserve"> </w:t>
      </w:r>
      <w:r w:rsidR="00B96536">
        <w:rPr>
          <w:bCs/>
          <w:szCs w:val="22"/>
        </w:rPr>
        <w:t xml:space="preserve"> 9</w:t>
      </w:r>
    </w:p>
    <w:p w:rsidR="007645E8" w:rsidRPr="003E2C1F" w:rsidRDefault="007645E8" w:rsidP="005A10A8">
      <w:pPr>
        <w:tabs>
          <w:tab w:val="left" w:pos="810"/>
          <w:tab w:val="left" w:pos="1440"/>
        </w:tabs>
        <w:ind w:left="720" w:right="-720"/>
        <w:rPr>
          <w:bCs/>
          <w:szCs w:val="22"/>
        </w:rPr>
      </w:pPr>
    </w:p>
    <w:p w:rsidR="00BF6CAC" w:rsidRPr="003E2C1F" w:rsidRDefault="00BF6CAC" w:rsidP="008E580F">
      <w:pPr>
        <w:numPr>
          <w:ilvl w:val="0"/>
          <w:numId w:val="33"/>
        </w:numPr>
        <w:tabs>
          <w:tab w:val="left" w:pos="810"/>
          <w:tab w:val="left" w:pos="1440"/>
        </w:tabs>
        <w:ind w:right="-720"/>
        <w:rPr>
          <w:bCs/>
          <w:szCs w:val="22"/>
        </w:rPr>
      </w:pPr>
      <w:r w:rsidRPr="003E2C1F">
        <w:rPr>
          <w:bCs/>
          <w:szCs w:val="22"/>
        </w:rPr>
        <w:t xml:space="preserve">Proposed Natural Gas Revenue </w:t>
      </w:r>
      <w:r w:rsidR="000D3A30">
        <w:rPr>
          <w:bCs/>
          <w:szCs w:val="22"/>
        </w:rPr>
        <w:t>Changes</w:t>
      </w:r>
    </w:p>
    <w:p w:rsidR="00BF6CAC" w:rsidRPr="003E2C1F" w:rsidRDefault="00BF6CAC" w:rsidP="00936BE1">
      <w:pPr>
        <w:tabs>
          <w:tab w:val="right" w:pos="810"/>
          <w:tab w:val="left" w:pos="1080"/>
          <w:tab w:val="left" w:pos="1440"/>
          <w:tab w:val="left" w:pos="7830"/>
          <w:tab w:val="left" w:pos="7920"/>
          <w:tab w:val="left" w:pos="8100"/>
        </w:tabs>
        <w:ind w:right="-720" w:firstLine="1440"/>
        <w:rPr>
          <w:bCs/>
          <w:szCs w:val="22"/>
        </w:rPr>
      </w:pPr>
      <w:r w:rsidRPr="003E2C1F">
        <w:rPr>
          <w:bCs/>
          <w:szCs w:val="22"/>
        </w:rPr>
        <w:lastRenderedPageBreak/>
        <w:t>Summary of Rate Schedules and Tariffs</w:t>
      </w:r>
      <w:r w:rsidRPr="003E2C1F">
        <w:rPr>
          <w:bCs/>
          <w:szCs w:val="22"/>
        </w:rPr>
        <w:tab/>
      </w:r>
      <w:r w:rsidR="00D64945" w:rsidRPr="003E2C1F">
        <w:rPr>
          <w:bCs/>
          <w:szCs w:val="22"/>
        </w:rPr>
        <w:tab/>
      </w:r>
      <w:r w:rsidR="00AC1DAD">
        <w:rPr>
          <w:bCs/>
          <w:szCs w:val="22"/>
        </w:rPr>
        <w:t>1</w:t>
      </w:r>
      <w:r w:rsidR="00B96536">
        <w:rPr>
          <w:bCs/>
          <w:szCs w:val="22"/>
        </w:rPr>
        <w:t>6</w:t>
      </w:r>
    </w:p>
    <w:p w:rsidR="00BF6CAC" w:rsidRPr="003E2C1F" w:rsidRDefault="00BF6CAC" w:rsidP="005A10A8">
      <w:pPr>
        <w:tabs>
          <w:tab w:val="left" w:pos="810"/>
          <w:tab w:val="left" w:pos="1080"/>
          <w:tab w:val="left" w:pos="1440"/>
        </w:tabs>
        <w:ind w:right="-720" w:firstLine="1440"/>
        <w:rPr>
          <w:bCs/>
          <w:szCs w:val="22"/>
        </w:rPr>
      </w:pPr>
      <w:r w:rsidRPr="003E2C1F">
        <w:rPr>
          <w:bCs/>
          <w:szCs w:val="22"/>
        </w:rPr>
        <w:t>Proposed Rate Spre</w:t>
      </w:r>
      <w:r w:rsidR="007645E8" w:rsidRPr="003E2C1F">
        <w:rPr>
          <w:bCs/>
          <w:szCs w:val="22"/>
        </w:rPr>
        <w:t>ad (Inc</w:t>
      </w:r>
      <w:r w:rsidR="008B0C99">
        <w:rPr>
          <w:bCs/>
          <w:szCs w:val="22"/>
        </w:rPr>
        <w:t xml:space="preserve">rease by Schedule)  </w:t>
      </w:r>
      <w:r w:rsidR="008B0C99">
        <w:rPr>
          <w:bCs/>
          <w:szCs w:val="22"/>
        </w:rPr>
        <w:tab/>
      </w:r>
      <w:r w:rsidR="008B0C99">
        <w:rPr>
          <w:bCs/>
          <w:szCs w:val="22"/>
        </w:rPr>
        <w:tab/>
      </w:r>
      <w:r w:rsidR="00D64945" w:rsidRPr="003E2C1F">
        <w:rPr>
          <w:bCs/>
          <w:szCs w:val="22"/>
        </w:rPr>
        <w:tab/>
      </w:r>
      <w:r w:rsidR="008C51DB">
        <w:rPr>
          <w:bCs/>
          <w:szCs w:val="22"/>
        </w:rPr>
        <w:t>1</w:t>
      </w:r>
      <w:r w:rsidR="001E48C8">
        <w:rPr>
          <w:bCs/>
          <w:szCs w:val="22"/>
        </w:rPr>
        <w:t>8</w:t>
      </w:r>
    </w:p>
    <w:p w:rsidR="007645E8" w:rsidRPr="003E2C1F" w:rsidRDefault="00BF6CAC" w:rsidP="005A10A8">
      <w:pPr>
        <w:tabs>
          <w:tab w:val="left" w:pos="810"/>
          <w:tab w:val="left" w:pos="1080"/>
          <w:tab w:val="left" w:pos="1440"/>
        </w:tabs>
        <w:ind w:right="-720" w:firstLine="1440"/>
        <w:rPr>
          <w:bCs/>
          <w:szCs w:val="22"/>
        </w:rPr>
      </w:pPr>
      <w:r w:rsidRPr="003E2C1F">
        <w:rPr>
          <w:bCs/>
          <w:szCs w:val="22"/>
        </w:rPr>
        <w:t>Proposed Rate Design (Rates within Schedules)</w:t>
      </w:r>
      <w:r w:rsidRPr="003E2C1F">
        <w:rPr>
          <w:bCs/>
          <w:szCs w:val="22"/>
        </w:rPr>
        <w:tab/>
      </w:r>
      <w:r w:rsidRPr="003E2C1F">
        <w:rPr>
          <w:bCs/>
          <w:szCs w:val="22"/>
        </w:rPr>
        <w:tab/>
      </w:r>
      <w:r w:rsidRPr="003E2C1F">
        <w:rPr>
          <w:bCs/>
          <w:szCs w:val="22"/>
        </w:rPr>
        <w:tab/>
      </w:r>
      <w:r w:rsidR="008C51DB">
        <w:rPr>
          <w:bCs/>
          <w:szCs w:val="22"/>
        </w:rPr>
        <w:t>2</w:t>
      </w:r>
      <w:r w:rsidR="001E48C8">
        <w:rPr>
          <w:bCs/>
          <w:szCs w:val="22"/>
        </w:rPr>
        <w:t>0</w:t>
      </w:r>
    </w:p>
    <w:p w:rsidR="00C01292" w:rsidRPr="003E2C1F" w:rsidRDefault="00C01292" w:rsidP="005A10A8">
      <w:pPr>
        <w:tabs>
          <w:tab w:val="left" w:pos="810"/>
          <w:tab w:val="left" w:pos="1080"/>
          <w:tab w:val="left" w:pos="1440"/>
        </w:tabs>
        <w:ind w:right="-720" w:firstLine="1440"/>
        <w:rPr>
          <w:bCs/>
          <w:szCs w:val="22"/>
        </w:rPr>
      </w:pPr>
    </w:p>
    <w:p w:rsidR="00F10C1F" w:rsidRPr="003E2C1F" w:rsidRDefault="00F10C1F" w:rsidP="00C37C56">
      <w:pPr>
        <w:numPr>
          <w:ilvl w:val="0"/>
          <w:numId w:val="33"/>
        </w:numPr>
        <w:tabs>
          <w:tab w:val="left" w:pos="1440"/>
        </w:tabs>
        <w:spacing w:line="360" w:lineRule="auto"/>
        <w:ind w:right="-720"/>
        <w:rPr>
          <w:bCs/>
          <w:szCs w:val="22"/>
        </w:rPr>
      </w:pPr>
      <w:r w:rsidRPr="003E2C1F">
        <w:rPr>
          <w:bCs/>
          <w:szCs w:val="22"/>
        </w:rPr>
        <w:t>Basic Charge</w:t>
      </w:r>
      <w:r w:rsidR="00AA7417">
        <w:rPr>
          <w:bCs/>
          <w:szCs w:val="22"/>
        </w:rPr>
        <w:t xml:space="preserve"> for Schedules 1 &amp; 101 </w:t>
      </w:r>
      <w:r w:rsidRPr="003E2C1F">
        <w:rPr>
          <w:bCs/>
          <w:szCs w:val="22"/>
        </w:rPr>
        <w:tab/>
      </w:r>
      <w:r w:rsidR="00AA7417">
        <w:rPr>
          <w:bCs/>
          <w:szCs w:val="22"/>
        </w:rPr>
        <w:tab/>
      </w:r>
      <w:r w:rsidRPr="003E2C1F">
        <w:rPr>
          <w:bCs/>
          <w:szCs w:val="22"/>
        </w:rPr>
        <w:tab/>
      </w:r>
      <w:r w:rsidRPr="003E2C1F">
        <w:rPr>
          <w:bCs/>
          <w:szCs w:val="22"/>
        </w:rPr>
        <w:tab/>
      </w:r>
      <w:r w:rsidRPr="003E2C1F">
        <w:rPr>
          <w:bCs/>
          <w:szCs w:val="22"/>
        </w:rPr>
        <w:tab/>
      </w:r>
      <w:r w:rsidR="001E48C8">
        <w:rPr>
          <w:bCs/>
          <w:szCs w:val="22"/>
        </w:rPr>
        <w:t>24</w:t>
      </w:r>
    </w:p>
    <w:p w:rsidR="002F3BC3" w:rsidRDefault="00AD03A5" w:rsidP="00C37C56">
      <w:pPr>
        <w:numPr>
          <w:ilvl w:val="0"/>
          <w:numId w:val="33"/>
        </w:numPr>
        <w:tabs>
          <w:tab w:val="left" w:pos="1440"/>
        </w:tabs>
        <w:spacing w:line="360" w:lineRule="auto"/>
        <w:ind w:right="-720"/>
        <w:rPr>
          <w:bCs/>
          <w:szCs w:val="22"/>
        </w:rPr>
      </w:pPr>
      <w:r w:rsidRPr="003E2C1F">
        <w:rPr>
          <w:bCs/>
          <w:szCs w:val="22"/>
        </w:rPr>
        <w:t>Summary of UE-</w:t>
      </w:r>
      <w:r w:rsidR="000D3A30">
        <w:rPr>
          <w:bCs/>
          <w:szCs w:val="22"/>
        </w:rPr>
        <w:t>140188</w:t>
      </w:r>
      <w:r w:rsidRPr="003E2C1F">
        <w:rPr>
          <w:bCs/>
          <w:szCs w:val="22"/>
        </w:rPr>
        <w:t>/UG-</w:t>
      </w:r>
      <w:r w:rsidR="000D3A30">
        <w:rPr>
          <w:bCs/>
          <w:szCs w:val="22"/>
        </w:rPr>
        <w:t>140189</w:t>
      </w:r>
      <w:r w:rsidRPr="003E2C1F">
        <w:rPr>
          <w:bCs/>
          <w:szCs w:val="22"/>
        </w:rPr>
        <w:t xml:space="preserve"> Order </w:t>
      </w:r>
      <w:r w:rsidR="000E2E27" w:rsidRPr="003E2C1F">
        <w:rPr>
          <w:bCs/>
          <w:szCs w:val="22"/>
        </w:rPr>
        <w:t>No.</w:t>
      </w:r>
      <w:r w:rsidR="000D3A30">
        <w:rPr>
          <w:bCs/>
          <w:szCs w:val="22"/>
        </w:rPr>
        <w:t xml:space="preserve"> 05</w:t>
      </w:r>
      <w:r w:rsidRPr="003E2C1F">
        <w:rPr>
          <w:bCs/>
          <w:szCs w:val="22"/>
        </w:rPr>
        <w:t xml:space="preserve"> Requirements</w:t>
      </w:r>
      <w:r w:rsidR="004E4650" w:rsidRPr="003E2C1F">
        <w:rPr>
          <w:bCs/>
          <w:szCs w:val="22"/>
        </w:rPr>
        <w:tab/>
      </w:r>
      <w:r w:rsidR="008C51DB">
        <w:rPr>
          <w:bCs/>
          <w:szCs w:val="22"/>
        </w:rPr>
        <w:t>3</w:t>
      </w:r>
      <w:r w:rsidR="001E48C8">
        <w:rPr>
          <w:bCs/>
          <w:szCs w:val="22"/>
        </w:rPr>
        <w:t>6</w:t>
      </w:r>
    </w:p>
    <w:p w:rsidR="0042464B" w:rsidRPr="00916D0F" w:rsidRDefault="0042464B" w:rsidP="00C37C56">
      <w:pPr>
        <w:numPr>
          <w:ilvl w:val="0"/>
          <w:numId w:val="33"/>
        </w:numPr>
        <w:tabs>
          <w:tab w:val="left" w:pos="1440"/>
        </w:tabs>
        <w:spacing w:line="360" w:lineRule="auto"/>
        <w:ind w:right="-720"/>
        <w:rPr>
          <w:bCs/>
          <w:szCs w:val="22"/>
        </w:rPr>
      </w:pPr>
      <w:r>
        <w:rPr>
          <w:bCs/>
          <w:szCs w:val="22"/>
        </w:rPr>
        <w:t>Other Items</w:t>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001E48C8">
        <w:rPr>
          <w:bCs/>
          <w:szCs w:val="22"/>
        </w:rPr>
        <w:t>38</w:t>
      </w:r>
    </w:p>
    <w:p w:rsidR="006753D1" w:rsidRDefault="006753D1">
      <w:pPr>
        <w:autoSpaceDE/>
        <w:autoSpaceDN/>
        <w:rPr>
          <w:b/>
          <w:szCs w:val="20"/>
          <w:u w:val="single"/>
        </w:rPr>
      </w:pPr>
    </w:p>
    <w:p w:rsidR="005540EB" w:rsidRPr="001D76D1" w:rsidRDefault="005540EB" w:rsidP="005540EB">
      <w:pPr>
        <w:pStyle w:val="P267"/>
        <w:tabs>
          <w:tab w:val="clear" w:pos="360"/>
          <w:tab w:val="left" w:pos="0"/>
        </w:tabs>
        <w:ind w:left="0"/>
        <w:jc w:val="center"/>
        <w:rPr>
          <w:rFonts w:ascii="Times New Roman" w:hAnsi="Times New Roman" w:cs="Times New Roman"/>
        </w:rPr>
      </w:pPr>
      <w:r w:rsidRPr="001D76D1">
        <w:rPr>
          <w:rFonts w:ascii="Times New Roman" w:hAnsi="Times New Roman" w:cs="Times New Roman"/>
        </w:rPr>
        <w:t>II</w:t>
      </w:r>
      <w:proofErr w:type="gramStart"/>
      <w:r w:rsidRPr="001D76D1">
        <w:rPr>
          <w:rFonts w:ascii="Times New Roman" w:hAnsi="Times New Roman" w:cs="Times New Roman"/>
        </w:rPr>
        <w:t>.  EXECUTIVE</w:t>
      </w:r>
      <w:proofErr w:type="gramEnd"/>
      <w:r w:rsidRPr="001D76D1">
        <w:rPr>
          <w:rFonts w:ascii="Times New Roman" w:hAnsi="Times New Roman" w:cs="Times New Roman"/>
        </w:rPr>
        <w:t xml:space="preserve"> SUMMARY</w:t>
      </w:r>
    </w:p>
    <w:p w:rsidR="005540EB" w:rsidRPr="005540EB" w:rsidRDefault="005540EB" w:rsidP="00711833">
      <w:pPr>
        <w:pStyle w:val="P25"/>
        <w:jc w:val="both"/>
        <w:outlineLvl w:val="0"/>
        <w:rPr>
          <w:rFonts w:ascii="Times New Roman" w:hAnsi="Times New Roman" w:cs="Times New Roman"/>
        </w:rPr>
      </w:pPr>
      <w:r w:rsidRPr="005540EB">
        <w:rPr>
          <w:rFonts w:ascii="Times New Roman" w:hAnsi="Times New Roman" w:cs="Times New Roman"/>
        </w:rPr>
        <w:t xml:space="preserve">Proposed Electric </w:t>
      </w:r>
      <w:r w:rsidR="007D16EF">
        <w:rPr>
          <w:rFonts w:ascii="Times New Roman" w:hAnsi="Times New Roman" w:cs="Times New Roman"/>
        </w:rPr>
        <w:t>Increase</w:t>
      </w:r>
    </w:p>
    <w:p w:rsidR="00657437" w:rsidRDefault="007D16EF" w:rsidP="00657437">
      <w:pPr>
        <w:pStyle w:val="P31"/>
        <w:jc w:val="both"/>
        <w:rPr>
          <w:rFonts w:ascii="Times New Roman" w:hAnsi="Times New Roman" w:cs="Times New Roman"/>
          <w:b/>
        </w:rPr>
      </w:pPr>
      <w:r w:rsidRPr="007D16EF">
        <w:rPr>
          <w:rFonts w:ascii="Times New Roman" w:hAnsi="Times New Roman" w:cs="Times New Roman"/>
          <w:b/>
        </w:rPr>
        <w:t>Q.</w:t>
      </w:r>
      <w:r w:rsidRPr="007D16EF">
        <w:rPr>
          <w:rFonts w:ascii="Times New Roman" w:hAnsi="Times New Roman" w:cs="Times New Roman"/>
          <w:b/>
        </w:rPr>
        <w:tab/>
        <w:t>What is the proposed electric revenue increase in this case and how is the Company proposing to spread the total increase by rate schedule?</w:t>
      </w:r>
    </w:p>
    <w:p w:rsidR="005E2247" w:rsidRPr="001D76D1" w:rsidRDefault="00657437" w:rsidP="00657437">
      <w:pPr>
        <w:pStyle w:val="P31"/>
        <w:jc w:val="both"/>
        <w:rPr>
          <w:rFonts w:ascii="Times New Roman" w:hAnsi="Times New Roman" w:cs="Times New Roman"/>
        </w:rPr>
      </w:pPr>
      <w:r w:rsidRPr="00657437">
        <w:rPr>
          <w:rFonts w:ascii="Times New Roman" w:hAnsi="Times New Roman" w:cs="Times New Roman"/>
        </w:rPr>
        <w:t>A.</w:t>
      </w:r>
      <w:r w:rsidRPr="00657437">
        <w:rPr>
          <w:rFonts w:ascii="Times New Roman" w:hAnsi="Times New Roman" w:cs="Times New Roman"/>
        </w:rPr>
        <w:tab/>
      </w:r>
      <w:r w:rsidR="005540EB" w:rsidRPr="00657437">
        <w:rPr>
          <w:rFonts w:ascii="Times New Roman" w:hAnsi="Times New Roman" w:cs="Times New Roman"/>
        </w:rPr>
        <w:t>The</w:t>
      </w:r>
      <w:r w:rsidR="005540EB" w:rsidRPr="00A47B5B">
        <w:rPr>
          <w:rFonts w:ascii="Times New Roman" w:hAnsi="Times New Roman" w:cs="Times New Roman"/>
        </w:rPr>
        <w:t xml:space="preserve"> proposed electric </w:t>
      </w:r>
      <w:r w:rsidR="00817342">
        <w:rPr>
          <w:rFonts w:ascii="Times New Roman" w:hAnsi="Times New Roman" w:cs="Times New Roman"/>
        </w:rPr>
        <w:t>rate adjustment is an increase of</w:t>
      </w:r>
      <w:r w:rsidR="005540EB" w:rsidRPr="00A47B5B">
        <w:rPr>
          <w:rFonts w:ascii="Times New Roman" w:hAnsi="Times New Roman" w:cs="Times New Roman"/>
        </w:rPr>
        <w:t xml:space="preserve"> </w:t>
      </w:r>
      <w:r w:rsidR="0042464B">
        <w:rPr>
          <w:rFonts w:ascii="Times New Roman" w:hAnsi="Times New Roman" w:cs="Times New Roman"/>
        </w:rPr>
        <w:t>$33,229,000</w:t>
      </w:r>
      <w:r w:rsidR="00CB3A2C" w:rsidRPr="004A14EC">
        <w:rPr>
          <w:rFonts w:ascii="Times New Roman" w:hAnsi="Times New Roman" w:cs="Times New Roman"/>
        </w:rPr>
        <w:t>, or</w:t>
      </w:r>
      <w:r w:rsidR="0042464B">
        <w:rPr>
          <w:rFonts w:ascii="Times New Roman" w:hAnsi="Times New Roman" w:cs="Times New Roman"/>
        </w:rPr>
        <w:t xml:space="preserve"> 6.</w:t>
      </w:r>
      <w:r w:rsidR="00F03E78">
        <w:rPr>
          <w:rFonts w:ascii="Times New Roman" w:hAnsi="Times New Roman" w:cs="Times New Roman"/>
        </w:rPr>
        <w:t>6</w:t>
      </w:r>
      <w:r w:rsidR="0042464B">
        <w:rPr>
          <w:rFonts w:ascii="Times New Roman" w:hAnsi="Times New Roman" w:cs="Times New Roman"/>
        </w:rPr>
        <w:t>%</w:t>
      </w:r>
      <w:r w:rsidR="006C2E1E">
        <w:rPr>
          <w:rFonts w:ascii="Times New Roman" w:hAnsi="Times New Roman" w:cs="Times New Roman"/>
        </w:rPr>
        <w:t>,</w:t>
      </w:r>
      <w:r w:rsidR="0042464B">
        <w:rPr>
          <w:rFonts w:ascii="Times New Roman" w:hAnsi="Times New Roman" w:cs="Times New Roman"/>
        </w:rPr>
        <w:t xml:space="preserve"> </w:t>
      </w:r>
      <w:r w:rsidR="005540EB" w:rsidRPr="004A14EC">
        <w:rPr>
          <w:rFonts w:ascii="Times New Roman" w:hAnsi="Times New Roman" w:cs="Times New Roman"/>
        </w:rPr>
        <w:t>over</w:t>
      </w:r>
      <w:r w:rsidR="005540EB" w:rsidRPr="00A47B5B">
        <w:rPr>
          <w:rFonts w:ascii="Times New Roman" w:hAnsi="Times New Roman" w:cs="Times New Roman"/>
        </w:rPr>
        <w:t xml:space="preserve"> present tariff </w:t>
      </w:r>
      <w:r w:rsidR="002E0B86">
        <w:rPr>
          <w:rFonts w:ascii="Times New Roman" w:hAnsi="Times New Roman" w:cs="Times New Roman"/>
        </w:rPr>
        <w:t>revenues</w:t>
      </w:r>
      <w:r w:rsidR="005540EB" w:rsidRPr="00A47B5B">
        <w:rPr>
          <w:rFonts w:ascii="Times New Roman" w:hAnsi="Times New Roman" w:cs="Times New Roman"/>
        </w:rPr>
        <w:t xml:space="preserve">. </w:t>
      </w:r>
      <w:r w:rsidR="00822621">
        <w:rPr>
          <w:rFonts w:ascii="Times New Roman" w:hAnsi="Times New Roman" w:cs="Times New Roman"/>
        </w:rPr>
        <w:t xml:space="preserve"> </w:t>
      </w:r>
      <w:r w:rsidR="004A14EC" w:rsidRPr="00A47B5B">
        <w:rPr>
          <w:rFonts w:ascii="Times New Roman" w:hAnsi="Times New Roman" w:cs="Times New Roman"/>
        </w:rPr>
        <w:t xml:space="preserve">The proposed general increase over present </w:t>
      </w:r>
      <w:r w:rsidR="004A14EC" w:rsidRPr="00A47B5B">
        <w:rPr>
          <w:rStyle w:val="T5"/>
          <w:rFonts w:ascii="Times New Roman" w:hAnsi="Times New Roman" w:cs="Times New Roman"/>
        </w:rPr>
        <w:t>billing</w:t>
      </w:r>
      <w:r w:rsidR="004A14EC" w:rsidRPr="00A47B5B">
        <w:rPr>
          <w:rFonts w:ascii="Times New Roman" w:hAnsi="Times New Roman" w:cs="Times New Roman"/>
        </w:rPr>
        <w:t xml:space="preserve"> </w:t>
      </w:r>
      <w:r w:rsidR="002E0B86">
        <w:rPr>
          <w:rFonts w:ascii="Times New Roman" w:hAnsi="Times New Roman" w:cs="Times New Roman"/>
        </w:rPr>
        <w:t>revenues</w:t>
      </w:r>
      <w:r w:rsidR="004A14EC" w:rsidRPr="00A47B5B">
        <w:rPr>
          <w:rFonts w:ascii="Times New Roman" w:hAnsi="Times New Roman" w:cs="Times New Roman"/>
        </w:rPr>
        <w:t xml:space="preserve">, including </w:t>
      </w:r>
      <w:r w:rsidR="00BE7011">
        <w:rPr>
          <w:rFonts w:ascii="Times New Roman" w:hAnsi="Times New Roman" w:cs="Times New Roman"/>
        </w:rPr>
        <w:t xml:space="preserve">the effects of </w:t>
      </w:r>
      <w:r w:rsidR="004A14EC" w:rsidRPr="00A47B5B">
        <w:rPr>
          <w:rFonts w:ascii="Times New Roman" w:hAnsi="Times New Roman" w:cs="Times New Roman"/>
        </w:rPr>
        <w:t>other</w:t>
      </w:r>
      <w:r w:rsidR="00BE7011">
        <w:rPr>
          <w:rFonts w:ascii="Times New Roman" w:hAnsi="Times New Roman" w:cs="Times New Roman"/>
        </w:rPr>
        <w:t xml:space="preserve"> approved</w:t>
      </w:r>
      <w:r w:rsidR="004A14EC" w:rsidRPr="00A47B5B">
        <w:rPr>
          <w:rFonts w:ascii="Times New Roman" w:hAnsi="Times New Roman" w:cs="Times New Roman"/>
        </w:rPr>
        <w:t xml:space="preserve"> rate adjustments (DSM</w:t>
      </w:r>
      <w:r w:rsidR="00BE7011">
        <w:rPr>
          <w:rFonts w:ascii="Times New Roman" w:hAnsi="Times New Roman" w:cs="Times New Roman"/>
        </w:rPr>
        <w:t xml:space="preserve">, </w:t>
      </w:r>
      <w:r w:rsidR="00B50A07">
        <w:rPr>
          <w:rFonts w:ascii="Times New Roman" w:hAnsi="Times New Roman" w:cs="Times New Roman"/>
        </w:rPr>
        <w:t>LIRAP, Residential Exchange and the ERM</w:t>
      </w:r>
      <w:r w:rsidR="006C7E37">
        <w:rPr>
          <w:rFonts w:ascii="Times New Roman" w:hAnsi="Times New Roman" w:cs="Times New Roman"/>
        </w:rPr>
        <w:t xml:space="preserve"> and</w:t>
      </w:r>
      <w:r w:rsidR="00B50A07">
        <w:rPr>
          <w:rFonts w:ascii="Times New Roman" w:hAnsi="Times New Roman" w:cs="Times New Roman"/>
        </w:rPr>
        <w:t xml:space="preserve"> REC Revenue Rebates</w:t>
      </w:r>
      <w:r w:rsidR="00817342">
        <w:rPr>
          <w:rFonts w:ascii="Times New Roman" w:hAnsi="Times New Roman" w:cs="Times New Roman"/>
        </w:rPr>
        <w:t>)</w:t>
      </w:r>
      <w:r w:rsidR="006456F0">
        <w:rPr>
          <w:rFonts w:ascii="Times New Roman" w:hAnsi="Times New Roman" w:cs="Times New Roman"/>
        </w:rPr>
        <w:t xml:space="preserve"> </w:t>
      </w:r>
      <w:r w:rsidR="004A14EC" w:rsidRPr="00A47B5B">
        <w:rPr>
          <w:rFonts w:ascii="Times New Roman" w:hAnsi="Times New Roman" w:cs="Times New Roman"/>
        </w:rPr>
        <w:t xml:space="preserve">is </w:t>
      </w:r>
      <w:r w:rsidR="00F03E78">
        <w:rPr>
          <w:rFonts w:ascii="Times New Roman" w:hAnsi="Times New Roman" w:cs="Times New Roman"/>
        </w:rPr>
        <w:t>6.7</w:t>
      </w:r>
      <w:r w:rsidR="004A14EC" w:rsidRPr="00A47B5B">
        <w:rPr>
          <w:rFonts w:ascii="Times New Roman" w:hAnsi="Times New Roman" w:cs="Times New Roman"/>
        </w:rPr>
        <w:t>%</w:t>
      </w:r>
      <w:r w:rsidR="00600A93">
        <w:rPr>
          <w:rStyle w:val="FootnoteReference"/>
          <w:rFonts w:ascii="Times New Roman" w:hAnsi="Times New Roman"/>
        </w:rPr>
        <w:footnoteReference w:id="1"/>
      </w:r>
      <w:r w:rsidR="004A14EC" w:rsidRPr="00A47B5B">
        <w:rPr>
          <w:rFonts w:ascii="Times New Roman" w:hAnsi="Times New Roman" w:cs="Times New Roman"/>
        </w:rPr>
        <w:t xml:space="preserve">.  </w:t>
      </w:r>
      <w:r w:rsidR="00BE7011">
        <w:rPr>
          <w:rFonts w:ascii="Times New Roman" w:hAnsi="Times New Roman" w:cs="Times New Roman"/>
        </w:rPr>
        <w:t>The Company is</w:t>
      </w:r>
      <w:r w:rsidR="004C3DE4">
        <w:rPr>
          <w:rFonts w:ascii="Times New Roman" w:hAnsi="Times New Roman" w:cs="Times New Roman"/>
        </w:rPr>
        <w:t xml:space="preserve"> proposing that the</w:t>
      </w:r>
      <w:r w:rsidR="00BE7011">
        <w:rPr>
          <w:rFonts w:ascii="Times New Roman" w:hAnsi="Times New Roman" w:cs="Times New Roman"/>
        </w:rPr>
        <w:t xml:space="preserve"> </w:t>
      </w:r>
      <w:r w:rsidR="00371D94" w:rsidRPr="00A47B5B">
        <w:rPr>
          <w:rFonts w:ascii="Times New Roman" w:hAnsi="Times New Roman" w:cs="Times New Roman"/>
        </w:rPr>
        <w:t xml:space="preserve">base rate </w:t>
      </w:r>
      <w:r w:rsidR="005540EB" w:rsidRPr="00A47B5B">
        <w:rPr>
          <w:rFonts w:ascii="Times New Roman" w:hAnsi="Times New Roman" w:cs="Times New Roman"/>
        </w:rPr>
        <w:t xml:space="preserve">increase of </w:t>
      </w:r>
      <w:r w:rsidR="0042464B">
        <w:rPr>
          <w:rFonts w:ascii="Times New Roman" w:hAnsi="Times New Roman" w:cs="Times New Roman"/>
        </w:rPr>
        <w:t xml:space="preserve">$33,229,000 </w:t>
      </w:r>
      <w:r w:rsidR="004C3DE4">
        <w:rPr>
          <w:rFonts w:ascii="Times New Roman" w:hAnsi="Times New Roman" w:cs="Times New Roman"/>
        </w:rPr>
        <w:t>be</w:t>
      </w:r>
      <w:r w:rsidR="005540EB" w:rsidRPr="00A47B5B">
        <w:rPr>
          <w:rFonts w:ascii="Times New Roman" w:hAnsi="Times New Roman" w:cs="Times New Roman"/>
        </w:rPr>
        <w:t xml:space="preserve"> spread </w:t>
      </w:r>
      <w:r w:rsidR="005F3BDA">
        <w:rPr>
          <w:rFonts w:ascii="Times New Roman" w:hAnsi="Times New Roman" w:cs="Times New Roman"/>
        </w:rPr>
        <w:t>utilizing</w:t>
      </w:r>
      <w:r w:rsidR="005F3BDA" w:rsidRPr="00CE7021">
        <w:rPr>
          <w:rFonts w:ascii="Times New Roman" w:hAnsi="Times New Roman" w:cs="Times New Roman"/>
        </w:rPr>
        <w:t xml:space="preserve"> the results of the </w:t>
      </w:r>
      <w:r w:rsidR="005F3BDA">
        <w:rPr>
          <w:rFonts w:ascii="Times New Roman" w:hAnsi="Times New Roman" w:cs="Times New Roman"/>
        </w:rPr>
        <w:t>electric</w:t>
      </w:r>
      <w:r w:rsidR="005F3BDA" w:rsidRPr="00CE7021">
        <w:rPr>
          <w:rFonts w:ascii="Times New Roman" w:hAnsi="Times New Roman" w:cs="Times New Roman"/>
        </w:rPr>
        <w:t xml:space="preserve"> cost of service study, sponsored by Company witness M</w:t>
      </w:r>
      <w:r w:rsidR="005F3BDA">
        <w:rPr>
          <w:rFonts w:ascii="Times New Roman" w:hAnsi="Times New Roman" w:cs="Times New Roman"/>
        </w:rPr>
        <w:t>s</w:t>
      </w:r>
      <w:r w:rsidR="005F3BDA" w:rsidRPr="00CE7021">
        <w:rPr>
          <w:rFonts w:ascii="Times New Roman" w:hAnsi="Times New Roman" w:cs="Times New Roman"/>
        </w:rPr>
        <w:t xml:space="preserve">. </w:t>
      </w:r>
      <w:r w:rsidR="005F3BDA">
        <w:rPr>
          <w:rFonts w:ascii="Times New Roman" w:hAnsi="Times New Roman" w:cs="Times New Roman"/>
        </w:rPr>
        <w:t>Knox</w:t>
      </w:r>
      <w:r w:rsidR="005F3BDA" w:rsidRPr="00CE7021">
        <w:rPr>
          <w:rFonts w:ascii="Times New Roman" w:hAnsi="Times New Roman" w:cs="Times New Roman"/>
        </w:rPr>
        <w:t>, as a guide in spreading the overall revenue increase</w:t>
      </w:r>
      <w:r w:rsidR="005F3BDA">
        <w:rPr>
          <w:rFonts w:ascii="Times New Roman" w:hAnsi="Times New Roman" w:cs="Times New Roman"/>
        </w:rPr>
        <w:t xml:space="preserve">.  </w:t>
      </w:r>
      <w:r w:rsidR="005540EB" w:rsidRPr="00A47B5B">
        <w:rPr>
          <w:rFonts w:ascii="Times New Roman" w:hAnsi="Times New Roman" w:cs="Times New Roman"/>
        </w:rPr>
        <w:t xml:space="preserve">The proposed percentage increase by rate schedule is as follows: </w:t>
      </w:r>
    </w:p>
    <w:p w:rsidR="005540EB" w:rsidRPr="00B5246C" w:rsidRDefault="006C7E37" w:rsidP="00711833">
      <w:pPr>
        <w:pStyle w:val="P31"/>
        <w:jc w:val="both"/>
        <w:rPr>
          <w:rFonts w:ascii="Times New Roman" w:hAnsi="Times New Roman" w:cs="Times New Roman"/>
        </w:rPr>
      </w:pPr>
      <w:r w:rsidRPr="006C7E37">
        <w:rPr>
          <w:noProof/>
        </w:rPr>
        <w:drawing>
          <wp:anchor distT="0" distB="0" distL="114300" distR="114300" simplePos="0" relativeHeight="251958784" behindDoc="1" locked="0" layoutInCell="1" allowOverlap="1">
            <wp:simplePos x="0" y="0"/>
            <wp:positionH relativeFrom="column">
              <wp:posOffset>477975</wp:posOffset>
            </wp:positionH>
            <wp:positionV relativeFrom="paragraph">
              <wp:posOffset>851</wp:posOffset>
            </wp:positionV>
            <wp:extent cx="4820369" cy="2044460"/>
            <wp:effectExtent l="1905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820369" cy="2044460"/>
                    </a:xfrm>
                    <a:prstGeom prst="rect">
                      <a:avLst/>
                    </a:prstGeom>
                    <a:noFill/>
                    <a:ln w="9525">
                      <a:noFill/>
                      <a:miter lim="800000"/>
                      <a:headEnd/>
                      <a:tailEnd/>
                    </a:ln>
                  </pic:spPr>
                </pic:pic>
              </a:graphicData>
            </a:graphic>
          </wp:anchor>
        </w:drawing>
      </w:r>
    </w:p>
    <w:p w:rsidR="005540EB" w:rsidRPr="007B58C5" w:rsidRDefault="005540EB" w:rsidP="00711833">
      <w:pPr>
        <w:pStyle w:val="P85"/>
        <w:jc w:val="both"/>
        <w:rPr>
          <w:rFonts w:ascii="Times New Roman" w:hAnsi="Times New Roman" w:cs="Times New Roman"/>
          <w:b/>
          <w:sz w:val="22"/>
          <w:szCs w:val="22"/>
        </w:rPr>
      </w:pPr>
      <w:r w:rsidRPr="005540EB">
        <w:rPr>
          <w:rFonts w:ascii="Times New Roman" w:hAnsi="Times New Roman" w:cs="Times New Roman"/>
        </w:rPr>
        <w:t xml:space="preserve">   </w:t>
      </w:r>
    </w:p>
    <w:p w:rsidR="005540EB" w:rsidRPr="005540EB" w:rsidRDefault="005540EB" w:rsidP="00711833">
      <w:pPr>
        <w:pStyle w:val="P31"/>
        <w:ind w:firstLine="0"/>
        <w:jc w:val="both"/>
        <w:rPr>
          <w:rFonts w:ascii="Times New Roman" w:hAnsi="Times New Roman" w:cs="Times New Roman"/>
        </w:rPr>
      </w:pPr>
    </w:p>
    <w:p w:rsidR="00524793" w:rsidRDefault="00524793" w:rsidP="00711833">
      <w:pPr>
        <w:pStyle w:val="P31"/>
        <w:jc w:val="both"/>
        <w:rPr>
          <w:rFonts w:ascii="Times New Roman" w:hAnsi="Times New Roman" w:cs="Times New Roman"/>
        </w:rPr>
      </w:pPr>
    </w:p>
    <w:p w:rsidR="00524793" w:rsidRDefault="00524793" w:rsidP="00711833">
      <w:pPr>
        <w:pStyle w:val="P31"/>
        <w:jc w:val="both"/>
        <w:rPr>
          <w:rFonts w:ascii="Times New Roman" w:hAnsi="Times New Roman" w:cs="Times New Roman"/>
        </w:rPr>
      </w:pPr>
    </w:p>
    <w:p w:rsidR="00D74916" w:rsidRDefault="00D74916" w:rsidP="00711833">
      <w:pPr>
        <w:pStyle w:val="P31"/>
        <w:jc w:val="both"/>
        <w:rPr>
          <w:rFonts w:ascii="Times New Roman" w:hAnsi="Times New Roman" w:cs="Times New Roman"/>
        </w:rPr>
      </w:pPr>
    </w:p>
    <w:p w:rsidR="005540EB" w:rsidRPr="00944313" w:rsidRDefault="005540EB" w:rsidP="00B50A07">
      <w:pPr>
        <w:pStyle w:val="P31"/>
        <w:ind w:firstLine="0"/>
        <w:jc w:val="both"/>
        <w:rPr>
          <w:rFonts w:ascii="Times New Roman" w:hAnsi="Times New Roman" w:cs="Times New Roman"/>
        </w:rPr>
      </w:pPr>
      <w:r w:rsidRPr="005540EB">
        <w:rPr>
          <w:rFonts w:ascii="Times New Roman" w:hAnsi="Times New Roman" w:cs="Times New Roman"/>
        </w:rPr>
        <w:lastRenderedPageBreak/>
        <w:t xml:space="preserve">This information is shown </w:t>
      </w:r>
      <w:r w:rsidR="001D224A">
        <w:rPr>
          <w:rFonts w:ascii="Times New Roman" w:hAnsi="Times New Roman" w:cs="Times New Roman"/>
        </w:rPr>
        <w:t>with more</w:t>
      </w:r>
      <w:r w:rsidR="006C7E37">
        <w:rPr>
          <w:rFonts w:ascii="Times New Roman" w:hAnsi="Times New Roman" w:cs="Times New Roman"/>
        </w:rPr>
        <w:t xml:space="preserve"> detail on page 1</w:t>
      </w:r>
      <w:r w:rsidRPr="005540EB">
        <w:rPr>
          <w:rFonts w:ascii="Times New Roman" w:hAnsi="Times New Roman" w:cs="Times New Roman"/>
        </w:rPr>
        <w:t xml:space="preserve"> of Exhibit No._</w:t>
      </w:r>
      <w:r w:rsidR="0043473F">
        <w:rPr>
          <w:rFonts w:ascii="Times New Roman" w:hAnsi="Times New Roman" w:cs="Times New Roman"/>
        </w:rPr>
        <w:t>_</w:t>
      </w:r>
      <w:proofErr w:type="gramStart"/>
      <w:r w:rsidR="0043473F">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w:t>
      </w:r>
      <w:r w:rsidR="00657437">
        <w:rPr>
          <w:rFonts w:ascii="Times New Roman" w:hAnsi="Times New Roman" w:cs="Times New Roman"/>
        </w:rPr>
        <w:t>4</w:t>
      </w:r>
      <w:r w:rsidRPr="005540EB">
        <w:rPr>
          <w:rFonts w:ascii="Times New Roman" w:hAnsi="Times New Roman" w:cs="Times New Roman"/>
        </w:rPr>
        <w:t xml:space="preserve">).  </w:t>
      </w:r>
    </w:p>
    <w:p w:rsidR="00657437" w:rsidRPr="005540EB" w:rsidRDefault="00657437" w:rsidP="00657437">
      <w:pPr>
        <w:pStyle w:val="P129"/>
        <w:numPr>
          <w:ilvl w:val="0"/>
          <w:numId w:val="9"/>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What is the proposed increase for a residential electric customer with average consumption?</w:t>
      </w:r>
    </w:p>
    <w:p w:rsidR="00657437" w:rsidRPr="00BC5C99" w:rsidRDefault="00657437" w:rsidP="00657437">
      <w:pPr>
        <w:pStyle w:val="P156"/>
        <w:numPr>
          <w:ilvl w:val="0"/>
          <w:numId w:val="19"/>
        </w:numPr>
        <w:tabs>
          <w:tab w:val="clear" w:pos="1590"/>
          <w:tab w:val="num" w:pos="1440"/>
        </w:tabs>
        <w:ind w:left="0" w:firstLine="720"/>
        <w:jc w:val="both"/>
        <w:rPr>
          <w:rFonts w:ascii="Times New Roman" w:hAnsi="Times New Roman" w:cs="Times New Roman"/>
        </w:rPr>
      </w:pPr>
      <w:r w:rsidRPr="00A47B5B">
        <w:rPr>
          <w:rFonts w:ascii="Times New Roman" w:hAnsi="Times New Roman" w:cs="Times New Roman"/>
        </w:rPr>
        <w:t xml:space="preserve">The proposed increase for a residential customer using an </w:t>
      </w:r>
      <w:r w:rsidRPr="00B40081">
        <w:rPr>
          <w:rFonts w:ascii="Times New Roman" w:hAnsi="Times New Roman" w:cs="Times New Roman"/>
        </w:rPr>
        <w:t xml:space="preserve">average of </w:t>
      </w:r>
      <w:r w:rsidR="005869EC">
        <w:rPr>
          <w:rFonts w:ascii="Times New Roman" w:hAnsi="Times New Roman" w:cs="Times New Roman"/>
        </w:rPr>
        <w:t>966</w:t>
      </w:r>
      <w:r>
        <w:rPr>
          <w:rFonts w:ascii="Times New Roman" w:hAnsi="Times New Roman" w:cs="Times New Roman"/>
        </w:rPr>
        <w:t xml:space="preserve"> </w:t>
      </w:r>
      <w:r w:rsidRPr="00A47B5B">
        <w:rPr>
          <w:rFonts w:ascii="Times New Roman" w:hAnsi="Times New Roman" w:cs="Times New Roman"/>
        </w:rPr>
        <w:t xml:space="preserve">kWhs per month </w:t>
      </w:r>
      <w:r w:rsidRPr="006456F0">
        <w:rPr>
          <w:rFonts w:ascii="Times New Roman" w:hAnsi="Times New Roman" w:cs="Times New Roman"/>
        </w:rPr>
        <w:t>is $</w:t>
      </w:r>
      <w:r w:rsidR="003E19C9">
        <w:rPr>
          <w:rFonts w:ascii="Times New Roman" w:hAnsi="Times New Roman" w:cs="Times New Roman"/>
        </w:rPr>
        <w:t>6.45</w:t>
      </w:r>
      <w:r w:rsidRPr="006456F0">
        <w:rPr>
          <w:rFonts w:ascii="Times New Roman" w:hAnsi="Times New Roman" w:cs="Times New Roman"/>
        </w:rPr>
        <w:t xml:space="preserve"> per month, or a </w:t>
      </w:r>
      <w:r w:rsidR="003E19C9">
        <w:rPr>
          <w:rFonts w:ascii="Times New Roman" w:hAnsi="Times New Roman" w:cs="Times New Roman"/>
        </w:rPr>
        <w:t>7.9</w:t>
      </w:r>
      <w:r w:rsidRPr="006456F0">
        <w:rPr>
          <w:rFonts w:ascii="Times New Roman" w:hAnsi="Times New Roman" w:cs="Times New Roman"/>
        </w:rPr>
        <w:t xml:space="preserve">% increase in their electric bill.  The present bill for </w:t>
      </w:r>
      <w:r w:rsidR="005869EC">
        <w:rPr>
          <w:rFonts w:ascii="Times New Roman" w:hAnsi="Times New Roman" w:cs="Times New Roman"/>
        </w:rPr>
        <w:t>966</w:t>
      </w:r>
      <w:r w:rsidRPr="006456F0">
        <w:rPr>
          <w:rFonts w:ascii="Times New Roman" w:hAnsi="Times New Roman" w:cs="Times New Roman"/>
        </w:rPr>
        <w:t xml:space="preserve"> kWhs is $</w:t>
      </w:r>
      <w:r w:rsidR="003E19C9">
        <w:rPr>
          <w:rFonts w:ascii="Times New Roman" w:hAnsi="Times New Roman" w:cs="Times New Roman"/>
        </w:rPr>
        <w:t>81.22</w:t>
      </w:r>
      <w:r w:rsidRPr="006456F0">
        <w:rPr>
          <w:rFonts w:ascii="Times New Roman" w:hAnsi="Times New Roman" w:cs="Times New Roman"/>
        </w:rPr>
        <w:t xml:space="preserve"> compared to the proposed level of $8</w:t>
      </w:r>
      <w:r w:rsidR="003E19C9">
        <w:rPr>
          <w:rFonts w:ascii="Times New Roman" w:hAnsi="Times New Roman" w:cs="Times New Roman"/>
        </w:rPr>
        <w:t>7.67</w:t>
      </w:r>
      <w:r w:rsidRPr="006456F0">
        <w:rPr>
          <w:rFonts w:ascii="Times New Roman" w:hAnsi="Times New Roman" w:cs="Times New Roman"/>
        </w:rPr>
        <w:t>,</w:t>
      </w:r>
      <w:r w:rsidRPr="00A47B5B">
        <w:rPr>
          <w:rFonts w:ascii="Times New Roman" w:hAnsi="Times New Roman" w:cs="Times New Roman"/>
        </w:rPr>
        <w:t xml:space="preserve"> including all rate adjustments.  The Company is proposing to</w:t>
      </w:r>
      <w:r>
        <w:rPr>
          <w:rFonts w:ascii="Times New Roman" w:hAnsi="Times New Roman" w:cs="Times New Roman"/>
        </w:rPr>
        <w:t xml:space="preserve"> change the basic charge from $8.50 per month </w:t>
      </w:r>
      <w:r w:rsidRPr="00DB7F95">
        <w:rPr>
          <w:rFonts w:ascii="Times New Roman" w:hAnsi="Times New Roman" w:cs="Times New Roman"/>
        </w:rPr>
        <w:t xml:space="preserve">to </w:t>
      </w:r>
      <w:r w:rsidR="00F234BF">
        <w:rPr>
          <w:rFonts w:ascii="Times New Roman" w:hAnsi="Times New Roman" w:cs="Times New Roman"/>
        </w:rPr>
        <w:t>$14</w:t>
      </w:r>
      <w:r w:rsidRPr="00DB7F95">
        <w:rPr>
          <w:rFonts w:ascii="Times New Roman" w:hAnsi="Times New Roman" w:cs="Times New Roman"/>
        </w:rPr>
        <w:t>.00</w:t>
      </w:r>
      <w:r>
        <w:rPr>
          <w:rFonts w:ascii="Times New Roman" w:hAnsi="Times New Roman" w:cs="Times New Roman"/>
        </w:rPr>
        <w:t xml:space="preserve"> per month.</w:t>
      </w:r>
    </w:p>
    <w:p w:rsidR="005540EB" w:rsidRPr="005540EB" w:rsidRDefault="005540EB" w:rsidP="00711833">
      <w:pPr>
        <w:pStyle w:val="P131"/>
        <w:numPr>
          <w:ilvl w:val="0"/>
          <w:numId w:val="16"/>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Is the Company proposing any changes to the present rate structures </w:t>
      </w:r>
      <w:r w:rsidRPr="005540EB">
        <w:rPr>
          <w:rStyle w:val="T5"/>
          <w:rFonts w:ascii="Times New Roman" w:hAnsi="Times New Roman" w:cs="Times New Roman"/>
        </w:rPr>
        <w:t>within</w:t>
      </w:r>
      <w:r w:rsidRPr="005540EB">
        <w:rPr>
          <w:rFonts w:ascii="Times New Roman" w:hAnsi="Times New Roman" w:cs="Times New Roman"/>
        </w:rPr>
        <w:t xml:space="preserve"> its electric service schedules?</w:t>
      </w:r>
    </w:p>
    <w:p w:rsidR="005540EB" w:rsidRPr="005540EB" w:rsidRDefault="005540EB" w:rsidP="00791C2B">
      <w:pPr>
        <w:pStyle w:val="P157"/>
        <w:numPr>
          <w:ilvl w:val="0"/>
          <w:numId w:val="6"/>
        </w:numPr>
        <w:tabs>
          <w:tab w:val="clear" w:pos="1590"/>
          <w:tab w:val="num" w:pos="1440"/>
        </w:tabs>
        <w:ind w:left="0" w:firstLine="720"/>
        <w:jc w:val="both"/>
        <w:rPr>
          <w:rFonts w:ascii="Times New Roman" w:hAnsi="Times New Roman" w:cs="Times New Roman"/>
        </w:rPr>
      </w:pPr>
      <w:r w:rsidRPr="005540EB">
        <w:rPr>
          <w:rFonts w:ascii="Times New Roman" w:hAnsi="Times New Roman" w:cs="Times New Roman"/>
        </w:rPr>
        <w:t xml:space="preserve">No.  The Company is not proposing any changes to the present rate structures within its electric schedules.  </w:t>
      </w:r>
    </w:p>
    <w:p w:rsidR="005540EB" w:rsidRPr="005540EB" w:rsidRDefault="005540EB" w:rsidP="0012369E">
      <w:pPr>
        <w:pStyle w:val="P139"/>
        <w:numPr>
          <w:ilvl w:val="0"/>
          <w:numId w:val="3"/>
        </w:numPr>
        <w:tabs>
          <w:tab w:val="clear" w:pos="1950"/>
          <w:tab w:val="num" w:pos="1440"/>
        </w:tabs>
        <w:ind w:left="0" w:firstLine="720"/>
        <w:jc w:val="both"/>
        <w:rPr>
          <w:rFonts w:ascii="Times New Roman" w:hAnsi="Times New Roman" w:cs="Times New Roman"/>
        </w:rPr>
      </w:pPr>
      <w:r w:rsidRPr="005540EB">
        <w:rPr>
          <w:rFonts w:ascii="Times New Roman" w:hAnsi="Times New Roman" w:cs="Times New Roman"/>
        </w:rPr>
        <w:t>Where do you show the proposed changes in rates within the electric service schedules?</w:t>
      </w:r>
    </w:p>
    <w:p w:rsidR="004C3DE4" w:rsidRDefault="005540EB" w:rsidP="004C3DE4">
      <w:pPr>
        <w:pStyle w:val="P165"/>
        <w:numPr>
          <w:ilvl w:val="0"/>
          <w:numId w:val="31"/>
        </w:numPr>
        <w:tabs>
          <w:tab w:val="num" w:pos="1440"/>
        </w:tabs>
        <w:ind w:left="0" w:firstLine="720"/>
        <w:jc w:val="both"/>
        <w:rPr>
          <w:rFonts w:ascii="Times New Roman" w:hAnsi="Times New Roman" w:cs="Times New Roman"/>
        </w:rPr>
      </w:pPr>
      <w:r w:rsidRPr="005540EB">
        <w:rPr>
          <w:rFonts w:ascii="Times New Roman" w:hAnsi="Times New Roman" w:cs="Times New Roman"/>
        </w:rPr>
        <w:t>This information is shown in detail on page 3 of Exhibit No._</w:t>
      </w:r>
      <w:r w:rsidR="0043473F">
        <w:rPr>
          <w:rFonts w:ascii="Times New Roman" w:hAnsi="Times New Roman" w:cs="Times New Roman"/>
        </w:rPr>
        <w:t>_</w:t>
      </w:r>
      <w:proofErr w:type="gramStart"/>
      <w:r w:rsidR="0043473F">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w:t>
      </w:r>
      <w:r w:rsidR="00657437">
        <w:rPr>
          <w:rFonts w:ascii="Times New Roman" w:hAnsi="Times New Roman" w:cs="Times New Roman"/>
        </w:rPr>
        <w:t>4</w:t>
      </w:r>
      <w:r w:rsidRPr="005540EB">
        <w:rPr>
          <w:rFonts w:ascii="Times New Roman" w:hAnsi="Times New Roman" w:cs="Times New Roman"/>
        </w:rPr>
        <w:t>).</w:t>
      </w:r>
    </w:p>
    <w:p w:rsidR="005540EB" w:rsidRPr="005540EB" w:rsidRDefault="005540EB" w:rsidP="00711833">
      <w:pPr>
        <w:pStyle w:val="P266"/>
        <w:jc w:val="both"/>
        <w:outlineLvl w:val="0"/>
        <w:rPr>
          <w:rFonts w:ascii="Times New Roman" w:hAnsi="Times New Roman" w:cs="Times New Roman"/>
        </w:rPr>
      </w:pPr>
      <w:r w:rsidRPr="005540EB">
        <w:rPr>
          <w:rFonts w:ascii="Times New Roman" w:hAnsi="Times New Roman" w:cs="Times New Roman"/>
        </w:rPr>
        <w:t>Proposed Natural Gas Increase</w:t>
      </w:r>
    </w:p>
    <w:p w:rsidR="00657437" w:rsidRPr="00443386" w:rsidRDefault="00657437" w:rsidP="00657437">
      <w:pPr>
        <w:pStyle w:val="P270"/>
        <w:tabs>
          <w:tab w:val="clear" w:pos="720"/>
          <w:tab w:val="left" w:pos="1440"/>
        </w:tabs>
        <w:ind w:left="0" w:firstLine="720"/>
        <w:jc w:val="both"/>
        <w:rPr>
          <w:rFonts w:ascii="Times New Roman" w:hAnsi="Times New Roman" w:cs="Times New Roman"/>
        </w:rPr>
      </w:pPr>
      <w:r w:rsidRPr="005540EB">
        <w:rPr>
          <w:rFonts w:ascii="Times New Roman" w:hAnsi="Times New Roman" w:cs="Times New Roman"/>
        </w:rPr>
        <w:t>Q</w:t>
      </w:r>
      <w:r w:rsidRPr="00A001E8">
        <w:rPr>
          <w:rFonts w:ascii="Times New Roman" w:hAnsi="Times New Roman" w:cs="Times New Roman"/>
        </w:rPr>
        <w:t xml:space="preserve">. </w:t>
      </w:r>
      <w:r w:rsidRPr="00A001E8">
        <w:rPr>
          <w:rFonts w:ascii="Times New Roman" w:hAnsi="Times New Roman" w:cs="Times New Roman"/>
        </w:rPr>
        <w:tab/>
      </w:r>
      <w:r w:rsidRPr="004A14EC">
        <w:rPr>
          <w:rFonts w:ascii="Times New Roman" w:hAnsi="Times New Roman" w:cs="Times New Roman"/>
        </w:rPr>
        <w:t xml:space="preserve">What is the proposed </w:t>
      </w:r>
      <w:r>
        <w:rPr>
          <w:rFonts w:ascii="Times New Roman" w:hAnsi="Times New Roman" w:cs="Times New Roman"/>
        </w:rPr>
        <w:t>natural gas</w:t>
      </w:r>
      <w:r w:rsidRPr="004A14EC">
        <w:rPr>
          <w:rFonts w:ascii="Times New Roman" w:hAnsi="Times New Roman" w:cs="Times New Roman"/>
        </w:rPr>
        <w:t xml:space="preserve"> revenue increase in this case and how is the Company proposing to spread the total increase by rate schedule?</w:t>
      </w:r>
      <w:r>
        <w:rPr>
          <w:rFonts w:ascii="Times New Roman" w:hAnsi="Times New Roman" w:cs="Times New Roman"/>
        </w:rPr>
        <w:t xml:space="preserve"> </w:t>
      </w:r>
    </w:p>
    <w:p w:rsidR="0017074B" w:rsidRDefault="005540EB" w:rsidP="008C2923">
      <w:pPr>
        <w:pStyle w:val="P190"/>
        <w:jc w:val="both"/>
        <w:rPr>
          <w:rFonts w:ascii="Times New Roman" w:hAnsi="Times New Roman" w:cs="Times New Roman"/>
        </w:rPr>
      </w:pPr>
      <w:r w:rsidRPr="00443386">
        <w:rPr>
          <w:rFonts w:ascii="Times New Roman" w:hAnsi="Times New Roman" w:cs="Times New Roman"/>
        </w:rPr>
        <w:t>A.</w:t>
      </w:r>
      <w:r w:rsidRPr="00443386">
        <w:rPr>
          <w:rFonts w:ascii="Times New Roman" w:hAnsi="Times New Roman" w:cs="Times New Roman"/>
        </w:rPr>
        <w:tab/>
      </w:r>
      <w:r w:rsidR="004A14EC" w:rsidRPr="00A47B5B">
        <w:rPr>
          <w:rFonts w:ascii="Times New Roman" w:hAnsi="Times New Roman" w:cs="Times New Roman"/>
        </w:rPr>
        <w:t xml:space="preserve">The proposed </w:t>
      </w:r>
      <w:r w:rsidR="004A14EC">
        <w:rPr>
          <w:rFonts w:ascii="Times New Roman" w:hAnsi="Times New Roman" w:cs="Times New Roman"/>
        </w:rPr>
        <w:t>natural gas</w:t>
      </w:r>
      <w:r w:rsidR="004A14EC" w:rsidRPr="00A47B5B">
        <w:rPr>
          <w:rFonts w:ascii="Times New Roman" w:hAnsi="Times New Roman" w:cs="Times New Roman"/>
        </w:rPr>
        <w:t xml:space="preserve"> </w:t>
      </w:r>
      <w:r w:rsidR="005F3BDA">
        <w:rPr>
          <w:rFonts w:ascii="Times New Roman" w:hAnsi="Times New Roman" w:cs="Times New Roman"/>
        </w:rPr>
        <w:t xml:space="preserve">revenue </w:t>
      </w:r>
      <w:r w:rsidR="004A14EC" w:rsidRPr="00A47B5B">
        <w:rPr>
          <w:rFonts w:ascii="Times New Roman" w:hAnsi="Times New Roman" w:cs="Times New Roman"/>
        </w:rPr>
        <w:t xml:space="preserve">increase is </w:t>
      </w:r>
      <w:r w:rsidR="0042464B" w:rsidRPr="00A47B5B">
        <w:rPr>
          <w:rFonts w:ascii="Times New Roman" w:hAnsi="Times New Roman" w:cs="Times New Roman"/>
        </w:rPr>
        <w:t>$</w:t>
      </w:r>
      <w:r w:rsidR="0042464B">
        <w:rPr>
          <w:rFonts w:ascii="Times New Roman" w:hAnsi="Times New Roman" w:cs="Times New Roman"/>
        </w:rPr>
        <w:t>12,021</w:t>
      </w:r>
      <w:r w:rsidR="0042464B" w:rsidRPr="00A47B5B">
        <w:rPr>
          <w:rFonts w:ascii="Times New Roman" w:hAnsi="Times New Roman" w:cs="Times New Roman"/>
        </w:rPr>
        <w:t>,</w:t>
      </w:r>
      <w:r w:rsidR="0042464B">
        <w:rPr>
          <w:rFonts w:ascii="Times New Roman" w:hAnsi="Times New Roman" w:cs="Times New Roman"/>
        </w:rPr>
        <w:t>000,</w:t>
      </w:r>
      <w:r w:rsidR="0042464B" w:rsidRPr="00A47B5B">
        <w:rPr>
          <w:rFonts w:ascii="Times New Roman" w:hAnsi="Times New Roman" w:cs="Times New Roman"/>
        </w:rPr>
        <w:t xml:space="preserve"> or </w:t>
      </w:r>
      <w:r w:rsidR="0042464B">
        <w:rPr>
          <w:rFonts w:ascii="Times New Roman" w:hAnsi="Times New Roman" w:cs="Times New Roman"/>
        </w:rPr>
        <w:t>7.0</w:t>
      </w:r>
      <w:r w:rsidR="0042464B" w:rsidRPr="00A47B5B">
        <w:rPr>
          <w:rFonts w:ascii="Times New Roman" w:hAnsi="Times New Roman" w:cs="Times New Roman"/>
        </w:rPr>
        <w:t>%,</w:t>
      </w:r>
      <w:r w:rsidR="0042464B" w:rsidRPr="004940D3">
        <w:rPr>
          <w:rFonts w:ascii="Times New Roman" w:hAnsi="Times New Roman" w:cs="Times New Roman"/>
        </w:rPr>
        <w:t xml:space="preserve"> </w:t>
      </w:r>
      <w:r w:rsidR="004A14EC" w:rsidRPr="00A47B5B">
        <w:rPr>
          <w:rFonts w:ascii="Times New Roman" w:hAnsi="Times New Roman" w:cs="Times New Roman"/>
        </w:rPr>
        <w:t xml:space="preserve">over present tariff </w:t>
      </w:r>
      <w:r w:rsidR="008C2923">
        <w:rPr>
          <w:rFonts w:ascii="Times New Roman" w:hAnsi="Times New Roman" w:cs="Times New Roman"/>
        </w:rPr>
        <w:t>revenues</w:t>
      </w:r>
      <w:r w:rsidR="00381013">
        <w:rPr>
          <w:rStyle w:val="FootnoteReference"/>
          <w:rFonts w:ascii="Times New Roman" w:hAnsi="Times New Roman"/>
        </w:rPr>
        <w:footnoteReference w:id="2"/>
      </w:r>
      <w:r w:rsidR="004A14EC" w:rsidRPr="00A47B5B">
        <w:rPr>
          <w:rFonts w:ascii="Times New Roman" w:hAnsi="Times New Roman" w:cs="Times New Roman"/>
        </w:rPr>
        <w:t xml:space="preserve">.  The proposed general increase over present </w:t>
      </w:r>
      <w:r w:rsidR="004A14EC" w:rsidRPr="00A47B5B">
        <w:rPr>
          <w:rStyle w:val="T5"/>
          <w:rFonts w:ascii="Times New Roman" w:hAnsi="Times New Roman" w:cs="Times New Roman"/>
        </w:rPr>
        <w:t>billing</w:t>
      </w:r>
      <w:r w:rsidR="004A14EC" w:rsidRPr="00A47B5B">
        <w:rPr>
          <w:rFonts w:ascii="Times New Roman" w:hAnsi="Times New Roman" w:cs="Times New Roman"/>
        </w:rPr>
        <w:t xml:space="preserve"> rates, including all other rate adjustments (</w:t>
      </w:r>
      <w:r w:rsidR="004A14EC">
        <w:rPr>
          <w:rFonts w:ascii="Times New Roman" w:hAnsi="Times New Roman" w:cs="Times New Roman"/>
        </w:rPr>
        <w:t xml:space="preserve">Purchased Gas Cost Adjustment, </w:t>
      </w:r>
      <w:r w:rsidR="004A14EC" w:rsidRPr="00A47B5B">
        <w:rPr>
          <w:rFonts w:ascii="Times New Roman" w:hAnsi="Times New Roman" w:cs="Times New Roman"/>
        </w:rPr>
        <w:t>DSM</w:t>
      </w:r>
      <w:r w:rsidR="004A14EC">
        <w:rPr>
          <w:rFonts w:ascii="Times New Roman" w:hAnsi="Times New Roman" w:cs="Times New Roman"/>
        </w:rPr>
        <w:t xml:space="preserve">, etc.) </w:t>
      </w:r>
      <w:r w:rsidR="004A14EC" w:rsidRPr="00A47B5B">
        <w:rPr>
          <w:rFonts w:ascii="Times New Roman" w:hAnsi="Times New Roman" w:cs="Times New Roman"/>
        </w:rPr>
        <w:t xml:space="preserve">is </w:t>
      </w:r>
      <w:r w:rsidR="00E94D31">
        <w:rPr>
          <w:rFonts w:ascii="Times New Roman" w:hAnsi="Times New Roman" w:cs="Times New Roman"/>
        </w:rPr>
        <w:t>6.9</w:t>
      </w:r>
      <w:r w:rsidR="004A14EC" w:rsidRPr="00A47B5B">
        <w:rPr>
          <w:rFonts w:ascii="Times New Roman" w:hAnsi="Times New Roman" w:cs="Times New Roman"/>
        </w:rPr>
        <w:t xml:space="preserve">%.  </w:t>
      </w:r>
      <w:r w:rsidR="00CE7021" w:rsidRPr="00CE7021">
        <w:rPr>
          <w:rFonts w:ascii="Times New Roman" w:hAnsi="Times New Roman" w:cs="Times New Roman"/>
        </w:rPr>
        <w:t xml:space="preserve">The Company utilized the results of the </w:t>
      </w:r>
      <w:r w:rsidR="00CE7021">
        <w:rPr>
          <w:rFonts w:ascii="Times New Roman" w:hAnsi="Times New Roman" w:cs="Times New Roman"/>
        </w:rPr>
        <w:t>natural gas</w:t>
      </w:r>
      <w:r w:rsidR="00CE7021" w:rsidRPr="00CE7021">
        <w:rPr>
          <w:rFonts w:ascii="Times New Roman" w:hAnsi="Times New Roman" w:cs="Times New Roman"/>
        </w:rPr>
        <w:t xml:space="preserve"> cost of service study, sponsored by Company </w:t>
      </w:r>
      <w:r w:rsidR="00CE7021" w:rsidRPr="00CE7021">
        <w:rPr>
          <w:rFonts w:ascii="Times New Roman" w:hAnsi="Times New Roman" w:cs="Times New Roman"/>
        </w:rPr>
        <w:lastRenderedPageBreak/>
        <w:t>witness M</w:t>
      </w:r>
      <w:r w:rsidR="00CE7021">
        <w:rPr>
          <w:rFonts w:ascii="Times New Roman" w:hAnsi="Times New Roman" w:cs="Times New Roman"/>
        </w:rPr>
        <w:t>r</w:t>
      </w:r>
      <w:r w:rsidR="00CE7021" w:rsidRPr="00CE7021">
        <w:rPr>
          <w:rFonts w:ascii="Times New Roman" w:hAnsi="Times New Roman" w:cs="Times New Roman"/>
        </w:rPr>
        <w:t xml:space="preserve">. </w:t>
      </w:r>
      <w:r w:rsidR="00CE7021">
        <w:rPr>
          <w:rFonts w:ascii="Times New Roman" w:hAnsi="Times New Roman" w:cs="Times New Roman"/>
        </w:rPr>
        <w:t>Miller</w:t>
      </w:r>
      <w:r w:rsidR="00CE7021" w:rsidRPr="00CE7021">
        <w:rPr>
          <w:rFonts w:ascii="Times New Roman" w:hAnsi="Times New Roman" w:cs="Times New Roman"/>
        </w:rPr>
        <w:t>, as a guide in spreading the overall revenue increase</w:t>
      </w:r>
      <w:r w:rsidR="00CE7021">
        <w:rPr>
          <w:rFonts w:ascii="Times New Roman" w:hAnsi="Times New Roman" w:cs="Times New Roman"/>
        </w:rPr>
        <w:t>. T</w:t>
      </w:r>
      <w:r w:rsidRPr="00443386">
        <w:rPr>
          <w:rFonts w:ascii="Times New Roman" w:hAnsi="Times New Roman" w:cs="Times New Roman"/>
        </w:rPr>
        <w:t xml:space="preserve">he Company is proposing the following </w:t>
      </w:r>
      <w:r w:rsidR="004A5E9F" w:rsidRPr="00443386">
        <w:rPr>
          <w:rFonts w:ascii="Times New Roman" w:hAnsi="Times New Roman" w:cs="Times New Roman"/>
          <w:u w:val="single"/>
        </w:rPr>
        <w:t>base</w:t>
      </w:r>
      <w:r w:rsidR="004A5E9F" w:rsidRPr="00443386">
        <w:rPr>
          <w:rFonts w:ascii="Times New Roman" w:hAnsi="Times New Roman" w:cs="Times New Roman"/>
        </w:rPr>
        <w:t xml:space="preserve"> </w:t>
      </w:r>
      <w:r w:rsidR="003A16ED">
        <w:rPr>
          <w:rFonts w:ascii="Times New Roman" w:hAnsi="Times New Roman" w:cs="Times New Roman"/>
        </w:rPr>
        <w:t xml:space="preserve">and </w:t>
      </w:r>
      <w:r w:rsidR="003A16ED" w:rsidRPr="003A16ED">
        <w:rPr>
          <w:rFonts w:ascii="Times New Roman" w:hAnsi="Times New Roman" w:cs="Times New Roman"/>
          <w:u w:val="single"/>
        </w:rPr>
        <w:t>billing</w:t>
      </w:r>
      <w:r w:rsidR="003A16ED">
        <w:rPr>
          <w:rFonts w:ascii="Times New Roman" w:hAnsi="Times New Roman" w:cs="Times New Roman"/>
        </w:rPr>
        <w:t xml:space="preserve"> </w:t>
      </w:r>
      <w:r w:rsidRPr="00443386">
        <w:rPr>
          <w:rFonts w:ascii="Times New Roman" w:hAnsi="Times New Roman" w:cs="Times New Roman"/>
        </w:rPr>
        <w:t>revenue</w:t>
      </w:r>
      <w:r w:rsidR="001D224A" w:rsidRPr="00443386">
        <w:rPr>
          <w:rFonts w:ascii="Times New Roman" w:hAnsi="Times New Roman" w:cs="Times New Roman"/>
        </w:rPr>
        <w:t xml:space="preserve"> </w:t>
      </w:r>
      <w:r w:rsidRPr="00443386">
        <w:rPr>
          <w:rFonts w:ascii="Times New Roman" w:hAnsi="Times New Roman" w:cs="Times New Roman"/>
        </w:rPr>
        <w:t>changes by rate schedule:</w:t>
      </w:r>
    </w:p>
    <w:p w:rsidR="004F7514" w:rsidRDefault="00E94D31" w:rsidP="008C2923">
      <w:pPr>
        <w:pStyle w:val="P190"/>
        <w:jc w:val="both"/>
        <w:rPr>
          <w:rFonts w:ascii="Times New Roman" w:hAnsi="Times New Roman" w:cs="Times New Roman"/>
        </w:rPr>
      </w:pPr>
      <w:r w:rsidRPr="00E94D31">
        <w:rPr>
          <w:noProof/>
        </w:rPr>
        <w:drawing>
          <wp:anchor distT="0" distB="0" distL="114300" distR="114300" simplePos="0" relativeHeight="251932160" behindDoc="1" locked="0" layoutInCell="1" allowOverlap="1">
            <wp:simplePos x="0" y="0"/>
            <wp:positionH relativeFrom="column">
              <wp:posOffset>434843</wp:posOffset>
            </wp:positionH>
            <wp:positionV relativeFrom="paragraph">
              <wp:posOffset>-2300</wp:posOffset>
            </wp:positionV>
            <wp:extent cx="4820369" cy="180292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820369" cy="1802920"/>
                    </a:xfrm>
                    <a:prstGeom prst="rect">
                      <a:avLst/>
                    </a:prstGeom>
                    <a:noFill/>
                    <a:ln w="9525">
                      <a:noFill/>
                      <a:miter lim="800000"/>
                      <a:headEnd/>
                      <a:tailEnd/>
                    </a:ln>
                  </pic:spPr>
                </pic:pic>
              </a:graphicData>
            </a:graphic>
          </wp:anchor>
        </w:drawing>
      </w:r>
    </w:p>
    <w:p w:rsidR="004F7514" w:rsidRPr="008C2923" w:rsidRDefault="004F7514" w:rsidP="008C2923">
      <w:pPr>
        <w:pStyle w:val="P190"/>
        <w:jc w:val="both"/>
        <w:rPr>
          <w:rFonts w:ascii="Times New Roman" w:hAnsi="Times New Roman" w:cs="Times New Roman"/>
        </w:rPr>
      </w:pPr>
    </w:p>
    <w:p w:rsidR="00B5246C" w:rsidRPr="00443386" w:rsidRDefault="00B5246C" w:rsidP="00711833">
      <w:pPr>
        <w:pStyle w:val="P190"/>
        <w:ind w:firstLine="0"/>
        <w:jc w:val="both"/>
        <w:rPr>
          <w:rFonts w:ascii="Times New Roman" w:hAnsi="Times New Roman" w:cs="Times New Roman"/>
        </w:rPr>
      </w:pPr>
    </w:p>
    <w:p w:rsidR="00F17ED7" w:rsidRPr="00443386" w:rsidRDefault="00F17ED7" w:rsidP="00711833">
      <w:pPr>
        <w:pStyle w:val="P190"/>
        <w:ind w:firstLine="0"/>
        <w:jc w:val="both"/>
        <w:rPr>
          <w:rFonts w:ascii="Times New Roman" w:hAnsi="Times New Roman" w:cs="Times New Roman"/>
        </w:rPr>
      </w:pPr>
    </w:p>
    <w:p w:rsidR="00F17ED7" w:rsidRPr="00443386" w:rsidRDefault="006C7E37" w:rsidP="00711833">
      <w:pPr>
        <w:pStyle w:val="P190"/>
        <w:ind w:firstLine="0"/>
        <w:jc w:val="both"/>
        <w:rPr>
          <w:rFonts w:ascii="Times New Roman" w:hAnsi="Times New Roman" w:cs="Times New Roman"/>
        </w:rPr>
      </w:pPr>
      <w:r>
        <w:rPr>
          <w:rFonts w:ascii="Times New Roman" w:hAnsi="Times New Roman" w:cs="Times New Roman"/>
        </w:rPr>
        <w:t xml:space="preserve">                                                             </w:t>
      </w:r>
      <w:r w:rsidRPr="00443386">
        <w:rPr>
          <w:rStyle w:val="FootnoteReference"/>
          <w:rFonts w:ascii="Times New Roman" w:hAnsi="Times New Roman"/>
        </w:rPr>
        <w:footnoteReference w:id="3"/>
      </w:r>
      <w:r>
        <w:rPr>
          <w:rFonts w:ascii="Times New Roman" w:hAnsi="Times New Roman" w:cs="Times New Roman"/>
        </w:rPr>
        <w:t xml:space="preserve"> </w:t>
      </w:r>
    </w:p>
    <w:p w:rsidR="00F17ED7" w:rsidRPr="00443386" w:rsidRDefault="00F17ED7" w:rsidP="00711833">
      <w:pPr>
        <w:pStyle w:val="P190"/>
        <w:ind w:firstLine="0"/>
        <w:jc w:val="both"/>
        <w:rPr>
          <w:rFonts w:ascii="Times New Roman" w:hAnsi="Times New Roman" w:cs="Times New Roman"/>
        </w:rPr>
      </w:pPr>
    </w:p>
    <w:p w:rsidR="005540EB" w:rsidRPr="005540EB" w:rsidRDefault="005540EB" w:rsidP="00711833">
      <w:pPr>
        <w:pStyle w:val="P249"/>
        <w:tabs>
          <w:tab w:val="left" w:pos="720"/>
        </w:tabs>
        <w:jc w:val="both"/>
        <w:rPr>
          <w:rFonts w:ascii="Times New Roman" w:hAnsi="Times New Roman" w:cs="Times New Roman"/>
        </w:rPr>
      </w:pPr>
      <w:r w:rsidRPr="00443386">
        <w:rPr>
          <w:rFonts w:ascii="Times New Roman" w:hAnsi="Times New Roman" w:cs="Times New Roman"/>
        </w:rPr>
        <w:t>This information is also shown on page 1 of Exhibit No._</w:t>
      </w:r>
      <w:r w:rsidR="0043473F" w:rsidRPr="00443386">
        <w:rPr>
          <w:rFonts w:ascii="Times New Roman" w:hAnsi="Times New Roman" w:cs="Times New Roman"/>
        </w:rPr>
        <w:t>_</w:t>
      </w:r>
      <w:proofErr w:type="gramStart"/>
      <w:r w:rsidR="0043473F" w:rsidRPr="00443386">
        <w:rPr>
          <w:rFonts w:ascii="Times New Roman" w:hAnsi="Times New Roman" w:cs="Times New Roman"/>
        </w:rPr>
        <w:t>_</w:t>
      </w:r>
      <w:r w:rsidRPr="00443386">
        <w:rPr>
          <w:rFonts w:ascii="Times New Roman" w:hAnsi="Times New Roman" w:cs="Times New Roman"/>
        </w:rPr>
        <w:t>(</w:t>
      </w:r>
      <w:proofErr w:type="gramEnd"/>
      <w:r w:rsidR="00D8699E" w:rsidRPr="00443386">
        <w:rPr>
          <w:rFonts w:ascii="Times New Roman" w:hAnsi="Times New Roman" w:cs="Times New Roman"/>
        </w:rPr>
        <w:t>PDE</w:t>
      </w:r>
      <w:r w:rsidRPr="00443386">
        <w:rPr>
          <w:rFonts w:ascii="Times New Roman" w:hAnsi="Times New Roman" w:cs="Times New Roman"/>
        </w:rPr>
        <w:t>-</w:t>
      </w:r>
      <w:r w:rsidR="00657437">
        <w:rPr>
          <w:rFonts w:ascii="Times New Roman" w:hAnsi="Times New Roman" w:cs="Times New Roman"/>
        </w:rPr>
        <w:t>7</w:t>
      </w:r>
      <w:r w:rsidRPr="00443386">
        <w:rPr>
          <w:rFonts w:ascii="Times New Roman" w:hAnsi="Times New Roman" w:cs="Times New Roman"/>
        </w:rPr>
        <w:t xml:space="preserve">).  </w:t>
      </w:r>
    </w:p>
    <w:p w:rsidR="005540EB" w:rsidRPr="005540EB" w:rsidRDefault="00657437" w:rsidP="00711833">
      <w:pPr>
        <w:pStyle w:val="P258"/>
        <w:numPr>
          <w:ilvl w:val="0"/>
          <w:numId w:val="12"/>
        </w:numPr>
        <w:tabs>
          <w:tab w:val="clear" w:pos="1230"/>
          <w:tab w:val="num" w:pos="1440"/>
        </w:tabs>
        <w:ind w:left="0" w:firstLine="720"/>
        <w:jc w:val="both"/>
        <w:rPr>
          <w:rFonts w:ascii="Times New Roman" w:hAnsi="Times New Roman" w:cs="Times New Roman"/>
        </w:rPr>
      </w:pPr>
      <w:r>
        <w:rPr>
          <w:rFonts w:ascii="Times New Roman" w:hAnsi="Times New Roman" w:cs="Times New Roman"/>
        </w:rPr>
        <w:t>W</w:t>
      </w:r>
      <w:r w:rsidR="00F270B6" w:rsidRPr="005540EB">
        <w:rPr>
          <w:rFonts w:ascii="Times New Roman" w:hAnsi="Times New Roman" w:cs="Times New Roman"/>
        </w:rPr>
        <w:t xml:space="preserve">hat is the proposed increase for a residential </w:t>
      </w:r>
      <w:r w:rsidR="00F270B6">
        <w:rPr>
          <w:rFonts w:ascii="Times New Roman" w:hAnsi="Times New Roman" w:cs="Times New Roman"/>
        </w:rPr>
        <w:t>natural gas</w:t>
      </w:r>
      <w:r w:rsidR="00F270B6" w:rsidRPr="005540EB">
        <w:rPr>
          <w:rFonts w:ascii="Times New Roman" w:hAnsi="Times New Roman" w:cs="Times New Roman"/>
        </w:rPr>
        <w:t xml:space="preserve"> customer with average </w:t>
      </w:r>
      <w:r>
        <w:rPr>
          <w:rFonts w:ascii="Times New Roman" w:hAnsi="Times New Roman" w:cs="Times New Roman"/>
        </w:rPr>
        <w:t>usage</w:t>
      </w:r>
      <w:r w:rsidR="005540EB" w:rsidRPr="005540EB">
        <w:rPr>
          <w:rFonts w:ascii="Times New Roman" w:hAnsi="Times New Roman" w:cs="Times New Roman"/>
        </w:rPr>
        <w:t>?</w:t>
      </w:r>
    </w:p>
    <w:p w:rsidR="00DF5CDD" w:rsidRDefault="004C2025" w:rsidP="002A7002">
      <w:pPr>
        <w:pStyle w:val="P190"/>
        <w:jc w:val="both"/>
        <w:rPr>
          <w:rFonts w:ascii="Times New Roman" w:hAnsi="Times New Roman" w:cs="Times New Roman"/>
        </w:rPr>
      </w:pPr>
      <w:r w:rsidRPr="00443386">
        <w:rPr>
          <w:rFonts w:ascii="Times New Roman" w:hAnsi="Times New Roman" w:cs="Times New Roman"/>
        </w:rPr>
        <w:t>A.</w:t>
      </w:r>
      <w:r w:rsidRPr="00443386">
        <w:rPr>
          <w:rFonts w:ascii="Times New Roman" w:hAnsi="Times New Roman" w:cs="Times New Roman"/>
        </w:rPr>
        <w:tab/>
      </w:r>
      <w:r w:rsidR="00F270B6" w:rsidRPr="00A47B5B">
        <w:rPr>
          <w:rFonts w:ascii="Times New Roman" w:hAnsi="Times New Roman" w:cs="Times New Roman"/>
        </w:rPr>
        <w:t xml:space="preserve">The proposed </w:t>
      </w:r>
      <w:r w:rsidR="008F62BD" w:rsidRPr="008F62BD">
        <w:rPr>
          <w:rFonts w:ascii="Times New Roman" w:hAnsi="Times New Roman" w:cs="Times New Roman"/>
        </w:rPr>
        <w:t xml:space="preserve">increase for a residential customer using an average of </w:t>
      </w:r>
      <w:r w:rsidR="00C679F4">
        <w:rPr>
          <w:rFonts w:ascii="Times New Roman" w:hAnsi="Times New Roman" w:cs="Times New Roman"/>
        </w:rPr>
        <w:t>68</w:t>
      </w:r>
      <w:r w:rsidR="008F62BD" w:rsidRPr="008F62BD">
        <w:rPr>
          <w:rFonts w:ascii="Times New Roman" w:hAnsi="Times New Roman" w:cs="Times New Roman"/>
        </w:rPr>
        <w:t xml:space="preserve"> therms of natural gas per month would be </w:t>
      </w:r>
      <w:r w:rsidR="00C679F4">
        <w:rPr>
          <w:rFonts w:ascii="Times New Roman" w:hAnsi="Times New Roman" w:cs="Times New Roman"/>
        </w:rPr>
        <w:t xml:space="preserve">$5.41 </w:t>
      </w:r>
      <w:r w:rsidR="008F62BD" w:rsidRPr="008F62BD">
        <w:rPr>
          <w:rFonts w:ascii="Times New Roman" w:hAnsi="Times New Roman" w:cs="Times New Roman"/>
        </w:rPr>
        <w:t xml:space="preserve">per month, or </w:t>
      </w:r>
      <w:r w:rsidR="00C679F4">
        <w:rPr>
          <w:rFonts w:ascii="Times New Roman" w:hAnsi="Times New Roman" w:cs="Times New Roman"/>
        </w:rPr>
        <w:t>7.9</w:t>
      </w:r>
      <w:r w:rsidR="008F62BD" w:rsidRPr="008F62BD">
        <w:rPr>
          <w:rFonts w:ascii="Times New Roman" w:hAnsi="Times New Roman" w:cs="Times New Roman"/>
        </w:rPr>
        <w:t>%.  A bill for</w:t>
      </w:r>
      <w:r w:rsidR="00C679F4">
        <w:rPr>
          <w:rFonts w:ascii="Times New Roman" w:hAnsi="Times New Roman" w:cs="Times New Roman"/>
        </w:rPr>
        <w:t xml:space="preserve"> </w:t>
      </w:r>
      <w:r w:rsidR="00C679F4" w:rsidRPr="003E19C9">
        <w:rPr>
          <w:rFonts w:ascii="Times New Roman" w:hAnsi="Times New Roman" w:cs="Times New Roman"/>
        </w:rPr>
        <w:t>68</w:t>
      </w:r>
      <w:r w:rsidR="008F62BD" w:rsidRPr="003E19C9">
        <w:rPr>
          <w:rFonts w:ascii="Times New Roman" w:hAnsi="Times New Roman" w:cs="Times New Roman"/>
        </w:rPr>
        <w:t xml:space="preserve"> therms</w:t>
      </w:r>
      <w:r w:rsidR="008F62BD" w:rsidRPr="008F62BD">
        <w:rPr>
          <w:rFonts w:ascii="Times New Roman" w:hAnsi="Times New Roman" w:cs="Times New Roman"/>
        </w:rPr>
        <w:t xml:space="preserve"> per month would increase from the present level of</w:t>
      </w:r>
      <w:r w:rsidR="00C679F4">
        <w:rPr>
          <w:rFonts w:ascii="Times New Roman" w:hAnsi="Times New Roman" w:cs="Times New Roman"/>
        </w:rPr>
        <w:t xml:space="preserve"> $68.16 to </w:t>
      </w:r>
      <w:r w:rsidR="008F62BD" w:rsidRPr="008F62BD">
        <w:rPr>
          <w:rFonts w:ascii="Times New Roman" w:hAnsi="Times New Roman" w:cs="Times New Roman"/>
        </w:rPr>
        <w:t>a proposed level of</w:t>
      </w:r>
      <w:r w:rsidR="00C679F4">
        <w:rPr>
          <w:rFonts w:ascii="Times New Roman" w:hAnsi="Times New Roman" w:cs="Times New Roman"/>
        </w:rPr>
        <w:t xml:space="preserve"> $73.57.</w:t>
      </w:r>
      <w:r w:rsidR="008F62BD">
        <w:rPr>
          <w:rFonts w:ascii="Times New Roman" w:hAnsi="Times New Roman" w:cs="Times New Roman"/>
        </w:rPr>
        <w:t xml:space="preserve"> </w:t>
      </w:r>
      <w:r w:rsidR="008F62BD" w:rsidRPr="00443386">
        <w:rPr>
          <w:rFonts w:ascii="Times New Roman" w:hAnsi="Times New Roman" w:cs="Times New Roman"/>
        </w:rPr>
        <w:t>The Company is also proposing to change the basic charge from $</w:t>
      </w:r>
      <w:r w:rsidR="00657437">
        <w:rPr>
          <w:rFonts w:ascii="Times New Roman" w:hAnsi="Times New Roman" w:cs="Times New Roman"/>
        </w:rPr>
        <w:t>9</w:t>
      </w:r>
      <w:r w:rsidR="008F62BD">
        <w:rPr>
          <w:rFonts w:ascii="Times New Roman" w:hAnsi="Times New Roman" w:cs="Times New Roman"/>
        </w:rPr>
        <w:t xml:space="preserve">.00 per month </w:t>
      </w:r>
      <w:r w:rsidR="008F62BD" w:rsidRPr="00DB7F95">
        <w:rPr>
          <w:rFonts w:ascii="Times New Roman" w:hAnsi="Times New Roman" w:cs="Times New Roman"/>
        </w:rPr>
        <w:t>to $</w:t>
      </w:r>
      <w:r w:rsidR="008F62BD">
        <w:rPr>
          <w:rFonts w:ascii="Times New Roman" w:hAnsi="Times New Roman" w:cs="Times New Roman"/>
        </w:rPr>
        <w:t>1</w:t>
      </w:r>
      <w:r w:rsidR="00C679F4">
        <w:rPr>
          <w:rFonts w:ascii="Times New Roman" w:hAnsi="Times New Roman" w:cs="Times New Roman"/>
        </w:rPr>
        <w:t>2</w:t>
      </w:r>
      <w:r w:rsidR="008F62BD" w:rsidRPr="00DB7F95">
        <w:rPr>
          <w:rFonts w:ascii="Times New Roman" w:hAnsi="Times New Roman" w:cs="Times New Roman"/>
        </w:rPr>
        <w:t>.00</w:t>
      </w:r>
      <w:r w:rsidR="008F62BD">
        <w:rPr>
          <w:rFonts w:ascii="Times New Roman" w:hAnsi="Times New Roman" w:cs="Times New Roman"/>
        </w:rPr>
        <w:t xml:space="preserve"> per month. </w:t>
      </w:r>
    </w:p>
    <w:p w:rsidR="00F270B6" w:rsidRPr="005540EB" w:rsidRDefault="00F270B6" w:rsidP="00F270B6">
      <w:pPr>
        <w:pStyle w:val="P131"/>
        <w:ind w:left="90"/>
        <w:jc w:val="both"/>
        <w:rPr>
          <w:rFonts w:ascii="Times New Roman" w:hAnsi="Times New Roman" w:cs="Times New Roman"/>
        </w:rPr>
      </w:pPr>
      <w:r>
        <w:rPr>
          <w:rFonts w:ascii="Times New Roman" w:hAnsi="Times New Roman" w:cs="Times New Roman"/>
        </w:rPr>
        <w:tab/>
        <w:t>Q.</w:t>
      </w:r>
      <w:r>
        <w:rPr>
          <w:rFonts w:ascii="Times New Roman" w:hAnsi="Times New Roman" w:cs="Times New Roman"/>
        </w:rPr>
        <w:tab/>
      </w:r>
      <w:r w:rsidRPr="005540EB">
        <w:rPr>
          <w:rFonts w:ascii="Times New Roman" w:hAnsi="Times New Roman" w:cs="Times New Roman"/>
        </w:rPr>
        <w:t xml:space="preserve">Is the Company proposing any changes to the present rate structures </w:t>
      </w:r>
      <w:r w:rsidRPr="005540EB">
        <w:rPr>
          <w:rStyle w:val="T5"/>
          <w:rFonts w:ascii="Times New Roman" w:hAnsi="Times New Roman" w:cs="Times New Roman"/>
        </w:rPr>
        <w:t>within</w:t>
      </w:r>
      <w:r w:rsidRPr="005540EB">
        <w:rPr>
          <w:rFonts w:ascii="Times New Roman" w:hAnsi="Times New Roman" w:cs="Times New Roman"/>
        </w:rPr>
        <w:t xml:space="preserve"> its </w:t>
      </w:r>
      <w:r>
        <w:rPr>
          <w:rFonts w:ascii="Times New Roman" w:hAnsi="Times New Roman" w:cs="Times New Roman"/>
        </w:rPr>
        <w:t>natural gas</w:t>
      </w:r>
      <w:r w:rsidRPr="005540EB">
        <w:rPr>
          <w:rFonts w:ascii="Times New Roman" w:hAnsi="Times New Roman" w:cs="Times New Roman"/>
        </w:rPr>
        <w:t xml:space="preserve"> service schedules?</w:t>
      </w:r>
    </w:p>
    <w:p w:rsidR="00F270B6" w:rsidRPr="005540EB" w:rsidRDefault="00F270B6" w:rsidP="00F270B6">
      <w:pPr>
        <w:pStyle w:val="P157"/>
        <w:ind w:left="90"/>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5540EB">
        <w:rPr>
          <w:rFonts w:ascii="Times New Roman" w:hAnsi="Times New Roman" w:cs="Times New Roman"/>
        </w:rPr>
        <w:t xml:space="preserve">No.  The Company is not proposing any changes to the present rate structures within its </w:t>
      </w:r>
      <w:r>
        <w:rPr>
          <w:rFonts w:ascii="Times New Roman" w:hAnsi="Times New Roman" w:cs="Times New Roman"/>
        </w:rPr>
        <w:t>natural gas</w:t>
      </w:r>
      <w:r w:rsidRPr="005540EB">
        <w:rPr>
          <w:rFonts w:ascii="Times New Roman" w:hAnsi="Times New Roman" w:cs="Times New Roman"/>
        </w:rPr>
        <w:t xml:space="preserve"> schedules.  </w:t>
      </w:r>
    </w:p>
    <w:p w:rsidR="00F270B6" w:rsidRPr="005540EB" w:rsidRDefault="00F270B6" w:rsidP="00F270B6">
      <w:pPr>
        <w:pStyle w:val="P139"/>
        <w:ind w:left="90"/>
        <w:jc w:val="both"/>
        <w:rPr>
          <w:rFonts w:ascii="Times New Roman" w:hAnsi="Times New Roman" w:cs="Times New Roman"/>
        </w:rPr>
      </w:pPr>
      <w:r>
        <w:rPr>
          <w:rFonts w:ascii="Times New Roman" w:hAnsi="Times New Roman" w:cs="Times New Roman"/>
        </w:rPr>
        <w:tab/>
        <w:t>Q.</w:t>
      </w:r>
      <w:r>
        <w:rPr>
          <w:rFonts w:ascii="Times New Roman" w:hAnsi="Times New Roman" w:cs="Times New Roman"/>
        </w:rPr>
        <w:tab/>
      </w:r>
      <w:r w:rsidRPr="005540EB">
        <w:rPr>
          <w:rFonts w:ascii="Times New Roman" w:hAnsi="Times New Roman" w:cs="Times New Roman"/>
        </w:rPr>
        <w:t>Where do you show the proposed changes in rates</w:t>
      </w:r>
      <w:r>
        <w:rPr>
          <w:rFonts w:ascii="Times New Roman" w:hAnsi="Times New Roman" w:cs="Times New Roman"/>
        </w:rPr>
        <w:t xml:space="preserve"> </w:t>
      </w:r>
      <w:r w:rsidRPr="005540EB">
        <w:rPr>
          <w:rFonts w:ascii="Times New Roman" w:hAnsi="Times New Roman" w:cs="Times New Roman"/>
        </w:rPr>
        <w:t xml:space="preserve">within the </w:t>
      </w:r>
      <w:r>
        <w:rPr>
          <w:rFonts w:ascii="Times New Roman" w:hAnsi="Times New Roman" w:cs="Times New Roman"/>
        </w:rPr>
        <w:t>natural gas</w:t>
      </w:r>
      <w:r w:rsidRPr="005540EB">
        <w:rPr>
          <w:rFonts w:ascii="Times New Roman" w:hAnsi="Times New Roman" w:cs="Times New Roman"/>
        </w:rPr>
        <w:t xml:space="preserve"> service schedules?</w:t>
      </w:r>
    </w:p>
    <w:p w:rsidR="00F270B6" w:rsidRDefault="00F270B6" w:rsidP="00F270B6">
      <w:pPr>
        <w:pStyle w:val="P165"/>
        <w:tabs>
          <w:tab w:val="clear" w:pos="3600"/>
          <w:tab w:val="left" w:pos="720"/>
        </w:tabs>
        <w:ind w:left="90"/>
        <w:jc w:val="both"/>
        <w:rPr>
          <w:rFonts w:ascii="Times New Roman" w:hAnsi="Times New Roman" w:cs="Times New Roman"/>
        </w:rPr>
      </w:pPr>
      <w:r>
        <w:rPr>
          <w:rFonts w:ascii="Times New Roman" w:hAnsi="Times New Roman" w:cs="Times New Roman"/>
        </w:rPr>
        <w:lastRenderedPageBreak/>
        <w:tab/>
        <w:t>A.</w:t>
      </w:r>
      <w:r>
        <w:rPr>
          <w:rFonts w:ascii="Times New Roman" w:hAnsi="Times New Roman" w:cs="Times New Roman"/>
        </w:rPr>
        <w:tab/>
      </w:r>
      <w:r w:rsidRPr="005540EB">
        <w:rPr>
          <w:rFonts w:ascii="Times New Roman" w:hAnsi="Times New Roman" w:cs="Times New Roman"/>
        </w:rPr>
        <w:t>This information is shown in detail on page 3 of Exhibit No._</w:t>
      </w:r>
      <w:r>
        <w:rPr>
          <w:rFonts w:ascii="Times New Roman" w:hAnsi="Times New Roman" w:cs="Times New Roman"/>
        </w:rPr>
        <w:t>_</w:t>
      </w:r>
      <w:proofErr w:type="gramStart"/>
      <w:r>
        <w:rPr>
          <w:rFonts w:ascii="Times New Roman" w:hAnsi="Times New Roman" w:cs="Times New Roman"/>
        </w:rPr>
        <w:t>_</w:t>
      </w:r>
      <w:r w:rsidRPr="005540EB">
        <w:rPr>
          <w:rFonts w:ascii="Times New Roman" w:hAnsi="Times New Roman" w:cs="Times New Roman"/>
        </w:rPr>
        <w:t>(</w:t>
      </w:r>
      <w:proofErr w:type="gramEnd"/>
      <w:r>
        <w:rPr>
          <w:rFonts w:ascii="Times New Roman" w:hAnsi="Times New Roman" w:cs="Times New Roman"/>
        </w:rPr>
        <w:t>PDE</w:t>
      </w:r>
      <w:r w:rsidRPr="005540EB">
        <w:rPr>
          <w:rFonts w:ascii="Times New Roman" w:hAnsi="Times New Roman" w:cs="Times New Roman"/>
        </w:rPr>
        <w:t>-</w:t>
      </w:r>
      <w:r w:rsidR="00657437">
        <w:rPr>
          <w:rFonts w:ascii="Times New Roman" w:hAnsi="Times New Roman" w:cs="Times New Roman"/>
        </w:rPr>
        <w:t>7</w:t>
      </w:r>
      <w:r w:rsidRPr="005540EB">
        <w:rPr>
          <w:rFonts w:ascii="Times New Roman" w:hAnsi="Times New Roman" w:cs="Times New Roman"/>
        </w:rPr>
        <w:t>).</w:t>
      </w:r>
    </w:p>
    <w:p w:rsidR="004C3DE4" w:rsidRDefault="004C3DE4" w:rsidP="002A7002">
      <w:pPr>
        <w:pStyle w:val="P190"/>
        <w:jc w:val="both"/>
        <w:rPr>
          <w:rFonts w:ascii="Times New Roman" w:hAnsi="Times New Roman" w:cs="Times New Roman"/>
        </w:rPr>
      </w:pPr>
    </w:p>
    <w:p w:rsidR="005540EB" w:rsidRPr="005540EB" w:rsidRDefault="005540EB" w:rsidP="005540EB">
      <w:pPr>
        <w:pStyle w:val="P268"/>
        <w:tabs>
          <w:tab w:val="clear" w:pos="720"/>
        </w:tabs>
        <w:ind w:left="0"/>
        <w:jc w:val="center"/>
        <w:rPr>
          <w:rFonts w:ascii="Times New Roman" w:hAnsi="Times New Roman" w:cs="Times New Roman"/>
        </w:rPr>
      </w:pPr>
      <w:r w:rsidRPr="005540EB">
        <w:rPr>
          <w:rFonts w:ascii="Times New Roman" w:hAnsi="Times New Roman" w:cs="Times New Roman"/>
        </w:rPr>
        <w:t>III</w:t>
      </w:r>
      <w:proofErr w:type="gramStart"/>
      <w:r w:rsidRPr="005540EB">
        <w:rPr>
          <w:rFonts w:ascii="Times New Roman" w:hAnsi="Times New Roman" w:cs="Times New Roman"/>
        </w:rPr>
        <w:t>.  PROPOSED</w:t>
      </w:r>
      <w:proofErr w:type="gramEnd"/>
      <w:r w:rsidRPr="005540EB">
        <w:rPr>
          <w:rFonts w:ascii="Times New Roman" w:hAnsi="Times New Roman" w:cs="Times New Roman"/>
        </w:rPr>
        <w:t xml:space="preserve"> ELECTRIC REVENUE INCREASE</w:t>
      </w:r>
    </w:p>
    <w:p w:rsidR="005540EB" w:rsidRPr="005540EB" w:rsidRDefault="005540EB" w:rsidP="00711833">
      <w:pPr>
        <w:pStyle w:val="P25"/>
        <w:jc w:val="both"/>
        <w:outlineLvl w:val="0"/>
        <w:rPr>
          <w:rFonts w:ascii="Times New Roman" w:hAnsi="Times New Roman" w:cs="Times New Roman"/>
        </w:rPr>
      </w:pPr>
      <w:r w:rsidRPr="005540EB">
        <w:rPr>
          <w:rFonts w:ascii="Times New Roman" w:hAnsi="Times New Roman" w:cs="Times New Roman"/>
        </w:rPr>
        <w:t>Summary of Electric Rate Schedules and Tariffs</w:t>
      </w:r>
    </w:p>
    <w:p w:rsidR="005540EB" w:rsidRPr="005540EB" w:rsidRDefault="005540EB" w:rsidP="00711833">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explain what is contained in Exhibit No._</w:t>
      </w:r>
      <w:r w:rsidR="0043473F">
        <w:rPr>
          <w:rFonts w:ascii="Times New Roman" w:hAnsi="Times New Roman" w:cs="Times New Roman"/>
        </w:rPr>
        <w:t>_</w:t>
      </w:r>
      <w:proofErr w:type="gramStart"/>
      <w:r w:rsidR="0043473F">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-2)?</w:t>
      </w:r>
    </w:p>
    <w:p w:rsidR="005540EB" w:rsidRPr="005540EB" w:rsidRDefault="005540EB" w:rsidP="00711833">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w:t>
      </w:r>
      <w:proofErr w:type="gramStart"/>
      <w:r w:rsidR="0043473F">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 xml:space="preserve">-2) contains a copy of the Company’s present electric tariffs/service schedules.  </w:t>
      </w:r>
    </w:p>
    <w:p w:rsidR="005540EB" w:rsidRPr="005540EB" w:rsidRDefault="005540EB" w:rsidP="00711833">
      <w:pPr>
        <w:pStyle w:val="P106"/>
        <w:jc w:val="both"/>
        <w:rPr>
          <w:rFonts w:ascii="Times New Roman" w:hAnsi="Times New Roman" w:cs="Times New Roman"/>
          <w:b/>
        </w:rPr>
      </w:pPr>
      <w:r w:rsidRPr="005540EB">
        <w:rPr>
          <w:rStyle w:val="T11"/>
          <w:rFonts w:ascii="Times New Roman" w:hAnsi="Times New Roman" w:cs="Times New Roman"/>
        </w:rPr>
        <w:t>Q.</w:t>
      </w:r>
      <w:r w:rsidRPr="005540EB">
        <w:rPr>
          <w:rStyle w:val="T11"/>
          <w:rFonts w:ascii="Times New Roman" w:hAnsi="Times New Roman" w:cs="Times New Roman"/>
        </w:rPr>
        <w:tab/>
        <w:t xml:space="preserve">Could you please describe what is contained in </w:t>
      </w:r>
      <w:r w:rsidRPr="005540EB">
        <w:rPr>
          <w:rFonts w:ascii="Times New Roman" w:hAnsi="Times New Roman" w:cs="Times New Roman"/>
          <w:b/>
        </w:rPr>
        <w:t>Exhibit No._</w:t>
      </w:r>
      <w:r w:rsidR="0043473F">
        <w:rPr>
          <w:rFonts w:ascii="Times New Roman" w:hAnsi="Times New Roman" w:cs="Times New Roman"/>
          <w:b/>
        </w:rPr>
        <w:t>_</w:t>
      </w:r>
      <w:proofErr w:type="gramStart"/>
      <w:r w:rsidR="0043473F">
        <w:rPr>
          <w:rFonts w:ascii="Times New Roman" w:hAnsi="Times New Roman" w:cs="Times New Roman"/>
          <w:b/>
        </w:rPr>
        <w:t>_</w:t>
      </w:r>
      <w:r w:rsidRPr="005540EB">
        <w:rPr>
          <w:rFonts w:ascii="Times New Roman" w:hAnsi="Times New Roman" w:cs="Times New Roman"/>
          <w:b/>
        </w:rPr>
        <w:t>(</w:t>
      </w:r>
      <w:proofErr w:type="gramEnd"/>
      <w:r w:rsidR="00D8699E">
        <w:rPr>
          <w:rFonts w:ascii="Times New Roman" w:hAnsi="Times New Roman" w:cs="Times New Roman"/>
          <w:b/>
        </w:rPr>
        <w:t>PDE</w:t>
      </w:r>
      <w:r w:rsidRPr="005540EB">
        <w:rPr>
          <w:rFonts w:ascii="Times New Roman" w:hAnsi="Times New Roman" w:cs="Times New Roman"/>
          <w:b/>
        </w:rPr>
        <w:t>-3)</w:t>
      </w:r>
      <w:r w:rsidRPr="005540EB">
        <w:rPr>
          <w:rStyle w:val="T11"/>
          <w:rFonts w:ascii="Times New Roman" w:hAnsi="Times New Roman" w:cs="Times New Roman"/>
        </w:rPr>
        <w:t>?</w:t>
      </w:r>
    </w:p>
    <w:p w:rsidR="005540EB" w:rsidRDefault="005540EB" w:rsidP="00711833">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43473F">
        <w:rPr>
          <w:rFonts w:ascii="Times New Roman" w:hAnsi="Times New Roman" w:cs="Times New Roman"/>
        </w:rPr>
        <w:t>_</w:t>
      </w:r>
      <w:proofErr w:type="gramStart"/>
      <w:r w:rsidR="0043473F">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 xml:space="preserve">-3) contains the proposed electric tariff sheets incorporating the proposed changes included in this filing.  </w:t>
      </w:r>
    </w:p>
    <w:p w:rsidR="0081738C" w:rsidRPr="005540EB" w:rsidRDefault="0081738C" w:rsidP="0081738C">
      <w:pPr>
        <w:pStyle w:val="P106"/>
        <w:jc w:val="both"/>
        <w:rPr>
          <w:rFonts w:ascii="Times New Roman" w:hAnsi="Times New Roman" w:cs="Times New Roman"/>
          <w:b/>
        </w:rPr>
      </w:pPr>
      <w:r w:rsidRPr="005540EB">
        <w:rPr>
          <w:rStyle w:val="T11"/>
          <w:rFonts w:ascii="Times New Roman" w:hAnsi="Times New Roman" w:cs="Times New Roman"/>
        </w:rPr>
        <w:t>Q.</w:t>
      </w:r>
      <w:r w:rsidRPr="005540EB">
        <w:rPr>
          <w:rStyle w:val="T11"/>
          <w:rFonts w:ascii="Times New Roman" w:hAnsi="Times New Roman" w:cs="Times New Roman"/>
        </w:rPr>
        <w:tab/>
      </w:r>
      <w:r w:rsidR="006C7E37">
        <w:rPr>
          <w:rStyle w:val="T11"/>
          <w:rFonts w:ascii="Times New Roman" w:hAnsi="Times New Roman" w:cs="Times New Roman"/>
        </w:rPr>
        <w:t>P</w:t>
      </w:r>
      <w:r w:rsidRPr="005540EB">
        <w:rPr>
          <w:rStyle w:val="T11"/>
          <w:rFonts w:ascii="Times New Roman" w:hAnsi="Times New Roman" w:cs="Times New Roman"/>
        </w:rPr>
        <w:t xml:space="preserve">lease describe what is contained in </w:t>
      </w:r>
      <w:r w:rsidRPr="005540EB">
        <w:rPr>
          <w:rFonts w:ascii="Times New Roman" w:hAnsi="Times New Roman" w:cs="Times New Roman"/>
          <w:b/>
        </w:rPr>
        <w:t>Exhibit No._</w:t>
      </w:r>
      <w:r>
        <w:rPr>
          <w:rFonts w:ascii="Times New Roman" w:hAnsi="Times New Roman" w:cs="Times New Roman"/>
          <w:b/>
        </w:rPr>
        <w:t>_</w:t>
      </w:r>
      <w:proofErr w:type="gramStart"/>
      <w:r>
        <w:rPr>
          <w:rFonts w:ascii="Times New Roman" w:hAnsi="Times New Roman" w:cs="Times New Roman"/>
          <w:b/>
        </w:rPr>
        <w:t>_</w:t>
      </w:r>
      <w:r w:rsidRPr="005540EB">
        <w:rPr>
          <w:rFonts w:ascii="Times New Roman" w:hAnsi="Times New Roman" w:cs="Times New Roman"/>
          <w:b/>
        </w:rPr>
        <w:t>(</w:t>
      </w:r>
      <w:proofErr w:type="gramEnd"/>
      <w:r>
        <w:rPr>
          <w:rFonts w:ascii="Times New Roman" w:hAnsi="Times New Roman" w:cs="Times New Roman"/>
          <w:b/>
        </w:rPr>
        <w:t>PDE</w:t>
      </w:r>
      <w:r w:rsidRPr="005540EB">
        <w:rPr>
          <w:rFonts w:ascii="Times New Roman" w:hAnsi="Times New Roman" w:cs="Times New Roman"/>
          <w:b/>
        </w:rPr>
        <w:t>-</w:t>
      </w:r>
      <w:r w:rsidR="00657437">
        <w:rPr>
          <w:rFonts w:ascii="Times New Roman" w:hAnsi="Times New Roman" w:cs="Times New Roman"/>
          <w:b/>
        </w:rPr>
        <w:t>4</w:t>
      </w:r>
      <w:r w:rsidRPr="005540EB">
        <w:rPr>
          <w:rFonts w:ascii="Times New Roman" w:hAnsi="Times New Roman" w:cs="Times New Roman"/>
          <w:b/>
        </w:rPr>
        <w:t>)</w:t>
      </w:r>
      <w:r w:rsidR="006C7E37">
        <w:rPr>
          <w:rStyle w:val="T11"/>
          <w:rFonts w:ascii="Times New Roman" w:hAnsi="Times New Roman" w:cs="Times New Roman"/>
        </w:rPr>
        <w:t>.</w:t>
      </w:r>
    </w:p>
    <w:p w:rsidR="005540EB" w:rsidRDefault="0081738C" w:rsidP="00CA7EA4">
      <w:pPr>
        <w:pStyle w:val="P31"/>
        <w:jc w:val="both"/>
        <w:rPr>
          <w:rStyle w:val="T13"/>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657437" w:rsidRPr="005540EB">
        <w:rPr>
          <w:rFonts w:ascii="Times New Roman" w:hAnsi="Times New Roman" w:cs="Times New Roman"/>
        </w:rPr>
        <w:t>Exhibit No._</w:t>
      </w:r>
      <w:r w:rsidR="00657437">
        <w:rPr>
          <w:rFonts w:ascii="Times New Roman" w:hAnsi="Times New Roman" w:cs="Times New Roman"/>
        </w:rPr>
        <w:t>_</w:t>
      </w:r>
      <w:proofErr w:type="gramStart"/>
      <w:r w:rsidR="00657437">
        <w:rPr>
          <w:rFonts w:ascii="Times New Roman" w:hAnsi="Times New Roman" w:cs="Times New Roman"/>
        </w:rPr>
        <w:t>_</w:t>
      </w:r>
      <w:r w:rsidR="00657437" w:rsidRPr="005540EB">
        <w:rPr>
          <w:rFonts w:ascii="Times New Roman" w:hAnsi="Times New Roman" w:cs="Times New Roman"/>
        </w:rPr>
        <w:t>(</w:t>
      </w:r>
      <w:proofErr w:type="gramEnd"/>
      <w:r w:rsidR="00657437">
        <w:rPr>
          <w:rFonts w:ascii="Times New Roman" w:hAnsi="Times New Roman" w:cs="Times New Roman"/>
        </w:rPr>
        <w:t>PDE</w:t>
      </w:r>
      <w:r w:rsidR="00657437" w:rsidRPr="005540EB">
        <w:rPr>
          <w:rFonts w:ascii="Times New Roman" w:hAnsi="Times New Roman" w:cs="Times New Roman"/>
        </w:rPr>
        <w:t>-4)</w:t>
      </w:r>
      <w:r w:rsidR="00657437" w:rsidRPr="005540EB">
        <w:rPr>
          <w:rStyle w:val="T13"/>
          <w:rFonts w:ascii="Times New Roman" w:hAnsi="Times New Roman" w:cs="Times New Roman"/>
        </w:rPr>
        <w:t xml:space="preserve"> contains information regarding the proposed spread of the electric revenue increase among the service schedules and the proposed changes to the rates within the schedules.  Page 1 shows the proposed general revenue and percentage increase by rate schedule compared to the present revenue under </w:t>
      </w:r>
      <w:r w:rsidR="00657437" w:rsidRPr="00545B95">
        <w:rPr>
          <w:rStyle w:val="T8"/>
          <w:rFonts w:ascii="Times New Roman" w:hAnsi="Times New Roman" w:cs="Times New Roman"/>
          <w:u w:val="none"/>
        </w:rPr>
        <w:t>base tariff</w:t>
      </w:r>
      <w:r w:rsidR="00657437" w:rsidRPr="005540EB">
        <w:rPr>
          <w:rStyle w:val="T13"/>
          <w:rFonts w:ascii="Times New Roman" w:hAnsi="Times New Roman" w:cs="Times New Roman"/>
        </w:rPr>
        <w:t xml:space="preserve"> and billing rates.  Page 2 shows the rates of return and the relative rates of return for each of the schedules before and after application of the proposed general increase.  Page 3 shows the present rates under each of the rate schedules, the proposed changes to the rates within the schedules</w:t>
      </w:r>
      <w:r w:rsidR="00657437">
        <w:rPr>
          <w:rStyle w:val="T13"/>
          <w:rFonts w:ascii="Times New Roman" w:hAnsi="Times New Roman" w:cs="Times New Roman"/>
        </w:rPr>
        <w:t>,</w:t>
      </w:r>
      <w:r w:rsidR="00657437" w:rsidRPr="005540EB">
        <w:rPr>
          <w:rStyle w:val="T13"/>
          <w:rFonts w:ascii="Times New Roman" w:hAnsi="Times New Roman" w:cs="Times New Roman"/>
        </w:rPr>
        <w:t xml:space="preserve"> and the proposed rates after application of the changes.  These pages will be referred to later in my testimony.    </w:t>
      </w:r>
    </w:p>
    <w:p w:rsidR="005540EB" w:rsidRPr="005540EB" w:rsidRDefault="005540EB" w:rsidP="00711833">
      <w:pPr>
        <w:pStyle w:val="P70"/>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Would you please describe the Company's present rate schedules and the types of electric service offered under each?</w:t>
      </w:r>
    </w:p>
    <w:p w:rsidR="00545B95" w:rsidRPr="00892413" w:rsidRDefault="005540EB" w:rsidP="00711833">
      <w:pPr>
        <w:pStyle w:val="P43"/>
        <w:jc w:val="both"/>
        <w:rPr>
          <w:rFonts w:ascii="Times New Roman" w:hAnsi="Times New Roman"/>
        </w:rPr>
      </w:pPr>
      <w:r w:rsidRPr="00894CE2">
        <w:rPr>
          <w:rFonts w:ascii="Times New Roman" w:hAnsi="Times New Roman"/>
        </w:rPr>
        <w:t>A.</w:t>
      </w:r>
      <w:r w:rsidRPr="00894CE2">
        <w:rPr>
          <w:rFonts w:ascii="Times New Roman" w:hAnsi="Times New Roman"/>
        </w:rPr>
        <w:tab/>
        <w:t xml:space="preserve">Yes.  The Company presently provides electric service under Residential </w:t>
      </w:r>
      <w:r w:rsidRPr="00894CE2">
        <w:rPr>
          <w:rFonts w:ascii="Times New Roman" w:hAnsi="Times New Roman"/>
        </w:rPr>
        <w:lastRenderedPageBreak/>
        <w:t>Service Schedule 1, General Service Schedules 11 and 12, Large General Service Schedules 21 and 22, Extra Large General Service Schedule</w:t>
      </w:r>
      <w:r w:rsidR="000F2A4D">
        <w:rPr>
          <w:rFonts w:ascii="Times New Roman" w:hAnsi="Times New Roman"/>
        </w:rPr>
        <w:t xml:space="preserve"> </w:t>
      </w:r>
      <w:r w:rsidRPr="00894CE2">
        <w:rPr>
          <w:rFonts w:ascii="Times New Roman" w:hAnsi="Times New Roman"/>
        </w:rPr>
        <w:t>25</w:t>
      </w:r>
      <w:r w:rsidR="004C3DE4">
        <w:rPr>
          <w:rFonts w:ascii="Times New Roman" w:hAnsi="Times New Roman"/>
        </w:rPr>
        <w:t>,</w:t>
      </w:r>
      <w:r w:rsidRPr="00894CE2">
        <w:rPr>
          <w:rFonts w:ascii="Times New Roman" w:hAnsi="Times New Roman"/>
        </w:rPr>
        <w:t xml:space="preserve"> and Pumping Service Schedules 31 and 32.  Additionally, the Company provides Street Lighting Service under Schedules 41-46, and Area Lighting Service under Schedules 47-48.  Schedules 12, 22, 32, and 48 exist for residential and farm service customers who qualify for the Residential Exchange </w:t>
      </w:r>
      <w:r w:rsidR="00916D0F">
        <w:rPr>
          <w:rFonts w:ascii="Times New Roman" w:hAnsi="Times New Roman"/>
        </w:rPr>
        <w:t>P</w:t>
      </w:r>
      <w:r w:rsidRPr="00894CE2">
        <w:rPr>
          <w:rFonts w:ascii="Times New Roman" w:hAnsi="Times New Roman"/>
        </w:rPr>
        <w:t xml:space="preserve">rogram operated by the Bonneville Power Administration.  The rates for these schedules are identical to the rates for Schedules 11, 21, 31, and 47, respectively, except for the Residential </w:t>
      </w:r>
      <w:r w:rsidRPr="00892413">
        <w:rPr>
          <w:rFonts w:ascii="Times New Roman" w:hAnsi="Times New Roman"/>
        </w:rPr>
        <w:t xml:space="preserve">Exchange rate credit.  </w:t>
      </w:r>
    </w:p>
    <w:p w:rsidR="00894CE2" w:rsidRDefault="00DF5CDD" w:rsidP="00711833">
      <w:pPr>
        <w:pStyle w:val="P43"/>
        <w:jc w:val="both"/>
        <w:rPr>
          <w:rFonts w:ascii="Times New Roman" w:hAnsi="Times New Roman"/>
        </w:rPr>
      </w:pPr>
      <w:r>
        <w:rPr>
          <w:rFonts w:ascii="Times New Roman" w:hAnsi="Times New Roman"/>
        </w:rPr>
        <w:t xml:space="preserve">Table </w:t>
      </w:r>
      <w:r w:rsidR="003E19C9">
        <w:rPr>
          <w:rFonts w:ascii="Times New Roman" w:hAnsi="Times New Roman"/>
        </w:rPr>
        <w:t>3</w:t>
      </w:r>
      <w:r>
        <w:rPr>
          <w:rFonts w:ascii="Times New Roman" w:hAnsi="Times New Roman"/>
        </w:rPr>
        <w:t xml:space="preserve"> below</w:t>
      </w:r>
      <w:r w:rsidR="005540EB" w:rsidRPr="00892413">
        <w:rPr>
          <w:rFonts w:ascii="Times New Roman" w:hAnsi="Times New Roman"/>
        </w:rPr>
        <w:t xml:space="preserve"> shows the type and number of customers served in Washington (as of </w:t>
      </w:r>
      <w:r w:rsidR="00C679F4">
        <w:rPr>
          <w:rFonts w:ascii="Times New Roman" w:hAnsi="Times New Roman"/>
        </w:rPr>
        <w:t>Septembe</w:t>
      </w:r>
      <w:r w:rsidR="00F2314D">
        <w:rPr>
          <w:rFonts w:ascii="Times New Roman" w:hAnsi="Times New Roman"/>
        </w:rPr>
        <w:t>r 2014</w:t>
      </w:r>
      <w:r w:rsidR="005540EB" w:rsidRPr="00892413">
        <w:rPr>
          <w:rFonts w:ascii="Times New Roman" w:hAnsi="Times New Roman"/>
        </w:rPr>
        <w:t>) under each of the service schedules:</w:t>
      </w:r>
    </w:p>
    <w:p w:rsidR="005540EB" w:rsidRPr="00822621" w:rsidRDefault="00C679F4" w:rsidP="00D34F06">
      <w:pPr>
        <w:pStyle w:val="P43"/>
        <w:ind w:firstLine="0"/>
        <w:jc w:val="both"/>
        <w:rPr>
          <w:rFonts w:ascii="Times New Roman" w:hAnsi="Times New Roman" w:cs="Times New Roman"/>
          <w:b/>
          <w:u w:val="single"/>
        </w:rPr>
      </w:pPr>
      <w:bookmarkStart w:id="0" w:name="OLE_LINK1"/>
      <w:r w:rsidRPr="00C679F4">
        <w:rPr>
          <w:noProof/>
        </w:rPr>
        <w:drawing>
          <wp:anchor distT="0" distB="0" distL="114300" distR="114300" simplePos="0" relativeHeight="251936256" behindDoc="1" locked="0" layoutInCell="1" allowOverlap="1">
            <wp:simplePos x="0" y="0"/>
            <wp:positionH relativeFrom="column">
              <wp:posOffset>478155</wp:posOffset>
            </wp:positionH>
            <wp:positionV relativeFrom="paragraph">
              <wp:posOffset>0</wp:posOffset>
            </wp:positionV>
            <wp:extent cx="4886325" cy="1409700"/>
            <wp:effectExtent l="19050" t="0" r="952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886325" cy="1409700"/>
                    </a:xfrm>
                    <a:prstGeom prst="rect">
                      <a:avLst/>
                    </a:prstGeom>
                    <a:noFill/>
                    <a:ln w="9525">
                      <a:noFill/>
                      <a:miter lim="800000"/>
                      <a:headEnd/>
                      <a:tailEnd/>
                    </a:ln>
                  </pic:spPr>
                </pic:pic>
              </a:graphicData>
            </a:graphic>
          </wp:anchor>
        </w:drawing>
      </w:r>
    </w:p>
    <w:bookmarkEnd w:id="0"/>
    <w:p w:rsidR="00F17ED7" w:rsidRDefault="00F17ED7" w:rsidP="00D34F06">
      <w:pPr>
        <w:pStyle w:val="P127"/>
        <w:jc w:val="both"/>
        <w:outlineLvl w:val="0"/>
        <w:rPr>
          <w:rFonts w:ascii="Times New Roman" w:hAnsi="Times New Roman" w:cs="Times New Roman"/>
        </w:rPr>
      </w:pPr>
    </w:p>
    <w:p w:rsidR="00F17ED7" w:rsidRDefault="00F17ED7" w:rsidP="00D34F06">
      <w:pPr>
        <w:pStyle w:val="P127"/>
        <w:jc w:val="both"/>
        <w:outlineLvl w:val="0"/>
        <w:rPr>
          <w:rFonts w:ascii="Times New Roman" w:hAnsi="Times New Roman" w:cs="Times New Roman"/>
        </w:rPr>
      </w:pPr>
    </w:p>
    <w:p w:rsidR="00F17ED7" w:rsidRDefault="00F17ED7" w:rsidP="00D34F06">
      <w:pPr>
        <w:pStyle w:val="P127"/>
        <w:jc w:val="both"/>
        <w:outlineLvl w:val="0"/>
        <w:rPr>
          <w:rFonts w:ascii="Times New Roman" w:hAnsi="Times New Roman" w:cs="Times New Roman"/>
        </w:rPr>
      </w:pPr>
    </w:p>
    <w:p w:rsidR="00657437" w:rsidRDefault="00657437" w:rsidP="00D34F06">
      <w:pPr>
        <w:pStyle w:val="P127"/>
        <w:jc w:val="both"/>
        <w:outlineLvl w:val="0"/>
        <w:rPr>
          <w:rFonts w:ascii="Times New Roman" w:hAnsi="Times New Roman" w:cs="Times New Roman"/>
        </w:rPr>
      </w:pPr>
    </w:p>
    <w:p w:rsidR="005540EB" w:rsidRPr="005540EB" w:rsidRDefault="005540EB" w:rsidP="00D34F06">
      <w:pPr>
        <w:pStyle w:val="P127"/>
        <w:jc w:val="both"/>
        <w:outlineLvl w:val="0"/>
        <w:rPr>
          <w:rFonts w:ascii="Times New Roman" w:hAnsi="Times New Roman" w:cs="Times New Roman"/>
        </w:rPr>
      </w:pPr>
      <w:r w:rsidRPr="005540EB">
        <w:rPr>
          <w:rFonts w:ascii="Times New Roman" w:hAnsi="Times New Roman" w:cs="Times New Roman"/>
        </w:rPr>
        <w:t>Proposed Electric Rate Spread</w:t>
      </w:r>
      <w:r w:rsidR="00F2314D">
        <w:rPr>
          <w:rFonts w:ascii="Times New Roman" w:hAnsi="Times New Roman" w:cs="Times New Roman"/>
        </w:rPr>
        <w:t xml:space="preserve"> </w:t>
      </w:r>
    </w:p>
    <w:p w:rsidR="005540EB" w:rsidRPr="005540EB" w:rsidRDefault="005540EB" w:rsidP="00711833">
      <w:pPr>
        <w:pStyle w:val="P158"/>
        <w:numPr>
          <w:ilvl w:val="0"/>
          <w:numId w:val="11"/>
        </w:numPr>
        <w:tabs>
          <w:tab w:val="clear" w:pos="1230"/>
          <w:tab w:val="num" w:pos="1440"/>
        </w:tabs>
        <w:ind w:left="0" w:firstLine="720"/>
        <w:jc w:val="both"/>
        <w:rPr>
          <w:rFonts w:ascii="Times New Roman" w:hAnsi="Times New Roman" w:cs="Times New Roman"/>
        </w:rPr>
      </w:pPr>
      <w:r w:rsidRPr="005540EB">
        <w:rPr>
          <w:rStyle w:val="T11"/>
          <w:rFonts w:ascii="Times New Roman" w:hAnsi="Times New Roman" w:cs="Times New Roman"/>
        </w:rPr>
        <w:t xml:space="preserve">How does the Company propose to spread the total general revenue increase </w:t>
      </w:r>
      <w:r w:rsidRPr="00081958">
        <w:rPr>
          <w:rStyle w:val="T11"/>
          <w:rFonts w:ascii="Times New Roman" w:hAnsi="Times New Roman" w:cs="Times New Roman"/>
        </w:rPr>
        <w:t>request of $</w:t>
      </w:r>
      <w:r w:rsidR="003E19C9">
        <w:rPr>
          <w:rStyle w:val="T11"/>
          <w:rFonts w:ascii="Times New Roman" w:hAnsi="Times New Roman" w:cs="Times New Roman"/>
        </w:rPr>
        <w:t>33,229,000</w:t>
      </w:r>
      <w:r w:rsidRPr="00081958">
        <w:rPr>
          <w:rStyle w:val="T11"/>
          <w:rFonts w:ascii="Times New Roman" w:hAnsi="Times New Roman" w:cs="Times New Roman"/>
        </w:rPr>
        <w:t xml:space="preserve"> among</w:t>
      </w:r>
      <w:r w:rsidRPr="005540EB">
        <w:rPr>
          <w:rStyle w:val="T11"/>
          <w:rFonts w:ascii="Times New Roman" w:hAnsi="Times New Roman" w:cs="Times New Roman"/>
        </w:rPr>
        <w:t xml:space="preserve"> its various rate schedules?</w:t>
      </w:r>
    </w:p>
    <w:p w:rsidR="003E19C9" w:rsidRPr="003E19C9" w:rsidRDefault="005540EB" w:rsidP="003E19C9">
      <w:pPr>
        <w:pStyle w:val="P166"/>
        <w:numPr>
          <w:ilvl w:val="0"/>
          <w:numId w:val="28"/>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The </w:t>
      </w:r>
      <w:r w:rsidRPr="002B3375">
        <w:rPr>
          <w:rFonts w:ascii="Times New Roman" w:hAnsi="Times New Roman" w:cs="Times New Roman"/>
        </w:rPr>
        <w:t xml:space="preserve">Company is proposing that the overall requested revenue increase be spread </w:t>
      </w:r>
      <w:r w:rsidR="00F2314D">
        <w:rPr>
          <w:rFonts w:ascii="Times New Roman" w:hAnsi="Times New Roman" w:cs="Times New Roman"/>
        </w:rPr>
        <w:t>in the following manner</w:t>
      </w:r>
      <w:r w:rsidR="00C372CC" w:rsidRPr="002B3375">
        <w:rPr>
          <w:rFonts w:ascii="Times New Roman" w:hAnsi="Times New Roman" w:cs="Times New Roman"/>
        </w:rPr>
        <w:t>:</w:t>
      </w:r>
      <w:r w:rsidR="003E19C9">
        <w:rPr>
          <w:rFonts w:ascii="Times New Roman" w:hAnsi="Times New Roman" w:cs="Times New Roman"/>
        </w:rPr>
        <w:br w:type="page"/>
      </w:r>
    </w:p>
    <w:p w:rsidR="005540EB" w:rsidRDefault="006C7E37" w:rsidP="00C95E6C">
      <w:pPr>
        <w:pStyle w:val="P166"/>
        <w:jc w:val="both"/>
        <w:rPr>
          <w:rFonts w:ascii="Times New Roman" w:hAnsi="Times New Roman" w:cs="Times New Roman"/>
        </w:rPr>
      </w:pPr>
      <w:r w:rsidRPr="006C7E37">
        <w:rPr>
          <w:noProof/>
        </w:rPr>
        <w:lastRenderedPageBreak/>
        <w:drawing>
          <wp:anchor distT="0" distB="0" distL="114300" distR="114300" simplePos="0" relativeHeight="251959808" behindDoc="1" locked="0" layoutInCell="1" allowOverlap="1">
            <wp:simplePos x="0" y="0"/>
            <wp:positionH relativeFrom="column">
              <wp:posOffset>477975</wp:posOffset>
            </wp:positionH>
            <wp:positionV relativeFrom="paragraph">
              <wp:posOffset>0</wp:posOffset>
            </wp:positionV>
            <wp:extent cx="4853605" cy="2044460"/>
            <wp:effectExtent l="19050" t="0" r="4145"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853605" cy="2044460"/>
                    </a:xfrm>
                    <a:prstGeom prst="rect">
                      <a:avLst/>
                    </a:prstGeom>
                    <a:noFill/>
                    <a:ln w="9525">
                      <a:noFill/>
                      <a:miter lim="800000"/>
                      <a:headEnd/>
                      <a:tailEnd/>
                    </a:ln>
                  </pic:spPr>
                </pic:pic>
              </a:graphicData>
            </a:graphic>
          </wp:anchor>
        </w:drawing>
      </w:r>
    </w:p>
    <w:p w:rsidR="004C3DE4" w:rsidRDefault="004C3DE4" w:rsidP="004C3DE4">
      <w:pPr>
        <w:pStyle w:val="P166"/>
        <w:jc w:val="both"/>
        <w:rPr>
          <w:rFonts w:ascii="Times New Roman" w:hAnsi="Times New Roman" w:cs="Times New Roman"/>
        </w:rPr>
      </w:pPr>
    </w:p>
    <w:p w:rsidR="004C3DE4" w:rsidRPr="002B3375" w:rsidRDefault="004C3DE4" w:rsidP="004C3DE4">
      <w:pPr>
        <w:pStyle w:val="P166"/>
        <w:jc w:val="both"/>
        <w:rPr>
          <w:rFonts w:ascii="Times New Roman" w:hAnsi="Times New Roman" w:cs="Times New Roman"/>
        </w:rPr>
      </w:pPr>
    </w:p>
    <w:p w:rsidR="005540EB" w:rsidRPr="005540EB" w:rsidRDefault="005540EB" w:rsidP="00711833">
      <w:pPr>
        <w:pStyle w:val="P85"/>
        <w:jc w:val="both"/>
        <w:rPr>
          <w:rFonts w:ascii="Times New Roman" w:hAnsi="Times New Roman" w:cs="Times New Roman"/>
        </w:rPr>
      </w:pPr>
    </w:p>
    <w:p w:rsidR="00F17ED7" w:rsidRDefault="00F17ED7" w:rsidP="00711833">
      <w:pPr>
        <w:pStyle w:val="P85"/>
        <w:jc w:val="both"/>
        <w:rPr>
          <w:rFonts w:ascii="Times New Roman" w:hAnsi="Times New Roman" w:cs="Times New Roman"/>
        </w:rPr>
      </w:pPr>
    </w:p>
    <w:p w:rsidR="00B50A07" w:rsidRDefault="00B50A07" w:rsidP="00711833">
      <w:pPr>
        <w:pStyle w:val="P85"/>
        <w:jc w:val="both"/>
        <w:rPr>
          <w:rFonts w:ascii="Times New Roman" w:hAnsi="Times New Roman" w:cs="Times New Roman"/>
        </w:rPr>
      </w:pPr>
    </w:p>
    <w:p w:rsidR="005540EB" w:rsidRPr="0021578E" w:rsidRDefault="005540EB" w:rsidP="00711833">
      <w:pPr>
        <w:pStyle w:val="P85"/>
        <w:jc w:val="both"/>
        <w:rPr>
          <w:rFonts w:ascii="Times New Roman" w:hAnsi="Times New Roman" w:cs="Times New Roman"/>
        </w:rPr>
      </w:pPr>
      <w:r w:rsidRPr="005540EB">
        <w:rPr>
          <w:rFonts w:ascii="Times New Roman" w:hAnsi="Times New Roman" w:cs="Times New Roman"/>
        </w:rPr>
        <w:t>T</w:t>
      </w:r>
      <w:r w:rsidRPr="004C1B9A">
        <w:rPr>
          <w:rFonts w:ascii="Times New Roman" w:hAnsi="Times New Roman" w:cs="Times New Roman"/>
        </w:rPr>
        <w:t xml:space="preserve">his </w:t>
      </w:r>
      <w:r w:rsidRPr="0021578E">
        <w:rPr>
          <w:rFonts w:ascii="Times New Roman" w:hAnsi="Times New Roman" w:cs="Times New Roman"/>
        </w:rPr>
        <w:t xml:space="preserve">information is shown </w:t>
      </w:r>
      <w:r w:rsidR="001D224A" w:rsidRPr="0021578E">
        <w:rPr>
          <w:rFonts w:ascii="Times New Roman" w:hAnsi="Times New Roman" w:cs="Times New Roman"/>
        </w:rPr>
        <w:t>with more</w:t>
      </w:r>
      <w:r w:rsidRPr="0021578E">
        <w:rPr>
          <w:rFonts w:ascii="Times New Roman" w:hAnsi="Times New Roman" w:cs="Times New Roman"/>
        </w:rPr>
        <w:t xml:space="preserve"> detail on Page 1 of Exhibit No._</w:t>
      </w:r>
      <w:r w:rsidR="0043473F" w:rsidRPr="0021578E">
        <w:rPr>
          <w:rFonts w:ascii="Times New Roman" w:hAnsi="Times New Roman" w:cs="Times New Roman"/>
        </w:rPr>
        <w:t>_</w:t>
      </w:r>
      <w:proofErr w:type="gramStart"/>
      <w:r w:rsidR="0043473F" w:rsidRPr="0021578E">
        <w:rPr>
          <w:rFonts w:ascii="Times New Roman" w:hAnsi="Times New Roman" w:cs="Times New Roman"/>
        </w:rPr>
        <w:t>_</w:t>
      </w:r>
      <w:r w:rsidRPr="0021578E">
        <w:rPr>
          <w:rFonts w:ascii="Times New Roman" w:hAnsi="Times New Roman" w:cs="Times New Roman"/>
        </w:rPr>
        <w:t>(</w:t>
      </w:r>
      <w:proofErr w:type="gramEnd"/>
      <w:r w:rsidR="00D8699E" w:rsidRPr="0021578E">
        <w:rPr>
          <w:rFonts w:ascii="Times New Roman" w:hAnsi="Times New Roman" w:cs="Times New Roman"/>
        </w:rPr>
        <w:t>PDE</w:t>
      </w:r>
      <w:r w:rsidRPr="0021578E">
        <w:rPr>
          <w:rFonts w:ascii="Times New Roman" w:hAnsi="Times New Roman" w:cs="Times New Roman"/>
        </w:rPr>
        <w:t>-</w:t>
      </w:r>
      <w:r w:rsidR="00657437">
        <w:rPr>
          <w:rFonts w:ascii="Times New Roman" w:hAnsi="Times New Roman" w:cs="Times New Roman"/>
        </w:rPr>
        <w:t>4</w:t>
      </w:r>
      <w:r w:rsidRPr="0021578E">
        <w:rPr>
          <w:rFonts w:ascii="Times New Roman" w:hAnsi="Times New Roman" w:cs="Times New Roman"/>
        </w:rPr>
        <w:t xml:space="preserve">). </w:t>
      </w:r>
    </w:p>
    <w:p w:rsidR="005540EB" w:rsidRPr="0021578E" w:rsidRDefault="00894CE2" w:rsidP="0012369E">
      <w:pPr>
        <w:pStyle w:val="P172"/>
        <w:numPr>
          <w:ilvl w:val="0"/>
          <w:numId w:val="14"/>
        </w:numPr>
        <w:tabs>
          <w:tab w:val="clear" w:pos="1260"/>
          <w:tab w:val="left" w:pos="1440"/>
        </w:tabs>
        <w:ind w:left="0" w:firstLine="720"/>
        <w:jc w:val="both"/>
        <w:rPr>
          <w:rFonts w:ascii="Times New Roman" w:hAnsi="Times New Roman" w:cs="Times New Roman"/>
        </w:rPr>
      </w:pPr>
      <w:r w:rsidRPr="0021578E">
        <w:rPr>
          <w:rStyle w:val="T11"/>
          <w:rFonts w:ascii="Times New Roman" w:hAnsi="Times New Roman" w:cs="Times New Roman"/>
        </w:rPr>
        <w:t>What rationale did the C</w:t>
      </w:r>
      <w:r w:rsidR="005540EB" w:rsidRPr="0021578E">
        <w:rPr>
          <w:rStyle w:val="T11"/>
          <w:rFonts w:ascii="Times New Roman" w:hAnsi="Times New Roman" w:cs="Times New Roman"/>
        </w:rPr>
        <w:t>ompany use in developing the proposed general increase by rate schedule?</w:t>
      </w:r>
    </w:p>
    <w:p w:rsidR="00B50A07" w:rsidRPr="00B50A07" w:rsidRDefault="002B3375" w:rsidP="00B50A07">
      <w:pPr>
        <w:pStyle w:val="P179"/>
        <w:tabs>
          <w:tab w:val="clear" w:pos="1260"/>
          <w:tab w:val="left" w:pos="1440"/>
        </w:tabs>
        <w:ind w:left="0" w:firstLine="720"/>
        <w:jc w:val="both"/>
        <w:rPr>
          <w:rStyle w:val="T13"/>
          <w:rFonts w:ascii="Times New Roman" w:hAnsi="Times New Roman" w:cs="Times New Roman"/>
          <w:b w:val="0"/>
        </w:rPr>
      </w:pPr>
      <w:r w:rsidRPr="002B3375">
        <w:rPr>
          <w:rFonts w:ascii="Times New Roman" w:hAnsi="Times New Roman" w:cs="Times New Roman"/>
          <w:b w:val="0"/>
        </w:rPr>
        <w:t>A.</w:t>
      </w:r>
      <w:r w:rsidRPr="002B3375">
        <w:rPr>
          <w:rFonts w:ascii="Times New Roman" w:hAnsi="Times New Roman" w:cs="Times New Roman"/>
          <w:b w:val="0"/>
        </w:rPr>
        <w:tab/>
      </w:r>
      <w:r>
        <w:rPr>
          <w:rFonts w:ascii="Times New Roman" w:hAnsi="Times New Roman" w:cs="Times New Roman"/>
          <w:b w:val="0"/>
        </w:rPr>
        <w:t>The</w:t>
      </w:r>
      <w:r w:rsidRPr="002B3375">
        <w:rPr>
          <w:rFonts w:ascii="Times New Roman" w:hAnsi="Times New Roman" w:cs="Times New Roman"/>
          <w:b w:val="0"/>
        </w:rPr>
        <w:t xml:space="preserve"> Company believes that the results of the cost of service study</w:t>
      </w:r>
      <w:r w:rsidR="00F2314D">
        <w:rPr>
          <w:rFonts w:ascii="Times New Roman" w:hAnsi="Times New Roman" w:cs="Times New Roman"/>
          <w:b w:val="0"/>
        </w:rPr>
        <w:t xml:space="preserve">, </w:t>
      </w:r>
      <w:r w:rsidRPr="002B3375">
        <w:rPr>
          <w:rFonts w:ascii="Times New Roman" w:hAnsi="Times New Roman" w:cs="Times New Roman"/>
          <w:b w:val="0"/>
        </w:rPr>
        <w:t xml:space="preserve">sponsored by </w:t>
      </w:r>
      <w:r w:rsidR="007C7911">
        <w:rPr>
          <w:rFonts w:ascii="Times New Roman" w:hAnsi="Times New Roman" w:cs="Times New Roman"/>
          <w:b w:val="0"/>
        </w:rPr>
        <w:t xml:space="preserve">Company witness </w:t>
      </w:r>
      <w:r w:rsidRPr="002B3375">
        <w:rPr>
          <w:rFonts w:ascii="Times New Roman" w:hAnsi="Times New Roman" w:cs="Times New Roman"/>
          <w:b w:val="0"/>
        </w:rPr>
        <w:t>Ms. Knox</w:t>
      </w:r>
      <w:r w:rsidR="00F2314D">
        <w:rPr>
          <w:rFonts w:ascii="Times New Roman" w:hAnsi="Times New Roman" w:cs="Times New Roman"/>
          <w:b w:val="0"/>
        </w:rPr>
        <w:t>,</w:t>
      </w:r>
      <w:r w:rsidRPr="002B3375">
        <w:rPr>
          <w:rFonts w:ascii="Times New Roman" w:hAnsi="Times New Roman" w:cs="Times New Roman"/>
          <w:b w:val="0"/>
        </w:rPr>
        <w:t xml:space="preserve"> </w:t>
      </w:r>
      <w:r w:rsidR="004C3DE4">
        <w:rPr>
          <w:rFonts w:ascii="Times New Roman" w:hAnsi="Times New Roman" w:cs="Times New Roman"/>
          <w:b w:val="0"/>
        </w:rPr>
        <w:t>sh</w:t>
      </w:r>
      <w:r w:rsidRPr="002B3375">
        <w:rPr>
          <w:rFonts w:ascii="Times New Roman" w:hAnsi="Times New Roman" w:cs="Times New Roman"/>
          <w:b w:val="0"/>
        </w:rPr>
        <w:t>ould be used as a guide to spread the g</w:t>
      </w:r>
      <w:r>
        <w:rPr>
          <w:rFonts w:ascii="Times New Roman" w:hAnsi="Times New Roman" w:cs="Times New Roman"/>
          <w:b w:val="0"/>
        </w:rPr>
        <w:t xml:space="preserve">eneral increase. </w:t>
      </w:r>
      <w:r w:rsidR="00903213">
        <w:rPr>
          <w:rFonts w:ascii="Times New Roman" w:hAnsi="Times New Roman" w:cs="Times New Roman"/>
          <w:b w:val="0"/>
        </w:rPr>
        <w:t xml:space="preserve">The cost of service study shows that Residential Schedule 1, Extra Large General Service Schedule 25, Pumping Service Schedules 30-32, and Street and Area Light Schedules 41-48 have a present relative rate of return below the system </w:t>
      </w:r>
      <w:r w:rsidR="008A52E8">
        <w:rPr>
          <w:rFonts w:ascii="Times New Roman" w:hAnsi="Times New Roman" w:cs="Times New Roman"/>
          <w:b w:val="0"/>
        </w:rPr>
        <w:t xml:space="preserve">average </w:t>
      </w:r>
      <w:r w:rsidR="00903213">
        <w:rPr>
          <w:rFonts w:ascii="Times New Roman" w:hAnsi="Times New Roman" w:cs="Times New Roman"/>
          <w:b w:val="0"/>
        </w:rPr>
        <w:t>rate of return, while General Service Schedules 11/12 and Large General Service Schedules 21/22 have a present relative rate of return greater than the system average</w:t>
      </w:r>
      <w:r w:rsidR="008A52E8">
        <w:rPr>
          <w:rFonts w:ascii="Times New Roman" w:hAnsi="Times New Roman" w:cs="Times New Roman"/>
          <w:b w:val="0"/>
        </w:rPr>
        <w:t xml:space="preserve"> rate of return</w:t>
      </w:r>
      <w:r w:rsidR="00903213">
        <w:rPr>
          <w:rFonts w:ascii="Times New Roman" w:hAnsi="Times New Roman" w:cs="Times New Roman"/>
          <w:b w:val="0"/>
        </w:rPr>
        <w:t>.</w:t>
      </w:r>
      <w:r w:rsidR="008A52E8">
        <w:rPr>
          <w:rFonts w:ascii="Times New Roman" w:hAnsi="Times New Roman" w:cs="Times New Roman"/>
          <w:b w:val="0"/>
        </w:rPr>
        <w:t xml:space="preserve">  </w:t>
      </w:r>
      <w:r w:rsidRPr="002B3375">
        <w:rPr>
          <w:rFonts w:ascii="Times New Roman" w:hAnsi="Times New Roman" w:cs="Times New Roman"/>
          <w:b w:val="0"/>
        </w:rPr>
        <w:t>Table</w:t>
      </w:r>
      <w:r w:rsidR="007C7911">
        <w:rPr>
          <w:rFonts w:ascii="Times New Roman" w:hAnsi="Times New Roman" w:cs="Times New Roman"/>
          <w:b w:val="0"/>
        </w:rPr>
        <w:t xml:space="preserve"> </w:t>
      </w:r>
      <w:r w:rsidR="008A52E8">
        <w:rPr>
          <w:rFonts w:ascii="Times New Roman" w:hAnsi="Times New Roman" w:cs="Times New Roman"/>
          <w:b w:val="0"/>
        </w:rPr>
        <w:t>5</w:t>
      </w:r>
      <w:r w:rsidRPr="002B3375">
        <w:rPr>
          <w:rFonts w:ascii="Times New Roman" w:hAnsi="Times New Roman" w:cs="Times New Roman"/>
          <w:b w:val="0"/>
        </w:rPr>
        <w:t xml:space="preserve"> below shows the relative rates of return (schedule rate of return divided by overall rate of return) before and after application of the base rate increase</w:t>
      </w:r>
      <w:r w:rsidR="008A52E8">
        <w:rPr>
          <w:rFonts w:ascii="Times New Roman" w:hAnsi="Times New Roman" w:cs="Times New Roman"/>
          <w:b w:val="0"/>
        </w:rPr>
        <w:t>:</w:t>
      </w:r>
    </w:p>
    <w:p w:rsidR="00B50A07" w:rsidRPr="00822621" w:rsidRDefault="00922002" w:rsidP="0012369E">
      <w:pPr>
        <w:pStyle w:val="P179"/>
        <w:tabs>
          <w:tab w:val="clear" w:pos="1260"/>
          <w:tab w:val="left" w:pos="1440"/>
        </w:tabs>
        <w:ind w:left="0" w:firstLine="720"/>
        <w:jc w:val="both"/>
        <w:rPr>
          <w:rStyle w:val="T13"/>
          <w:rFonts w:ascii="Times New Roman" w:hAnsi="Times New Roman" w:cs="Times New Roman"/>
          <w:highlight w:val="lightGray"/>
        </w:rPr>
      </w:pPr>
      <w:r w:rsidRPr="00922002">
        <w:rPr>
          <w:noProof/>
        </w:rPr>
        <w:drawing>
          <wp:anchor distT="0" distB="0" distL="114300" distR="114300" simplePos="0" relativeHeight="251960832" behindDoc="1" locked="0" layoutInCell="1" allowOverlap="1">
            <wp:simplePos x="0" y="0"/>
            <wp:positionH relativeFrom="column">
              <wp:posOffset>477975</wp:posOffset>
            </wp:positionH>
            <wp:positionV relativeFrom="paragraph">
              <wp:posOffset>-43133</wp:posOffset>
            </wp:positionV>
            <wp:extent cx="4975645" cy="2009955"/>
            <wp:effectExtent l="19050" t="0" r="0" b="0"/>
            <wp:wrapNone/>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4975645" cy="2009955"/>
                    </a:xfrm>
                    <a:prstGeom prst="rect">
                      <a:avLst/>
                    </a:prstGeom>
                    <a:noFill/>
                    <a:ln w="9525">
                      <a:noFill/>
                      <a:miter lim="800000"/>
                      <a:headEnd/>
                      <a:tailEnd/>
                    </a:ln>
                  </pic:spPr>
                </pic:pic>
              </a:graphicData>
            </a:graphic>
          </wp:anchor>
        </w:drawing>
      </w:r>
    </w:p>
    <w:p w:rsidR="00944313" w:rsidRPr="00822621" w:rsidRDefault="00944313" w:rsidP="00CA7EA4">
      <w:pPr>
        <w:pStyle w:val="P179"/>
        <w:ind w:left="0" w:firstLine="360"/>
        <w:jc w:val="both"/>
        <w:rPr>
          <w:rFonts w:ascii="Times New Roman" w:hAnsi="Times New Roman" w:cs="Times New Roman"/>
          <w:b w:val="0"/>
          <w:highlight w:val="lightGray"/>
        </w:rPr>
      </w:pPr>
    </w:p>
    <w:p w:rsidR="004C3DE4" w:rsidRPr="00822621" w:rsidRDefault="004C3DE4" w:rsidP="00CA7EA4">
      <w:pPr>
        <w:pStyle w:val="P179"/>
        <w:ind w:left="0" w:firstLine="360"/>
        <w:jc w:val="both"/>
        <w:rPr>
          <w:rFonts w:ascii="Times New Roman" w:hAnsi="Times New Roman" w:cs="Times New Roman"/>
          <w:b w:val="0"/>
          <w:highlight w:val="lightGray"/>
        </w:rPr>
      </w:pPr>
    </w:p>
    <w:p w:rsidR="004C3DE4" w:rsidRPr="00822621" w:rsidRDefault="004C3DE4" w:rsidP="00CA7EA4">
      <w:pPr>
        <w:pStyle w:val="P179"/>
        <w:ind w:left="0" w:firstLine="360"/>
        <w:jc w:val="both"/>
        <w:rPr>
          <w:rFonts w:ascii="Times New Roman" w:hAnsi="Times New Roman" w:cs="Times New Roman"/>
          <w:b w:val="0"/>
          <w:highlight w:val="lightGray"/>
        </w:rPr>
      </w:pPr>
    </w:p>
    <w:p w:rsidR="00F04E95" w:rsidRDefault="00F04E95" w:rsidP="00711833">
      <w:pPr>
        <w:pStyle w:val="P167"/>
        <w:tabs>
          <w:tab w:val="clear" w:pos="720"/>
          <w:tab w:val="left" w:pos="900"/>
        </w:tabs>
        <w:ind w:left="0" w:firstLine="720"/>
        <w:jc w:val="both"/>
        <w:rPr>
          <w:rFonts w:ascii="Times New Roman" w:hAnsi="Times New Roman" w:cs="Times New Roman"/>
          <w:highlight w:val="lightGray"/>
        </w:rPr>
      </w:pPr>
    </w:p>
    <w:p w:rsidR="008A52E8" w:rsidRDefault="008A52E8" w:rsidP="00711833">
      <w:pPr>
        <w:pStyle w:val="P252"/>
        <w:jc w:val="both"/>
        <w:outlineLvl w:val="0"/>
        <w:rPr>
          <w:rFonts w:ascii="Times New Roman" w:hAnsi="Times New Roman" w:cs="Times New Roman"/>
          <w:b w:val="0"/>
          <w:u w:val="none"/>
        </w:rPr>
      </w:pPr>
      <w:r>
        <w:rPr>
          <w:rFonts w:ascii="Times New Roman" w:hAnsi="Times New Roman" w:cs="Times New Roman"/>
          <w:b w:val="0"/>
          <w:u w:val="none"/>
        </w:rPr>
        <w:lastRenderedPageBreak/>
        <w:tab/>
        <w:t>The Company analyzed the results of the cost of service study, and considered a number of items in its determination of the final rate spread.  First, the Company believes that Schedules 11/12 should receive a</w:t>
      </w:r>
      <w:r w:rsidR="006C7E37">
        <w:rPr>
          <w:rFonts w:ascii="Times New Roman" w:hAnsi="Times New Roman" w:cs="Times New Roman"/>
          <w:b w:val="0"/>
          <w:u w:val="none"/>
        </w:rPr>
        <w:t>n increase</w:t>
      </w:r>
      <w:r>
        <w:rPr>
          <w:rFonts w:ascii="Times New Roman" w:hAnsi="Times New Roman" w:cs="Times New Roman"/>
          <w:b w:val="0"/>
          <w:u w:val="none"/>
        </w:rPr>
        <w:t xml:space="preserve"> less than</w:t>
      </w:r>
      <w:r w:rsidR="006C7E37">
        <w:rPr>
          <w:rFonts w:ascii="Times New Roman" w:hAnsi="Times New Roman" w:cs="Times New Roman"/>
          <w:b w:val="0"/>
          <w:u w:val="none"/>
        </w:rPr>
        <w:t xml:space="preserve"> the</w:t>
      </w:r>
      <w:r>
        <w:rPr>
          <w:rFonts w:ascii="Times New Roman" w:hAnsi="Times New Roman" w:cs="Times New Roman"/>
          <w:b w:val="0"/>
          <w:u w:val="none"/>
        </w:rPr>
        <w:t xml:space="preserve"> overall increase because their present relative rate of return is almost twice the system average.  Next, given the proximity of Schedules 30-32 to the system average, the Company believes that a movement to unity (1.00) is appropriate, and the resulting percentage increases for those sch</w:t>
      </w:r>
      <w:r w:rsidR="00922002">
        <w:rPr>
          <w:rFonts w:ascii="Times New Roman" w:hAnsi="Times New Roman" w:cs="Times New Roman"/>
          <w:b w:val="0"/>
          <w:u w:val="none"/>
        </w:rPr>
        <w:t>edules are reasonably close (7.5</w:t>
      </w:r>
      <w:r>
        <w:rPr>
          <w:rFonts w:ascii="Times New Roman" w:hAnsi="Times New Roman" w:cs="Times New Roman"/>
          <w:b w:val="0"/>
          <w:u w:val="none"/>
        </w:rPr>
        <w:t xml:space="preserve">%) to the overall system request (6.6%).  </w:t>
      </w:r>
    </w:p>
    <w:p w:rsidR="008A52E8" w:rsidRDefault="008A52E8" w:rsidP="00711833">
      <w:pPr>
        <w:pStyle w:val="P252"/>
        <w:jc w:val="both"/>
        <w:outlineLvl w:val="0"/>
        <w:rPr>
          <w:rFonts w:ascii="Times New Roman" w:hAnsi="Times New Roman" w:cs="Times New Roman"/>
          <w:b w:val="0"/>
          <w:u w:val="none"/>
        </w:rPr>
      </w:pPr>
      <w:r>
        <w:rPr>
          <w:rFonts w:ascii="Times New Roman" w:hAnsi="Times New Roman" w:cs="Times New Roman"/>
          <w:b w:val="0"/>
          <w:u w:val="none"/>
        </w:rPr>
        <w:tab/>
        <w:t>Street and Area Lights were not moved to the system average as Company analysis shows that</w:t>
      </w:r>
      <w:r w:rsidR="008C51DB">
        <w:rPr>
          <w:rFonts w:ascii="Times New Roman" w:hAnsi="Times New Roman" w:cs="Times New Roman"/>
          <w:b w:val="0"/>
          <w:u w:val="none"/>
        </w:rPr>
        <w:t>,</w:t>
      </w:r>
      <w:r>
        <w:rPr>
          <w:rFonts w:ascii="Times New Roman" w:hAnsi="Times New Roman" w:cs="Times New Roman"/>
          <w:b w:val="0"/>
          <w:u w:val="none"/>
        </w:rPr>
        <w:t xml:space="preserve"> if </w:t>
      </w:r>
      <w:r w:rsidR="00720D05">
        <w:rPr>
          <w:rFonts w:ascii="Times New Roman" w:hAnsi="Times New Roman" w:cs="Times New Roman"/>
          <w:b w:val="0"/>
          <w:u w:val="none"/>
        </w:rPr>
        <w:t>they were</w:t>
      </w:r>
      <w:r>
        <w:rPr>
          <w:rFonts w:ascii="Times New Roman" w:hAnsi="Times New Roman" w:cs="Times New Roman"/>
          <w:b w:val="0"/>
          <w:u w:val="none"/>
        </w:rPr>
        <w:t xml:space="preserve"> </w:t>
      </w:r>
      <w:r w:rsidR="008C51DB">
        <w:rPr>
          <w:rFonts w:ascii="Times New Roman" w:hAnsi="Times New Roman" w:cs="Times New Roman"/>
          <w:b w:val="0"/>
          <w:u w:val="none"/>
        </w:rPr>
        <w:t xml:space="preserve">moved to unity, </w:t>
      </w:r>
      <w:r>
        <w:rPr>
          <w:rFonts w:ascii="Times New Roman" w:hAnsi="Times New Roman" w:cs="Times New Roman"/>
          <w:b w:val="0"/>
          <w:u w:val="none"/>
        </w:rPr>
        <w:t xml:space="preserve">the overall percentage increase for those schedules would be greater than 18%. </w:t>
      </w:r>
      <w:r w:rsidR="008C51DB">
        <w:rPr>
          <w:rFonts w:ascii="Times New Roman" w:hAnsi="Times New Roman" w:cs="Times New Roman"/>
          <w:b w:val="0"/>
          <w:u w:val="none"/>
        </w:rPr>
        <w:t xml:space="preserve"> In an effort to balance the overall</w:t>
      </w:r>
      <w:r w:rsidR="00720D05">
        <w:rPr>
          <w:rFonts w:ascii="Times New Roman" w:hAnsi="Times New Roman" w:cs="Times New Roman"/>
          <w:b w:val="0"/>
          <w:u w:val="none"/>
        </w:rPr>
        <w:t xml:space="preserve"> rate increase for those schedules</w:t>
      </w:r>
      <w:r w:rsidR="008C51DB">
        <w:rPr>
          <w:rFonts w:ascii="Times New Roman" w:hAnsi="Times New Roman" w:cs="Times New Roman"/>
          <w:b w:val="0"/>
          <w:u w:val="none"/>
        </w:rPr>
        <w:t>,</w:t>
      </w:r>
      <w:r w:rsidR="00720D05">
        <w:rPr>
          <w:rFonts w:ascii="Times New Roman" w:hAnsi="Times New Roman" w:cs="Times New Roman"/>
          <w:b w:val="0"/>
          <w:u w:val="none"/>
        </w:rPr>
        <w:t xml:space="preserve"> while </w:t>
      </w:r>
      <w:r>
        <w:rPr>
          <w:rFonts w:ascii="Times New Roman" w:hAnsi="Times New Roman" w:cs="Times New Roman"/>
          <w:b w:val="0"/>
          <w:u w:val="none"/>
        </w:rPr>
        <w:t>still mak</w:t>
      </w:r>
      <w:r w:rsidR="00720D05">
        <w:rPr>
          <w:rFonts w:ascii="Times New Roman" w:hAnsi="Times New Roman" w:cs="Times New Roman"/>
          <w:b w:val="0"/>
          <w:u w:val="none"/>
        </w:rPr>
        <w:t>ing</w:t>
      </w:r>
      <w:r>
        <w:rPr>
          <w:rFonts w:ascii="Times New Roman" w:hAnsi="Times New Roman" w:cs="Times New Roman"/>
          <w:b w:val="0"/>
          <w:u w:val="none"/>
        </w:rPr>
        <w:t xml:space="preserve"> reasonable movement towards unity, Avista applied a 9.3% base rate increase for those schedules.  </w:t>
      </w:r>
    </w:p>
    <w:p w:rsidR="008A52E8" w:rsidRPr="008A52E8" w:rsidRDefault="008A52E8" w:rsidP="00711833">
      <w:pPr>
        <w:pStyle w:val="P252"/>
        <w:jc w:val="both"/>
        <w:outlineLvl w:val="0"/>
        <w:rPr>
          <w:rFonts w:ascii="Times New Roman" w:hAnsi="Times New Roman" w:cs="Times New Roman"/>
          <w:b w:val="0"/>
          <w:u w:val="none"/>
        </w:rPr>
      </w:pPr>
      <w:r>
        <w:rPr>
          <w:rFonts w:ascii="Times New Roman" w:hAnsi="Times New Roman" w:cs="Times New Roman"/>
          <w:b w:val="0"/>
          <w:u w:val="none"/>
        </w:rPr>
        <w:tab/>
        <w:t>For Schedule</w:t>
      </w:r>
      <w:r w:rsidR="00720D05">
        <w:rPr>
          <w:rFonts w:ascii="Times New Roman" w:hAnsi="Times New Roman" w:cs="Times New Roman"/>
          <w:b w:val="0"/>
          <w:u w:val="none"/>
        </w:rPr>
        <w:t>s</w:t>
      </w:r>
      <w:r>
        <w:rPr>
          <w:rFonts w:ascii="Times New Roman" w:hAnsi="Times New Roman" w:cs="Times New Roman"/>
          <w:b w:val="0"/>
          <w:u w:val="none"/>
        </w:rPr>
        <w:t xml:space="preserve"> 21</w:t>
      </w:r>
      <w:r w:rsidR="00720D05">
        <w:rPr>
          <w:rFonts w:ascii="Times New Roman" w:hAnsi="Times New Roman" w:cs="Times New Roman"/>
          <w:b w:val="0"/>
          <w:u w:val="none"/>
        </w:rPr>
        <w:t>/22</w:t>
      </w:r>
      <w:r>
        <w:rPr>
          <w:rFonts w:ascii="Times New Roman" w:hAnsi="Times New Roman" w:cs="Times New Roman"/>
          <w:b w:val="0"/>
          <w:u w:val="none"/>
        </w:rPr>
        <w:t xml:space="preserve">, </w:t>
      </w:r>
      <w:r w:rsidR="00720D05">
        <w:rPr>
          <w:rFonts w:ascii="Times New Roman" w:hAnsi="Times New Roman" w:cs="Times New Roman"/>
          <w:b w:val="0"/>
          <w:u w:val="none"/>
        </w:rPr>
        <w:t xml:space="preserve">the Company </w:t>
      </w:r>
      <w:r w:rsidR="00B50A07">
        <w:rPr>
          <w:rFonts w:ascii="Times New Roman" w:hAnsi="Times New Roman" w:cs="Times New Roman"/>
          <w:b w:val="0"/>
          <w:u w:val="none"/>
        </w:rPr>
        <w:t>gave</w:t>
      </w:r>
      <w:r w:rsidR="00720D05">
        <w:rPr>
          <w:rFonts w:ascii="Times New Roman" w:hAnsi="Times New Roman" w:cs="Times New Roman"/>
          <w:b w:val="0"/>
          <w:u w:val="none"/>
        </w:rPr>
        <w:t xml:space="preserve"> those schedules the same percentage increase as the overall request</w:t>
      </w:r>
      <w:r w:rsidR="00B50A07">
        <w:rPr>
          <w:rFonts w:ascii="Times New Roman" w:hAnsi="Times New Roman" w:cs="Times New Roman"/>
          <w:b w:val="0"/>
          <w:u w:val="none"/>
        </w:rPr>
        <w:t>,</w:t>
      </w:r>
      <w:r w:rsidR="00720D05">
        <w:rPr>
          <w:rFonts w:ascii="Times New Roman" w:hAnsi="Times New Roman" w:cs="Times New Roman"/>
          <w:b w:val="0"/>
          <w:u w:val="none"/>
        </w:rPr>
        <w:t xml:space="preserve"> which provides for an approximate 15% movement towards unity (1.00).  </w:t>
      </w:r>
      <w:r w:rsidR="00922002">
        <w:rPr>
          <w:rFonts w:ascii="Times New Roman" w:hAnsi="Times New Roman" w:cs="Times New Roman"/>
          <w:b w:val="0"/>
          <w:u w:val="none"/>
        </w:rPr>
        <w:t xml:space="preserve">For Schedule 25, the Company gave that schedule the same percentage increase as the overall request, which provides for an approximately 43% movement towards unity.  </w:t>
      </w:r>
      <w:r w:rsidR="00720D05">
        <w:rPr>
          <w:rFonts w:ascii="Times New Roman" w:hAnsi="Times New Roman" w:cs="Times New Roman"/>
          <w:b w:val="0"/>
          <w:u w:val="none"/>
        </w:rPr>
        <w:t>Finally, the Company applied a 20% movement towards unity for residential Schedule 1 in an effort to make meaningful movement for that schedule towards unity</w:t>
      </w:r>
      <w:r w:rsidR="00B50A07">
        <w:rPr>
          <w:rFonts w:ascii="Times New Roman" w:hAnsi="Times New Roman" w:cs="Times New Roman"/>
          <w:b w:val="0"/>
          <w:u w:val="none"/>
        </w:rPr>
        <w:t>,</w:t>
      </w:r>
      <w:r w:rsidR="00720D05">
        <w:rPr>
          <w:rFonts w:ascii="Times New Roman" w:hAnsi="Times New Roman" w:cs="Times New Roman"/>
          <w:b w:val="0"/>
          <w:u w:val="none"/>
        </w:rPr>
        <w:t xml:space="preserve"> while keeping the overall increase for the schedule</w:t>
      </w:r>
      <w:r w:rsidR="008C51DB">
        <w:rPr>
          <w:rFonts w:ascii="Times New Roman" w:hAnsi="Times New Roman" w:cs="Times New Roman"/>
          <w:b w:val="0"/>
          <w:u w:val="none"/>
        </w:rPr>
        <w:t xml:space="preserve"> (7.5%)</w:t>
      </w:r>
      <w:r w:rsidR="00720D05">
        <w:rPr>
          <w:rFonts w:ascii="Times New Roman" w:hAnsi="Times New Roman" w:cs="Times New Roman"/>
          <w:b w:val="0"/>
          <w:u w:val="none"/>
        </w:rPr>
        <w:t xml:space="preserve"> reasonably close to the overall request</w:t>
      </w:r>
      <w:r w:rsidR="008C51DB">
        <w:rPr>
          <w:rFonts w:ascii="Times New Roman" w:hAnsi="Times New Roman" w:cs="Times New Roman"/>
          <w:b w:val="0"/>
          <w:u w:val="none"/>
        </w:rPr>
        <w:t xml:space="preserve"> (6.6%)</w:t>
      </w:r>
      <w:r w:rsidR="00720D05">
        <w:rPr>
          <w:rFonts w:ascii="Times New Roman" w:hAnsi="Times New Roman" w:cs="Times New Roman"/>
          <w:b w:val="0"/>
          <w:u w:val="none"/>
        </w:rPr>
        <w:t xml:space="preserve">. </w:t>
      </w:r>
    </w:p>
    <w:p w:rsidR="005540EB" w:rsidRPr="005F4B1C" w:rsidRDefault="005540EB" w:rsidP="00711833">
      <w:pPr>
        <w:pStyle w:val="P252"/>
        <w:jc w:val="both"/>
        <w:outlineLvl w:val="0"/>
        <w:rPr>
          <w:rFonts w:ascii="Times New Roman" w:hAnsi="Times New Roman" w:cs="Times New Roman"/>
        </w:rPr>
      </w:pPr>
      <w:r w:rsidRPr="005F4B1C">
        <w:rPr>
          <w:rFonts w:ascii="Times New Roman" w:hAnsi="Times New Roman" w:cs="Times New Roman"/>
        </w:rPr>
        <w:t>Proposed Rate Design</w:t>
      </w:r>
    </w:p>
    <w:p w:rsidR="005540EB" w:rsidRPr="005F4B1C" w:rsidRDefault="005540EB" w:rsidP="00711833">
      <w:pPr>
        <w:pStyle w:val="P132"/>
        <w:numPr>
          <w:ilvl w:val="0"/>
          <w:numId w:val="24"/>
        </w:numPr>
        <w:tabs>
          <w:tab w:val="clear" w:pos="1590"/>
          <w:tab w:val="num" w:pos="1440"/>
        </w:tabs>
        <w:ind w:left="0" w:firstLine="720"/>
        <w:jc w:val="both"/>
        <w:rPr>
          <w:rFonts w:ascii="Times New Roman" w:hAnsi="Times New Roman" w:cs="Times New Roman"/>
        </w:rPr>
      </w:pPr>
      <w:r w:rsidRPr="005F4B1C">
        <w:rPr>
          <w:rFonts w:ascii="Times New Roman" w:hAnsi="Times New Roman" w:cs="Times New Roman"/>
        </w:rPr>
        <w:t>Where in your Exhibit do you show a comparison of the present and proposed rates within each of the Company’s electric service schedules?</w:t>
      </w:r>
    </w:p>
    <w:p w:rsidR="005540EB" w:rsidRPr="005F4B1C" w:rsidRDefault="005540EB" w:rsidP="00711833">
      <w:pPr>
        <w:pStyle w:val="P159"/>
        <w:numPr>
          <w:ilvl w:val="0"/>
          <w:numId w:val="23"/>
        </w:numPr>
        <w:tabs>
          <w:tab w:val="clear" w:pos="1590"/>
          <w:tab w:val="num" w:pos="1440"/>
        </w:tabs>
        <w:ind w:left="0" w:firstLine="720"/>
        <w:jc w:val="both"/>
        <w:rPr>
          <w:rFonts w:ascii="Times New Roman" w:hAnsi="Times New Roman" w:cs="Times New Roman"/>
        </w:rPr>
      </w:pPr>
      <w:r w:rsidRPr="005F4B1C">
        <w:rPr>
          <w:rFonts w:ascii="Times New Roman" w:hAnsi="Times New Roman" w:cs="Times New Roman"/>
        </w:rPr>
        <w:t>Page 3 of Exhibit No._</w:t>
      </w:r>
      <w:r w:rsidR="000A6BBC" w:rsidRPr="005F4B1C">
        <w:rPr>
          <w:rFonts w:ascii="Times New Roman" w:hAnsi="Times New Roman" w:cs="Times New Roman"/>
        </w:rPr>
        <w:t>_</w:t>
      </w:r>
      <w:proofErr w:type="gramStart"/>
      <w:r w:rsidR="000A6BBC" w:rsidRPr="005F4B1C">
        <w:rPr>
          <w:rFonts w:ascii="Times New Roman" w:hAnsi="Times New Roman" w:cs="Times New Roman"/>
        </w:rPr>
        <w:t>_</w:t>
      </w:r>
      <w:r w:rsidRPr="005F4B1C">
        <w:rPr>
          <w:rFonts w:ascii="Times New Roman" w:hAnsi="Times New Roman" w:cs="Times New Roman"/>
        </w:rPr>
        <w:t>(</w:t>
      </w:r>
      <w:proofErr w:type="gramEnd"/>
      <w:r w:rsidR="00D8699E" w:rsidRPr="005F4B1C">
        <w:rPr>
          <w:rFonts w:ascii="Times New Roman" w:hAnsi="Times New Roman" w:cs="Times New Roman"/>
        </w:rPr>
        <w:t>PDE</w:t>
      </w:r>
      <w:r w:rsidRPr="005F4B1C">
        <w:rPr>
          <w:rFonts w:ascii="Times New Roman" w:hAnsi="Times New Roman" w:cs="Times New Roman"/>
        </w:rPr>
        <w:t xml:space="preserve">-4) shows a comparison of the present and </w:t>
      </w:r>
      <w:r w:rsidRPr="005F4B1C">
        <w:rPr>
          <w:rFonts w:ascii="Times New Roman" w:hAnsi="Times New Roman" w:cs="Times New Roman"/>
        </w:rPr>
        <w:lastRenderedPageBreak/>
        <w:t xml:space="preserve">proposed rates within each of the schedules, which I will describe below.  Column (a) shows the rate/billing components under each of the schedules, column (b) shows the base tariff rates within each of the schedules, column (c) shows the present rate adjustments applicable under each schedule, and column (d) shows the present billing rates.  Column (e) shows the proposed general rate increase to the rate components within </w:t>
      </w:r>
      <w:r w:rsidR="001020C1" w:rsidRPr="005F4B1C">
        <w:rPr>
          <w:rFonts w:ascii="Times New Roman" w:hAnsi="Times New Roman" w:cs="Times New Roman"/>
        </w:rPr>
        <w:t>each of the schedules</w:t>
      </w:r>
      <w:r w:rsidR="005F4B1C">
        <w:rPr>
          <w:rFonts w:ascii="Times New Roman" w:hAnsi="Times New Roman" w:cs="Times New Roman"/>
        </w:rPr>
        <w:t xml:space="preserve">.  Finally, </w:t>
      </w:r>
      <w:r w:rsidR="001020C1" w:rsidRPr="005F4B1C">
        <w:rPr>
          <w:rFonts w:ascii="Times New Roman" w:hAnsi="Times New Roman" w:cs="Times New Roman"/>
        </w:rPr>
        <w:t>column (</w:t>
      </w:r>
      <w:r w:rsidR="00F96B2B">
        <w:rPr>
          <w:rFonts w:ascii="Times New Roman" w:hAnsi="Times New Roman" w:cs="Times New Roman"/>
        </w:rPr>
        <w:t>f</w:t>
      </w:r>
      <w:r w:rsidRPr="005F4B1C">
        <w:rPr>
          <w:rFonts w:ascii="Times New Roman" w:hAnsi="Times New Roman" w:cs="Times New Roman"/>
        </w:rPr>
        <w:t xml:space="preserve">) shows the proposed </w:t>
      </w:r>
      <w:r w:rsidRPr="005F4B1C">
        <w:rPr>
          <w:rStyle w:val="T5"/>
          <w:rFonts w:ascii="Times New Roman" w:hAnsi="Times New Roman" w:cs="Times New Roman"/>
        </w:rPr>
        <w:t>billing</w:t>
      </w:r>
      <w:r w:rsidRPr="005F4B1C">
        <w:rPr>
          <w:rFonts w:ascii="Times New Roman" w:hAnsi="Times New Roman" w:cs="Times New Roman"/>
        </w:rPr>
        <w:t xml:space="preserve"> rates and </w:t>
      </w:r>
      <w:r w:rsidR="005F4B1C">
        <w:rPr>
          <w:rFonts w:ascii="Times New Roman" w:hAnsi="Times New Roman" w:cs="Times New Roman"/>
        </w:rPr>
        <w:t>column</w:t>
      </w:r>
      <w:r w:rsidRPr="005F4B1C">
        <w:rPr>
          <w:rFonts w:ascii="Times New Roman" w:hAnsi="Times New Roman" w:cs="Times New Roman"/>
        </w:rPr>
        <w:t xml:space="preserve"> (</w:t>
      </w:r>
      <w:r w:rsidR="00F96B2B">
        <w:rPr>
          <w:rFonts w:ascii="Times New Roman" w:hAnsi="Times New Roman" w:cs="Times New Roman"/>
        </w:rPr>
        <w:t>g</w:t>
      </w:r>
      <w:r w:rsidRPr="005F4B1C">
        <w:rPr>
          <w:rFonts w:ascii="Times New Roman" w:hAnsi="Times New Roman" w:cs="Times New Roman"/>
        </w:rPr>
        <w:t xml:space="preserve">) shows the proposed </w:t>
      </w:r>
      <w:r w:rsidRPr="005F4B1C">
        <w:rPr>
          <w:rStyle w:val="T5"/>
          <w:rFonts w:ascii="Times New Roman" w:hAnsi="Times New Roman" w:cs="Times New Roman"/>
        </w:rPr>
        <w:t>base tariff</w:t>
      </w:r>
      <w:r w:rsidRPr="005F4B1C">
        <w:rPr>
          <w:rFonts w:ascii="Times New Roman" w:hAnsi="Times New Roman" w:cs="Times New Roman"/>
        </w:rPr>
        <w:t xml:space="preserve"> rates.</w:t>
      </w:r>
      <w:r w:rsidR="00BA66BC" w:rsidRPr="005F4B1C">
        <w:rPr>
          <w:rFonts w:ascii="Times New Roman" w:hAnsi="Times New Roman" w:cs="Times New Roman"/>
        </w:rPr>
        <w:t xml:space="preserve">  </w:t>
      </w:r>
    </w:p>
    <w:p w:rsidR="005540EB" w:rsidRPr="005540EB" w:rsidRDefault="00CA7EA4" w:rsidP="00CA7EA4">
      <w:pPr>
        <w:pStyle w:val="P134"/>
        <w:tabs>
          <w:tab w:val="clear" w:pos="720"/>
        </w:tabs>
        <w:ind w:left="0" w:firstLine="720"/>
        <w:jc w:val="both"/>
        <w:rPr>
          <w:rFonts w:ascii="Times New Roman" w:hAnsi="Times New Roman" w:cs="Times New Roman"/>
        </w:rPr>
      </w:pPr>
      <w:r>
        <w:rPr>
          <w:rFonts w:ascii="Times New Roman" w:hAnsi="Times New Roman" w:cs="Times New Roman"/>
        </w:rPr>
        <w:t>Q.</w:t>
      </w:r>
      <w:r>
        <w:rPr>
          <w:rFonts w:ascii="Times New Roman" w:hAnsi="Times New Roman" w:cs="Times New Roman"/>
        </w:rPr>
        <w:tab/>
      </w:r>
      <w:r w:rsidR="005540EB" w:rsidRPr="005540EB">
        <w:rPr>
          <w:rFonts w:ascii="Times New Roman" w:hAnsi="Times New Roman" w:cs="Times New Roman"/>
        </w:rPr>
        <w:t>Is the Company proposing any changes to the existing rate structures within its rate schedules?</w:t>
      </w:r>
    </w:p>
    <w:p w:rsidR="005540EB" w:rsidRPr="005540EB" w:rsidRDefault="00CA7EA4" w:rsidP="00CA7EA4">
      <w:pPr>
        <w:pStyle w:val="P177"/>
        <w:ind w:left="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5540EB">
        <w:rPr>
          <w:rFonts w:ascii="Times New Roman" w:hAnsi="Times New Roman" w:cs="Times New Roman"/>
        </w:rPr>
        <w:t xml:space="preserve">No, it is not. </w:t>
      </w:r>
    </w:p>
    <w:p w:rsidR="005540EB" w:rsidRPr="005540EB" w:rsidRDefault="00CA7EA4" w:rsidP="00CA7EA4">
      <w:pPr>
        <w:pStyle w:val="P134"/>
        <w:tabs>
          <w:tab w:val="clear" w:pos="720"/>
        </w:tabs>
        <w:ind w:left="0" w:firstLine="720"/>
        <w:jc w:val="both"/>
        <w:rPr>
          <w:rFonts w:ascii="Times New Roman" w:hAnsi="Times New Roman" w:cs="Times New Roman"/>
        </w:rPr>
      </w:pPr>
      <w:r w:rsidRPr="00CA7EA4">
        <w:rPr>
          <w:rFonts w:ascii="Times New Roman" w:hAnsi="Times New Roman" w:cs="Times New Roman"/>
        </w:rPr>
        <w:t>Q.</w:t>
      </w:r>
      <w:r w:rsidRPr="00CA7EA4">
        <w:rPr>
          <w:rFonts w:ascii="Times New Roman" w:hAnsi="Times New Roman" w:cs="Times New Roman"/>
        </w:rPr>
        <w:tab/>
      </w:r>
      <w:r w:rsidR="005540EB" w:rsidRPr="005540EB">
        <w:rPr>
          <w:rFonts w:ascii="Times New Roman" w:hAnsi="Times New Roman" w:cs="Times New Roman"/>
        </w:rPr>
        <w:t>Turning to Residential Service Schedule 1, could you please describe the present rate structure under this schedule?</w:t>
      </w:r>
    </w:p>
    <w:p w:rsidR="005540EB" w:rsidRPr="005540EB" w:rsidRDefault="00CA7EA4" w:rsidP="00CA7EA4">
      <w:pPr>
        <w:pStyle w:val="P160"/>
        <w:tabs>
          <w:tab w:val="clear" w:pos="720"/>
        </w:tabs>
        <w:ind w:left="0"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5540EB">
        <w:rPr>
          <w:rFonts w:ascii="Times New Roman" w:hAnsi="Times New Roman" w:cs="Times New Roman"/>
        </w:rPr>
        <w:t xml:space="preserve">Yes.  Residential Schedule 1 has a present customer </w:t>
      </w:r>
      <w:r w:rsidR="00916D0F">
        <w:rPr>
          <w:rFonts w:ascii="Times New Roman" w:hAnsi="Times New Roman" w:cs="Times New Roman"/>
        </w:rPr>
        <w:t>or</w:t>
      </w:r>
      <w:r w:rsidR="005540EB" w:rsidRPr="005540EB">
        <w:rPr>
          <w:rFonts w:ascii="Times New Roman" w:hAnsi="Times New Roman" w:cs="Times New Roman"/>
        </w:rPr>
        <w:t xml:space="preserve"> basic charge of $</w:t>
      </w:r>
      <w:r w:rsidR="00BC4EEE">
        <w:rPr>
          <w:rFonts w:ascii="Times New Roman" w:hAnsi="Times New Roman" w:cs="Times New Roman"/>
        </w:rPr>
        <w:t>8</w:t>
      </w:r>
      <w:r w:rsidR="00D23716">
        <w:rPr>
          <w:rFonts w:ascii="Times New Roman" w:hAnsi="Times New Roman" w:cs="Times New Roman"/>
        </w:rPr>
        <w:t>.</w:t>
      </w:r>
      <w:r w:rsidR="00F96B2B">
        <w:rPr>
          <w:rFonts w:ascii="Times New Roman" w:hAnsi="Times New Roman" w:cs="Times New Roman"/>
        </w:rPr>
        <w:t>5</w:t>
      </w:r>
      <w:r w:rsidR="00D23716">
        <w:rPr>
          <w:rFonts w:ascii="Times New Roman" w:hAnsi="Times New Roman" w:cs="Times New Roman"/>
        </w:rPr>
        <w:t>0</w:t>
      </w:r>
      <w:r w:rsidR="005540EB" w:rsidRPr="005540EB">
        <w:rPr>
          <w:rFonts w:ascii="Times New Roman" w:hAnsi="Times New Roman" w:cs="Times New Roman"/>
        </w:rPr>
        <w:t xml:space="preserve"> per month and three energy rate blocks:  0-</w:t>
      </w:r>
      <w:r w:rsidR="00BC4EEE">
        <w:rPr>
          <w:rFonts w:ascii="Times New Roman" w:hAnsi="Times New Roman" w:cs="Times New Roman"/>
        </w:rPr>
        <w:t>8</w:t>
      </w:r>
      <w:r w:rsidR="005540EB" w:rsidRPr="005540EB">
        <w:rPr>
          <w:rFonts w:ascii="Times New Roman" w:hAnsi="Times New Roman" w:cs="Times New Roman"/>
        </w:rPr>
        <w:t xml:space="preserve">00 kWhs, </w:t>
      </w:r>
      <w:r w:rsidR="00BC4EEE">
        <w:rPr>
          <w:rFonts w:ascii="Times New Roman" w:hAnsi="Times New Roman" w:cs="Times New Roman"/>
        </w:rPr>
        <w:t>8</w:t>
      </w:r>
      <w:r w:rsidR="005540EB" w:rsidRPr="005540EB">
        <w:rPr>
          <w:rFonts w:ascii="Times New Roman" w:hAnsi="Times New Roman" w:cs="Times New Roman"/>
        </w:rPr>
        <w:t>01-1,</w:t>
      </w:r>
      <w:r w:rsidR="00BC4EEE">
        <w:rPr>
          <w:rFonts w:ascii="Times New Roman" w:hAnsi="Times New Roman" w:cs="Times New Roman"/>
        </w:rPr>
        <w:t>5</w:t>
      </w:r>
      <w:r w:rsidR="005540EB" w:rsidRPr="005540EB">
        <w:rPr>
          <w:rFonts w:ascii="Times New Roman" w:hAnsi="Times New Roman" w:cs="Times New Roman"/>
        </w:rPr>
        <w:t>00 kWhs and over 1,</w:t>
      </w:r>
      <w:r w:rsidR="00BC4EEE">
        <w:rPr>
          <w:rFonts w:ascii="Times New Roman" w:hAnsi="Times New Roman" w:cs="Times New Roman"/>
        </w:rPr>
        <w:t>5</w:t>
      </w:r>
      <w:r w:rsidR="005540EB" w:rsidRPr="005540EB">
        <w:rPr>
          <w:rFonts w:ascii="Times New Roman" w:hAnsi="Times New Roman" w:cs="Times New Roman"/>
        </w:rPr>
        <w:t xml:space="preserve">00 kWhs.  The present base tariff rate for the first </w:t>
      </w:r>
      <w:r w:rsidR="005C4F7B">
        <w:rPr>
          <w:rFonts w:ascii="Times New Roman" w:hAnsi="Times New Roman" w:cs="Times New Roman"/>
        </w:rPr>
        <w:t>8</w:t>
      </w:r>
      <w:r w:rsidR="005540EB" w:rsidRPr="005540EB">
        <w:rPr>
          <w:rFonts w:ascii="Times New Roman" w:hAnsi="Times New Roman" w:cs="Times New Roman"/>
        </w:rPr>
        <w:t xml:space="preserve">00 kWhs per month is </w:t>
      </w:r>
      <w:r w:rsidR="005C4F7B">
        <w:rPr>
          <w:rFonts w:ascii="Times New Roman" w:hAnsi="Times New Roman" w:cs="Times New Roman"/>
        </w:rPr>
        <w:t>7.</w:t>
      </w:r>
      <w:r w:rsidR="00F96B2B">
        <w:rPr>
          <w:rFonts w:ascii="Times New Roman" w:hAnsi="Times New Roman" w:cs="Times New Roman"/>
        </w:rPr>
        <w:t>525</w:t>
      </w:r>
      <w:r w:rsidR="005540EB" w:rsidRPr="005540EB">
        <w:rPr>
          <w:rFonts w:ascii="Times New Roman" w:hAnsi="Times New Roman" w:cs="Times New Roman"/>
        </w:rPr>
        <w:t xml:space="preserve"> cents per kWh, </w:t>
      </w:r>
      <w:r w:rsidR="00C372CC">
        <w:rPr>
          <w:rFonts w:ascii="Times New Roman" w:hAnsi="Times New Roman" w:cs="Times New Roman"/>
        </w:rPr>
        <w:t>8.</w:t>
      </w:r>
      <w:r w:rsidR="00F96B2B">
        <w:rPr>
          <w:rFonts w:ascii="Times New Roman" w:hAnsi="Times New Roman" w:cs="Times New Roman"/>
        </w:rPr>
        <w:t>755</w:t>
      </w:r>
      <w:r w:rsidR="005540EB" w:rsidRPr="005540EB">
        <w:rPr>
          <w:rFonts w:ascii="Times New Roman" w:hAnsi="Times New Roman" w:cs="Times New Roman"/>
        </w:rPr>
        <w:t xml:space="preserve"> cents per kWh for the next 700 kWhs</w:t>
      </w:r>
      <w:r w:rsidR="00B50A07">
        <w:rPr>
          <w:rFonts w:ascii="Times New Roman" w:hAnsi="Times New Roman" w:cs="Times New Roman"/>
        </w:rPr>
        <w:t>,</w:t>
      </w:r>
      <w:r w:rsidR="005540EB" w:rsidRPr="005540EB">
        <w:rPr>
          <w:rFonts w:ascii="Times New Roman" w:hAnsi="Times New Roman" w:cs="Times New Roman"/>
        </w:rPr>
        <w:t xml:space="preserve"> and </w:t>
      </w:r>
      <w:r w:rsidR="005C4F7B">
        <w:rPr>
          <w:rFonts w:ascii="Times New Roman" w:hAnsi="Times New Roman" w:cs="Times New Roman"/>
        </w:rPr>
        <w:t>10.</w:t>
      </w:r>
      <w:r w:rsidR="00F96B2B">
        <w:rPr>
          <w:rFonts w:ascii="Times New Roman" w:hAnsi="Times New Roman" w:cs="Times New Roman"/>
        </w:rPr>
        <w:t>264</w:t>
      </w:r>
      <w:r w:rsidR="005540EB" w:rsidRPr="005540EB">
        <w:rPr>
          <w:rFonts w:ascii="Times New Roman" w:hAnsi="Times New Roman" w:cs="Times New Roman"/>
        </w:rPr>
        <w:t xml:space="preserve"> cents for all kWhs over 1</w:t>
      </w:r>
      <w:r w:rsidR="005C4F7B">
        <w:rPr>
          <w:rFonts w:ascii="Times New Roman" w:hAnsi="Times New Roman" w:cs="Times New Roman"/>
        </w:rPr>
        <w:t>,5</w:t>
      </w:r>
      <w:r w:rsidR="005540EB" w:rsidRPr="005540EB">
        <w:rPr>
          <w:rFonts w:ascii="Times New Roman" w:hAnsi="Times New Roman" w:cs="Times New Roman"/>
        </w:rPr>
        <w:t xml:space="preserve">00.  </w:t>
      </w:r>
    </w:p>
    <w:p w:rsidR="005540EB" w:rsidRPr="00443386" w:rsidRDefault="00CA7EA4" w:rsidP="00CA7EA4">
      <w:pPr>
        <w:pStyle w:val="P134"/>
        <w:tabs>
          <w:tab w:val="clear" w:pos="720"/>
        </w:tabs>
        <w:ind w:left="0" w:firstLine="720"/>
        <w:jc w:val="both"/>
        <w:rPr>
          <w:rFonts w:ascii="Times New Roman" w:hAnsi="Times New Roman" w:cs="Times New Roman"/>
        </w:rPr>
      </w:pPr>
      <w:r w:rsidRPr="00D74916">
        <w:rPr>
          <w:rFonts w:ascii="Times New Roman" w:hAnsi="Times New Roman" w:cs="Times New Roman"/>
        </w:rPr>
        <w:t>Q.</w:t>
      </w:r>
      <w:r w:rsidRPr="00D74916">
        <w:rPr>
          <w:rFonts w:ascii="Times New Roman" w:hAnsi="Times New Roman" w:cs="Times New Roman"/>
        </w:rPr>
        <w:tab/>
      </w:r>
      <w:r w:rsidR="005540EB" w:rsidRPr="00D74916">
        <w:rPr>
          <w:rFonts w:ascii="Times New Roman" w:hAnsi="Times New Roman" w:cs="Times New Roman"/>
        </w:rPr>
        <w:t xml:space="preserve">How does the Company </w:t>
      </w:r>
      <w:proofErr w:type="gramStart"/>
      <w:r w:rsidR="005540EB" w:rsidRPr="00D74916">
        <w:rPr>
          <w:rFonts w:ascii="Times New Roman" w:hAnsi="Times New Roman" w:cs="Times New Roman"/>
        </w:rPr>
        <w:t>propose</w:t>
      </w:r>
      <w:proofErr w:type="gramEnd"/>
      <w:r w:rsidR="005540EB" w:rsidRPr="00D74916">
        <w:rPr>
          <w:rFonts w:ascii="Times New Roman" w:hAnsi="Times New Roman" w:cs="Times New Roman"/>
        </w:rPr>
        <w:t xml:space="preserve"> to spread the proposed revenue increase </w:t>
      </w:r>
      <w:r w:rsidR="005540EB" w:rsidRPr="00443386">
        <w:rPr>
          <w:rFonts w:ascii="Times New Roman" w:hAnsi="Times New Roman" w:cs="Times New Roman"/>
        </w:rPr>
        <w:t>of $</w:t>
      </w:r>
      <w:r w:rsidR="00F96B2B">
        <w:rPr>
          <w:rFonts w:ascii="Times New Roman" w:hAnsi="Times New Roman" w:cs="Times New Roman"/>
        </w:rPr>
        <w:t>16</w:t>
      </w:r>
      <w:r w:rsidR="005F4B1C">
        <w:rPr>
          <w:rFonts w:ascii="Times New Roman" w:hAnsi="Times New Roman" w:cs="Times New Roman"/>
        </w:rPr>
        <w:t>,</w:t>
      </w:r>
      <w:r w:rsidR="00F96B2B">
        <w:rPr>
          <w:rFonts w:ascii="Times New Roman" w:hAnsi="Times New Roman" w:cs="Times New Roman"/>
        </w:rPr>
        <w:t>036</w:t>
      </w:r>
      <w:r w:rsidR="006E11B2" w:rsidRPr="00443386">
        <w:rPr>
          <w:rFonts w:ascii="Times New Roman" w:hAnsi="Times New Roman" w:cs="Times New Roman"/>
        </w:rPr>
        <w:t>,000</w:t>
      </w:r>
      <w:r w:rsidR="005540EB" w:rsidRPr="00443386">
        <w:rPr>
          <w:rFonts w:ascii="Times New Roman" w:hAnsi="Times New Roman" w:cs="Times New Roman"/>
        </w:rPr>
        <w:t xml:space="preserve"> to Schedule 1?</w:t>
      </w:r>
    </w:p>
    <w:p w:rsidR="006A2F58" w:rsidRPr="006A2F58" w:rsidRDefault="006A2F58" w:rsidP="00CA7EA4">
      <w:pPr>
        <w:pStyle w:val="P161"/>
        <w:ind w:left="0" w:firstLine="720"/>
        <w:jc w:val="both"/>
        <w:rPr>
          <w:rFonts w:ascii="Times New Roman" w:hAnsi="Times New Roman" w:cs="Times New Roman"/>
          <w:b/>
        </w:rPr>
      </w:pPr>
      <w:r w:rsidRPr="00443386">
        <w:rPr>
          <w:rFonts w:ascii="Times New Roman" w:hAnsi="Times New Roman" w:cs="Times New Roman"/>
        </w:rPr>
        <w:t xml:space="preserve">A.  </w:t>
      </w:r>
      <w:r w:rsidRPr="00443386">
        <w:rPr>
          <w:rFonts w:ascii="Times New Roman" w:hAnsi="Times New Roman" w:cs="Times New Roman"/>
        </w:rPr>
        <w:tab/>
      </w:r>
      <w:r w:rsidR="00C372CC" w:rsidRPr="00443386">
        <w:rPr>
          <w:rFonts w:ascii="Times New Roman" w:hAnsi="Times New Roman" w:cs="Times New Roman"/>
        </w:rPr>
        <w:t>The Company is proposing to increase the basic charge from $</w:t>
      </w:r>
      <w:r w:rsidR="005C4F7B">
        <w:rPr>
          <w:rFonts w:ascii="Times New Roman" w:hAnsi="Times New Roman" w:cs="Times New Roman"/>
        </w:rPr>
        <w:t>8</w:t>
      </w:r>
      <w:r w:rsidR="00C372CC" w:rsidRPr="00443386">
        <w:rPr>
          <w:rFonts w:ascii="Times New Roman" w:hAnsi="Times New Roman" w:cs="Times New Roman"/>
        </w:rPr>
        <w:t>.</w:t>
      </w:r>
      <w:r w:rsidR="00F96B2B">
        <w:rPr>
          <w:rFonts w:ascii="Times New Roman" w:hAnsi="Times New Roman" w:cs="Times New Roman"/>
        </w:rPr>
        <w:t>50</w:t>
      </w:r>
      <w:r w:rsidR="00C372CC" w:rsidRPr="00443386">
        <w:rPr>
          <w:rFonts w:ascii="Times New Roman" w:hAnsi="Times New Roman" w:cs="Times New Roman"/>
        </w:rPr>
        <w:t xml:space="preserve"> to </w:t>
      </w:r>
      <w:r w:rsidR="00F234BF">
        <w:rPr>
          <w:rFonts w:ascii="Times New Roman" w:hAnsi="Times New Roman" w:cs="Times New Roman"/>
        </w:rPr>
        <w:t>$14</w:t>
      </w:r>
      <w:r w:rsidR="00C372CC" w:rsidRPr="00443386">
        <w:rPr>
          <w:rFonts w:ascii="Times New Roman" w:hAnsi="Times New Roman" w:cs="Times New Roman"/>
        </w:rPr>
        <w:t xml:space="preserve">.00 per month, and is </w:t>
      </w:r>
      <w:r w:rsidR="00C372CC" w:rsidRPr="005F4B1C">
        <w:rPr>
          <w:rFonts w:ascii="Times New Roman" w:hAnsi="Times New Roman" w:cs="Times New Roman"/>
        </w:rPr>
        <w:t>proposing to</w:t>
      </w:r>
      <w:r w:rsidR="005540EB" w:rsidRPr="005F4B1C">
        <w:rPr>
          <w:rFonts w:ascii="Times New Roman" w:hAnsi="Times New Roman" w:cs="Times New Roman"/>
        </w:rPr>
        <w:t xml:space="preserve"> </w:t>
      </w:r>
      <w:r w:rsidR="00F96B2B">
        <w:rPr>
          <w:rFonts w:ascii="Times New Roman" w:hAnsi="Times New Roman" w:cs="Times New Roman"/>
        </w:rPr>
        <w:t>in</w:t>
      </w:r>
      <w:r w:rsidR="005F4B1C" w:rsidRPr="005F4B1C">
        <w:rPr>
          <w:rFonts w:ascii="Times New Roman" w:hAnsi="Times New Roman" w:cs="Times New Roman"/>
        </w:rPr>
        <w:t>c</w:t>
      </w:r>
      <w:r w:rsidR="005540EB" w:rsidRPr="005F4B1C">
        <w:rPr>
          <w:rFonts w:ascii="Times New Roman" w:hAnsi="Times New Roman" w:cs="Times New Roman"/>
        </w:rPr>
        <w:t xml:space="preserve">rease the energy rate for </w:t>
      </w:r>
      <w:r w:rsidR="00C372CC" w:rsidRPr="005F4B1C">
        <w:rPr>
          <w:rFonts w:ascii="Times New Roman" w:hAnsi="Times New Roman" w:cs="Times New Roman"/>
        </w:rPr>
        <w:t xml:space="preserve">all three </w:t>
      </w:r>
      <w:r w:rsidR="005540EB" w:rsidRPr="005F4B1C">
        <w:rPr>
          <w:rFonts w:ascii="Times New Roman" w:hAnsi="Times New Roman" w:cs="Times New Roman"/>
        </w:rPr>
        <w:t>block</w:t>
      </w:r>
      <w:r w:rsidR="00C372CC" w:rsidRPr="005F4B1C">
        <w:rPr>
          <w:rFonts w:ascii="Times New Roman" w:hAnsi="Times New Roman" w:cs="Times New Roman"/>
        </w:rPr>
        <w:t>s</w:t>
      </w:r>
      <w:r w:rsidR="005540EB" w:rsidRPr="005F4B1C">
        <w:rPr>
          <w:rFonts w:ascii="Times New Roman" w:hAnsi="Times New Roman" w:cs="Times New Roman"/>
        </w:rPr>
        <w:t xml:space="preserve"> </w:t>
      </w:r>
      <w:r w:rsidR="00C372CC" w:rsidRPr="005F4B1C">
        <w:rPr>
          <w:rFonts w:ascii="Times New Roman" w:hAnsi="Times New Roman" w:cs="Times New Roman"/>
        </w:rPr>
        <w:t>by</w:t>
      </w:r>
      <w:r w:rsidR="005540EB" w:rsidRPr="005F4B1C">
        <w:rPr>
          <w:rFonts w:ascii="Times New Roman" w:hAnsi="Times New Roman" w:cs="Times New Roman"/>
        </w:rPr>
        <w:t xml:space="preserve"> </w:t>
      </w:r>
      <w:r w:rsidR="005F4B1C" w:rsidRPr="005F4B1C">
        <w:rPr>
          <w:rFonts w:ascii="Times New Roman" w:hAnsi="Times New Roman" w:cs="Times New Roman"/>
        </w:rPr>
        <w:t xml:space="preserve">approximately </w:t>
      </w:r>
      <w:r w:rsidR="00F96B2B">
        <w:rPr>
          <w:rFonts w:ascii="Times New Roman" w:hAnsi="Times New Roman" w:cs="Times New Roman"/>
        </w:rPr>
        <w:t>1.3</w:t>
      </w:r>
      <w:r w:rsidR="005F4B1C" w:rsidRPr="005F4B1C">
        <w:rPr>
          <w:rFonts w:ascii="Times New Roman" w:hAnsi="Times New Roman" w:cs="Times New Roman"/>
        </w:rPr>
        <w:t xml:space="preserve"> percent</w:t>
      </w:r>
      <w:r w:rsidR="005540EB" w:rsidRPr="005F4B1C">
        <w:rPr>
          <w:rFonts w:ascii="Times New Roman" w:hAnsi="Times New Roman" w:cs="Times New Roman"/>
        </w:rPr>
        <w:t>.</w:t>
      </w:r>
      <w:r w:rsidR="005540EB" w:rsidRPr="005540EB">
        <w:rPr>
          <w:rFonts w:ascii="Times New Roman" w:hAnsi="Times New Roman" w:cs="Times New Roman"/>
        </w:rPr>
        <w:t xml:space="preserve">    </w:t>
      </w:r>
    </w:p>
    <w:p w:rsidR="006A2F58" w:rsidRPr="006A2F58" w:rsidRDefault="006A2F58" w:rsidP="00CA7EA4">
      <w:pPr>
        <w:pStyle w:val="P161"/>
        <w:tabs>
          <w:tab w:val="num" w:pos="1440"/>
        </w:tabs>
        <w:ind w:left="0" w:firstLine="720"/>
        <w:jc w:val="both"/>
        <w:rPr>
          <w:rFonts w:ascii="Times New Roman" w:hAnsi="Times New Roman" w:cs="Times New Roman"/>
          <w:b/>
        </w:rPr>
      </w:pPr>
      <w:r w:rsidRPr="006A2F58">
        <w:rPr>
          <w:rFonts w:ascii="Times New Roman" w:hAnsi="Times New Roman" w:cs="Times New Roman"/>
          <w:b/>
        </w:rPr>
        <w:t xml:space="preserve">Q. </w:t>
      </w:r>
      <w:r w:rsidRPr="006A2F58">
        <w:rPr>
          <w:rFonts w:ascii="Times New Roman" w:hAnsi="Times New Roman" w:cs="Times New Roman"/>
          <w:b/>
        </w:rPr>
        <w:tab/>
        <w:t xml:space="preserve">Why is the Company proposing to increase the monthly customer </w:t>
      </w:r>
      <w:proofErr w:type="gramStart"/>
      <w:r w:rsidRPr="006A2F58">
        <w:rPr>
          <w:rFonts w:ascii="Times New Roman" w:hAnsi="Times New Roman" w:cs="Times New Roman"/>
          <w:b/>
        </w:rPr>
        <w:t>charge</w:t>
      </w:r>
      <w:proofErr w:type="gramEnd"/>
      <w:r w:rsidRPr="006A2F58">
        <w:rPr>
          <w:rFonts w:ascii="Times New Roman" w:hAnsi="Times New Roman" w:cs="Times New Roman"/>
          <w:b/>
        </w:rPr>
        <w:t xml:space="preserve"> from $</w:t>
      </w:r>
      <w:r w:rsidR="005C4F7B">
        <w:rPr>
          <w:rFonts w:ascii="Times New Roman" w:hAnsi="Times New Roman" w:cs="Times New Roman"/>
          <w:b/>
        </w:rPr>
        <w:t>8</w:t>
      </w:r>
      <w:r w:rsidRPr="006A2F58">
        <w:rPr>
          <w:rFonts w:ascii="Times New Roman" w:hAnsi="Times New Roman" w:cs="Times New Roman"/>
          <w:b/>
        </w:rPr>
        <w:t>.</w:t>
      </w:r>
      <w:r w:rsidR="00F96B2B">
        <w:rPr>
          <w:rFonts w:ascii="Times New Roman" w:hAnsi="Times New Roman" w:cs="Times New Roman"/>
          <w:b/>
        </w:rPr>
        <w:t>50</w:t>
      </w:r>
      <w:r w:rsidRPr="006A2F58">
        <w:rPr>
          <w:rFonts w:ascii="Times New Roman" w:hAnsi="Times New Roman" w:cs="Times New Roman"/>
          <w:b/>
        </w:rPr>
        <w:t xml:space="preserve"> to </w:t>
      </w:r>
      <w:r w:rsidR="00F234BF">
        <w:rPr>
          <w:rFonts w:ascii="Times New Roman" w:hAnsi="Times New Roman" w:cs="Times New Roman"/>
          <w:b/>
        </w:rPr>
        <w:t>$14</w:t>
      </w:r>
      <w:r w:rsidRPr="006A2F58">
        <w:rPr>
          <w:rFonts w:ascii="Times New Roman" w:hAnsi="Times New Roman" w:cs="Times New Roman"/>
          <w:b/>
        </w:rPr>
        <w:t>.00 per month?</w:t>
      </w:r>
    </w:p>
    <w:p w:rsidR="00D34F06" w:rsidRDefault="006A2F58" w:rsidP="00D34F06">
      <w:pPr>
        <w:spacing w:line="480" w:lineRule="auto"/>
        <w:ind w:firstLine="720"/>
        <w:jc w:val="both"/>
        <w:rPr>
          <w:kern w:val="24"/>
        </w:rPr>
      </w:pPr>
      <w:r w:rsidRPr="005540EB">
        <w:rPr>
          <w:kern w:val="24"/>
        </w:rPr>
        <w:lastRenderedPageBreak/>
        <w:t xml:space="preserve">A. </w:t>
      </w:r>
      <w:r w:rsidRPr="005540EB">
        <w:rPr>
          <w:kern w:val="24"/>
        </w:rPr>
        <w:tab/>
        <w:t xml:space="preserve">A substantial portion of the Company's costs are fixed and do not vary with the amount of energy used by customers.  As reflected in this filing, the </w:t>
      </w:r>
      <w:r w:rsidR="004C3DE4">
        <w:rPr>
          <w:kern w:val="24"/>
        </w:rPr>
        <w:t xml:space="preserve">fixed </w:t>
      </w:r>
      <w:r w:rsidRPr="005540EB">
        <w:rPr>
          <w:kern w:val="24"/>
        </w:rPr>
        <w:t>cost</w:t>
      </w:r>
      <w:r w:rsidR="004C3DE4">
        <w:rPr>
          <w:kern w:val="24"/>
        </w:rPr>
        <w:t>s</w:t>
      </w:r>
      <w:r w:rsidRPr="005540EB">
        <w:rPr>
          <w:kern w:val="24"/>
        </w:rPr>
        <w:t xml:space="preserve"> of operating and maintaining our electric system </w:t>
      </w:r>
      <w:r w:rsidR="004C3DE4">
        <w:rPr>
          <w:kern w:val="24"/>
        </w:rPr>
        <w:t>are</w:t>
      </w:r>
      <w:r w:rsidRPr="005540EB">
        <w:rPr>
          <w:kern w:val="24"/>
        </w:rPr>
        <w:t xml:space="preserve"> increasing.  The Company believes it is important that rates </w:t>
      </w:r>
      <w:r>
        <w:rPr>
          <w:kern w:val="24"/>
        </w:rPr>
        <w:t xml:space="preserve">better </w:t>
      </w:r>
      <w:r w:rsidRPr="005540EB">
        <w:rPr>
          <w:kern w:val="24"/>
        </w:rPr>
        <w:t xml:space="preserve">reflect these increasing costs </w:t>
      </w:r>
      <w:r>
        <w:rPr>
          <w:kern w:val="24"/>
        </w:rPr>
        <w:t>to serve customers</w:t>
      </w:r>
      <w:r w:rsidRPr="005540EB">
        <w:rPr>
          <w:kern w:val="24"/>
        </w:rPr>
        <w:t xml:space="preserve">.  </w:t>
      </w:r>
      <w:r>
        <w:rPr>
          <w:kern w:val="24"/>
        </w:rPr>
        <w:t>Later</w:t>
      </w:r>
      <w:r w:rsidR="004C3DE4">
        <w:rPr>
          <w:kern w:val="24"/>
        </w:rPr>
        <w:t xml:space="preserve"> in Section V. of </w:t>
      </w:r>
      <w:r>
        <w:rPr>
          <w:kern w:val="24"/>
        </w:rPr>
        <w:t xml:space="preserve">my testimony I will provide greater detail as to why the Company believes the monthly customer charge should increase </w:t>
      </w:r>
      <w:r w:rsidR="006C7E37">
        <w:rPr>
          <w:kern w:val="24"/>
        </w:rPr>
        <w:t>to $14.00</w:t>
      </w:r>
      <w:r>
        <w:rPr>
          <w:kern w:val="24"/>
        </w:rPr>
        <w:t xml:space="preserve"> per month.</w:t>
      </w:r>
    </w:p>
    <w:p w:rsidR="005540EB" w:rsidRPr="005540EB" w:rsidRDefault="005540EB" w:rsidP="00711833">
      <w:pPr>
        <w:pStyle w:val="P137"/>
        <w:numPr>
          <w:ilvl w:val="1"/>
          <w:numId w:val="22"/>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Turning to General Service Schedule 11, </w:t>
      </w:r>
      <w:r w:rsidR="004C3DE4">
        <w:rPr>
          <w:rFonts w:ascii="Times New Roman" w:hAnsi="Times New Roman" w:cs="Times New Roman"/>
        </w:rPr>
        <w:t>w</w:t>
      </w:r>
      <w:r w:rsidRPr="005540EB">
        <w:rPr>
          <w:rFonts w:ascii="Times New Roman" w:hAnsi="Times New Roman" w:cs="Times New Roman"/>
        </w:rPr>
        <w:t xml:space="preserve">ould you please describe the present rate structure and rates under that </w:t>
      </w:r>
      <w:r w:rsidR="001020C1">
        <w:rPr>
          <w:rFonts w:ascii="Times New Roman" w:hAnsi="Times New Roman" w:cs="Times New Roman"/>
        </w:rPr>
        <w:t>s</w:t>
      </w:r>
      <w:r w:rsidRPr="005540EB">
        <w:rPr>
          <w:rFonts w:ascii="Times New Roman" w:hAnsi="Times New Roman" w:cs="Times New Roman"/>
        </w:rPr>
        <w:t>chedule?</w:t>
      </w:r>
    </w:p>
    <w:p w:rsidR="005540EB" w:rsidRPr="005540EB" w:rsidRDefault="005540EB" w:rsidP="00711833">
      <w:pPr>
        <w:pStyle w:val="P162"/>
        <w:numPr>
          <w:ilvl w:val="0"/>
          <w:numId w:val="25"/>
        </w:numPr>
        <w:tabs>
          <w:tab w:val="num" w:pos="1440"/>
        </w:tabs>
        <w:ind w:left="0" w:firstLine="720"/>
        <w:jc w:val="both"/>
        <w:rPr>
          <w:rFonts w:ascii="Times New Roman" w:hAnsi="Times New Roman" w:cs="Times New Roman"/>
        </w:rPr>
      </w:pPr>
      <w:r w:rsidRPr="005540EB">
        <w:rPr>
          <w:rFonts w:ascii="Times New Roman" w:hAnsi="Times New Roman" w:cs="Times New Roman"/>
        </w:rPr>
        <w:t xml:space="preserve">Yes.  The present rate structure under the schedule includes a monthly customer charge of </w:t>
      </w:r>
      <w:r w:rsidR="00F234BF">
        <w:rPr>
          <w:rFonts w:ascii="Times New Roman" w:hAnsi="Times New Roman" w:cs="Times New Roman"/>
        </w:rPr>
        <w:t>$</w:t>
      </w:r>
      <w:r w:rsidR="00F96B2B">
        <w:rPr>
          <w:rFonts w:ascii="Times New Roman" w:hAnsi="Times New Roman" w:cs="Times New Roman"/>
        </w:rPr>
        <w:t>18</w:t>
      </w:r>
      <w:r w:rsidR="00830886">
        <w:rPr>
          <w:rFonts w:ascii="Times New Roman" w:hAnsi="Times New Roman" w:cs="Times New Roman"/>
        </w:rPr>
        <w:t>.00</w:t>
      </w:r>
      <w:r w:rsidRPr="005540EB">
        <w:rPr>
          <w:rFonts w:ascii="Times New Roman" w:hAnsi="Times New Roman" w:cs="Times New Roman"/>
        </w:rPr>
        <w:t xml:space="preserve">, an energy rate of </w:t>
      </w:r>
      <w:r w:rsidR="00F96B2B">
        <w:rPr>
          <w:rFonts w:ascii="Times New Roman" w:hAnsi="Times New Roman" w:cs="Times New Roman"/>
        </w:rPr>
        <w:t>11.507</w:t>
      </w:r>
      <w:r w:rsidRPr="005540EB">
        <w:rPr>
          <w:rFonts w:ascii="Times New Roman" w:hAnsi="Times New Roman" w:cs="Times New Roman"/>
        </w:rPr>
        <w:t xml:space="preserve"> cents per kWh for all usage </w:t>
      </w:r>
      <w:r w:rsidR="00FE07FB">
        <w:rPr>
          <w:rFonts w:ascii="Times New Roman" w:hAnsi="Times New Roman" w:cs="Times New Roman"/>
        </w:rPr>
        <w:t>up to</w:t>
      </w:r>
      <w:r w:rsidRPr="005540EB">
        <w:rPr>
          <w:rFonts w:ascii="Times New Roman" w:hAnsi="Times New Roman" w:cs="Times New Roman"/>
        </w:rPr>
        <w:t xml:space="preserve"> 3,650 kWhs per month, and an energy rate of </w:t>
      </w:r>
      <w:r w:rsidR="005C4F7B">
        <w:rPr>
          <w:rFonts w:ascii="Times New Roman" w:hAnsi="Times New Roman" w:cs="Times New Roman"/>
        </w:rPr>
        <w:t>8.</w:t>
      </w:r>
      <w:r w:rsidR="00F96B2B">
        <w:rPr>
          <w:rFonts w:ascii="Times New Roman" w:hAnsi="Times New Roman" w:cs="Times New Roman"/>
        </w:rPr>
        <w:t>455</w:t>
      </w:r>
      <w:r w:rsidRPr="005540EB">
        <w:rPr>
          <w:rFonts w:ascii="Times New Roman" w:hAnsi="Times New Roman" w:cs="Times New Roman"/>
        </w:rPr>
        <w:t xml:space="preserve"> cents per kWh for usage over 3,650 kWhs per month.  There is also a demand charge of $</w:t>
      </w:r>
      <w:r w:rsidR="005C4F7B">
        <w:rPr>
          <w:rFonts w:ascii="Times New Roman" w:hAnsi="Times New Roman" w:cs="Times New Roman"/>
        </w:rPr>
        <w:t>6.00</w:t>
      </w:r>
      <w:r w:rsidRPr="005540EB">
        <w:rPr>
          <w:rFonts w:ascii="Times New Roman" w:hAnsi="Times New Roman" w:cs="Times New Roman"/>
        </w:rPr>
        <w:t xml:space="preserve"> per kW for all demand in excess of 20 kW per month.  There is no charge for the first 20 kW of demand.   </w:t>
      </w:r>
    </w:p>
    <w:p w:rsidR="005540EB" w:rsidRPr="005540EB" w:rsidRDefault="00CA7EA4" w:rsidP="00CA7EA4">
      <w:pPr>
        <w:pStyle w:val="P138"/>
        <w:tabs>
          <w:tab w:val="left" w:pos="180"/>
        </w:tabs>
        <w:ind w:left="0" w:firstLine="720"/>
        <w:jc w:val="both"/>
        <w:rPr>
          <w:rFonts w:ascii="Times New Roman" w:hAnsi="Times New Roman" w:cs="Times New Roman"/>
        </w:rPr>
      </w:pPr>
      <w:r>
        <w:rPr>
          <w:rFonts w:ascii="Times New Roman" w:hAnsi="Times New Roman" w:cs="Times New Roman"/>
        </w:rPr>
        <w:t>Q.</w:t>
      </w:r>
      <w:r w:rsidR="00F04603">
        <w:rPr>
          <w:rFonts w:ascii="Times New Roman" w:hAnsi="Times New Roman" w:cs="Times New Roman"/>
        </w:rPr>
        <w:tab/>
      </w:r>
      <w:r w:rsidR="005540EB" w:rsidRPr="00C86EB1">
        <w:rPr>
          <w:rFonts w:ascii="Times New Roman" w:hAnsi="Times New Roman" w:cs="Times New Roman"/>
        </w:rPr>
        <w:t xml:space="preserve">How is the Company proposing to apply the proposed general revenue </w:t>
      </w:r>
      <w:proofErr w:type="gramStart"/>
      <w:r w:rsidR="005540EB" w:rsidRPr="00D74916">
        <w:rPr>
          <w:rFonts w:ascii="Times New Roman" w:hAnsi="Times New Roman" w:cs="Times New Roman"/>
        </w:rPr>
        <w:t>increase</w:t>
      </w:r>
      <w:proofErr w:type="gramEnd"/>
      <w:r w:rsidR="005540EB" w:rsidRPr="00D74916">
        <w:rPr>
          <w:rFonts w:ascii="Times New Roman" w:hAnsi="Times New Roman" w:cs="Times New Roman"/>
        </w:rPr>
        <w:t xml:space="preserve"> of $</w:t>
      </w:r>
      <w:r w:rsidR="003956A9">
        <w:rPr>
          <w:rFonts w:ascii="Times New Roman" w:hAnsi="Times New Roman" w:cs="Times New Roman"/>
        </w:rPr>
        <w:t>2,</w:t>
      </w:r>
      <w:r w:rsidR="00922002">
        <w:rPr>
          <w:rFonts w:ascii="Times New Roman" w:hAnsi="Times New Roman" w:cs="Times New Roman"/>
        </w:rPr>
        <w:t>687</w:t>
      </w:r>
      <w:r w:rsidR="003956A9">
        <w:rPr>
          <w:rFonts w:ascii="Times New Roman" w:hAnsi="Times New Roman" w:cs="Times New Roman"/>
        </w:rPr>
        <w:t>,000</w:t>
      </w:r>
      <w:r w:rsidR="005540EB" w:rsidRPr="00D74916">
        <w:rPr>
          <w:rFonts w:ascii="Times New Roman" w:hAnsi="Times New Roman" w:cs="Times New Roman"/>
        </w:rPr>
        <w:t xml:space="preserve"> to the</w:t>
      </w:r>
      <w:r w:rsidR="005540EB" w:rsidRPr="005540EB">
        <w:rPr>
          <w:rFonts w:ascii="Times New Roman" w:hAnsi="Times New Roman" w:cs="Times New Roman"/>
        </w:rPr>
        <w:t xml:space="preserve"> rates under Schedule 11? </w:t>
      </w:r>
    </w:p>
    <w:p w:rsidR="00D34F06" w:rsidRPr="00D34F06" w:rsidRDefault="00F04603" w:rsidP="00D34F06">
      <w:pPr>
        <w:pStyle w:val="P163"/>
        <w:tabs>
          <w:tab w:val="left" w:pos="180"/>
        </w:tabs>
        <w:ind w:left="0"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540EB" w:rsidRPr="00E42AAE">
        <w:rPr>
          <w:rFonts w:ascii="Times New Roman" w:hAnsi="Times New Roman" w:cs="Times New Roman"/>
        </w:rPr>
        <w:t>The Company is proposing that the customer charge be increased by $</w:t>
      </w:r>
      <w:r w:rsidR="00F96B2B">
        <w:rPr>
          <w:rFonts w:ascii="Times New Roman" w:hAnsi="Times New Roman" w:cs="Times New Roman"/>
        </w:rPr>
        <w:t>2</w:t>
      </w:r>
      <w:r w:rsidR="006A2F58" w:rsidRPr="00E42AAE">
        <w:rPr>
          <w:rFonts w:ascii="Times New Roman" w:hAnsi="Times New Roman" w:cs="Times New Roman"/>
        </w:rPr>
        <w:t>.00</w:t>
      </w:r>
      <w:r w:rsidR="005540EB" w:rsidRPr="00E42AAE">
        <w:rPr>
          <w:rFonts w:ascii="Times New Roman" w:hAnsi="Times New Roman" w:cs="Times New Roman"/>
        </w:rPr>
        <w:t>, from $</w:t>
      </w:r>
      <w:r w:rsidR="00F96B2B">
        <w:rPr>
          <w:rFonts w:ascii="Times New Roman" w:hAnsi="Times New Roman" w:cs="Times New Roman"/>
        </w:rPr>
        <w:t>18</w:t>
      </w:r>
      <w:r w:rsidR="00830886" w:rsidRPr="00E42AAE">
        <w:rPr>
          <w:rFonts w:ascii="Times New Roman" w:hAnsi="Times New Roman" w:cs="Times New Roman"/>
        </w:rPr>
        <w:t>.00</w:t>
      </w:r>
      <w:r w:rsidR="005540EB" w:rsidRPr="00E42AAE">
        <w:rPr>
          <w:rFonts w:ascii="Times New Roman" w:hAnsi="Times New Roman" w:cs="Times New Roman"/>
        </w:rPr>
        <w:t xml:space="preserve"> to $</w:t>
      </w:r>
      <w:r w:rsidR="00F96B2B">
        <w:rPr>
          <w:rFonts w:ascii="Times New Roman" w:hAnsi="Times New Roman" w:cs="Times New Roman"/>
        </w:rPr>
        <w:t>20</w:t>
      </w:r>
      <w:r w:rsidR="00AC3ADC" w:rsidRPr="00E42AAE">
        <w:rPr>
          <w:rFonts w:ascii="Times New Roman" w:hAnsi="Times New Roman" w:cs="Times New Roman"/>
        </w:rPr>
        <w:t>.00</w:t>
      </w:r>
      <w:r w:rsidR="005540EB" w:rsidRPr="00E42AAE">
        <w:rPr>
          <w:rFonts w:ascii="Times New Roman" w:hAnsi="Times New Roman" w:cs="Times New Roman"/>
        </w:rPr>
        <w:t xml:space="preserve"> per month</w:t>
      </w:r>
      <w:r w:rsidR="00AC3ADC" w:rsidRPr="00E42AAE">
        <w:rPr>
          <w:rFonts w:ascii="Times New Roman" w:hAnsi="Times New Roman" w:cs="Times New Roman"/>
        </w:rPr>
        <w:t xml:space="preserve">.  In addition, the Company is proposing </w:t>
      </w:r>
      <w:r w:rsidR="005540EB" w:rsidRPr="00E42AAE">
        <w:rPr>
          <w:rFonts w:ascii="Times New Roman" w:hAnsi="Times New Roman" w:cs="Times New Roman"/>
        </w:rPr>
        <w:t>that the demand charge (over 20 kW) be increased $0.</w:t>
      </w:r>
      <w:r w:rsidR="00D74916">
        <w:rPr>
          <w:rFonts w:ascii="Times New Roman" w:hAnsi="Times New Roman" w:cs="Times New Roman"/>
        </w:rPr>
        <w:t>50</w:t>
      </w:r>
      <w:r w:rsidR="005540EB" w:rsidRPr="00E42AAE">
        <w:rPr>
          <w:rFonts w:ascii="Times New Roman" w:hAnsi="Times New Roman" w:cs="Times New Roman"/>
        </w:rPr>
        <w:t xml:space="preserve"> per kW, from $</w:t>
      </w:r>
      <w:r w:rsidR="005C4F7B">
        <w:rPr>
          <w:rFonts w:ascii="Times New Roman" w:hAnsi="Times New Roman" w:cs="Times New Roman"/>
        </w:rPr>
        <w:t>6.00</w:t>
      </w:r>
      <w:r w:rsidR="005540EB" w:rsidRPr="00E42AAE">
        <w:rPr>
          <w:rFonts w:ascii="Times New Roman" w:hAnsi="Times New Roman" w:cs="Times New Roman"/>
        </w:rPr>
        <w:t xml:space="preserve"> to $</w:t>
      </w:r>
      <w:r w:rsidR="00221538">
        <w:rPr>
          <w:rFonts w:ascii="Times New Roman" w:hAnsi="Times New Roman" w:cs="Times New Roman"/>
        </w:rPr>
        <w:t>6.</w:t>
      </w:r>
      <w:r w:rsidR="005C4F7B">
        <w:rPr>
          <w:rFonts w:ascii="Times New Roman" w:hAnsi="Times New Roman" w:cs="Times New Roman"/>
        </w:rPr>
        <w:t>50</w:t>
      </w:r>
      <w:r w:rsidR="005540EB" w:rsidRPr="00E42AAE">
        <w:rPr>
          <w:rFonts w:ascii="Times New Roman" w:hAnsi="Times New Roman" w:cs="Times New Roman"/>
        </w:rPr>
        <w:t xml:space="preserve">. </w:t>
      </w:r>
      <w:r w:rsidR="00E42AAE">
        <w:rPr>
          <w:rFonts w:ascii="Times New Roman" w:hAnsi="Times New Roman" w:cs="Times New Roman"/>
        </w:rPr>
        <w:t xml:space="preserve"> </w:t>
      </w:r>
      <w:r w:rsidR="00221538" w:rsidRPr="005540EB">
        <w:rPr>
          <w:rFonts w:ascii="Times New Roman" w:hAnsi="Times New Roman" w:cs="Times New Roman"/>
        </w:rPr>
        <w:t xml:space="preserve">The remaining revenue increase for the </w:t>
      </w:r>
      <w:r w:rsidR="00221538">
        <w:rPr>
          <w:rFonts w:ascii="Times New Roman" w:hAnsi="Times New Roman" w:cs="Times New Roman"/>
        </w:rPr>
        <w:t>s</w:t>
      </w:r>
      <w:r w:rsidR="00221538" w:rsidRPr="005540EB">
        <w:rPr>
          <w:rFonts w:ascii="Times New Roman" w:hAnsi="Times New Roman" w:cs="Times New Roman"/>
        </w:rPr>
        <w:t xml:space="preserve">chedule is proposed to be recovered through a uniform percentage increase </w:t>
      </w:r>
      <w:r w:rsidR="00221538" w:rsidRPr="003956A9">
        <w:rPr>
          <w:rFonts w:ascii="Times New Roman" w:hAnsi="Times New Roman" w:cs="Times New Roman"/>
        </w:rPr>
        <w:t xml:space="preserve">of approximately </w:t>
      </w:r>
      <w:r w:rsidR="00922002">
        <w:rPr>
          <w:rFonts w:ascii="Times New Roman" w:hAnsi="Times New Roman" w:cs="Times New Roman"/>
        </w:rPr>
        <w:t>2</w:t>
      </w:r>
      <w:r w:rsidR="00F96B2B">
        <w:rPr>
          <w:rFonts w:ascii="Times New Roman" w:hAnsi="Times New Roman" w:cs="Times New Roman"/>
        </w:rPr>
        <w:t>.8</w:t>
      </w:r>
      <w:r w:rsidR="00221538" w:rsidRPr="003956A9">
        <w:rPr>
          <w:rFonts w:ascii="Times New Roman" w:hAnsi="Times New Roman" w:cs="Times New Roman"/>
        </w:rPr>
        <w:t>% applied to the two (block) energy rates.  The increase in the first block rate is 0.</w:t>
      </w:r>
      <w:r w:rsidR="00922002">
        <w:rPr>
          <w:rFonts w:ascii="Times New Roman" w:hAnsi="Times New Roman" w:cs="Times New Roman"/>
        </w:rPr>
        <w:t>324</w:t>
      </w:r>
      <w:r w:rsidR="00221538" w:rsidRPr="003956A9">
        <w:rPr>
          <w:rFonts w:ascii="Times New Roman" w:hAnsi="Times New Roman" w:cs="Times New Roman"/>
        </w:rPr>
        <w:t xml:space="preserve"> cents per kWh, and 0.</w:t>
      </w:r>
      <w:r w:rsidR="00922002">
        <w:rPr>
          <w:rFonts w:ascii="Times New Roman" w:hAnsi="Times New Roman" w:cs="Times New Roman"/>
        </w:rPr>
        <w:t>239</w:t>
      </w:r>
      <w:r w:rsidR="00221538" w:rsidRPr="003956A9">
        <w:rPr>
          <w:rFonts w:ascii="Times New Roman" w:hAnsi="Times New Roman" w:cs="Times New Roman"/>
        </w:rPr>
        <w:t xml:space="preserve"> cents per kWh for the second block rate.  </w:t>
      </w:r>
      <w:r w:rsidR="005D0943" w:rsidRPr="003956A9">
        <w:rPr>
          <w:rFonts w:ascii="Times New Roman" w:hAnsi="Times New Roman" w:cs="Times New Roman"/>
        </w:rPr>
        <w:t xml:space="preserve">Finally, the Company is proposing to increase the minimum charge for </w:t>
      </w:r>
      <w:r w:rsidR="00D86546">
        <w:rPr>
          <w:rFonts w:ascii="Times New Roman" w:hAnsi="Times New Roman" w:cs="Times New Roman"/>
        </w:rPr>
        <w:t xml:space="preserve">single phase service from $15.00 to $20.00 per month, and three </w:t>
      </w:r>
      <w:r w:rsidR="005D0943" w:rsidRPr="003956A9">
        <w:rPr>
          <w:rFonts w:ascii="Times New Roman" w:hAnsi="Times New Roman" w:cs="Times New Roman"/>
        </w:rPr>
        <w:t>phase service from $</w:t>
      </w:r>
      <w:r w:rsidR="00F96B2B">
        <w:rPr>
          <w:rFonts w:ascii="Times New Roman" w:hAnsi="Times New Roman" w:cs="Times New Roman"/>
        </w:rPr>
        <w:t>25</w:t>
      </w:r>
      <w:r w:rsidR="005C4F7B" w:rsidRPr="003956A9">
        <w:rPr>
          <w:rFonts w:ascii="Times New Roman" w:hAnsi="Times New Roman" w:cs="Times New Roman"/>
        </w:rPr>
        <w:t>.35</w:t>
      </w:r>
      <w:r w:rsidR="005D0943" w:rsidRPr="003956A9">
        <w:rPr>
          <w:rFonts w:ascii="Times New Roman" w:hAnsi="Times New Roman" w:cs="Times New Roman"/>
        </w:rPr>
        <w:t xml:space="preserve"> to $</w:t>
      </w:r>
      <w:r w:rsidR="00221538" w:rsidRPr="003956A9">
        <w:rPr>
          <w:rFonts w:ascii="Times New Roman" w:hAnsi="Times New Roman" w:cs="Times New Roman"/>
        </w:rPr>
        <w:t>2</w:t>
      </w:r>
      <w:r w:rsidR="00F96B2B">
        <w:rPr>
          <w:rFonts w:ascii="Times New Roman" w:hAnsi="Times New Roman" w:cs="Times New Roman"/>
        </w:rPr>
        <w:t>7</w:t>
      </w:r>
      <w:r w:rsidR="00221538" w:rsidRPr="003956A9">
        <w:rPr>
          <w:rFonts w:ascii="Times New Roman" w:hAnsi="Times New Roman" w:cs="Times New Roman"/>
        </w:rPr>
        <w:t>.35</w:t>
      </w:r>
      <w:r w:rsidR="004C3DE4">
        <w:rPr>
          <w:rFonts w:ascii="Times New Roman" w:hAnsi="Times New Roman" w:cs="Times New Roman"/>
        </w:rPr>
        <w:t xml:space="preserve"> per month</w:t>
      </w:r>
      <w:r w:rsidR="005D0943" w:rsidRPr="003956A9">
        <w:rPr>
          <w:rFonts w:ascii="Times New Roman" w:hAnsi="Times New Roman" w:cs="Times New Roman"/>
        </w:rPr>
        <w:t>.</w:t>
      </w:r>
      <w:r w:rsidR="005D0943">
        <w:rPr>
          <w:rFonts w:ascii="Times New Roman" w:hAnsi="Times New Roman" w:cs="Times New Roman"/>
        </w:rPr>
        <w:t xml:space="preserve">  </w:t>
      </w:r>
    </w:p>
    <w:p w:rsidR="00F04603" w:rsidRPr="00DD0A5E" w:rsidRDefault="00F04603" w:rsidP="00CA7EA4">
      <w:pPr>
        <w:pStyle w:val="P163"/>
        <w:tabs>
          <w:tab w:val="left" w:pos="180"/>
        </w:tabs>
        <w:ind w:left="0" w:firstLine="720"/>
        <w:jc w:val="both"/>
        <w:rPr>
          <w:rFonts w:ascii="Times New Roman" w:hAnsi="Times New Roman" w:cs="Times New Roman"/>
          <w:b/>
        </w:rPr>
      </w:pPr>
      <w:r w:rsidRPr="00E42AAE">
        <w:rPr>
          <w:rFonts w:ascii="Times New Roman" w:hAnsi="Times New Roman" w:cs="Times New Roman"/>
          <w:b/>
        </w:rPr>
        <w:lastRenderedPageBreak/>
        <w:t xml:space="preserve">Q. </w:t>
      </w:r>
      <w:r w:rsidRPr="00E42AAE">
        <w:rPr>
          <w:rFonts w:ascii="Times New Roman" w:hAnsi="Times New Roman" w:cs="Times New Roman"/>
          <w:b/>
        </w:rPr>
        <w:tab/>
        <w:t>Why is</w:t>
      </w:r>
      <w:r w:rsidRPr="00DD0A5E">
        <w:rPr>
          <w:rFonts w:ascii="Times New Roman" w:hAnsi="Times New Roman" w:cs="Times New Roman"/>
          <w:b/>
        </w:rPr>
        <w:t xml:space="preserve"> the Company proposing </w:t>
      </w:r>
      <w:r w:rsidR="00CF6646" w:rsidRPr="00DD0A5E">
        <w:rPr>
          <w:rFonts w:ascii="Times New Roman" w:hAnsi="Times New Roman" w:cs="Times New Roman"/>
          <w:b/>
        </w:rPr>
        <w:t xml:space="preserve">a </w:t>
      </w:r>
      <w:r w:rsidR="001A786F">
        <w:rPr>
          <w:rFonts w:ascii="Times New Roman" w:hAnsi="Times New Roman" w:cs="Times New Roman"/>
          <w:b/>
        </w:rPr>
        <w:t>$0.</w:t>
      </w:r>
      <w:r w:rsidR="00D74916">
        <w:rPr>
          <w:rFonts w:ascii="Times New Roman" w:hAnsi="Times New Roman" w:cs="Times New Roman"/>
          <w:b/>
        </w:rPr>
        <w:t>50</w:t>
      </w:r>
      <w:r w:rsidR="00CF6646" w:rsidRPr="00DD0A5E">
        <w:rPr>
          <w:rFonts w:ascii="Times New Roman" w:hAnsi="Times New Roman" w:cs="Times New Roman"/>
          <w:b/>
        </w:rPr>
        <w:t xml:space="preserve"> </w:t>
      </w:r>
      <w:r w:rsidR="001A786F">
        <w:rPr>
          <w:rFonts w:ascii="Times New Roman" w:hAnsi="Times New Roman" w:cs="Times New Roman"/>
          <w:b/>
        </w:rPr>
        <w:t xml:space="preserve">or </w:t>
      </w:r>
      <w:r w:rsidR="005C4F7B">
        <w:rPr>
          <w:rFonts w:ascii="Times New Roman" w:hAnsi="Times New Roman" w:cs="Times New Roman"/>
          <w:b/>
        </w:rPr>
        <w:t>8.3</w:t>
      </w:r>
      <w:r w:rsidR="001A786F">
        <w:rPr>
          <w:rFonts w:ascii="Times New Roman" w:hAnsi="Times New Roman" w:cs="Times New Roman"/>
          <w:b/>
        </w:rPr>
        <w:t xml:space="preserve">% </w:t>
      </w:r>
      <w:r w:rsidR="00CF6646" w:rsidRPr="00DD0A5E">
        <w:rPr>
          <w:rFonts w:ascii="Times New Roman" w:hAnsi="Times New Roman" w:cs="Times New Roman"/>
          <w:b/>
        </w:rPr>
        <w:t>increase</w:t>
      </w:r>
      <w:r w:rsidR="00416D8E">
        <w:rPr>
          <w:rFonts w:ascii="Times New Roman" w:hAnsi="Times New Roman" w:cs="Times New Roman"/>
          <w:b/>
        </w:rPr>
        <w:t xml:space="preserve"> to the </w:t>
      </w:r>
      <w:r w:rsidR="00416D8E" w:rsidRPr="00DD0A5E">
        <w:rPr>
          <w:rFonts w:ascii="Times New Roman" w:hAnsi="Times New Roman" w:cs="Times New Roman"/>
          <w:b/>
        </w:rPr>
        <w:t xml:space="preserve">demand charge </w:t>
      </w:r>
      <w:r w:rsidR="00416D8E">
        <w:rPr>
          <w:rFonts w:ascii="Times New Roman" w:hAnsi="Times New Roman" w:cs="Times New Roman"/>
          <w:b/>
        </w:rPr>
        <w:t>for Schedule 11</w:t>
      </w:r>
      <w:r w:rsidRPr="00DD0A5E">
        <w:rPr>
          <w:rFonts w:ascii="Times New Roman" w:hAnsi="Times New Roman" w:cs="Times New Roman"/>
          <w:b/>
        </w:rPr>
        <w:t xml:space="preserve">? </w:t>
      </w:r>
    </w:p>
    <w:p w:rsidR="002C0C2F" w:rsidRPr="00171B4C" w:rsidRDefault="002C0C2F" w:rsidP="002C0C2F">
      <w:pPr>
        <w:pStyle w:val="BodyText2"/>
        <w:ind w:firstLine="720"/>
        <w:rPr>
          <w:bCs/>
        </w:rPr>
      </w:pPr>
      <w:r w:rsidRPr="00E65A4C">
        <w:rPr>
          <w:bCs/>
        </w:rPr>
        <w:t>A.</w:t>
      </w:r>
      <w:r w:rsidRPr="00E65A4C">
        <w:rPr>
          <w:bCs/>
        </w:rPr>
        <w:tab/>
        <w:t>The system allocated demand cost fr</w:t>
      </w:r>
      <w:r w:rsidR="00287B1F">
        <w:rPr>
          <w:bCs/>
        </w:rPr>
        <w:t xml:space="preserve">om the cost of service </w:t>
      </w:r>
      <w:r w:rsidR="00287B1F" w:rsidRPr="00642E83">
        <w:rPr>
          <w:bCs/>
        </w:rPr>
        <w:t>study is $</w:t>
      </w:r>
      <w:r w:rsidR="00462682">
        <w:rPr>
          <w:bCs/>
        </w:rPr>
        <w:t>19.68</w:t>
      </w:r>
      <w:r w:rsidR="00642E83" w:rsidRPr="00642E83">
        <w:rPr>
          <w:bCs/>
        </w:rPr>
        <w:t xml:space="preserve"> </w:t>
      </w:r>
      <w:r w:rsidRPr="00642E83">
        <w:rPr>
          <w:bCs/>
        </w:rPr>
        <w:t>per</w:t>
      </w:r>
      <w:r w:rsidRPr="00E65A4C">
        <w:rPr>
          <w:bCs/>
        </w:rPr>
        <w:t xml:space="preserve"> kilowatt (kW) month</w:t>
      </w:r>
      <w:r w:rsidRPr="00E65A4C">
        <w:rPr>
          <w:rStyle w:val="FootnoteReference"/>
          <w:bCs/>
        </w:rPr>
        <w:footnoteReference w:id="4"/>
      </w:r>
      <w:r w:rsidRPr="00E65A4C">
        <w:rPr>
          <w:bCs/>
        </w:rPr>
        <w:t xml:space="preserve">.  The Company’s present monthly demand charge </w:t>
      </w:r>
      <w:r w:rsidR="00462682">
        <w:rPr>
          <w:bCs/>
        </w:rPr>
        <w:t>is $</w:t>
      </w:r>
      <w:r w:rsidR="005C4F7B">
        <w:rPr>
          <w:bCs/>
        </w:rPr>
        <w:t>6.00</w:t>
      </w:r>
      <w:r w:rsidR="00462682">
        <w:rPr>
          <w:bCs/>
        </w:rPr>
        <w:t>/kW</w:t>
      </w:r>
      <w:r w:rsidR="006130C6">
        <w:rPr>
          <w:bCs/>
        </w:rPr>
        <w:t xml:space="preserve"> or kVA</w:t>
      </w:r>
      <w:r w:rsidRPr="00E65A4C">
        <w:rPr>
          <w:bCs/>
        </w:rPr>
        <w:t>.  While the exact level of costs classified as demand-related can be debated, clearly the levels of demand charges will continue to be well below demand-related costs.</w:t>
      </w:r>
      <w:r>
        <w:rPr>
          <w:bCs/>
        </w:rPr>
        <w:t xml:space="preserve">   </w:t>
      </w:r>
    </w:p>
    <w:p w:rsidR="002C0C2F" w:rsidRDefault="002C0C2F" w:rsidP="002C0C2F">
      <w:pPr>
        <w:pStyle w:val="BodyText2"/>
        <w:ind w:firstLine="720"/>
        <w:rPr>
          <w:bCs/>
        </w:rPr>
      </w:pPr>
      <w:r>
        <w:rPr>
          <w:bCs/>
        </w:rPr>
        <w:t>In addition, t</w:t>
      </w:r>
      <w:r w:rsidRPr="005141FE">
        <w:rPr>
          <w:bCs/>
        </w:rPr>
        <w:t>he Company’s transmission and distribution system is constructed to meet the collective peak demand of its customers</w:t>
      </w:r>
      <w:r>
        <w:rPr>
          <w:bCs/>
        </w:rPr>
        <w:t>.  Further</w:t>
      </w:r>
      <w:r w:rsidRPr="005141FE">
        <w:rPr>
          <w:bCs/>
        </w:rPr>
        <w:t xml:space="preserve">, the Company must have adequate resources available to meet peak demand.  If customers reduce their peak demand, it will reduce the need for additional investment in these facilities and resources.  </w:t>
      </w:r>
      <w:r>
        <w:rPr>
          <w:bCs/>
        </w:rPr>
        <w:t>C</w:t>
      </w:r>
      <w:r w:rsidRPr="005141FE">
        <w:rPr>
          <w:bCs/>
        </w:rPr>
        <w:t>ustomers need to receive the proper price signal to encourage a reduction in their peak demand, i.e., higher demand charges.</w:t>
      </w:r>
    </w:p>
    <w:p w:rsidR="005540EB" w:rsidRPr="00645683" w:rsidRDefault="005540EB" w:rsidP="00711833">
      <w:pPr>
        <w:pStyle w:val="P117"/>
        <w:tabs>
          <w:tab w:val="left" w:pos="180"/>
          <w:tab w:val="num" w:pos="1440"/>
        </w:tabs>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Turning to Larg</w:t>
      </w:r>
      <w:r w:rsidR="00FE07FB">
        <w:rPr>
          <w:rStyle w:val="T11"/>
          <w:rFonts w:ascii="Times New Roman" w:hAnsi="Times New Roman" w:cs="Times New Roman"/>
        </w:rPr>
        <w:t>e General Service Schedule 21, w</w:t>
      </w:r>
      <w:r w:rsidRPr="005540EB">
        <w:rPr>
          <w:rStyle w:val="T11"/>
          <w:rFonts w:ascii="Times New Roman" w:hAnsi="Times New Roman" w:cs="Times New Roman"/>
        </w:rPr>
        <w:t xml:space="preserve">ould you please describe the present rate </w:t>
      </w:r>
      <w:r w:rsidRPr="00645683">
        <w:rPr>
          <w:rStyle w:val="T11"/>
          <w:rFonts w:ascii="Times New Roman" w:hAnsi="Times New Roman" w:cs="Times New Roman"/>
        </w:rPr>
        <w:t xml:space="preserve">structure under that </w:t>
      </w:r>
      <w:r w:rsidR="001020C1" w:rsidRPr="00645683">
        <w:rPr>
          <w:rStyle w:val="T11"/>
          <w:rFonts w:ascii="Times New Roman" w:hAnsi="Times New Roman" w:cs="Times New Roman"/>
        </w:rPr>
        <w:t>s</w:t>
      </w:r>
      <w:r w:rsidRPr="00645683">
        <w:rPr>
          <w:rStyle w:val="T11"/>
          <w:rFonts w:ascii="Times New Roman" w:hAnsi="Times New Roman" w:cs="Times New Roman"/>
        </w:rPr>
        <w:t xml:space="preserve">chedule and how the Company is proposing to apply </w:t>
      </w:r>
      <w:r w:rsidRPr="005A6FE5">
        <w:rPr>
          <w:rStyle w:val="T11"/>
          <w:rFonts w:ascii="Times New Roman" w:hAnsi="Times New Roman" w:cs="Times New Roman"/>
        </w:rPr>
        <w:t xml:space="preserve">the </w:t>
      </w:r>
      <w:r w:rsidRPr="00CF74E0">
        <w:rPr>
          <w:rStyle w:val="T11"/>
          <w:rFonts w:ascii="Times New Roman" w:hAnsi="Times New Roman" w:cs="Times New Roman"/>
        </w:rPr>
        <w:t>increase of $</w:t>
      </w:r>
      <w:r w:rsidR="006130C6">
        <w:rPr>
          <w:rStyle w:val="T11"/>
          <w:rFonts w:ascii="Times New Roman" w:hAnsi="Times New Roman" w:cs="Times New Roman"/>
        </w:rPr>
        <w:t>8,652</w:t>
      </w:r>
      <w:r w:rsidR="00614DB9" w:rsidRPr="00CF74E0">
        <w:rPr>
          <w:rStyle w:val="T11"/>
          <w:rFonts w:ascii="Times New Roman" w:hAnsi="Times New Roman" w:cs="Times New Roman"/>
        </w:rPr>
        <w:t>,000</w:t>
      </w:r>
      <w:r w:rsidRPr="00CF74E0">
        <w:rPr>
          <w:rStyle w:val="T11"/>
          <w:rFonts w:ascii="Times New Roman" w:hAnsi="Times New Roman" w:cs="Times New Roman"/>
        </w:rPr>
        <w:t xml:space="preserve"> to the rates</w:t>
      </w:r>
      <w:r w:rsidRPr="00645683">
        <w:rPr>
          <w:rStyle w:val="T11"/>
          <w:rFonts w:ascii="Times New Roman" w:hAnsi="Times New Roman" w:cs="Times New Roman"/>
        </w:rPr>
        <w:t xml:space="preserve"> within the schedule?</w:t>
      </w:r>
    </w:p>
    <w:p w:rsidR="005540EB" w:rsidRPr="00645683" w:rsidRDefault="005540EB" w:rsidP="00711833">
      <w:pPr>
        <w:pStyle w:val="P106"/>
        <w:tabs>
          <w:tab w:val="left" w:pos="180"/>
          <w:tab w:val="num" w:pos="1440"/>
        </w:tabs>
        <w:jc w:val="both"/>
        <w:rPr>
          <w:rFonts w:ascii="Times New Roman" w:hAnsi="Times New Roman" w:cs="Times New Roman"/>
        </w:rPr>
      </w:pPr>
      <w:r w:rsidRPr="00645683">
        <w:rPr>
          <w:rFonts w:ascii="Times New Roman" w:hAnsi="Times New Roman" w:cs="Times New Roman"/>
        </w:rPr>
        <w:t>A.</w:t>
      </w:r>
      <w:r w:rsidRPr="00645683">
        <w:rPr>
          <w:rFonts w:ascii="Times New Roman" w:hAnsi="Times New Roman" w:cs="Times New Roman"/>
        </w:rPr>
        <w:tab/>
      </w:r>
      <w:r w:rsidR="00FE07FB" w:rsidRPr="00645683">
        <w:rPr>
          <w:rFonts w:ascii="Times New Roman" w:hAnsi="Times New Roman" w:cs="Times New Roman"/>
        </w:rPr>
        <w:t xml:space="preserve">Yes.  </w:t>
      </w:r>
      <w:r w:rsidRPr="00645683">
        <w:rPr>
          <w:rFonts w:ascii="Times New Roman" w:hAnsi="Times New Roman" w:cs="Times New Roman"/>
        </w:rPr>
        <w:t>Large General Service Schedule 21 consists of a minimum monthly charge of $</w:t>
      </w:r>
      <w:r w:rsidR="006130C6">
        <w:rPr>
          <w:rFonts w:ascii="Times New Roman" w:hAnsi="Times New Roman" w:cs="Times New Roman"/>
        </w:rPr>
        <w:t>500</w:t>
      </w:r>
      <w:r w:rsidR="000B2F0A">
        <w:rPr>
          <w:rFonts w:ascii="Times New Roman" w:hAnsi="Times New Roman" w:cs="Times New Roman"/>
        </w:rPr>
        <w:t>.</w:t>
      </w:r>
      <w:r w:rsidR="001A786F">
        <w:rPr>
          <w:rFonts w:ascii="Times New Roman" w:hAnsi="Times New Roman" w:cs="Times New Roman"/>
        </w:rPr>
        <w:t>00</w:t>
      </w:r>
      <w:r w:rsidRPr="00645683">
        <w:rPr>
          <w:rFonts w:ascii="Times New Roman" w:hAnsi="Times New Roman" w:cs="Times New Roman"/>
        </w:rPr>
        <w:t xml:space="preserve"> for the first 50 </w:t>
      </w:r>
      <w:r w:rsidR="00704982" w:rsidRPr="00645683">
        <w:rPr>
          <w:rFonts w:ascii="Times New Roman" w:hAnsi="Times New Roman" w:cs="Times New Roman"/>
        </w:rPr>
        <w:t>kW or less, a demand charge of $</w:t>
      </w:r>
      <w:r w:rsidR="000B2F0A">
        <w:rPr>
          <w:rFonts w:ascii="Times New Roman" w:hAnsi="Times New Roman" w:cs="Times New Roman"/>
        </w:rPr>
        <w:t>6.00</w:t>
      </w:r>
      <w:r w:rsidRPr="00645683">
        <w:rPr>
          <w:rFonts w:ascii="Times New Roman" w:hAnsi="Times New Roman" w:cs="Times New Roman"/>
        </w:rPr>
        <w:t xml:space="preserve"> per kW for monthly demand in excess of 50 kW, and </w:t>
      </w:r>
      <w:r w:rsidR="00FE07FB" w:rsidRPr="00645683">
        <w:rPr>
          <w:rFonts w:ascii="Times New Roman" w:hAnsi="Times New Roman" w:cs="Times New Roman"/>
        </w:rPr>
        <w:t>t</w:t>
      </w:r>
      <w:r w:rsidRPr="00645683">
        <w:rPr>
          <w:rFonts w:ascii="Times New Roman" w:hAnsi="Times New Roman" w:cs="Times New Roman"/>
        </w:rPr>
        <w:t>wo energy</w:t>
      </w:r>
      <w:r w:rsidR="008B4398" w:rsidRPr="00645683">
        <w:rPr>
          <w:rFonts w:ascii="Times New Roman" w:hAnsi="Times New Roman" w:cs="Times New Roman"/>
        </w:rPr>
        <w:t xml:space="preserve"> block</w:t>
      </w:r>
      <w:r w:rsidRPr="00645683">
        <w:rPr>
          <w:rFonts w:ascii="Times New Roman" w:hAnsi="Times New Roman" w:cs="Times New Roman"/>
        </w:rPr>
        <w:t xml:space="preserve"> rates:  </w:t>
      </w:r>
      <w:r w:rsidR="000B2F0A">
        <w:rPr>
          <w:rFonts w:ascii="Times New Roman" w:hAnsi="Times New Roman" w:cs="Times New Roman"/>
        </w:rPr>
        <w:t>7.</w:t>
      </w:r>
      <w:r w:rsidR="006130C6">
        <w:rPr>
          <w:rFonts w:ascii="Times New Roman" w:hAnsi="Times New Roman" w:cs="Times New Roman"/>
        </w:rPr>
        <w:t>240</w:t>
      </w:r>
      <w:r w:rsidRPr="00645683">
        <w:rPr>
          <w:rFonts w:ascii="Times New Roman" w:hAnsi="Times New Roman" w:cs="Times New Roman"/>
        </w:rPr>
        <w:t xml:space="preserve"> cents per kWh for the first 250,000 kWhs per month</w:t>
      </w:r>
      <w:r w:rsidR="008B4398" w:rsidRPr="00645683">
        <w:rPr>
          <w:rFonts w:ascii="Times New Roman" w:hAnsi="Times New Roman" w:cs="Times New Roman"/>
        </w:rPr>
        <w:t>,</w:t>
      </w:r>
      <w:r w:rsidRPr="00645683">
        <w:rPr>
          <w:rFonts w:ascii="Times New Roman" w:hAnsi="Times New Roman" w:cs="Times New Roman"/>
        </w:rPr>
        <w:t xml:space="preserve"> and </w:t>
      </w:r>
      <w:r w:rsidR="000B2F0A">
        <w:rPr>
          <w:rFonts w:ascii="Times New Roman" w:hAnsi="Times New Roman" w:cs="Times New Roman"/>
        </w:rPr>
        <w:t>6.</w:t>
      </w:r>
      <w:r w:rsidR="006130C6">
        <w:rPr>
          <w:rFonts w:ascii="Times New Roman" w:hAnsi="Times New Roman" w:cs="Times New Roman"/>
        </w:rPr>
        <w:t>475</w:t>
      </w:r>
      <w:r w:rsidRPr="00645683">
        <w:rPr>
          <w:rFonts w:ascii="Times New Roman" w:hAnsi="Times New Roman" w:cs="Times New Roman"/>
        </w:rPr>
        <w:t xml:space="preserve"> cents per kWh for all usage in excess of 250,000 kWhs.</w:t>
      </w:r>
    </w:p>
    <w:p w:rsidR="005540EB" w:rsidRPr="005540EB" w:rsidRDefault="005540EB" w:rsidP="00711833">
      <w:pPr>
        <w:pStyle w:val="P106"/>
        <w:jc w:val="both"/>
        <w:rPr>
          <w:rFonts w:ascii="Times New Roman" w:hAnsi="Times New Roman" w:cs="Times New Roman"/>
        </w:rPr>
      </w:pPr>
      <w:r w:rsidRPr="00645683">
        <w:rPr>
          <w:rFonts w:ascii="Times New Roman" w:hAnsi="Times New Roman" w:cs="Times New Roman"/>
        </w:rPr>
        <w:t xml:space="preserve">The Company is proposing that the present minimum demand charge (for the first 50 kW or less) </w:t>
      </w:r>
      <w:r w:rsidR="006130C6">
        <w:rPr>
          <w:rFonts w:ascii="Times New Roman" w:hAnsi="Times New Roman" w:cs="Times New Roman"/>
        </w:rPr>
        <w:t>remain unchanged at</w:t>
      </w:r>
      <w:r w:rsidRPr="00645683">
        <w:rPr>
          <w:rFonts w:ascii="Times New Roman" w:hAnsi="Times New Roman" w:cs="Times New Roman"/>
        </w:rPr>
        <w:t xml:space="preserve"> $</w:t>
      </w:r>
      <w:r w:rsidR="000B2F0A">
        <w:rPr>
          <w:rFonts w:ascii="Times New Roman" w:hAnsi="Times New Roman" w:cs="Times New Roman"/>
        </w:rPr>
        <w:t>50</w:t>
      </w:r>
      <w:r w:rsidR="006E11B2" w:rsidRPr="00645683">
        <w:rPr>
          <w:rFonts w:ascii="Times New Roman" w:hAnsi="Times New Roman" w:cs="Times New Roman"/>
        </w:rPr>
        <w:t>0.00</w:t>
      </w:r>
      <w:r w:rsidR="006130C6">
        <w:rPr>
          <w:rFonts w:ascii="Times New Roman" w:hAnsi="Times New Roman" w:cs="Times New Roman"/>
        </w:rPr>
        <w:t xml:space="preserve"> per month</w:t>
      </w:r>
      <w:r w:rsidRPr="00645683">
        <w:rPr>
          <w:rFonts w:ascii="Times New Roman" w:hAnsi="Times New Roman" w:cs="Times New Roman"/>
        </w:rPr>
        <w:t>, and the demand charge for kW over 50 per month be increased by $</w:t>
      </w:r>
      <w:r w:rsidR="00614DB9" w:rsidRPr="00645683">
        <w:rPr>
          <w:rFonts w:ascii="Times New Roman" w:hAnsi="Times New Roman" w:cs="Times New Roman"/>
        </w:rPr>
        <w:t>0.</w:t>
      </w:r>
      <w:r w:rsidR="006E11B2" w:rsidRPr="00645683">
        <w:rPr>
          <w:rFonts w:ascii="Times New Roman" w:hAnsi="Times New Roman" w:cs="Times New Roman"/>
        </w:rPr>
        <w:t>50</w:t>
      </w:r>
      <w:r w:rsidRPr="00645683">
        <w:rPr>
          <w:rFonts w:ascii="Times New Roman" w:hAnsi="Times New Roman" w:cs="Times New Roman"/>
        </w:rPr>
        <w:t xml:space="preserve"> per kW, from $</w:t>
      </w:r>
      <w:r w:rsidR="000B2F0A">
        <w:rPr>
          <w:rFonts w:ascii="Times New Roman" w:hAnsi="Times New Roman" w:cs="Times New Roman"/>
        </w:rPr>
        <w:t>6.00</w:t>
      </w:r>
      <w:r w:rsidRPr="00645683">
        <w:rPr>
          <w:rFonts w:ascii="Times New Roman" w:hAnsi="Times New Roman" w:cs="Times New Roman"/>
        </w:rPr>
        <w:t xml:space="preserve"> to $</w:t>
      </w:r>
      <w:r w:rsidR="000B2F0A">
        <w:rPr>
          <w:rFonts w:ascii="Times New Roman" w:hAnsi="Times New Roman" w:cs="Times New Roman"/>
        </w:rPr>
        <w:t>6.50</w:t>
      </w:r>
      <w:r w:rsidR="00614DB9" w:rsidRPr="00645683">
        <w:rPr>
          <w:rFonts w:ascii="Times New Roman" w:hAnsi="Times New Roman" w:cs="Times New Roman"/>
        </w:rPr>
        <w:t xml:space="preserve">, for </w:t>
      </w:r>
      <w:r w:rsidR="00D32A7D">
        <w:rPr>
          <w:rFonts w:ascii="Times New Roman" w:hAnsi="Times New Roman" w:cs="Times New Roman"/>
        </w:rPr>
        <w:t xml:space="preserve">the </w:t>
      </w:r>
      <w:r w:rsidR="00614DB9" w:rsidRPr="00645683">
        <w:rPr>
          <w:rFonts w:ascii="Times New Roman" w:hAnsi="Times New Roman" w:cs="Times New Roman"/>
        </w:rPr>
        <w:t xml:space="preserve">reasons provided </w:t>
      </w:r>
      <w:r w:rsidR="00614DB9" w:rsidRPr="00645683">
        <w:rPr>
          <w:rFonts w:ascii="Times New Roman" w:hAnsi="Times New Roman" w:cs="Times New Roman"/>
        </w:rPr>
        <w:lastRenderedPageBreak/>
        <w:t>previously in my testimony</w:t>
      </w:r>
      <w:r w:rsidRPr="00645683">
        <w:rPr>
          <w:rFonts w:ascii="Times New Roman" w:hAnsi="Times New Roman" w:cs="Times New Roman"/>
        </w:rPr>
        <w:t xml:space="preserve">.  The remaining revenue increase for the </w:t>
      </w:r>
      <w:r w:rsidR="001020C1" w:rsidRPr="00645683">
        <w:rPr>
          <w:rFonts w:ascii="Times New Roman" w:hAnsi="Times New Roman" w:cs="Times New Roman"/>
        </w:rPr>
        <w:t>s</w:t>
      </w:r>
      <w:r w:rsidRPr="00645683">
        <w:rPr>
          <w:rFonts w:ascii="Times New Roman" w:hAnsi="Times New Roman" w:cs="Times New Roman"/>
        </w:rPr>
        <w:t xml:space="preserve">chedule is proposed to be recovered through a uniform percentage increase of </w:t>
      </w:r>
      <w:r w:rsidR="00614DB9" w:rsidRPr="00443386">
        <w:rPr>
          <w:rFonts w:ascii="Times New Roman" w:hAnsi="Times New Roman" w:cs="Times New Roman"/>
        </w:rPr>
        <w:t xml:space="preserve">approximately </w:t>
      </w:r>
      <w:r w:rsidR="006130C6">
        <w:rPr>
          <w:rFonts w:ascii="Times New Roman" w:hAnsi="Times New Roman" w:cs="Times New Roman"/>
        </w:rPr>
        <w:t>7</w:t>
      </w:r>
      <w:r w:rsidR="00CF74E0">
        <w:rPr>
          <w:rFonts w:ascii="Times New Roman" w:hAnsi="Times New Roman" w:cs="Times New Roman"/>
        </w:rPr>
        <w:t>.2</w:t>
      </w:r>
      <w:r w:rsidRPr="00443386">
        <w:rPr>
          <w:rFonts w:ascii="Times New Roman" w:hAnsi="Times New Roman" w:cs="Times New Roman"/>
        </w:rPr>
        <w:t xml:space="preserve">% applied to the two energy </w:t>
      </w:r>
      <w:r w:rsidR="008B4398" w:rsidRPr="00443386">
        <w:rPr>
          <w:rFonts w:ascii="Times New Roman" w:hAnsi="Times New Roman" w:cs="Times New Roman"/>
        </w:rPr>
        <w:t xml:space="preserve">block </w:t>
      </w:r>
      <w:r w:rsidRPr="00443386">
        <w:rPr>
          <w:rFonts w:ascii="Times New Roman" w:hAnsi="Times New Roman" w:cs="Times New Roman"/>
        </w:rPr>
        <w:t xml:space="preserve">rates.  The </w:t>
      </w:r>
      <w:r w:rsidRPr="00CF74E0">
        <w:rPr>
          <w:rFonts w:ascii="Times New Roman" w:hAnsi="Times New Roman" w:cs="Times New Roman"/>
        </w:rPr>
        <w:t xml:space="preserve">proposed increase for the first 250,000 kWhs used per month under the schedule is </w:t>
      </w:r>
      <w:r w:rsidR="00614DB9" w:rsidRPr="00CF74E0">
        <w:rPr>
          <w:rFonts w:ascii="Times New Roman" w:hAnsi="Times New Roman" w:cs="Times New Roman"/>
        </w:rPr>
        <w:t>0.</w:t>
      </w:r>
      <w:r w:rsidR="006130C6">
        <w:rPr>
          <w:rFonts w:ascii="Times New Roman" w:hAnsi="Times New Roman" w:cs="Times New Roman"/>
        </w:rPr>
        <w:t>519</w:t>
      </w:r>
      <w:r w:rsidRPr="00CF74E0">
        <w:rPr>
          <w:rFonts w:ascii="Times New Roman" w:hAnsi="Times New Roman" w:cs="Times New Roman"/>
        </w:rPr>
        <w:t xml:space="preserve"> cents per kWh, and an increase of </w:t>
      </w:r>
      <w:r w:rsidR="00614DB9" w:rsidRPr="00CF74E0">
        <w:rPr>
          <w:rFonts w:ascii="Times New Roman" w:hAnsi="Times New Roman" w:cs="Times New Roman"/>
        </w:rPr>
        <w:t>0</w:t>
      </w:r>
      <w:r w:rsidR="00CF74E0" w:rsidRPr="00CF74E0">
        <w:rPr>
          <w:rFonts w:ascii="Times New Roman" w:hAnsi="Times New Roman" w:cs="Times New Roman"/>
        </w:rPr>
        <w:t>.</w:t>
      </w:r>
      <w:r w:rsidR="006130C6">
        <w:rPr>
          <w:rFonts w:ascii="Times New Roman" w:hAnsi="Times New Roman" w:cs="Times New Roman"/>
        </w:rPr>
        <w:t>463</w:t>
      </w:r>
      <w:r w:rsidR="005A6FE5" w:rsidRPr="00CF74E0">
        <w:rPr>
          <w:rFonts w:ascii="Times New Roman" w:hAnsi="Times New Roman" w:cs="Times New Roman"/>
        </w:rPr>
        <w:t xml:space="preserve"> </w:t>
      </w:r>
      <w:r w:rsidRPr="00CF74E0">
        <w:rPr>
          <w:rFonts w:ascii="Times New Roman" w:hAnsi="Times New Roman" w:cs="Times New Roman"/>
        </w:rPr>
        <w:t>cents per kWh for usage over 250,000 kWhs per</w:t>
      </w:r>
      <w:r w:rsidRPr="00F820B5">
        <w:rPr>
          <w:rFonts w:ascii="Times New Roman" w:hAnsi="Times New Roman" w:cs="Times New Roman"/>
        </w:rPr>
        <w:t xml:space="preserve"> month.</w:t>
      </w:r>
      <w:r w:rsidRPr="005540EB">
        <w:rPr>
          <w:rFonts w:ascii="Times New Roman" w:hAnsi="Times New Roman" w:cs="Times New Roman"/>
        </w:rPr>
        <w:t xml:space="preserve">  </w:t>
      </w:r>
    </w:p>
    <w:p w:rsidR="005540EB" w:rsidRPr="005540EB" w:rsidRDefault="005540EB" w:rsidP="00711833">
      <w:pPr>
        <w:pStyle w:val="P106"/>
        <w:jc w:val="both"/>
        <w:rPr>
          <w:rFonts w:ascii="Times New Roman" w:hAnsi="Times New Roman" w:cs="Times New Roman"/>
        </w:rPr>
      </w:pPr>
      <w:r w:rsidRPr="005540EB">
        <w:rPr>
          <w:rStyle w:val="T11"/>
          <w:rFonts w:ascii="Times New Roman" w:hAnsi="Times New Roman" w:cs="Times New Roman"/>
        </w:rPr>
        <w:t xml:space="preserve">Q.  </w:t>
      </w:r>
      <w:r w:rsidR="005E25D7">
        <w:rPr>
          <w:rStyle w:val="T11"/>
          <w:rFonts w:ascii="Times New Roman" w:hAnsi="Times New Roman" w:cs="Times New Roman"/>
        </w:rPr>
        <w:tab/>
      </w:r>
      <w:r w:rsidRPr="005540EB">
        <w:rPr>
          <w:rStyle w:val="T11"/>
          <w:rFonts w:ascii="Times New Roman" w:hAnsi="Times New Roman" w:cs="Times New Roman"/>
        </w:rPr>
        <w:t xml:space="preserve">Turning to Extra Large General Service Schedule 25, </w:t>
      </w:r>
      <w:r w:rsidR="008B4398">
        <w:rPr>
          <w:rStyle w:val="T11"/>
          <w:rFonts w:ascii="Times New Roman" w:hAnsi="Times New Roman" w:cs="Times New Roman"/>
        </w:rPr>
        <w:t>w</w:t>
      </w:r>
      <w:r w:rsidRPr="005540EB">
        <w:rPr>
          <w:rStyle w:val="T11"/>
          <w:rFonts w:ascii="Times New Roman" w:hAnsi="Times New Roman" w:cs="Times New Roman"/>
        </w:rPr>
        <w:t xml:space="preserve">ould you please describe the present rate structure under that </w:t>
      </w:r>
      <w:r w:rsidR="001020C1">
        <w:rPr>
          <w:rStyle w:val="T11"/>
          <w:rFonts w:ascii="Times New Roman" w:hAnsi="Times New Roman" w:cs="Times New Roman"/>
        </w:rPr>
        <w:t>s</w:t>
      </w:r>
      <w:r w:rsidRPr="005540EB">
        <w:rPr>
          <w:rStyle w:val="T11"/>
          <w:rFonts w:ascii="Times New Roman" w:hAnsi="Times New Roman" w:cs="Times New Roman"/>
        </w:rPr>
        <w:t xml:space="preserve">chedule and how the Company is proposing to apply the </w:t>
      </w:r>
      <w:r w:rsidRPr="00443386">
        <w:rPr>
          <w:rStyle w:val="T11"/>
          <w:rFonts w:ascii="Times New Roman" w:hAnsi="Times New Roman" w:cs="Times New Roman"/>
        </w:rPr>
        <w:t xml:space="preserve">increase of </w:t>
      </w:r>
      <w:r w:rsidR="00CF74E0">
        <w:rPr>
          <w:rStyle w:val="T11"/>
          <w:rFonts w:ascii="Times New Roman" w:hAnsi="Times New Roman" w:cs="Times New Roman"/>
        </w:rPr>
        <w:t>$</w:t>
      </w:r>
      <w:r w:rsidR="006130C6">
        <w:rPr>
          <w:rStyle w:val="T11"/>
          <w:rFonts w:ascii="Times New Roman" w:hAnsi="Times New Roman" w:cs="Times New Roman"/>
        </w:rPr>
        <w:t>4,</w:t>
      </w:r>
      <w:r w:rsidR="00922002">
        <w:rPr>
          <w:rStyle w:val="T11"/>
          <w:rFonts w:ascii="Times New Roman" w:hAnsi="Times New Roman" w:cs="Times New Roman"/>
        </w:rPr>
        <w:t>335</w:t>
      </w:r>
      <w:r w:rsidR="00CF74E0">
        <w:rPr>
          <w:rStyle w:val="T11"/>
          <w:rFonts w:ascii="Times New Roman" w:hAnsi="Times New Roman" w:cs="Times New Roman"/>
        </w:rPr>
        <w:t>,000</w:t>
      </w:r>
      <w:r w:rsidRPr="00443386">
        <w:rPr>
          <w:rStyle w:val="T11"/>
          <w:rFonts w:ascii="Times New Roman" w:hAnsi="Times New Roman" w:cs="Times New Roman"/>
        </w:rPr>
        <w:t xml:space="preserve"> to the</w:t>
      </w:r>
      <w:r w:rsidRPr="00672D65">
        <w:rPr>
          <w:rStyle w:val="T11"/>
          <w:rFonts w:ascii="Times New Roman" w:hAnsi="Times New Roman" w:cs="Times New Roman"/>
        </w:rPr>
        <w:t xml:space="preserve"> rates</w:t>
      </w:r>
      <w:r w:rsidRPr="005540EB">
        <w:rPr>
          <w:rStyle w:val="T11"/>
          <w:rFonts w:ascii="Times New Roman" w:hAnsi="Times New Roman" w:cs="Times New Roman"/>
        </w:rPr>
        <w:t xml:space="preserve"> within the </w:t>
      </w:r>
      <w:r w:rsidR="001020C1">
        <w:rPr>
          <w:rStyle w:val="T11"/>
          <w:rFonts w:ascii="Times New Roman" w:hAnsi="Times New Roman" w:cs="Times New Roman"/>
        </w:rPr>
        <w:t>s</w:t>
      </w:r>
      <w:r w:rsidRPr="005540EB">
        <w:rPr>
          <w:rStyle w:val="T11"/>
          <w:rFonts w:ascii="Times New Roman" w:hAnsi="Times New Roman" w:cs="Times New Roman"/>
        </w:rPr>
        <w:t xml:space="preserve">chedule? </w:t>
      </w:r>
    </w:p>
    <w:p w:rsidR="005540EB" w:rsidRPr="005540EB" w:rsidRDefault="005540EB" w:rsidP="00711833">
      <w:pPr>
        <w:pStyle w:val="P106"/>
        <w:jc w:val="both"/>
        <w:rPr>
          <w:rFonts w:ascii="Times New Roman" w:hAnsi="Times New Roman" w:cs="Times New Roman"/>
        </w:rPr>
      </w:pPr>
      <w:r w:rsidRPr="005540EB">
        <w:rPr>
          <w:rFonts w:ascii="Times New Roman" w:hAnsi="Times New Roman" w:cs="Times New Roman"/>
        </w:rPr>
        <w:t xml:space="preserve">A.  </w:t>
      </w:r>
      <w:r w:rsidR="005E25D7">
        <w:rPr>
          <w:rFonts w:ascii="Times New Roman" w:hAnsi="Times New Roman" w:cs="Times New Roman"/>
        </w:rPr>
        <w:tab/>
      </w:r>
      <w:r w:rsidR="008B4398">
        <w:rPr>
          <w:rFonts w:ascii="Times New Roman" w:hAnsi="Times New Roman" w:cs="Times New Roman"/>
        </w:rPr>
        <w:t xml:space="preserve">Yes.  </w:t>
      </w:r>
      <w:r w:rsidRPr="005540EB">
        <w:rPr>
          <w:rFonts w:ascii="Times New Roman" w:hAnsi="Times New Roman" w:cs="Times New Roman"/>
        </w:rPr>
        <w:t>Extra Large General Service Schedule 25 consists of a minimum monthly charge of $</w:t>
      </w:r>
      <w:r w:rsidR="006130C6">
        <w:rPr>
          <w:rFonts w:ascii="Times New Roman" w:hAnsi="Times New Roman" w:cs="Times New Roman"/>
        </w:rPr>
        <w:t>21</w:t>
      </w:r>
      <w:r w:rsidR="001A786F">
        <w:rPr>
          <w:rFonts w:ascii="Times New Roman" w:hAnsi="Times New Roman" w:cs="Times New Roman"/>
        </w:rPr>
        <w:t>,000</w:t>
      </w:r>
      <w:r w:rsidRPr="005540EB">
        <w:rPr>
          <w:rFonts w:ascii="Times New Roman" w:hAnsi="Times New Roman" w:cs="Times New Roman"/>
        </w:rPr>
        <w:t>.00 for the first 3,000 kVa or less, a demand charge of $</w:t>
      </w:r>
      <w:r w:rsidR="006130C6">
        <w:rPr>
          <w:rFonts w:ascii="Times New Roman" w:hAnsi="Times New Roman" w:cs="Times New Roman"/>
        </w:rPr>
        <w:t>6.00</w:t>
      </w:r>
      <w:r w:rsidRPr="005540EB">
        <w:rPr>
          <w:rFonts w:ascii="Times New Roman" w:hAnsi="Times New Roman" w:cs="Times New Roman"/>
        </w:rPr>
        <w:t xml:space="preserve"> per kVa for monthly demand in excess of 3,000 kVa, and three energy </w:t>
      </w:r>
      <w:r w:rsidR="008B4398">
        <w:rPr>
          <w:rFonts w:ascii="Times New Roman" w:hAnsi="Times New Roman" w:cs="Times New Roman"/>
        </w:rPr>
        <w:t xml:space="preserve">block </w:t>
      </w:r>
      <w:r w:rsidRPr="005540EB">
        <w:rPr>
          <w:rFonts w:ascii="Times New Roman" w:hAnsi="Times New Roman" w:cs="Times New Roman"/>
        </w:rPr>
        <w:t xml:space="preserve">rates:  </w:t>
      </w:r>
      <w:r w:rsidR="006130C6">
        <w:rPr>
          <w:rFonts w:ascii="Times New Roman" w:hAnsi="Times New Roman" w:cs="Times New Roman"/>
        </w:rPr>
        <w:t>5.616</w:t>
      </w:r>
      <w:r w:rsidRPr="005540EB">
        <w:rPr>
          <w:rFonts w:ascii="Times New Roman" w:hAnsi="Times New Roman" w:cs="Times New Roman"/>
        </w:rPr>
        <w:t xml:space="preserve"> cents per kWh for the first 500,000 kWhs per month, </w:t>
      </w:r>
      <w:r w:rsidR="000B2F0A">
        <w:rPr>
          <w:rFonts w:ascii="Times New Roman" w:hAnsi="Times New Roman" w:cs="Times New Roman"/>
        </w:rPr>
        <w:t>5.</w:t>
      </w:r>
      <w:r w:rsidR="006130C6">
        <w:rPr>
          <w:rFonts w:ascii="Times New Roman" w:hAnsi="Times New Roman" w:cs="Times New Roman"/>
        </w:rPr>
        <w:t>053</w:t>
      </w:r>
      <w:r w:rsidRPr="005540EB">
        <w:rPr>
          <w:rFonts w:ascii="Times New Roman" w:hAnsi="Times New Roman" w:cs="Times New Roman"/>
        </w:rPr>
        <w:t xml:space="preserve"> cents per kWh for the next 5.5 million kWhs and </w:t>
      </w:r>
      <w:r w:rsidR="00830886">
        <w:rPr>
          <w:rFonts w:ascii="Times New Roman" w:hAnsi="Times New Roman" w:cs="Times New Roman"/>
        </w:rPr>
        <w:t>4.</w:t>
      </w:r>
      <w:r w:rsidR="006130C6">
        <w:rPr>
          <w:rFonts w:ascii="Times New Roman" w:hAnsi="Times New Roman" w:cs="Times New Roman"/>
        </w:rPr>
        <w:t>320</w:t>
      </w:r>
      <w:r w:rsidRPr="005540EB">
        <w:rPr>
          <w:rFonts w:ascii="Times New Roman" w:hAnsi="Times New Roman" w:cs="Times New Roman"/>
        </w:rPr>
        <w:t xml:space="preserve"> cents per kWh for all usage in excess of 6 million kWhs.</w:t>
      </w:r>
    </w:p>
    <w:p w:rsidR="005540EB" w:rsidRDefault="005540EB" w:rsidP="00711833">
      <w:pPr>
        <w:pStyle w:val="P106"/>
        <w:jc w:val="both"/>
        <w:rPr>
          <w:rFonts w:ascii="Times New Roman" w:hAnsi="Times New Roman" w:cs="Times New Roman"/>
        </w:rPr>
      </w:pPr>
      <w:r w:rsidRPr="005540EB">
        <w:rPr>
          <w:rFonts w:ascii="Times New Roman" w:hAnsi="Times New Roman" w:cs="Times New Roman"/>
        </w:rPr>
        <w:t xml:space="preserve">The Company is proposing that the present minimum demand charge under the schedule </w:t>
      </w:r>
      <w:r w:rsidR="006130C6">
        <w:rPr>
          <w:rFonts w:ascii="Times New Roman" w:hAnsi="Times New Roman" w:cs="Times New Roman"/>
        </w:rPr>
        <w:t xml:space="preserve">remain at $21,000, as this monthly charge increased from $15,000 to $21,000 in the last general rate case.  The </w:t>
      </w:r>
      <w:r w:rsidRPr="005540EB">
        <w:rPr>
          <w:rFonts w:ascii="Times New Roman" w:hAnsi="Times New Roman" w:cs="Times New Roman"/>
        </w:rPr>
        <w:t xml:space="preserve">demand charge for kVa over 3,000 per month </w:t>
      </w:r>
      <w:r w:rsidR="006130C6">
        <w:rPr>
          <w:rFonts w:ascii="Times New Roman" w:hAnsi="Times New Roman" w:cs="Times New Roman"/>
        </w:rPr>
        <w:t xml:space="preserve">is proposed to </w:t>
      </w:r>
      <w:r w:rsidRPr="005540EB">
        <w:rPr>
          <w:rFonts w:ascii="Times New Roman" w:hAnsi="Times New Roman" w:cs="Times New Roman"/>
        </w:rPr>
        <w:t xml:space="preserve">be increased </w:t>
      </w:r>
      <w:r w:rsidRPr="00C62791">
        <w:rPr>
          <w:rFonts w:ascii="Times New Roman" w:hAnsi="Times New Roman" w:cs="Times New Roman"/>
        </w:rPr>
        <w:t>by $0.</w:t>
      </w:r>
      <w:r w:rsidR="001A786F">
        <w:rPr>
          <w:rFonts w:ascii="Times New Roman" w:hAnsi="Times New Roman" w:cs="Times New Roman"/>
        </w:rPr>
        <w:t>50</w:t>
      </w:r>
      <w:r w:rsidR="00C62791" w:rsidRPr="00C62791">
        <w:rPr>
          <w:rFonts w:ascii="Times New Roman" w:hAnsi="Times New Roman" w:cs="Times New Roman"/>
        </w:rPr>
        <w:t xml:space="preserve"> </w:t>
      </w:r>
      <w:r w:rsidRPr="00C62791">
        <w:rPr>
          <w:rFonts w:ascii="Times New Roman" w:hAnsi="Times New Roman" w:cs="Times New Roman"/>
        </w:rPr>
        <w:t>per kVa, from $</w:t>
      </w:r>
      <w:r w:rsidR="006130C6">
        <w:rPr>
          <w:rFonts w:ascii="Times New Roman" w:hAnsi="Times New Roman" w:cs="Times New Roman"/>
        </w:rPr>
        <w:t>6.00</w:t>
      </w:r>
      <w:r w:rsidRPr="00C62791">
        <w:rPr>
          <w:rFonts w:ascii="Times New Roman" w:hAnsi="Times New Roman" w:cs="Times New Roman"/>
        </w:rPr>
        <w:t xml:space="preserve"> to $</w:t>
      </w:r>
      <w:r w:rsidR="006130C6">
        <w:rPr>
          <w:rFonts w:ascii="Times New Roman" w:hAnsi="Times New Roman" w:cs="Times New Roman"/>
        </w:rPr>
        <w:t>6.50</w:t>
      </w:r>
      <w:r w:rsidRPr="00C62791">
        <w:rPr>
          <w:rFonts w:ascii="Times New Roman" w:hAnsi="Times New Roman" w:cs="Times New Roman"/>
        </w:rPr>
        <w:t>.</w:t>
      </w:r>
      <w:r w:rsidRPr="005540EB">
        <w:rPr>
          <w:rFonts w:ascii="Times New Roman" w:hAnsi="Times New Roman" w:cs="Times New Roman"/>
        </w:rPr>
        <w:t xml:space="preserve">  The remaining revenue increase for the </w:t>
      </w:r>
      <w:r w:rsidR="001020C1">
        <w:rPr>
          <w:rFonts w:ascii="Times New Roman" w:hAnsi="Times New Roman" w:cs="Times New Roman"/>
        </w:rPr>
        <w:t>s</w:t>
      </w:r>
      <w:r w:rsidRPr="005540EB">
        <w:rPr>
          <w:rFonts w:ascii="Times New Roman" w:hAnsi="Times New Roman" w:cs="Times New Roman"/>
        </w:rPr>
        <w:t xml:space="preserve">chedule is proposed to be recovered through a uniform percentage </w:t>
      </w:r>
      <w:r w:rsidRPr="00443386">
        <w:rPr>
          <w:rFonts w:ascii="Times New Roman" w:hAnsi="Times New Roman" w:cs="Times New Roman"/>
        </w:rPr>
        <w:t xml:space="preserve">increase of </w:t>
      </w:r>
      <w:r w:rsidR="00100091" w:rsidRPr="00443386">
        <w:rPr>
          <w:rFonts w:ascii="Times New Roman" w:hAnsi="Times New Roman" w:cs="Times New Roman"/>
        </w:rPr>
        <w:t xml:space="preserve">approximately </w:t>
      </w:r>
      <w:r w:rsidR="00922002">
        <w:rPr>
          <w:rFonts w:ascii="Times New Roman" w:hAnsi="Times New Roman" w:cs="Times New Roman"/>
        </w:rPr>
        <w:t>6.9</w:t>
      </w:r>
      <w:r w:rsidR="00443386" w:rsidRPr="00443386">
        <w:rPr>
          <w:rFonts w:ascii="Times New Roman" w:hAnsi="Times New Roman" w:cs="Times New Roman"/>
        </w:rPr>
        <w:t>%</w:t>
      </w:r>
      <w:r w:rsidR="008B4398" w:rsidRPr="00443386">
        <w:rPr>
          <w:rFonts w:ascii="Times New Roman" w:hAnsi="Times New Roman" w:cs="Times New Roman"/>
        </w:rPr>
        <w:t xml:space="preserve"> applied to the three </w:t>
      </w:r>
      <w:r w:rsidRPr="00443386">
        <w:rPr>
          <w:rFonts w:ascii="Times New Roman" w:hAnsi="Times New Roman" w:cs="Times New Roman"/>
        </w:rPr>
        <w:t xml:space="preserve">energy </w:t>
      </w:r>
      <w:r w:rsidR="008B4398" w:rsidRPr="00443386">
        <w:rPr>
          <w:rFonts w:ascii="Times New Roman" w:hAnsi="Times New Roman" w:cs="Times New Roman"/>
        </w:rPr>
        <w:t xml:space="preserve">block </w:t>
      </w:r>
      <w:r w:rsidRPr="00443386">
        <w:rPr>
          <w:rFonts w:ascii="Times New Roman" w:hAnsi="Times New Roman" w:cs="Times New Roman"/>
        </w:rPr>
        <w:t xml:space="preserve">rates.  The proposed energy rate increase for </w:t>
      </w:r>
      <w:r w:rsidRPr="00CF74E0">
        <w:rPr>
          <w:rFonts w:ascii="Times New Roman" w:hAnsi="Times New Roman" w:cs="Times New Roman"/>
        </w:rPr>
        <w:t>the first 500,000 kWhs used per month is 0.</w:t>
      </w:r>
      <w:r w:rsidR="00922002">
        <w:rPr>
          <w:rFonts w:ascii="Times New Roman" w:hAnsi="Times New Roman" w:cs="Times New Roman"/>
        </w:rPr>
        <w:t>388</w:t>
      </w:r>
      <w:r w:rsidRPr="00CF74E0">
        <w:rPr>
          <w:rFonts w:ascii="Times New Roman" w:hAnsi="Times New Roman" w:cs="Times New Roman"/>
        </w:rPr>
        <w:t xml:space="preserve"> cents per kWh, 0.</w:t>
      </w:r>
      <w:r w:rsidR="00922002">
        <w:rPr>
          <w:rFonts w:ascii="Times New Roman" w:hAnsi="Times New Roman" w:cs="Times New Roman"/>
        </w:rPr>
        <w:t>349</w:t>
      </w:r>
      <w:r w:rsidRPr="00CF74E0">
        <w:rPr>
          <w:rFonts w:ascii="Times New Roman" w:hAnsi="Times New Roman" w:cs="Times New Roman"/>
        </w:rPr>
        <w:t xml:space="preserve"> cents per kWh for the next 5.5 million, and 0.</w:t>
      </w:r>
      <w:r w:rsidR="00922002">
        <w:rPr>
          <w:rFonts w:ascii="Times New Roman" w:hAnsi="Times New Roman" w:cs="Times New Roman"/>
        </w:rPr>
        <w:t>299</w:t>
      </w:r>
      <w:r w:rsidRPr="00CF74E0">
        <w:rPr>
          <w:rFonts w:ascii="Times New Roman" w:hAnsi="Times New Roman" w:cs="Times New Roman"/>
        </w:rPr>
        <w:t xml:space="preserve"> cents per kWh for all usage over 6 million kWhs per month.</w:t>
      </w:r>
      <w:r w:rsidRPr="005540EB">
        <w:rPr>
          <w:rFonts w:ascii="Times New Roman" w:hAnsi="Times New Roman" w:cs="Times New Roman"/>
        </w:rPr>
        <w:t xml:space="preserve">  </w:t>
      </w:r>
    </w:p>
    <w:p w:rsidR="00D66BCF" w:rsidRPr="005A6FE5" w:rsidRDefault="00D66BCF" w:rsidP="00D66BCF">
      <w:pPr>
        <w:pStyle w:val="P117"/>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changes </w:t>
      </w:r>
      <w:r w:rsidR="00B50A07">
        <w:rPr>
          <w:rStyle w:val="T11"/>
          <w:rFonts w:ascii="Times New Roman" w:hAnsi="Times New Roman" w:cs="Times New Roman"/>
        </w:rPr>
        <w:t>are</w:t>
      </w:r>
      <w:r w:rsidRPr="005540EB">
        <w:rPr>
          <w:rStyle w:val="T11"/>
          <w:rFonts w:ascii="Times New Roman" w:hAnsi="Times New Roman" w:cs="Times New Roman"/>
        </w:rPr>
        <w:t xml:space="preserve"> </w:t>
      </w:r>
      <w:r w:rsidR="006C7E37">
        <w:rPr>
          <w:rStyle w:val="T11"/>
          <w:rFonts w:ascii="Times New Roman" w:hAnsi="Times New Roman" w:cs="Times New Roman"/>
        </w:rPr>
        <w:t>you</w:t>
      </w:r>
      <w:r w:rsidRPr="005540EB">
        <w:rPr>
          <w:rStyle w:val="T11"/>
          <w:rFonts w:ascii="Times New Roman" w:hAnsi="Times New Roman" w:cs="Times New Roman"/>
        </w:rPr>
        <w:t xml:space="preserve"> proposing to the rates under Pumping Schedule 31 to recover the proposed general revenue </w:t>
      </w:r>
      <w:r w:rsidRPr="00CF74E0">
        <w:rPr>
          <w:rStyle w:val="T11"/>
          <w:rFonts w:ascii="Times New Roman" w:hAnsi="Times New Roman" w:cs="Times New Roman"/>
        </w:rPr>
        <w:t>increase of $</w:t>
      </w:r>
      <w:r w:rsidR="006130C6">
        <w:rPr>
          <w:rStyle w:val="T11"/>
          <w:rFonts w:ascii="Times New Roman" w:hAnsi="Times New Roman" w:cs="Times New Roman"/>
        </w:rPr>
        <w:t>866</w:t>
      </w:r>
      <w:r w:rsidRPr="00CF74E0">
        <w:rPr>
          <w:rStyle w:val="T11"/>
          <w:rFonts w:ascii="Times New Roman" w:hAnsi="Times New Roman" w:cs="Times New Roman"/>
        </w:rPr>
        <w:t>,000?</w:t>
      </w:r>
    </w:p>
    <w:p w:rsidR="00D66BCF" w:rsidRPr="005A6FE5" w:rsidRDefault="00D66BCF" w:rsidP="00D66BCF">
      <w:pPr>
        <w:pStyle w:val="P176"/>
        <w:numPr>
          <w:ilvl w:val="0"/>
          <w:numId w:val="7"/>
        </w:numPr>
        <w:tabs>
          <w:tab w:val="clear" w:pos="1590"/>
          <w:tab w:val="num" w:pos="1440"/>
        </w:tabs>
        <w:ind w:left="0" w:firstLine="720"/>
        <w:jc w:val="both"/>
        <w:rPr>
          <w:rFonts w:ascii="Times New Roman" w:hAnsi="Times New Roman" w:cs="Times New Roman"/>
        </w:rPr>
      </w:pPr>
      <w:r w:rsidRPr="005A6FE5">
        <w:rPr>
          <w:rFonts w:ascii="Times New Roman" w:hAnsi="Times New Roman" w:cs="Times New Roman"/>
        </w:rPr>
        <w:lastRenderedPageBreak/>
        <w:t>The Company is proposing that the customer charge be increased by $</w:t>
      </w:r>
      <w:r w:rsidR="006130C6">
        <w:rPr>
          <w:rFonts w:ascii="Times New Roman" w:hAnsi="Times New Roman" w:cs="Times New Roman"/>
        </w:rPr>
        <w:t>2</w:t>
      </w:r>
      <w:r w:rsidRPr="005A6FE5">
        <w:rPr>
          <w:rFonts w:ascii="Times New Roman" w:hAnsi="Times New Roman" w:cs="Times New Roman"/>
        </w:rPr>
        <w:t>.00, from $</w:t>
      </w:r>
      <w:r w:rsidR="006130C6">
        <w:rPr>
          <w:rFonts w:ascii="Times New Roman" w:hAnsi="Times New Roman" w:cs="Times New Roman"/>
        </w:rPr>
        <w:t>18</w:t>
      </w:r>
      <w:r w:rsidRPr="005A6FE5">
        <w:rPr>
          <w:rFonts w:ascii="Times New Roman" w:hAnsi="Times New Roman" w:cs="Times New Roman"/>
        </w:rPr>
        <w:t>.</w:t>
      </w:r>
      <w:r w:rsidRPr="00443386">
        <w:rPr>
          <w:rFonts w:ascii="Times New Roman" w:hAnsi="Times New Roman" w:cs="Times New Roman"/>
        </w:rPr>
        <w:t xml:space="preserve">00 </w:t>
      </w:r>
      <w:r w:rsidRPr="00CF74E0">
        <w:rPr>
          <w:rFonts w:ascii="Times New Roman" w:hAnsi="Times New Roman" w:cs="Times New Roman"/>
        </w:rPr>
        <w:t>to $</w:t>
      </w:r>
      <w:r w:rsidR="006130C6">
        <w:rPr>
          <w:rFonts w:ascii="Times New Roman" w:hAnsi="Times New Roman" w:cs="Times New Roman"/>
        </w:rPr>
        <w:t>20</w:t>
      </w:r>
      <w:r w:rsidRPr="00CF74E0">
        <w:rPr>
          <w:rFonts w:ascii="Times New Roman" w:hAnsi="Times New Roman" w:cs="Times New Roman"/>
        </w:rPr>
        <w:t xml:space="preserve">.00 per month, with the remaining revenue increase spread on a uniform percentage increase of </w:t>
      </w:r>
      <w:r w:rsidR="006130C6">
        <w:rPr>
          <w:rFonts w:ascii="Times New Roman" w:hAnsi="Times New Roman" w:cs="Times New Roman"/>
        </w:rPr>
        <w:t>7.4</w:t>
      </w:r>
      <w:r w:rsidRPr="00CF74E0">
        <w:rPr>
          <w:rFonts w:ascii="Times New Roman" w:hAnsi="Times New Roman" w:cs="Times New Roman"/>
        </w:rPr>
        <w:t>% to the two energy rate blocks under the schedule.  The proposed increase in the first block rate is 0.</w:t>
      </w:r>
      <w:r w:rsidR="006130C6">
        <w:rPr>
          <w:rFonts w:ascii="Times New Roman" w:hAnsi="Times New Roman" w:cs="Times New Roman"/>
        </w:rPr>
        <w:t>717</w:t>
      </w:r>
      <w:r w:rsidR="00CF74E0">
        <w:rPr>
          <w:rFonts w:ascii="Times New Roman" w:hAnsi="Times New Roman" w:cs="Times New Roman"/>
        </w:rPr>
        <w:t xml:space="preserve"> c</w:t>
      </w:r>
      <w:r w:rsidRPr="00CF74E0">
        <w:rPr>
          <w:rFonts w:ascii="Times New Roman" w:hAnsi="Times New Roman" w:cs="Times New Roman"/>
        </w:rPr>
        <w:t>ents per kWh and the increase in the second block rate is 0.</w:t>
      </w:r>
      <w:r w:rsidR="006130C6">
        <w:rPr>
          <w:rFonts w:ascii="Times New Roman" w:hAnsi="Times New Roman" w:cs="Times New Roman"/>
        </w:rPr>
        <w:t>512</w:t>
      </w:r>
      <w:r w:rsidRPr="00CF74E0">
        <w:rPr>
          <w:rFonts w:ascii="Times New Roman" w:hAnsi="Times New Roman" w:cs="Times New Roman"/>
        </w:rPr>
        <w:t xml:space="preserve"> cents per kWh.</w:t>
      </w:r>
      <w:r w:rsidRPr="005A6FE5">
        <w:rPr>
          <w:rFonts w:ascii="Times New Roman" w:hAnsi="Times New Roman" w:cs="Times New Roman"/>
        </w:rPr>
        <w:t xml:space="preserve">  </w:t>
      </w:r>
    </w:p>
    <w:p w:rsidR="00D66BCF" w:rsidRPr="00443386" w:rsidRDefault="00D66BCF" w:rsidP="00D66BCF">
      <w:pPr>
        <w:pStyle w:val="P130"/>
        <w:numPr>
          <w:ilvl w:val="0"/>
          <w:numId w:val="21"/>
        </w:numPr>
        <w:tabs>
          <w:tab w:val="num" w:pos="1440"/>
        </w:tabs>
        <w:ind w:left="0" w:firstLine="720"/>
        <w:jc w:val="both"/>
        <w:rPr>
          <w:rFonts w:ascii="Times New Roman" w:hAnsi="Times New Roman" w:cs="Times New Roman"/>
        </w:rPr>
      </w:pPr>
      <w:r w:rsidRPr="00443386">
        <w:rPr>
          <w:rFonts w:ascii="Times New Roman" w:hAnsi="Times New Roman" w:cs="Times New Roman"/>
        </w:rPr>
        <w:t>How is the Company proposing to spread the proposed revenue increase of $</w:t>
      </w:r>
      <w:r w:rsidR="006130C6">
        <w:rPr>
          <w:rFonts w:ascii="Times New Roman" w:hAnsi="Times New Roman" w:cs="Times New Roman"/>
        </w:rPr>
        <w:t>653</w:t>
      </w:r>
      <w:r w:rsidR="00CF74E0">
        <w:rPr>
          <w:rFonts w:ascii="Times New Roman" w:hAnsi="Times New Roman" w:cs="Times New Roman"/>
        </w:rPr>
        <w:t>,000</w:t>
      </w:r>
      <w:r w:rsidRPr="00443386">
        <w:rPr>
          <w:rFonts w:ascii="Times New Roman" w:hAnsi="Times New Roman" w:cs="Times New Roman"/>
        </w:rPr>
        <w:t xml:space="preserve"> applicable to Street and Area Light schedules to the rates contained in those schedules (Schedules 41-48)?</w:t>
      </w:r>
    </w:p>
    <w:p w:rsidR="00D34F06" w:rsidRPr="00D34F06" w:rsidRDefault="00D66BCF" w:rsidP="00D34F06">
      <w:pPr>
        <w:pStyle w:val="P164"/>
        <w:numPr>
          <w:ilvl w:val="0"/>
          <w:numId w:val="30"/>
        </w:numPr>
        <w:tabs>
          <w:tab w:val="clear" w:pos="1590"/>
          <w:tab w:val="num" w:pos="1440"/>
        </w:tabs>
        <w:ind w:left="0" w:firstLine="720"/>
        <w:jc w:val="both"/>
        <w:rPr>
          <w:rFonts w:ascii="Times New Roman" w:hAnsi="Times New Roman" w:cs="Times New Roman"/>
        </w:rPr>
      </w:pPr>
      <w:r w:rsidRPr="00443386">
        <w:rPr>
          <w:rFonts w:ascii="Times New Roman" w:hAnsi="Times New Roman" w:cs="Times New Roman"/>
        </w:rPr>
        <w:t xml:space="preserve">The Company proposes to increase present street and area light (base) rates on a uniform percentage basis.  The proposed increase for all lighting rates is </w:t>
      </w:r>
      <w:r w:rsidR="00543395">
        <w:rPr>
          <w:rFonts w:ascii="Times New Roman" w:hAnsi="Times New Roman" w:cs="Times New Roman"/>
        </w:rPr>
        <w:t>9.3</w:t>
      </w:r>
      <w:r w:rsidRPr="00443386">
        <w:rPr>
          <w:rFonts w:ascii="Times New Roman" w:hAnsi="Times New Roman" w:cs="Times New Roman"/>
        </w:rPr>
        <w:t>%.  The (base tariff) rates are shown in the tariffs for those schedules, contained in Exhibit No.__</w:t>
      </w:r>
      <w:proofErr w:type="gramStart"/>
      <w:r w:rsidRPr="00443386">
        <w:rPr>
          <w:rFonts w:ascii="Times New Roman" w:hAnsi="Times New Roman" w:cs="Times New Roman"/>
        </w:rPr>
        <w:t>_(</w:t>
      </w:r>
      <w:proofErr w:type="gramEnd"/>
      <w:r w:rsidRPr="00443386">
        <w:rPr>
          <w:rFonts w:ascii="Times New Roman" w:hAnsi="Times New Roman" w:cs="Times New Roman"/>
        </w:rPr>
        <w:t>PDE-3).</w:t>
      </w:r>
    </w:p>
    <w:p w:rsidR="0008235E" w:rsidRPr="00B346E1" w:rsidRDefault="00D34F06" w:rsidP="00791C2B">
      <w:pPr>
        <w:pStyle w:val="P106"/>
        <w:tabs>
          <w:tab w:val="clear" w:pos="810"/>
          <w:tab w:val="left" w:pos="720"/>
        </w:tabs>
        <w:ind w:firstLine="0"/>
        <w:jc w:val="both"/>
        <w:rPr>
          <w:rFonts w:ascii="Times New Roman" w:hAnsi="Times New Roman" w:cs="Times New Roman"/>
          <w:b/>
        </w:rPr>
      </w:pPr>
      <w:r>
        <w:rPr>
          <w:rFonts w:ascii="Times New Roman" w:hAnsi="Times New Roman" w:cs="Times New Roman"/>
          <w:b/>
        </w:rPr>
        <w:tab/>
      </w:r>
      <w:r w:rsidR="0008235E" w:rsidRPr="00B346E1">
        <w:rPr>
          <w:rFonts w:ascii="Times New Roman" w:hAnsi="Times New Roman" w:cs="Times New Roman"/>
          <w:b/>
        </w:rPr>
        <w:t>Q.</w:t>
      </w:r>
      <w:r w:rsidR="0008235E" w:rsidRPr="00B346E1">
        <w:rPr>
          <w:rFonts w:ascii="Times New Roman" w:hAnsi="Times New Roman" w:cs="Times New Roman"/>
          <w:b/>
        </w:rPr>
        <w:tab/>
        <w:t>Is the Company proposing any other changes to its Street and Area Light schedules?</w:t>
      </w:r>
    </w:p>
    <w:p w:rsidR="00BE4355" w:rsidRDefault="0008235E" w:rsidP="004F7514">
      <w:pPr>
        <w:pStyle w:val="P31"/>
        <w:jc w:val="both"/>
        <w:rPr>
          <w:rFonts w:ascii="Times New Roman" w:eastAsia="Calibri" w:hAnsi="Times New Roman" w:cs="Times New Roman"/>
          <w:szCs w:val="24"/>
        </w:rPr>
      </w:pPr>
      <w:r>
        <w:rPr>
          <w:rFonts w:ascii="Times New Roman" w:hAnsi="Times New Roman" w:cs="Times New Roman"/>
        </w:rPr>
        <w:t>A.</w:t>
      </w:r>
      <w:r>
        <w:rPr>
          <w:rFonts w:ascii="Times New Roman" w:hAnsi="Times New Roman" w:cs="Times New Roman"/>
        </w:rPr>
        <w:tab/>
      </w:r>
      <w:r w:rsidR="00E828FA" w:rsidRPr="0078116B">
        <w:rPr>
          <w:rFonts w:ascii="Times New Roman" w:eastAsia="Calibri" w:hAnsi="Times New Roman" w:cs="Times New Roman"/>
          <w:szCs w:val="24"/>
        </w:rPr>
        <w:t xml:space="preserve">Yes, it is.  For Schedule </w:t>
      </w:r>
      <w:r w:rsidR="00E828FA">
        <w:rPr>
          <w:rFonts w:ascii="Times New Roman" w:eastAsia="Calibri" w:hAnsi="Times New Roman" w:cs="Times New Roman"/>
          <w:szCs w:val="24"/>
        </w:rPr>
        <w:t>47</w:t>
      </w:r>
      <w:r w:rsidR="00E828FA" w:rsidRPr="0078116B">
        <w:rPr>
          <w:rFonts w:ascii="Times New Roman" w:eastAsia="Calibri" w:hAnsi="Times New Roman" w:cs="Times New Roman"/>
          <w:szCs w:val="24"/>
        </w:rPr>
        <w:t xml:space="preserve"> (</w:t>
      </w:r>
      <w:r w:rsidR="00E828FA">
        <w:rPr>
          <w:rFonts w:ascii="Times New Roman" w:eastAsia="Calibri" w:hAnsi="Times New Roman" w:cs="Times New Roman"/>
          <w:szCs w:val="24"/>
        </w:rPr>
        <w:t>Area Lighting</w:t>
      </w:r>
      <w:r w:rsidR="00E828FA" w:rsidRPr="0078116B">
        <w:rPr>
          <w:rFonts w:ascii="Times New Roman" w:eastAsia="Calibri" w:hAnsi="Times New Roman" w:cs="Times New Roman"/>
          <w:szCs w:val="24"/>
        </w:rPr>
        <w:t xml:space="preserve">), the Company has added additional lighting codes for 100 watt and 200 watt LED equivalent </w:t>
      </w:r>
      <w:r w:rsidR="00E828FA">
        <w:rPr>
          <w:rFonts w:ascii="Times New Roman" w:eastAsia="Calibri" w:hAnsi="Times New Roman" w:cs="Times New Roman"/>
          <w:szCs w:val="24"/>
        </w:rPr>
        <w:t>area</w:t>
      </w:r>
      <w:r w:rsidR="00E828FA" w:rsidRPr="0078116B">
        <w:rPr>
          <w:rFonts w:ascii="Times New Roman" w:eastAsia="Calibri" w:hAnsi="Times New Roman" w:cs="Times New Roman"/>
          <w:szCs w:val="24"/>
        </w:rPr>
        <w:t xml:space="preserve"> lights.  These rates will be applicable for those lights converted to LED technology.  </w:t>
      </w:r>
      <w:r w:rsidR="00BE4355">
        <w:rPr>
          <w:rFonts w:ascii="Times New Roman" w:eastAsia="Calibri" w:hAnsi="Times New Roman" w:cs="Times New Roman"/>
          <w:szCs w:val="24"/>
        </w:rPr>
        <w:t>The Company added similar lights for Schedule 42 (Company Owned Street Light Service) in its last general rate case.</w:t>
      </w:r>
    </w:p>
    <w:p w:rsidR="0008235E" w:rsidRDefault="00E828FA" w:rsidP="004F7514">
      <w:pPr>
        <w:pStyle w:val="P31"/>
        <w:jc w:val="both"/>
        <w:rPr>
          <w:rFonts w:ascii="Times New Roman" w:hAnsi="Times New Roman" w:cs="Times New Roman"/>
        </w:rPr>
      </w:pPr>
      <w:r>
        <w:rPr>
          <w:rFonts w:ascii="Times New Roman" w:eastAsia="Calibri" w:hAnsi="Times New Roman" w:cs="Times New Roman"/>
          <w:szCs w:val="24"/>
        </w:rPr>
        <w:t>Second, for Schedule 42, t</w:t>
      </w:r>
      <w:r w:rsidR="0008235E">
        <w:rPr>
          <w:rFonts w:ascii="Times New Roman" w:hAnsi="Times New Roman" w:cs="Times New Roman"/>
        </w:rPr>
        <w:t xml:space="preserve">he Company is proposing a methodology for </w:t>
      </w:r>
      <w:r>
        <w:rPr>
          <w:rFonts w:ascii="Times New Roman" w:hAnsi="Times New Roman" w:cs="Times New Roman"/>
        </w:rPr>
        <w:t>c</w:t>
      </w:r>
      <w:r w:rsidR="0008235E">
        <w:rPr>
          <w:rFonts w:ascii="Times New Roman" w:hAnsi="Times New Roman" w:cs="Times New Roman"/>
        </w:rPr>
        <w:t>alculating new Street Light rates for customer</w:t>
      </w:r>
      <w:r w:rsidR="00D32A7D">
        <w:rPr>
          <w:rFonts w:ascii="Times New Roman" w:hAnsi="Times New Roman" w:cs="Times New Roman"/>
        </w:rPr>
        <w:t>-</w:t>
      </w:r>
      <w:r w:rsidR="0008235E">
        <w:rPr>
          <w:rFonts w:ascii="Times New Roman" w:hAnsi="Times New Roman" w:cs="Times New Roman"/>
        </w:rPr>
        <w:t xml:space="preserve">requested lighting </w:t>
      </w:r>
      <w:r w:rsidR="008C51DB">
        <w:rPr>
          <w:rFonts w:ascii="Times New Roman" w:hAnsi="Times New Roman" w:cs="Times New Roman"/>
        </w:rPr>
        <w:t xml:space="preserve">that </w:t>
      </w:r>
      <w:proofErr w:type="gramStart"/>
      <w:r w:rsidR="008C51DB">
        <w:rPr>
          <w:rFonts w:ascii="Times New Roman" w:hAnsi="Times New Roman" w:cs="Times New Roman"/>
        </w:rPr>
        <w:t>occurs</w:t>
      </w:r>
      <w:proofErr w:type="gramEnd"/>
      <w:r w:rsidR="008C51DB">
        <w:rPr>
          <w:rFonts w:ascii="Times New Roman" w:hAnsi="Times New Roman" w:cs="Times New Roman"/>
        </w:rPr>
        <w:t xml:space="preserve"> in-between</w:t>
      </w:r>
      <w:r w:rsidR="00D32A7D">
        <w:rPr>
          <w:rFonts w:ascii="Times New Roman" w:hAnsi="Times New Roman" w:cs="Times New Roman"/>
        </w:rPr>
        <w:t xml:space="preserve"> general rate cases</w:t>
      </w:r>
      <w:r w:rsidR="0008235E">
        <w:rPr>
          <w:rFonts w:ascii="Times New Roman" w:hAnsi="Times New Roman" w:cs="Times New Roman"/>
        </w:rPr>
        <w:t xml:space="preserve">.  </w:t>
      </w:r>
      <w:r w:rsidR="008C51DB">
        <w:rPr>
          <w:rFonts w:ascii="Times New Roman" w:hAnsi="Times New Roman" w:cs="Times New Roman"/>
        </w:rPr>
        <w:t>On occasio</w:t>
      </w:r>
      <w:r w:rsidR="000D4B96">
        <w:rPr>
          <w:rFonts w:ascii="Times New Roman" w:hAnsi="Times New Roman" w:cs="Times New Roman"/>
        </w:rPr>
        <w:t xml:space="preserve">n customers may request that the Company install a particular </w:t>
      </w:r>
      <w:r>
        <w:rPr>
          <w:rFonts w:ascii="Times New Roman" w:hAnsi="Times New Roman" w:cs="Times New Roman"/>
        </w:rPr>
        <w:t xml:space="preserve">type of </w:t>
      </w:r>
      <w:r w:rsidR="000D4B96">
        <w:rPr>
          <w:rFonts w:ascii="Times New Roman" w:hAnsi="Times New Roman" w:cs="Times New Roman"/>
        </w:rPr>
        <w:t xml:space="preserve">street light; however, that street light may be different than the lights included in the tariff.  </w:t>
      </w:r>
      <w:r w:rsidR="0008235E">
        <w:rPr>
          <w:rFonts w:ascii="Times New Roman" w:hAnsi="Times New Roman" w:cs="Times New Roman"/>
        </w:rPr>
        <w:t>The Company is proposing to use the methodology summarized below</w:t>
      </w:r>
      <w:r w:rsidR="008C51DB">
        <w:rPr>
          <w:rFonts w:ascii="Times New Roman" w:hAnsi="Times New Roman" w:cs="Times New Roman"/>
        </w:rPr>
        <w:t>,</w:t>
      </w:r>
      <w:r w:rsidR="0008235E">
        <w:rPr>
          <w:rFonts w:ascii="Times New Roman" w:hAnsi="Times New Roman" w:cs="Times New Roman"/>
        </w:rPr>
        <w:t xml:space="preserve"> and described more fully </w:t>
      </w:r>
      <w:r w:rsidR="0008235E">
        <w:rPr>
          <w:rFonts w:ascii="Times New Roman" w:hAnsi="Times New Roman" w:cs="Times New Roman"/>
        </w:rPr>
        <w:lastRenderedPageBreak/>
        <w:t>in Schedule 42</w:t>
      </w:r>
      <w:r w:rsidR="008C51DB">
        <w:rPr>
          <w:rFonts w:ascii="Times New Roman" w:hAnsi="Times New Roman" w:cs="Times New Roman"/>
        </w:rPr>
        <w:t>,</w:t>
      </w:r>
      <w:r w:rsidR="0008235E">
        <w:rPr>
          <w:rFonts w:ascii="Times New Roman" w:hAnsi="Times New Roman" w:cs="Times New Roman"/>
        </w:rPr>
        <w:t xml:space="preserve"> to update new lighting standards outside of the context of a general rate case</w:t>
      </w:r>
      <w:r w:rsidR="0008235E">
        <w:rPr>
          <w:rStyle w:val="FootnoteReference"/>
          <w:rFonts w:ascii="Times New Roman" w:hAnsi="Times New Roman"/>
        </w:rPr>
        <w:footnoteReference w:id="5"/>
      </w:r>
      <w:r w:rsidR="0008235E">
        <w:rPr>
          <w:rFonts w:ascii="Times New Roman" w:hAnsi="Times New Roman" w:cs="Times New Roman"/>
        </w:rPr>
        <w:t xml:space="preserve">.   </w:t>
      </w:r>
    </w:p>
    <w:p w:rsidR="0008235E" w:rsidRPr="005540EB" w:rsidRDefault="0008235E" w:rsidP="0008235E">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Please</w:t>
      </w:r>
      <w:r>
        <w:rPr>
          <w:rFonts w:ascii="Times New Roman" w:hAnsi="Times New Roman" w:cs="Times New Roman"/>
        </w:rPr>
        <w:t xml:space="preserve"> describe the basic methodology for calculating the capital component of a new street or area light rate</w:t>
      </w:r>
      <w:r w:rsidRPr="005540EB">
        <w:rPr>
          <w:rFonts w:ascii="Times New Roman" w:hAnsi="Times New Roman" w:cs="Times New Roman"/>
        </w:rPr>
        <w:t>?</w:t>
      </w:r>
    </w:p>
    <w:p w:rsidR="004F7514" w:rsidRDefault="0008235E" w:rsidP="0008235E">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Pr>
          <w:rFonts w:ascii="Times New Roman" w:hAnsi="Times New Roman" w:cs="Times New Roman"/>
        </w:rPr>
        <w:t xml:space="preserve">The basic methodology for calculating any new rate for Schedule 42 is to determine the capital, maintenance, and energy components to develop a monthly rate.  For the </w:t>
      </w:r>
      <w:r w:rsidRPr="007579AD">
        <w:rPr>
          <w:rFonts w:ascii="Times New Roman" w:hAnsi="Times New Roman" w:cs="Times New Roman"/>
          <w:u w:val="single"/>
        </w:rPr>
        <w:t>capital component</w:t>
      </w:r>
      <w:r>
        <w:rPr>
          <w:rFonts w:ascii="Times New Roman" w:hAnsi="Times New Roman" w:cs="Times New Roman"/>
        </w:rPr>
        <w:t>, an engineering estimate of the installed cost for a new Street Light component would be multiplied by a Capital Recovery Factor</w:t>
      </w:r>
      <w:r>
        <w:rPr>
          <w:rStyle w:val="FootnoteReference"/>
          <w:rFonts w:ascii="Times New Roman" w:hAnsi="Times New Roman"/>
        </w:rPr>
        <w:footnoteReference w:id="6"/>
      </w:r>
      <w:r>
        <w:rPr>
          <w:rFonts w:ascii="Times New Roman" w:hAnsi="Times New Roman" w:cs="Times New Roman"/>
        </w:rPr>
        <w:t xml:space="preserve"> to determine the annual revenue requirement.  </w:t>
      </w:r>
    </w:p>
    <w:p w:rsidR="0008235E" w:rsidRDefault="002E7F3A" w:rsidP="0008235E">
      <w:pPr>
        <w:pStyle w:val="P31"/>
        <w:jc w:val="both"/>
        <w:rPr>
          <w:rFonts w:ascii="Times New Roman" w:hAnsi="Times New Roman" w:cs="Times New Roman"/>
        </w:rPr>
      </w:pPr>
      <w:r>
        <w:rPr>
          <w:rFonts w:ascii="Times New Roman" w:hAnsi="Times New Roman" w:cs="Times New Roman"/>
        </w:rPr>
        <w:t xml:space="preserve">Illustration No. </w:t>
      </w:r>
      <w:r w:rsidR="00066399">
        <w:rPr>
          <w:rFonts w:ascii="Times New Roman" w:hAnsi="Times New Roman" w:cs="Times New Roman"/>
        </w:rPr>
        <w:t>1</w:t>
      </w:r>
      <w:r w:rsidR="0008235E">
        <w:rPr>
          <w:rFonts w:ascii="Times New Roman" w:hAnsi="Times New Roman" w:cs="Times New Roman"/>
        </w:rPr>
        <w:t xml:space="preserve"> below shows an example of the annual and monthly rate calculation methodology:</w:t>
      </w:r>
    </w:p>
    <w:p w:rsidR="0008235E" w:rsidRDefault="006C7E37" w:rsidP="0008235E">
      <w:pPr>
        <w:spacing w:line="480" w:lineRule="auto"/>
      </w:pPr>
      <w:r>
        <w:rPr>
          <w:b/>
          <w:bCs/>
          <w:noProof/>
          <w:u w:val="single"/>
        </w:rPr>
        <w:drawing>
          <wp:anchor distT="0" distB="0" distL="114300" distR="114300" simplePos="0" relativeHeight="251957760" behindDoc="1" locked="0" layoutInCell="1" allowOverlap="1">
            <wp:simplePos x="0" y="0"/>
            <wp:positionH relativeFrom="column">
              <wp:posOffset>1512570</wp:posOffset>
            </wp:positionH>
            <wp:positionV relativeFrom="paragraph">
              <wp:posOffset>234315</wp:posOffset>
            </wp:positionV>
            <wp:extent cx="3115945" cy="2035810"/>
            <wp:effectExtent l="19050" t="0" r="8255"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3115945" cy="2035810"/>
                    </a:xfrm>
                    <a:prstGeom prst="rect">
                      <a:avLst/>
                    </a:prstGeom>
                    <a:noFill/>
                    <a:ln w="9525">
                      <a:noFill/>
                      <a:miter lim="800000"/>
                      <a:headEnd/>
                      <a:tailEnd/>
                    </a:ln>
                  </pic:spPr>
                </pic:pic>
              </a:graphicData>
            </a:graphic>
          </wp:anchor>
        </w:drawing>
      </w:r>
      <w:r w:rsidR="002E7F3A">
        <w:rPr>
          <w:b/>
          <w:bCs/>
          <w:u w:val="single"/>
        </w:rPr>
        <w:t xml:space="preserve">Illustration No. </w:t>
      </w:r>
      <w:r w:rsidR="00066399">
        <w:rPr>
          <w:b/>
          <w:bCs/>
          <w:u w:val="single"/>
        </w:rPr>
        <w:t>1</w:t>
      </w:r>
      <w:r w:rsidR="0008235E" w:rsidRPr="00AD0CFD">
        <w:rPr>
          <w:b/>
          <w:bCs/>
          <w:u w:val="single"/>
        </w:rPr>
        <w:t xml:space="preserve"> – </w:t>
      </w:r>
      <w:r w:rsidR="0008235E">
        <w:rPr>
          <w:b/>
          <w:bCs/>
          <w:u w:val="single"/>
        </w:rPr>
        <w:t>Calculation of Monthly Capital Recovery</w:t>
      </w:r>
      <w:r w:rsidR="0008235E" w:rsidRPr="00AD0CFD">
        <w:t xml:space="preserve"> </w:t>
      </w:r>
    </w:p>
    <w:p w:rsidR="0008235E" w:rsidRDefault="0008235E" w:rsidP="0008235E">
      <w:pPr>
        <w:pStyle w:val="P65"/>
        <w:jc w:val="both"/>
        <w:rPr>
          <w:rFonts w:ascii="Times New Roman" w:hAnsi="Times New Roman" w:cs="Times New Roman"/>
        </w:rPr>
      </w:pPr>
    </w:p>
    <w:p w:rsidR="0008235E" w:rsidRDefault="0008235E" w:rsidP="0008235E">
      <w:pPr>
        <w:pStyle w:val="P65"/>
        <w:jc w:val="both"/>
        <w:rPr>
          <w:rFonts w:ascii="Times New Roman" w:hAnsi="Times New Roman" w:cs="Times New Roman"/>
        </w:rPr>
      </w:pPr>
    </w:p>
    <w:p w:rsidR="00BF3B9A" w:rsidRDefault="00BF3B9A" w:rsidP="0008235E">
      <w:pPr>
        <w:pStyle w:val="P65"/>
        <w:jc w:val="both"/>
        <w:rPr>
          <w:rFonts w:ascii="Times New Roman" w:hAnsi="Times New Roman" w:cs="Times New Roman"/>
        </w:rPr>
      </w:pPr>
    </w:p>
    <w:p w:rsidR="00BF3B9A" w:rsidRDefault="00BF3B9A" w:rsidP="0008235E">
      <w:pPr>
        <w:pStyle w:val="P65"/>
        <w:jc w:val="both"/>
        <w:rPr>
          <w:rFonts w:ascii="Times New Roman" w:hAnsi="Times New Roman" w:cs="Times New Roman"/>
        </w:rPr>
      </w:pPr>
    </w:p>
    <w:p w:rsidR="0008235E" w:rsidRDefault="0008235E" w:rsidP="0008235E">
      <w:pPr>
        <w:pStyle w:val="P65"/>
        <w:jc w:val="both"/>
        <w:rPr>
          <w:rFonts w:ascii="Times New Roman" w:hAnsi="Times New Roman" w:cs="Times New Roman"/>
        </w:rPr>
      </w:pPr>
    </w:p>
    <w:p w:rsidR="0008235E" w:rsidRDefault="0008235E" w:rsidP="0008235E">
      <w:pPr>
        <w:pStyle w:val="P65"/>
        <w:jc w:val="both"/>
        <w:rPr>
          <w:rFonts w:ascii="Times New Roman" w:hAnsi="Times New Roman" w:cs="Times New Roman"/>
        </w:rPr>
      </w:pPr>
    </w:p>
    <w:p w:rsidR="0008235E" w:rsidRPr="00AD0CFD" w:rsidRDefault="0008235E" w:rsidP="0008235E">
      <w:pPr>
        <w:pStyle w:val="P106"/>
        <w:ind w:firstLine="0"/>
        <w:jc w:val="both"/>
      </w:pPr>
      <w:r>
        <w:rPr>
          <w:rFonts w:ascii="Times New Roman" w:hAnsi="Times New Roman" w:cs="Times New Roman"/>
        </w:rPr>
        <w:t xml:space="preserve">The </w:t>
      </w:r>
      <w:r w:rsidRPr="007579AD">
        <w:rPr>
          <w:rFonts w:ascii="Times New Roman" w:hAnsi="Times New Roman" w:cs="Times New Roman"/>
          <w:u w:val="single"/>
        </w:rPr>
        <w:t>maintenance component</w:t>
      </w:r>
      <w:r>
        <w:rPr>
          <w:rFonts w:ascii="Times New Roman" w:hAnsi="Times New Roman" w:cs="Times New Roman"/>
        </w:rPr>
        <w:t xml:space="preserve"> for an existing light offering will be the same rate that is embedded in present rates today</w:t>
      </w:r>
      <w:r>
        <w:rPr>
          <w:rStyle w:val="FootnoteReference"/>
          <w:rFonts w:ascii="Times New Roman" w:hAnsi="Times New Roman"/>
        </w:rPr>
        <w:footnoteReference w:id="7"/>
      </w:r>
      <w:r>
        <w:rPr>
          <w:rFonts w:ascii="Times New Roman" w:hAnsi="Times New Roman" w:cs="Times New Roman"/>
        </w:rPr>
        <w:t xml:space="preserve">.  For the </w:t>
      </w:r>
      <w:r w:rsidRPr="007579AD">
        <w:rPr>
          <w:rFonts w:ascii="Times New Roman" w:hAnsi="Times New Roman" w:cs="Times New Roman"/>
          <w:u w:val="single"/>
        </w:rPr>
        <w:t>energy component</w:t>
      </w:r>
      <w:r>
        <w:rPr>
          <w:rFonts w:ascii="Times New Roman" w:hAnsi="Times New Roman" w:cs="Times New Roman"/>
        </w:rPr>
        <w:t xml:space="preserve">, the energy rate for a similar </w:t>
      </w:r>
      <w:r>
        <w:rPr>
          <w:rFonts w:ascii="Times New Roman" w:hAnsi="Times New Roman" w:cs="Times New Roman"/>
        </w:rPr>
        <w:lastRenderedPageBreak/>
        <w:t>wattage light under Schedule 46 would be used.  The energy component of any</w:t>
      </w:r>
      <w:r w:rsidRPr="0008235E">
        <w:rPr>
          <w:rFonts w:ascii="Times New Roman" w:hAnsi="Times New Roman" w:cs="Times New Roman"/>
        </w:rPr>
        <w:t xml:space="preserve"> new light offering will be derived in the same manner as described in t</w:t>
      </w:r>
      <w:r>
        <w:rPr>
          <w:rFonts w:ascii="Times New Roman" w:hAnsi="Times New Roman" w:cs="Times New Roman"/>
        </w:rPr>
        <w:t>he changes to Schedule 46 below.</w:t>
      </w:r>
      <w:r w:rsidR="002A7002">
        <w:rPr>
          <w:rFonts w:ascii="Times New Roman" w:hAnsi="Times New Roman" w:cs="Times New Roman"/>
        </w:rPr>
        <w:t xml:space="preserve">  Any new rates developed would be included in </w:t>
      </w:r>
      <w:r w:rsidR="002D35C8">
        <w:rPr>
          <w:rFonts w:ascii="Times New Roman" w:hAnsi="Times New Roman" w:cs="Times New Roman"/>
        </w:rPr>
        <w:t xml:space="preserve">the tariffs filed in </w:t>
      </w:r>
      <w:r w:rsidR="002A7002">
        <w:rPr>
          <w:rFonts w:ascii="Times New Roman" w:hAnsi="Times New Roman" w:cs="Times New Roman"/>
        </w:rPr>
        <w:t>the Company’s next rate case fi</w:t>
      </w:r>
      <w:r w:rsidR="00822621">
        <w:rPr>
          <w:rFonts w:ascii="Times New Roman" w:hAnsi="Times New Roman" w:cs="Times New Roman"/>
        </w:rPr>
        <w:t>l</w:t>
      </w:r>
      <w:r w:rsidR="002A7002">
        <w:rPr>
          <w:rFonts w:ascii="Times New Roman" w:hAnsi="Times New Roman" w:cs="Times New Roman"/>
        </w:rPr>
        <w:t>ing.</w:t>
      </w:r>
    </w:p>
    <w:p w:rsidR="0008235E" w:rsidRPr="00AD0CFD" w:rsidRDefault="0008235E" w:rsidP="0008235E">
      <w:pPr>
        <w:spacing w:line="480" w:lineRule="auto"/>
        <w:ind w:firstLine="720"/>
        <w:jc w:val="both"/>
        <w:rPr>
          <w:b/>
        </w:rPr>
      </w:pPr>
      <w:r w:rsidRPr="00AD0CFD">
        <w:rPr>
          <w:b/>
        </w:rPr>
        <w:t>Q.</w:t>
      </w:r>
      <w:r w:rsidRPr="00AD0CFD">
        <w:rPr>
          <w:b/>
        </w:rPr>
        <w:tab/>
        <w:t xml:space="preserve">What </w:t>
      </w:r>
      <w:r>
        <w:rPr>
          <w:b/>
        </w:rPr>
        <w:t xml:space="preserve">other </w:t>
      </w:r>
      <w:r w:rsidRPr="00AD0CFD">
        <w:rPr>
          <w:b/>
        </w:rPr>
        <w:t>change</w:t>
      </w:r>
      <w:r>
        <w:rPr>
          <w:b/>
        </w:rPr>
        <w:t xml:space="preserve">s are being proposed to the </w:t>
      </w:r>
      <w:r w:rsidR="004F7514">
        <w:rPr>
          <w:b/>
        </w:rPr>
        <w:t>Street and Area Light Schedules</w:t>
      </w:r>
      <w:r w:rsidRPr="00AD0CFD">
        <w:rPr>
          <w:b/>
        </w:rPr>
        <w:t>?</w:t>
      </w:r>
    </w:p>
    <w:p w:rsidR="0008235E" w:rsidRPr="00AD0CFD" w:rsidRDefault="0008235E" w:rsidP="005D6CC2">
      <w:pPr>
        <w:pStyle w:val="P106"/>
        <w:tabs>
          <w:tab w:val="clear" w:pos="810"/>
          <w:tab w:val="left" w:pos="720"/>
        </w:tabs>
        <w:ind w:firstLine="0"/>
        <w:jc w:val="both"/>
        <w:rPr>
          <w:rFonts w:ascii="Times New Roman" w:hAnsi="Times New Roman" w:cs="Times New Roman"/>
          <w:szCs w:val="24"/>
        </w:rPr>
      </w:pPr>
      <w:r>
        <w:rPr>
          <w:rFonts w:ascii="Times New Roman" w:hAnsi="Times New Roman" w:cs="Times New Roman"/>
          <w:szCs w:val="24"/>
        </w:rPr>
        <w:tab/>
      </w:r>
      <w:r w:rsidRPr="0008235E">
        <w:rPr>
          <w:rFonts w:ascii="Times New Roman" w:hAnsi="Times New Roman" w:cs="Times New Roman"/>
          <w:szCs w:val="24"/>
        </w:rPr>
        <w:t>A.</w:t>
      </w:r>
      <w:r w:rsidRPr="0008235E">
        <w:rPr>
          <w:rFonts w:ascii="Times New Roman" w:hAnsi="Times New Roman" w:cs="Times New Roman"/>
          <w:szCs w:val="24"/>
        </w:rPr>
        <w:tab/>
        <w:t>F</w:t>
      </w:r>
      <w:r w:rsidRPr="00AD0CFD">
        <w:rPr>
          <w:rFonts w:ascii="Times New Roman" w:hAnsi="Times New Roman" w:cs="Times New Roman"/>
          <w:szCs w:val="24"/>
        </w:rPr>
        <w:t>or Schedule 46</w:t>
      </w:r>
      <w:r w:rsidR="002D35C8">
        <w:rPr>
          <w:rFonts w:ascii="Times New Roman" w:hAnsi="Times New Roman" w:cs="Times New Roman"/>
          <w:szCs w:val="24"/>
        </w:rPr>
        <w:t xml:space="preserve"> (Customer Owned Street Light Energy Service)</w:t>
      </w:r>
      <w:r>
        <w:rPr>
          <w:rFonts w:ascii="Times New Roman" w:hAnsi="Times New Roman" w:cs="Times New Roman"/>
          <w:szCs w:val="24"/>
        </w:rPr>
        <w:t xml:space="preserve">, </w:t>
      </w:r>
      <w:r w:rsidRPr="00AD0CFD">
        <w:rPr>
          <w:rFonts w:ascii="Times New Roman" w:hAnsi="Times New Roman" w:cs="Times New Roman"/>
          <w:szCs w:val="24"/>
        </w:rPr>
        <w:t xml:space="preserve">the Company is </w:t>
      </w:r>
      <w:r w:rsidR="00D32A7D">
        <w:rPr>
          <w:rFonts w:ascii="Times New Roman" w:hAnsi="Times New Roman" w:cs="Times New Roman"/>
          <w:szCs w:val="24"/>
        </w:rPr>
        <w:t xml:space="preserve">proposing to </w:t>
      </w:r>
      <w:r w:rsidRPr="00AD0CFD">
        <w:rPr>
          <w:rFonts w:ascii="Times New Roman" w:hAnsi="Times New Roman" w:cs="Times New Roman"/>
          <w:szCs w:val="24"/>
        </w:rPr>
        <w:t>modify its tariff to reflect a new prescriptive energy rate calculation</w:t>
      </w:r>
      <w:r>
        <w:rPr>
          <w:rFonts w:ascii="Times New Roman" w:hAnsi="Times New Roman" w:cs="Times New Roman"/>
          <w:szCs w:val="24"/>
        </w:rPr>
        <w:t xml:space="preserve"> for lights where an existing code does not exist</w:t>
      </w:r>
      <w:r w:rsidRPr="00AD0CFD">
        <w:rPr>
          <w:rFonts w:ascii="Times New Roman" w:hAnsi="Times New Roman" w:cs="Times New Roman"/>
          <w:szCs w:val="24"/>
        </w:rPr>
        <w:t>.  The rate would be determined using the following formula:</w:t>
      </w:r>
    </w:p>
    <w:p w:rsidR="0008235E" w:rsidRPr="00F02962" w:rsidRDefault="0008235E" w:rsidP="0008235E">
      <w:pPr>
        <w:pStyle w:val="P106"/>
        <w:jc w:val="both"/>
        <w:rPr>
          <w:rFonts w:ascii="Times New Roman" w:hAnsi="Times New Roman" w:cs="Times New Roman"/>
          <w:b/>
          <w:szCs w:val="24"/>
        </w:rPr>
      </w:pPr>
      <w:r w:rsidRPr="00F02962">
        <w:rPr>
          <w:rFonts w:ascii="Times New Roman" w:hAnsi="Times New Roman" w:cs="Times New Roman"/>
          <w:b/>
          <w:szCs w:val="24"/>
        </w:rPr>
        <w:t>Custom Rate = Wattage of Customers Street Light * 365 Hours * Energy Rate</w:t>
      </w:r>
    </w:p>
    <w:p w:rsidR="0008235E" w:rsidRDefault="0008235E" w:rsidP="0008235E">
      <w:pPr>
        <w:pStyle w:val="P106"/>
        <w:ind w:firstLine="0"/>
        <w:jc w:val="both"/>
        <w:rPr>
          <w:rFonts w:ascii="Times New Roman" w:hAnsi="Times New Roman" w:cs="Times New Roman"/>
          <w:szCs w:val="24"/>
        </w:rPr>
      </w:pPr>
      <w:r w:rsidRPr="00AD0CFD">
        <w:rPr>
          <w:rFonts w:ascii="Times New Roman" w:hAnsi="Times New Roman" w:cs="Times New Roman"/>
          <w:szCs w:val="24"/>
        </w:rPr>
        <w:t>The wattage of the street light would be provided by the Customer and verified by the Company.  As for the hours of operation, the Company is basing that on dusk-to-dawn service (4,380 annual hours, or 365 hours per month).</w:t>
      </w:r>
      <w:r w:rsidR="008B0C99">
        <w:rPr>
          <w:rFonts w:ascii="Times New Roman" w:hAnsi="Times New Roman" w:cs="Times New Roman"/>
          <w:szCs w:val="24"/>
        </w:rPr>
        <w:t xml:space="preserve"> </w:t>
      </w:r>
      <w:r w:rsidRPr="00AD0CFD">
        <w:rPr>
          <w:rFonts w:ascii="Times New Roman" w:hAnsi="Times New Roman" w:cs="Times New Roman"/>
          <w:szCs w:val="24"/>
        </w:rPr>
        <w:t xml:space="preserve"> Finally, the energy rate was determined by dividing the</w:t>
      </w:r>
      <w:r w:rsidR="008C51DB">
        <w:rPr>
          <w:rFonts w:ascii="Times New Roman" w:hAnsi="Times New Roman" w:cs="Times New Roman"/>
          <w:szCs w:val="24"/>
        </w:rPr>
        <w:t xml:space="preserve"> final </w:t>
      </w:r>
      <w:r w:rsidRPr="00AD0CFD">
        <w:rPr>
          <w:rFonts w:ascii="Times New Roman" w:hAnsi="Times New Roman" w:cs="Times New Roman"/>
          <w:szCs w:val="24"/>
        </w:rPr>
        <w:t xml:space="preserve">revenue </w:t>
      </w:r>
      <w:r w:rsidR="008C51DB">
        <w:rPr>
          <w:rFonts w:ascii="Times New Roman" w:hAnsi="Times New Roman" w:cs="Times New Roman"/>
          <w:szCs w:val="24"/>
        </w:rPr>
        <w:t xml:space="preserve">requirement </w:t>
      </w:r>
      <w:r w:rsidRPr="00AD0CFD">
        <w:rPr>
          <w:rFonts w:ascii="Times New Roman" w:hAnsi="Times New Roman" w:cs="Times New Roman"/>
          <w:szCs w:val="24"/>
        </w:rPr>
        <w:t>for Schedule 46 by total kWh usage for Schedule 46</w:t>
      </w:r>
      <w:r w:rsidR="008C51DB">
        <w:rPr>
          <w:rFonts w:ascii="Times New Roman" w:hAnsi="Times New Roman" w:cs="Times New Roman"/>
          <w:szCs w:val="24"/>
        </w:rPr>
        <w:t xml:space="preserve"> included in the final approved billing determinants</w:t>
      </w:r>
      <w:r w:rsidRPr="00AD0CFD">
        <w:rPr>
          <w:rFonts w:ascii="Times New Roman" w:hAnsi="Times New Roman" w:cs="Times New Roman"/>
          <w:szCs w:val="24"/>
        </w:rPr>
        <w:t xml:space="preserve">.  </w:t>
      </w:r>
    </w:p>
    <w:p w:rsidR="006A4CE9" w:rsidRDefault="006A4CE9" w:rsidP="006A4CE9">
      <w:pPr>
        <w:pStyle w:val="P106"/>
        <w:ind w:firstLine="0"/>
        <w:jc w:val="both"/>
        <w:rPr>
          <w:rFonts w:ascii="Times New Roman" w:hAnsi="Times New Roman" w:cs="Times New Roman"/>
        </w:rPr>
      </w:pPr>
    </w:p>
    <w:p w:rsidR="005540EB" w:rsidRPr="005540EB" w:rsidRDefault="000B6139" w:rsidP="005540EB">
      <w:pPr>
        <w:pStyle w:val="P246"/>
        <w:ind w:firstLine="0"/>
        <w:jc w:val="center"/>
        <w:rPr>
          <w:rFonts w:ascii="Times New Roman" w:hAnsi="Times New Roman" w:cs="Times New Roman"/>
        </w:rPr>
      </w:pPr>
      <w:r>
        <w:rPr>
          <w:rFonts w:ascii="Times New Roman" w:hAnsi="Times New Roman" w:cs="Times New Roman"/>
        </w:rPr>
        <w:t xml:space="preserve">IV. </w:t>
      </w:r>
      <w:r w:rsidR="005540EB" w:rsidRPr="005540EB">
        <w:rPr>
          <w:rFonts w:ascii="Times New Roman" w:hAnsi="Times New Roman" w:cs="Times New Roman"/>
        </w:rPr>
        <w:t>PROPOSED NATURAL GAS REVENUE INCREASE</w:t>
      </w:r>
    </w:p>
    <w:p w:rsidR="0021578E" w:rsidRPr="005540EB" w:rsidRDefault="0021578E" w:rsidP="0021578E">
      <w:pPr>
        <w:pStyle w:val="P253"/>
        <w:jc w:val="both"/>
        <w:outlineLvl w:val="0"/>
        <w:rPr>
          <w:rFonts w:ascii="Times New Roman" w:hAnsi="Times New Roman" w:cs="Times New Roman"/>
        </w:rPr>
      </w:pPr>
      <w:r w:rsidRPr="005540EB">
        <w:rPr>
          <w:rFonts w:ascii="Times New Roman" w:hAnsi="Times New Roman" w:cs="Times New Roman"/>
        </w:rPr>
        <w:t>Summary of Natural Gas Rate Schedules and Tariffs</w:t>
      </w:r>
    </w:p>
    <w:p w:rsidR="005540EB" w:rsidRPr="005540EB" w:rsidRDefault="005540EB" w:rsidP="005540EB">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r>
      <w:r w:rsidR="00D32A7D">
        <w:rPr>
          <w:rFonts w:ascii="Times New Roman" w:hAnsi="Times New Roman" w:cs="Times New Roman"/>
        </w:rPr>
        <w:t>Would</w:t>
      </w:r>
      <w:r w:rsidR="00147D24">
        <w:rPr>
          <w:rFonts w:ascii="Times New Roman" w:hAnsi="Times New Roman" w:cs="Times New Roman"/>
        </w:rPr>
        <w:t xml:space="preserve"> you p</w:t>
      </w:r>
      <w:r w:rsidRPr="005540EB">
        <w:rPr>
          <w:rFonts w:ascii="Times New Roman" w:hAnsi="Times New Roman" w:cs="Times New Roman"/>
        </w:rPr>
        <w:t>lease explain what is contained in Exhibit No._</w:t>
      </w:r>
      <w:r w:rsidR="00667220">
        <w:rPr>
          <w:rFonts w:ascii="Times New Roman" w:hAnsi="Times New Roman" w:cs="Times New Roman"/>
        </w:rPr>
        <w:t>_</w:t>
      </w:r>
      <w:proofErr w:type="gramStart"/>
      <w:r w:rsidR="00667220">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-5)?</w:t>
      </w:r>
    </w:p>
    <w:p w:rsidR="005540EB" w:rsidRPr="005540EB" w:rsidRDefault="005540EB" w:rsidP="005540EB">
      <w:pPr>
        <w:pStyle w:val="P203"/>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Exhibit No._</w:t>
      </w:r>
      <w:r w:rsidR="00667220">
        <w:rPr>
          <w:rFonts w:ascii="Times New Roman" w:hAnsi="Times New Roman" w:cs="Times New Roman"/>
        </w:rPr>
        <w:t>_</w:t>
      </w:r>
      <w:proofErr w:type="gramStart"/>
      <w:r w:rsidR="00667220">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-5) contains a copy of the Company’s present natural gas tariffs presently on file with the Commission.</w:t>
      </w:r>
    </w:p>
    <w:p w:rsidR="005540EB" w:rsidRPr="005540EB" w:rsidRDefault="005540EB" w:rsidP="005540EB">
      <w:pPr>
        <w:pStyle w:val="P44"/>
        <w:jc w:val="both"/>
        <w:rPr>
          <w:rFonts w:ascii="Times New Roman" w:hAnsi="Times New Roman" w:cs="Times New Roman"/>
        </w:rPr>
      </w:pPr>
      <w:r w:rsidRPr="005540EB">
        <w:rPr>
          <w:rStyle w:val="T11"/>
          <w:rFonts w:ascii="Times New Roman" w:hAnsi="Times New Roman" w:cs="Times New Roman"/>
        </w:rPr>
        <w:lastRenderedPageBreak/>
        <w:t>Q.</w:t>
      </w:r>
      <w:r w:rsidRPr="005540EB">
        <w:rPr>
          <w:rStyle w:val="T11"/>
          <w:rFonts w:ascii="Times New Roman" w:hAnsi="Times New Roman" w:cs="Times New Roman"/>
        </w:rPr>
        <w:tab/>
      </w:r>
      <w:r w:rsidR="005A10A8">
        <w:rPr>
          <w:rStyle w:val="T11"/>
          <w:rFonts w:ascii="Times New Roman" w:hAnsi="Times New Roman" w:cs="Times New Roman"/>
        </w:rPr>
        <w:t>Please</w:t>
      </w:r>
      <w:r w:rsidRPr="005540EB">
        <w:rPr>
          <w:rStyle w:val="T11"/>
          <w:rFonts w:ascii="Times New Roman" w:hAnsi="Times New Roman" w:cs="Times New Roman"/>
        </w:rPr>
        <w:t xml:space="preserve"> describe what is contained in Exhibit No._</w:t>
      </w:r>
      <w:r w:rsidR="00667220">
        <w:rPr>
          <w:rStyle w:val="T11"/>
          <w:rFonts w:ascii="Times New Roman" w:hAnsi="Times New Roman" w:cs="Times New Roman"/>
        </w:rPr>
        <w:t>_</w:t>
      </w:r>
      <w:proofErr w:type="gramStart"/>
      <w:r w:rsidR="00667220">
        <w:rPr>
          <w:rStyle w:val="T11"/>
          <w:rFonts w:ascii="Times New Roman" w:hAnsi="Times New Roman" w:cs="Times New Roman"/>
        </w:rPr>
        <w:t>_</w:t>
      </w:r>
      <w:r w:rsidRPr="005540EB">
        <w:rPr>
          <w:rStyle w:val="T11"/>
          <w:rFonts w:ascii="Times New Roman" w:hAnsi="Times New Roman" w:cs="Times New Roman"/>
        </w:rPr>
        <w:t>(</w:t>
      </w:r>
      <w:proofErr w:type="gramEnd"/>
      <w:r w:rsidR="00D8699E">
        <w:rPr>
          <w:rStyle w:val="T11"/>
          <w:rFonts w:ascii="Times New Roman" w:hAnsi="Times New Roman" w:cs="Times New Roman"/>
        </w:rPr>
        <w:t>PDE</w:t>
      </w:r>
      <w:r w:rsidRPr="005540EB">
        <w:rPr>
          <w:rStyle w:val="T11"/>
          <w:rFonts w:ascii="Times New Roman" w:hAnsi="Times New Roman" w:cs="Times New Roman"/>
        </w:rPr>
        <w:t xml:space="preserve">-6)?  </w:t>
      </w:r>
    </w:p>
    <w:p w:rsidR="005540EB" w:rsidRPr="005540EB" w:rsidRDefault="005540EB" w:rsidP="005540EB">
      <w:pPr>
        <w:pStyle w:val="P4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sidR="00667220">
        <w:rPr>
          <w:rFonts w:ascii="Times New Roman" w:hAnsi="Times New Roman" w:cs="Times New Roman"/>
        </w:rPr>
        <w:t>_</w:t>
      </w:r>
      <w:proofErr w:type="gramStart"/>
      <w:r w:rsidR="00667220">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 xml:space="preserve">-6) contains the proposed natural gas tariff sheets incorporating the proposed changes included in this filing. </w:t>
      </w:r>
    </w:p>
    <w:p w:rsidR="005540EB" w:rsidRPr="005540EB" w:rsidRDefault="005540EB" w:rsidP="005540EB">
      <w:pPr>
        <w:pStyle w:val="P4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5A10A8">
        <w:rPr>
          <w:rStyle w:val="T11"/>
          <w:rFonts w:ascii="Times New Roman" w:hAnsi="Times New Roman" w:cs="Times New Roman"/>
        </w:rPr>
        <w:t>Please</w:t>
      </w:r>
      <w:r w:rsidRPr="005540EB">
        <w:rPr>
          <w:rStyle w:val="T11"/>
          <w:rFonts w:ascii="Times New Roman" w:hAnsi="Times New Roman" w:cs="Times New Roman"/>
        </w:rPr>
        <w:t xml:space="preserve"> explain what is contained in Exhibit No._</w:t>
      </w:r>
      <w:r w:rsidR="00667220">
        <w:rPr>
          <w:rStyle w:val="T11"/>
          <w:rFonts w:ascii="Times New Roman" w:hAnsi="Times New Roman" w:cs="Times New Roman"/>
        </w:rPr>
        <w:t>_</w:t>
      </w:r>
      <w:proofErr w:type="gramStart"/>
      <w:r w:rsidR="00667220">
        <w:rPr>
          <w:rStyle w:val="T11"/>
          <w:rFonts w:ascii="Times New Roman" w:hAnsi="Times New Roman" w:cs="Times New Roman"/>
        </w:rPr>
        <w:t>_</w:t>
      </w:r>
      <w:r w:rsidRPr="005540EB">
        <w:rPr>
          <w:rStyle w:val="T11"/>
          <w:rFonts w:ascii="Times New Roman" w:hAnsi="Times New Roman" w:cs="Times New Roman"/>
        </w:rPr>
        <w:t>(</w:t>
      </w:r>
      <w:proofErr w:type="gramEnd"/>
      <w:r w:rsidR="00D8699E">
        <w:rPr>
          <w:rStyle w:val="T11"/>
          <w:rFonts w:ascii="Times New Roman" w:hAnsi="Times New Roman" w:cs="Times New Roman"/>
        </w:rPr>
        <w:t>PDE</w:t>
      </w:r>
      <w:r w:rsidRPr="005540EB">
        <w:rPr>
          <w:rStyle w:val="T11"/>
          <w:rFonts w:ascii="Times New Roman" w:hAnsi="Times New Roman" w:cs="Times New Roman"/>
        </w:rPr>
        <w:t>-7)?</w:t>
      </w:r>
    </w:p>
    <w:p w:rsidR="001279B7" w:rsidRPr="001279B7" w:rsidRDefault="005540EB" w:rsidP="001279B7">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Exhibit No._</w:t>
      </w:r>
      <w:r w:rsidR="00667220">
        <w:rPr>
          <w:rFonts w:ascii="Times New Roman" w:hAnsi="Times New Roman" w:cs="Times New Roman"/>
        </w:rPr>
        <w:t>_</w:t>
      </w:r>
      <w:proofErr w:type="gramStart"/>
      <w:r w:rsidR="00667220">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-7) contains information regarding the proposed spread of the natural gas revenue increase among the service schedules and the proposed changes to the rates within the schedules.  Page 1 shows the proposed revenue and percentage increase by rate schedule.  Page 2 shows the rates of return and the relative rates of return for each of the schedules before and after the proposed increases.  Page 3 shows the present rates under each of the rate schedules, the proposed changes to the rates within the schedules, and the proposed rates after application of the changes.  These pages will be referred to later in my testimony.</w:t>
      </w:r>
    </w:p>
    <w:p w:rsidR="005540EB" w:rsidRPr="005540EB" w:rsidRDefault="005540EB" w:rsidP="005540EB">
      <w:pPr>
        <w:pStyle w:val="P72"/>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 xml:space="preserve">Would you please review the Company's present rate schedules and the types of </w:t>
      </w:r>
      <w:r w:rsidR="00580834">
        <w:rPr>
          <w:rFonts w:ascii="Times New Roman" w:hAnsi="Times New Roman" w:cs="Times New Roman"/>
        </w:rPr>
        <w:t xml:space="preserve">natural </w:t>
      </w:r>
      <w:r w:rsidRPr="005540EB">
        <w:rPr>
          <w:rFonts w:ascii="Times New Roman" w:hAnsi="Times New Roman" w:cs="Times New Roman"/>
        </w:rPr>
        <w:t>gas service offered under each?</w:t>
      </w:r>
    </w:p>
    <w:p w:rsidR="005540EB" w:rsidRPr="005540EB" w:rsidRDefault="005540EB" w:rsidP="005540EB">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Yes.  The Company's present Schedules 101</w:t>
      </w:r>
      <w:r w:rsidR="00CF6646">
        <w:rPr>
          <w:rFonts w:ascii="Times New Roman" w:hAnsi="Times New Roman" w:cs="Times New Roman"/>
        </w:rPr>
        <w:t>, 111</w:t>
      </w:r>
      <w:r w:rsidRPr="005540EB">
        <w:rPr>
          <w:rFonts w:ascii="Times New Roman" w:hAnsi="Times New Roman" w:cs="Times New Roman"/>
        </w:rPr>
        <w:t xml:space="preserve"> and 1</w:t>
      </w:r>
      <w:r w:rsidR="00CF6646">
        <w:rPr>
          <w:rFonts w:ascii="Times New Roman" w:hAnsi="Times New Roman" w:cs="Times New Roman"/>
        </w:rPr>
        <w:t>2</w:t>
      </w:r>
      <w:r w:rsidRPr="005540EB">
        <w:rPr>
          <w:rFonts w:ascii="Times New Roman" w:hAnsi="Times New Roman" w:cs="Times New Roman"/>
        </w:rPr>
        <w:t xml:space="preserve">1 offer firm sales service.  Schedule 101 generally applies to residential and small commercial customers who use </w:t>
      </w:r>
      <w:proofErr w:type="gramStart"/>
      <w:r w:rsidRPr="005540EB">
        <w:rPr>
          <w:rFonts w:ascii="Times New Roman" w:hAnsi="Times New Roman" w:cs="Times New Roman"/>
        </w:rPr>
        <w:t>less than 200 therms/month</w:t>
      </w:r>
      <w:proofErr w:type="gramEnd"/>
      <w:r w:rsidRPr="005540EB">
        <w:rPr>
          <w:rFonts w:ascii="Times New Roman" w:hAnsi="Times New Roman" w:cs="Times New Roman"/>
        </w:rPr>
        <w:t xml:space="preserve">.  Schedule 111 is generally for customers who consistently use </w:t>
      </w:r>
      <w:proofErr w:type="gramStart"/>
      <w:r w:rsidRPr="005540EB">
        <w:rPr>
          <w:rFonts w:ascii="Times New Roman" w:hAnsi="Times New Roman" w:cs="Times New Roman"/>
        </w:rPr>
        <w:t>over 200 therms/month</w:t>
      </w:r>
      <w:r w:rsidR="00D32A7D">
        <w:rPr>
          <w:rFonts w:ascii="Times New Roman" w:hAnsi="Times New Roman" w:cs="Times New Roman"/>
        </w:rPr>
        <w:t>,</w:t>
      </w:r>
      <w:proofErr w:type="gramEnd"/>
      <w:r w:rsidRPr="005540EB">
        <w:rPr>
          <w:rFonts w:ascii="Times New Roman" w:hAnsi="Times New Roman" w:cs="Times New Roman"/>
        </w:rPr>
        <w:t xml:space="preserve"> and Schedule 121 is generally for customers who use over 10,000 therms/month and have a high annual load factor.  Schedule 131 provides interruptible sales service to customers whose annual requirements exceed 250,000 therms.  Schedule 146 provides transportation/distribution service for customer-owned </w:t>
      </w:r>
      <w:r w:rsidR="0021578E">
        <w:rPr>
          <w:rFonts w:ascii="Times New Roman" w:hAnsi="Times New Roman" w:cs="Times New Roman"/>
        </w:rPr>
        <w:t xml:space="preserve">natural </w:t>
      </w:r>
      <w:r w:rsidRPr="005540EB">
        <w:rPr>
          <w:rFonts w:ascii="Times New Roman" w:hAnsi="Times New Roman" w:cs="Times New Roman"/>
        </w:rPr>
        <w:t xml:space="preserve">gas for customers whose annual requirements exceed 250,000 therms.  Schedule 148 is a banded-rate transportation tariff that allows for a negotiated service rate with large customers that have an economic alternative to taking </w:t>
      </w:r>
      <w:r w:rsidR="0021578E">
        <w:rPr>
          <w:rFonts w:ascii="Times New Roman" w:hAnsi="Times New Roman" w:cs="Times New Roman"/>
        </w:rPr>
        <w:t xml:space="preserve">natural gas </w:t>
      </w:r>
      <w:r w:rsidRPr="005540EB">
        <w:rPr>
          <w:rFonts w:ascii="Times New Roman" w:hAnsi="Times New Roman" w:cs="Times New Roman"/>
        </w:rPr>
        <w:t>distribution service from the Company.</w:t>
      </w:r>
    </w:p>
    <w:p w:rsidR="005540EB" w:rsidRPr="005540EB" w:rsidRDefault="005540EB" w:rsidP="005540EB">
      <w:pPr>
        <w:pStyle w:val="P204"/>
        <w:jc w:val="both"/>
        <w:rPr>
          <w:rFonts w:ascii="Times New Roman" w:hAnsi="Times New Roman" w:cs="Times New Roman"/>
        </w:rPr>
      </w:pPr>
      <w:r w:rsidRPr="005540EB">
        <w:rPr>
          <w:rStyle w:val="T11"/>
          <w:rFonts w:ascii="Times New Roman" w:hAnsi="Times New Roman" w:cs="Times New Roman"/>
        </w:rPr>
        <w:lastRenderedPageBreak/>
        <w:t>Q.</w:t>
      </w:r>
      <w:r w:rsidRPr="005540EB">
        <w:rPr>
          <w:rStyle w:val="T11"/>
          <w:rFonts w:ascii="Times New Roman" w:hAnsi="Times New Roman" w:cs="Times New Roman"/>
        </w:rPr>
        <w:tab/>
      </w:r>
      <w:r w:rsidR="00D32A7D">
        <w:rPr>
          <w:rStyle w:val="T11"/>
          <w:rFonts w:ascii="Times New Roman" w:hAnsi="Times New Roman" w:cs="Times New Roman"/>
        </w:rPr>
        <w:t>Would</w:t>
      </w:r>
      <w:r w:rsidRPr="005540EB">
        <w:rPr>
          <w:rStyle w:val="T11"/>
          <w:rFonts w:ascii="Times New Roman" w:hAnsi="Times New Roman" w:cs="Times New Roman"/>
        </w:rPr>
        <w:t xml:space="preserve"> you please explain which customers are eligible for service under </w:t>
      </w:r>
      <w:r w:rsidR="00B50A07" w:rsidRPr="005540EB">
        <w:rPr>
          <w:rStyle w:val="T11"/>
          <w:rFonts w:ascii="Times New Roman" w:hAnsi="Times New Roman" w:cs="Times New Roman"/>
        </w:rPr>
        <w:t>Schedules 112, 122 and 132</w:t>
      </w:r>
      <w:r w:rsidRPr="005540EB">
        <w:rPr>
          <w:rStyle w:val="T11"/>
          <w:rFonts w:ascii="Times New Roman" w:hAnsi="Times New Roman" w:cs="Times New Roman"/>
        </w:rPr>
        <w:t>?</w:t>
      </w:r>
    </w:p>
    <w:p w:rsidR="00AD2C96" w:rsidRPr="00AD2C96" w:rsidRDefault="005540EB" w:rsidP="00AD2C96">
      <w:pPr>
        <w:pStyle w:val="P204"/>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D32A7D">
        <w:rPr>
          <w:rFonts w:ascii="Times New Roman" w:hAnsi="Times New Roman" w:cs="Times New Roman"/>
        </w:rPr>
        <w:t xml:space="preserve">Yes.  </w:t>
      </w:r>
      <w:r w:rsidRPr="005540EB">
        <w:rPr>
          <w:rFonts w:ascii="Times New Roman" w:hAnsi="Times New Roman" w:cs="Times New Roman"/>
        </w:rPr>
        <w:t>Schedules 112, 122 and 132 are in place to provide service to customers</w:t>
      </w:r>
      <w:r w:rsidR="00D32A7D">
        <w:rPr>
          <w:rFonts w:ascii="Times New Roman" w:hAnsi="Times New Roman" w:cs="Times New Roman"/>
        </w:rPr>
        <w:t>,</w:t>
      </w:r>
      <w:r w:rsidRPr="005540EB">
        <w:rPr>
          <w:rFonts w:ascii="Times New Roman" w:hAnsi="Times New Roman" w:cs="Times New Roman"/>
        </w:rPr>
        <w:t xml:space="preserve"> who</w:t>
      </w:r>
      <w:r w:rsidR="000D4B96">
        <w:rPr>
          <w:rFonts w:ascii="Times New Roman" w:hAnsi="Times New Roman" w:cs="Times New Roman"/>
        </w:rPr>
        <w:t>,</w:t>
      </w:r>
      <w:r w:rsidRPr="005540EB">
        <w:rPr>
          <w:rFonts w:ascii="Times New Roman" w:hAnsi="Times New Roman" w:cs="Times New Roman"/>
        </w:rPr>
        <w:t xml:space="preserve"> at one time</w:t>
      </w:r>
      <w:r w:rsidR="00D32A7D">
        <w:rPr>
          <w:rFonts w:ascii="Times New Roman" w:hAnsi="Times New Roman" w:cs="Times New Roman"/>
        </w:rPr>
        <w:t>,</w:t>
      </w:r>
      <w:r w:rsidRPr="005540EB">
        <w:rPr>
          <w:rFonts w:ascii="Times New Roman" w:hAnsi="Times New Roman" w:cs="Times New Roman"/>
        </w:rPr>
        <w:t xml:space="preserve"> were provided </w:t>
      </w:r>
      <w:r w:rsidR="0021578E">
        <w:rPr>
          <w:rFonts w:ascii="Times New Roman" w:hAnsi="Times New Roman" w:cs="Times New Roman"/>
        </w:rPr>
        <w:t xml:space="preserve">natural gas </w:t>
      </w:r>
      <w:r w:rsidRPr="005540EB">
        <w:rPr>
          <w:rFonts w:ascii="Times New Roman" w:hAnsi="Times New Roman" w:cs="Times New Roman"/>
        </w:rPr>
        <w:t xml:space="preserve">service under Transportation Service Schedule 146.  The rates under these schedules are the same as those under Schedules 111, 121 and 131 respectively, except for the application of Temporary Gas Rate Adjustment Schedule 155.  Schedule 155 is a temporary rate adjustment used to amortize the deferred </w:t>
      </w:r>
      <w:r w:rsidR="0021578E">
        <w:rPr>
          <w:rFonts w:ascii="Times New Roman" w:hAnsi="Times New Roman" w:cs="Times New Roman"/>
        </w:rPr>
        <w:t xml:space="preserve">natural </w:t>
      </w:r>
      <w:r w:rsidRPr="005540EB">
        <w:rPr>
          <w:rFonts w:ascii="Times New Roman" w:hAnsi="Times New Roman" w:cs="Times New Roman"/>
        </w:rPr>
        <w:t xml:space="preserve">gas costs approved by the Commission in the prior PGA.  Because of their size, transportation service customers are analyzed individually to determine their appropriate share of deferred </w:t>
      </w:r>
      <w:r w:rsidR="0021578E">
        <w:rPr>
          <w:rFonts w:ascii="Times New Roman" w:hAnsi="Times New Roman" w:cs="Times New Roman"/>
        </w:rPr>
        <w:t xml:space="preserve">natural </w:t>
      </w:r>
      <w:r w:rsidRPr="005540EB">
        <w:rPr>
          <w:rFonts w:ascii="Times New Roman" w:hAnsi="Times New Roman" w:cs="Times New Roman"/>
        </w:rPr>
        <w:t xml:space="preserve">gas costs.  </w:t>
      </w:r>
      <w:r w:rsidR="00BE4355">
        <w:rPr>
          <w:rFonts w:ascii="Times New Roman" w:hAnsi="Times New Roman" w:cs="Times New Roman"/>
        </w:rPr>
        <w:t>T</w:t>
      </w:r>
      <w:r w:rsidRPr="005540EB">
        <w:rPr>
          <w:rFonts w:ascii="Times New Roman" w:hAnsi="Times New Roman" w:cs="Times New Roman"/>
        </w:rPr>
        <w:t>he Company continues to analyze those customers</w:t>
      </w:r>
      <w:r w:rsidR="00B50A07">
        <w:rPr>
          <w:rFonts w:ascii="Times New Roman" w:hAnsi="Times New Roman" w:cs="Times New Roman"/>
        </w:rPr>
        <w:t xml:space="preserve"> to make sure that i</w:t>
      </w:r>
      <w:r w:rsidR="00BE4355" w:rsidRPr="005540EB">
        <w:rPr>
          <w:rFonts w:ascii="Times New Roman" w:hAnsi="Times New Roman" w:cs="Times New Roman"/>
        </w:rPr>
        <w:t>f those customers switch back to sales service</w:t>
      </w:r>
      <w:r w:rsidR="00BE4355">
        <w:rPr>
          <w:rFonts w:ascii="Times New Roman" w:hAnsi="Times New Roman" w:cs="Times New Roman"/>
        </w:rPr>
        <w:t>,</w:t>
      </w:r>
      <w:r w:rsidR="00BE4355" w:rsidRPr="005540EB">
        <w:rPr>
          <w:rFonts w:ascii="Times New Roman" w:hAnsi="Times New Roman" w:cs="Times New Roman"/>
        </w:rPr>
        <w:t xml:space="preserve"> </w:t>
      </w:r>
      <w:r w:rsidRPr="005540EB">
        <w:rPr>
          <w:rFonts w:ascii="Times New Roman" w:hAnsi="Times New Roman" w:cs="Times New Roman"/>
        </w:rPr>
        <w:t xml:space="preserve">those customers would </w:t>
      </w:r>
      <w:r w:rsidR="00B50A07">
        <w:rPr>
          <w:rFonts w:ascii="Times New Roman" w:hAnsi="Times New Roman" w:cs="Times New Roman"/>
        </w:rPr>
        <w:t xml:space="preserve">not </w:t>
      </w:r>
      <w:r w:rsidRPr="005540EB">
        <w:rPr>
          <w:rFonts w:ascii="Times New Roman" w:hAnsi="Times New Roman" w:cs="Times New Roman"/>
        </w:rPr>
        <w:t xml:space="preserve">receive </w:t>
      </w:r>
      <w:r w:rsidR="0021578E">
        <w:rPr>
          <w:rFonts w:ascii="Times New Roman" w:hAnsi="Times New Roman" w:cs="Times New Roman"/>
        </w:rPr>
        <w:t xml:space="preserve">natural </w:t>
      </w:r>
      <w:r w:rsidRPr="005540EB">
        <w:rPr>
          <w:rFonts w:ascii="Times New Roman" w:hAnsi="Times New Roman" w:cs="Times New Roman"/>
        </w:rPr>
        <w:t xml:space="preserve">gas costs </w:t>
      </w:r>
      <w:r w:rsidRPr="0026350D">
        <w:rPr>
          <w:rFonts w:ascii="Times New Roman" w:hAnsi="Times New Roman" w:cs="Times New Roman"/>
        </w:rPr>
        <w:t>deferrals which are not due them</w:t>
      </w:r>
      <w:r w:rsidRPr="005540EB">
        <w:rPr>
          <w:rFonts w:ascii="Times New Roman" w:hAnsi="Times New Roman" w:cs="Times New Roman"/>
        </w:rPr>
        <w:t>.</w:t>
      </w:r>
    </w:p>
    <w:p w:rsidR="00AD2C96" w:rsidRPr="00AD2C96" w:rsidRDefault="005540EB" w:rsidP="00AD2C96">
      <w:pPr>
        <w:pStyle w:val="P238"/>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 xml:space="preserve">How many </w:t>
      </w:r>
      <w:r w:rsidR="009026B3">
        <w:rPr>
          <w:rFonts w:ascii="Times New Roman" w:hAnsi="Times New Roman" w:cs="Times New Roman"/>
        </w:rPr>
        <w:t xml:space="preserve">Washington </w:t>
      </w:r>
      <w:r w:rsidRPr="005540EB">
        <w:rPr>
          <w:rFonts w:ascii="Times New Roman" w:hAnsi="Times New Roman" w:cs="Times New Roman"/>
        </w:rPr>
        <w:t xml:space="preserve">customers does the Company </w:t>
      </w:r>
      <w:proofErr w:type="gramStart"/>
      <w:r w:rsidRPr="005540EB">
        <w:rPr>
          <w:rFonts w:ascii="Times New Roman" w:hAnsi="Times New Roman" w:cs="Times New Roman"/>
        </w:rPr>
        <w:t>serve</w:t>
      </w:r>
      <w:proofErr w:type="gramEnd"/>
      <w:r w:rsidRPr="005540EB">
        <w:rPr>
          <w:rFonts w:ascii="Times New Roman" w:hAnsi="Times New Roman" w:cs="Times New Roman"/>
        </w:rPr>
        <w:t xml:space="preserve"> under each of its natural gas rate schedules?</w:t>
      </w:r>
    </w:p>
    <w:p w:rsidR="005540EB" w:rsidRPr="007C7911" w:rsidRDefault="005540EB" w:rsidP="005540EB">
      <w:pPr>
        <w:pStyle w:val="P204"/>
        <w:jc w:val="both"/>
        <w:rPr>
          <w:rFonts w:ascii="Times New Roman" w:hAnsi="Times New Roman" w:cs="Times New Roman"/>
        </w:rPr>
      </w:pPr>
      <w:r w:rsidRPr="007C7911">
        <w:rPr>
          <w:rFonts w:ascii="Times New Roman" w:hAnsi="Times New Roman" w:cs="Times New Roman"/>
        </w:rPr>
        <w:t>A.</w:t>
      </w:r>
      <w:r w:rsidRPr="007C7911">
        <w:rPr>
          <w:rFonts w:ascii="Times New Roman" w:hAnsi="Times New Roman" w:cs="Times New Roman"/>
        </w:rPr>
        <w:tab/>
        <w:t xml:space="preserve">As of </w:t>
      </w:r>
      <w:r w:rsidR="008C51DB">
        <w:rPr>
          <w:rFonts w:ascii="Times New Roman" w:hAnsi="Times New Roman" w:cs="Times New Roman"/>
        </w:rPr>
        <w:t xml:space="preserve">September </w:t>
      </w:r>
      <w:r w:rsidR="00423244">
        <w:rPr>
          <w:rFonts w:ascii="Times New Roman" w:hAnsi="Times New Roman" w:cs="Times New Roman"/>
        </w:rPr>
        <w:t>2014</w:t>
      </w:r>
      <w:r w:rsidRPr="007C7911">
        <w:rPr>
          <w:rFonts w:ascii="Times New Roman" w:hAnsi="Times New Roman" w:cs="Times New Roman"/>
        </w:rPr>
        <w:t xml:space="preserve">, the Company provided service to the following number of </w:t>
      </w:r>
      <w:r w:rsidR="009026B3" w:rsidRPr="007C7911">
        <w:rPr>
          <w:rFonts w:ascii="Times New Roman" w:hAnsi="Times New Roman" w:cs="Times New Roman"/>
        </w:rPr>
        <w:t xml:space="preserve">Washington </w:t>
      </w:r>
      <w:r w:rsidRPr="007C7911">
        <w:rPr>
          <w:rFonts w:ascii="Times New Roman" w:hAnsi="Times New Roman" w:cs="Times New Roman"/>
        </w:rPr>
        <w:t>customers under each of its schedules:</w:t>
      </w:r>
    </w:p>
    <w:p w:rsidR="00F17ED7" w:rsidRPr="007C7911" w:rsidRDefault="00C679F4" w:rsidP="00AD2C96">
      <w:pPr>
        <w:pStyle w:val="P246"/>
        <w:outlineLvl w:val="0"/>
        <w:rPr>
          <w:rFonts w:ascii="Times New Roman" w:hAnsi="Times New Roman" w:cs="Times New Roman"/>
          <w:b w:val="0"/>
          <w:u w:val="none"/>
        </w:rPr>
      </w:pPr>
      <w:r w:rsidRPr="00C679F4">
        <w:rPr>
          <w:noProof/>
        </w:rPr>
        <w:drawing>
          <wp:anchor distT="0" distB="0" distL="114300" distR="114300" simplePos="0" relativeHeight="251937280" behindDoc="1" locked="0" layoutInCell="1" allowOverlap="1">
            <wp:simplePos x="0" y="0"/>
            <wp:positionH relativeFrom="column">
              <wp:posOffset>478155</wp:posOffset>
            </wp:positionH>
            <wp:positionV relativeFrom="paragraph">
              <wp:posOffset>-3175</wp:posOffset>
            </wp:positionV>
            <wp:extent cx="4886325" cy="1476375"/>
            <wp:effectExtent l="19050" t="0" r="9525"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4886325" cy="1476375"/>
                    </a:xfrm>
                    <a:prstGeom prst="rect">
                      <a:avLst/>
                    </a:prstGeom>
                    <a:noFill/>
                    <a:ln w="9525">
                      <a:noFill/>
                      <a:miter lim="800000"/>
                      <a:headEnd/>
                      <a:tailEnd/>
                    </a:ln>
                  </pic:spPr>
                </pic:pic>
              </a:graphicData>
            </a:graphic>
          </wp:anchor>
        </w:drawing>
      </w:r>
      <w:r w:rsidR="005540EB" w:rsidRPr="007C7911">
        <w:rPr>
          <w:rFonts w:ascii="Times New Roman" w:hAnsi="Times New Roman" w:cs="Times New Roman"/>
          <w:b w:val="0"/>
          <w:u w:val="none"/>
          <w:lang w:val="fr-FR"/>
        </w:rPr>
        <w:tab/>
      </w:r>
    </w:p>
    <w:p w:rsidR="00AD2C96" w:rsidRPr="007C7911" w:rsidRDefault="00AD2C96" w:rsidP="00CF6646">
      <w:pPr>
        <w:pStyle w:val="P246"/>
        <w:ind w:firstLine="0"/>
        <w:jc w:val="both"/>
        <w:outlineLvl w:val="0"/>
        <w:rPr>
          <w:rFonts w:ascii="Times New Roman" w:hAnsi="Times New Roman" w:cs="Times New Roman"/>
          <w:b w:val="0"/>
          <w:u w:val="none"/>
        </w:rPr>
      </w:pPr>
    </w:p>
    <w:p w:rsidR="00AD2C96" w:rsidRPr="007C7911" w:rsidRDefault="00AD2C96" w:rsidP="00CF6646">
      <w:pPr>
        <w:pStyle w:val="P246"/>
        <w:ind w:firstLine="0"/>
        <w:jc w:val="both"/>
        <w:outlineLvl w:val="0"/>
        <w:rPr>
          <w:rFonts w:ascii="Times New Roman" w:hAnsi="Times New Roman" w:cs="Times New Roman"/>
          <w:b w:val="0"/>
          <w:u w:val="none"/>
        </w:rPr>
      </w:pPr>
    </w:p>
    <w:p w:rsidR="00AD2C96" w:rsidRPr="007C7911" w:rsidRDefault="00AD2C96" w:rsidP="00CF6646">
      <w:pPr>
        <w:pStyle w:val="P246"/>
        <w:ind w:firstLine="0"/>
        <w:jc w:val="both"/>
        <w:outlineLvl w:val="0"/>
        <w:rPr>
          <w:rFonts w:ascii="Times New Roman" w:hAnsi="Times New Roman" w:cs="Times New Roman"/>
          <w:b w:val="0"/>
          <w:u w:val="none"/>
        </w:rPr>
      </w:pPr>
    </w:p>
    <w:p w:rsidR="00D32A7D" w:rsidRDefault="00D32A7D" w:rsidP="00CF6646">
      <w:pPr>
        <w:pStyle w:val="P246"/>
        <w:ind w:firstLine="0"/>
        <w:jc w:val="both"/>
        <w:outlineLvl w:val="0"/>
        <w:rPr>
          <w:rFonts w:ascii="Times New Roman" w:hAnsi="Times New Roman" w:cs="Times New Roman"/>
        </w:rPr>
      </w:pPr>
    </w:p>
    <w:p w:rsidR="005540EB" w:rsidRPr="005540EB" w:rsidRDefault="005540EB" w:rsidP="00CF6646">
      <w:pPr>
        <w:pStyle w:val="P246"/>
        <w:ind w:firstLine="0"/>
        <w:jc w:val="both"/>
        <w:outlineLvl w:val="0"/>
        <w:rPr>
          <w:rFonts w:ascii="Times New Roman" w:hAnsi="Times New Roman" w:cs="Times New Roman"/>
        </w:rPr>
      </w:pPr>
      <w:r w:rsidRPr="005540EB">
        <w:rPr>
          <w:rFonts w:ascii="Times New Roman" w:hAnsi="Times New Roman" w:cs="Times New Roman"/>
        </w:rPr>
        <w:t>Proposed Rate Spread</w:t>
      </w:r>
    </w:p>
    <w:p w:rsidR="005540EB" w:rsidRPr="005A6FE5" w:rsidRDefault="005540EB" w:rsidP="005540EB">
      <w:pPr>
        <w:pStyle w:val="P240"/>
        <w:jc w:val="both"/>
        <w:rPr>
          <w:rFonts w:ascii="Times New Roman" w:hAnsi="Times New Roman" w:cs="Times New Roman"/>
        </w:rPr>
      </w:pPr>
      <w:r w:rsidRPr="00081958">
        <w:rPr>
          <w:rFonts w:ascii="Times New Roman" w:hAnsi="Times New Roman" w:cs="Times New Roman"/>
        </w:rPr>
        <w:t>Q.</w:t>
      </w:r>
      <w:r w:rsidRPr="00081958">
        <w:rPr>
          <w:rFonts w:ascii="Times New Roman" w:hAnsi="Times New Roman" w:cs="Times New Roman"/>
        </w:rPr>
        <w:tab/>
        <w:t xml:space="preserve">How does the Company </w:t>
      </w:r>
      <w:proofErr w:type="gramStart"/>
      <w:r w:rsidRPr="00081958">
        <w:rPr>
          <w:rFonts w:ascii="Times New Roman" w:hAnsi="Times New Roman" w:cs="Times New Roman"/>
        </w:rPr>
        <w:t>propose</w:t>
      </w:r>
      <w:proofErr w:type="gramEnd"/>
      <w:r w:rsidRPr="00081958">
        <w:rPr>
          <w:rFonts w:ascii="Times New Roman" w:hAnsi="Times New Roman" w:cs="Times New Roman"/>
        </w:rPr>
        <w:t xml:space="preserve"> to spread the overall revenue increase of </w:t>
      </w:r>
      <w:r w:rsidRPr="00081958">
        <w:rPr>
          <w:rFonts w:ascii="Times New Roman" w:hAnsi="Times New Roman" w:cs="Times New Roman"/>
        </w:rPr>
        <w:lastRenderedPageBreak/>
        <w:t>$</w:t>
      </w:r>
      <w:r w:rsidR="003A16ED">
        <w:rPr>
          <w:rFonts w:ascii="Times New Roman" w:hAnsi="Times New Roman" w:cs="Times New Roman"/>
        </w:rPr>
        <w:t>12,</w:t>
      </w:r>
      <w:r w:rsidR="00423244">
        <w:rPr>
          <w:rFonts w:ascii="Times New Roman" w:hAnsi="Times New Roman" w:cs="Times New Roman"/>
        </w:rPr>
        <w:t>021</w:t>
      </w:r>
      <w:r w:rsidR="00987E07" w:rsidRPr="00081958">
        <w:rPr>
          <w:rFonts w:ascii="Times New Roman" w:hAnsi="Times New Roman" w:cs="Times New Roman"/>
        </w:rPr>
        <w:t>,000</w:t>
      </w:r>
      <w:r w:rsidRPr="00081958">
        <w:rPr>
          <w:rFonts w:ascii="Times New Roman" w:hAnsi="Times New Roman" w:cs="Times New Roman"/>
        </w:rPr>
        <w:t xml:space="preserve">, or </w:t>
      </w:r>
      <w:r w:rsidR="00423244">
        <w:rPr>
          <w:rFonts w:ascii="Times New Roman" w:hAnsi="Times New Roman" w:cs="Times New Roman"/>
        </w:rPr>
        <w:t>7.0</w:t>
      </w:r>
      <w:r w:rsidRPr="00081958">
        <w:rPr>
          <w:rFonts w:ascii="Times New Roman" w:hAnsi="Times New Roman" w:cs="Times New Roman"/>
        </w:rPr>
        <w:t>%, among</w:t>
      </w:r>
      <w:r w:rsidRPr="005A6FE5">
        <w:rPr>
          <w:rFonts w:ascii="Times New Roman" w:hAnsi="Times New Roman" w:cs="Times New Roman"/>
        </w:rPr>
        <w:t xml:space="preserve"> its natural gas general service schedules?</w:t>
      </w:r>
    </w:p>
    <w:p w:rsidR="008C51DB" w:rsidRPr="008C51DB" w:rsidRDefault="005540EB" w:rsidP="008C51DB">
      <w:pPr>
        <w:pStyle w:val="P208"/>
        <w:jc w:val="both"/>
        <w:rPr>
          <w:rFonts w:ascii="Times New Roman" w:hAnsi="Times New Roman" w:cs="Times New Roman"/>
        </w:rPr>
      </w:pPr>
      <w:r w:rsidRPr="005A6FE5">
        <w:rPr>
          <w:rFonts w:ascii="Times New Roman" w:hAnsi="Times New Roman" w:cs="Times New Roman"/>
        </w:rPr>
        <w:t>A.</w:t>
      </w:r>
      <w:r w:rsidRPr="005A6FE5">
        <w:rPr>
          <w:rFonts w:ascii="Times New Roman" w:hAnsi="Times New Roman" w:cs="Times New Roman"/>
        </w:rPr>
        <w:tab/>
        <w:t>The Company is proposing the following revenue/rate changes by rate schedule:</w:t>
      </w:r>
    </w:p>
    <w:p w:rsidR="006507E2" w:rsidRDefault="00B50A07" w:rsidP="00515008">
      <w:pPr>
        <w:pStyle w:val="P208"/>
        <w:jc w:val="both"/>
        <w:rPr>
          <w:rFonts w:ascii="Times New Roman" w:hAnsi="Times New Roman" w:cs="Times New Roman"/>
        </w:rPr>
      </w:pPr>
      <w:r>
        <w:rPr>
          <w:rFonts w:ascii="Times New Roman" w:hAnsi="Times New Roman" w:cs="Times New Roman"/>
          <w:noProof/>
        </w:rPr>
        <w:drawing>
          <wp:anchor distT="0" distB="0" distL="114300" distR="114300" simplePos="0" relativeHeight="251933184" behindDoc="1" locked="0" layoutInCell="1" allowOverlap="1">
            <wp:simplePos x="0" y="0"/>
            <wp:positionH relativeFrom="column">
              <wp:posOffset>478155</wp:posOffset>
            </wp:positionH>
            <wp:positionV relativeFrom="paragraph">
              <wp:posOffset>82550</wp:posOffset>
            </wp:positionV>
            <wp:extent cx="4857750" cy="18002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4857750" cy="1800225"/>
                    </a:xfrm>
                    <a:prstGeom prst="rect">
                      <a:avLst/>
                    </a:prstGeom>
                    <a:noFill/>
                    <a:ln w="9525">
                      <a:noFill/>
                      <a:miter lim="800000"/>
                      <a:headEnd/>
                      <a:tailEnd/>
                    </a:ln>
                  </pic:spPr>
                </pic:pic>
              </a:graphicData>
            </a:graphic>
          </wp:anchor>
        </w:drawing>
      </w:r>
    </w:p>
    <w:p w:rsidR="006507E2" w:rsidRDefault="006507E2" w:rsidP="00515008">
      <w:pPr>
        <w:pStyle w:val="P208"/>
        <w:jc w:val="both"/>
        <w:rPr>
          <w:rFonts w:ascii="Times New Roman" w:hAnsi="Times New Roman" w:cs="Times New Roman"/>
        </w:rPr>
      </w:pPr>
    </w:p>
    <w:p w:rsidR="006507E2" w:rsidRDefault="006507E2" w:rsidP="00515008">
      <w:pPr>
        <w:pStyle w:val="P208"/>
        <w:jc w:val="both"/>
        <w:rPr>
          <w:rFonts w:ascii="Times New Roman" w:hAnsi="Times New Roman" w:cs="Times New Roman"/>
        </w:rPr>
      </w:pPr>
    </w:p>
    <w:p w:rsidR="006507E2" w:rsidRDefault="006507E2" w:rsidP="00515008">
      <w:pPr>
        <w:pStyle w:val="P208"/>
        <w:jc w:val="both"/>
        <w:rPr>
          <w:rFonts w:ascii="Times New Roman" w:hAnsi="Times New Roman" w:cs="Times New Roman"/>
        </w:rPr>
      </w:pPr>
    </w:p>
    <w:p w:rsidR="006507E2" w:rsidRDefault="006507E2" w:rsidP="00515008">
      <w:pPr>
        <w:pStyle w:val="P208"/>
        <w:jc w:val="both"/>
        <w:rPr>
          <w:rFonts w:ascii="Times New Roman" w:hAnsi="Times New Roman" w:cs="Times New Roman"/>
        </w:rPr>
      </w:pPr>
    </w:p>
    <w:p w:rsidR="00D32A7D" w:rsidRPr="00515008" w:rsidRDefault="00D32A7D" w:rsidP="00515008">
      <w:pPr>
        <w:pStyle w:val="P208"/>
        <w:jc w:val="both"/>
        <w:rPr>
          <w:rFonts w:ascii="Times New Roman" w:hAnsi="Times New Roman" w:cs="Times New Roman"/>
        </w:rPr>
      </w:pPr>
    </w:p>
    <w:p w:rsidR="005540EB" w:rsidRPr="005540EB" w:rsidRDefault="005540EB" w:rsidP="00667220">
      <w:pPr>
        <w:pStyle w:val="TestBody"/>
        <w:widowControl w:val="0"/>
        <w:numPr>
          <w:ilvl w:val="0"/>
          <w:numId w:val="2"/>
        </w:numPr>
        <w:tabs>
          <w:tab w:val="clear" w:pos="1080"/>
          <w:tab w:val="left" w:pos="1440"/>
          <w:tab w:val="num" w:pos="189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 xml:space="preserve">Is the proposed </w:t>
      </w:r>
      <w:r w:rsidR="00577848">
        <w:rPr>
          <w:rFonts w:ascii="Times New Roman" w:hAnsi="Times New Roman" w:cs="Times New Roman"/>
          <w:b/>
          <w:bCs/>
        </w:rPr>
        <w:t xml:space="preserve">percentage </w:t>
      </w:r>
      <w:r w:rsidRPr="005540EB">
        <w:rPr>
          <w:rFonts w:ascii="Times New Roman" w:hAnsi="Times New Roman" w:cs="Times New Roman"/>
          <w:b/>
          <w:bCs/>
        </w:rPr>
        <w:t>increase for Transportation Schedule 146 comparable to the increase for the other service schedules?</w:t>
      </w:r>
    </w:p>
    <w:p w:rsidR="005540EB" w:rsidRDefault="005540EB" w:rsidP="005540EB">
      <w:pPr>
        <w:pStyle w:val="TestBody"/>
        <w:widowControl w:val="0"/>
        <w:tabs>
          <w:tab w:val="left" w:pos="144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No.  The proposed </w:t>
      </w:r>
      <w:r w:rsidR="00577848">
        <w:rPr>
          <w:rFonts w:ascii="Times New Roman" w:hAnsi="Times New Roman" w:cs="Times New Roman"/>
        </w:rPr>
        <w:t xml:space="preserve">percentage </w:t>
      </w:r>
      <w:r w:rsidRPr="005540EB">
        <w:rPr>
          <w:rFonts w:ascii="Times New Roman" w:hAnsi="Times New Roman" w:cs="Times New Roman"/>
        </w:rPr>
        <w:t xml:space="preserve">increase for Transportation Schedule 146 is not comparable to the proposed increases for the other (sales) service schedules, as Schedule 146 revenue does not include an amount for the cost of </w:t>
      </w:r>
      <w:r w:rsidR="00571787">
        <w:rPr>
          <w:rFonts w:ascii="Times New Roman" w:hAnsi="Times New Roman" w:cs="Times New Roman"/>
        </w:rPr>
        <w:t xml:space="preserve">natural </w:t>
      </w:r>
      <w:r w:rsidRPr="005540EB">
        <w:rPr>
          <w:rFonts w:ascii="Times New Roman" w:hAnsi="Times New Roman" w:cs="Times New Roman"/>
        </w:rPr>
        <w:t>gas or pipeline transportation, whereas the other sales schedules</w:t>
      </w:r>
      <w:r w:rsidR="00625666">
        <w:rPr>
          <w:rFonts w:ascii="Times New Roman" w:hAnsi="Times New Roman" w:cs="Times New Roman"/>
        </w:rPr>
        <w:t xml:space="preserve"> include these costs.  </w:t>
      </w:r>
      <w:r w:rsidRPr="005540EB">
        <w:rPr>
          <w:rFonts w:ascii="Times New Roman" w:hAnsi="Times New Roman" w:cs="Times New Roman"/>
        </w:rPr>
        <w:t xml:space="preserve">Transportation customers acquire their own </w:t>
      </w:r>
      <w:r w:rsidR="00571787">
        <w:rPr>
          <w:rFonts w:ascii="Times New Roman" w:hAnsi="Times New Roman" w:cs="Times New Roman"/>
        </w:rPr>
        <w:t xml:space="preserve">natural </w:t>
      </w:r>
      <w:r w:rsidRPr="005540EB">
        <w:rPr>
          <w:rFonts w:ascii="Times New Roman" w:hAnsi="Times New Roman" w:cs="Times New Roman"/>
        </w:rPr>
        <w:t>g</w:t>
      </w:r>
      <w:r w:rsidR="00625666">
        <w:rPr>
          <w:rFonts w:ascii="Times New Roman" w:hAnsi="Times New Roman" w:cs="Times New Roman"/>
        </w:rPr>
        <w:t>as and pipeline transportation.</w:t>
      </w:r>
      <w:r w:rsidRPr="005540EB">
        <w:rPr>
          <w:rFonts w:ascii="Times New Roman" w:hAnsi="Times New Roman" w:cs="Times New Roman"/>
        </w:rPr>
        <w:t xml:space="preserve">  Including </w:t>
      </w:r>
      <w:r w:rsidR="00580834">
        <w:rPr>
          <w:rFonts w:ascii="Times New Roman" w:hAnsi="Times New Roman" w:cs="Times New Roman"/>
        </w:rPr>
        <w:t>an estimate</w:t>
      </w:r>
      <w:r w:rsidRPr="005540EB">
        <w:rPr>
          <w:rFonts w:ascii="Times New Roman" w:hAnsi="Times New Roman" w:cs="Times New Roman"/>
        </w:rPr>
        <w:t xml:space="preserve"> of </w:t>
      </w:r>
      <w:r w:rsidR="00423244">
        <w:rPr>
          <w:rFonts w:ascii="Times New Roman" w:hAnsi="Times New Roman" w:cs="Times New Roman"/>
        </w:rPr>
        <w:t>45</w:t>
      </w:r>
      <w:r w:rsidRPr="005540EB">
        <w:rPr>
          <w:rFonts w:ascii="Times New Roman" w:hAnsi="Times New Roman" w:cs="Times New Roman"/>
        </w:rPr>
        <w:t xml:space="preserve">.0 cents per therm for the cost of </w:t>
      </w:r>
      <w:r w:rsidR="00571787">
        <w:rPr>
          <w:rFonts w:ascii="Times New Roman" w:hAnsi="Times New Roman" w:cs="Times New Roman"/>
        </w:rPr>
        <w:t xml:space="preserve">natural </w:t>
      </w:r>
      <w:r w:rsidRPr="005540EB">
        <w:rPr>
          <w:rFonts w:ascii="Times New Roman" w:hAnsi="Times New Roman" w:cs="Times New Roman"/>
        </w:rPr>
        <w:t xml:space="preserve">gas and pipeline transportation, the proposed increase to Schedule 146 rates represents an average </w:t>
      </w:r>
      <w:r w:rsidRPr="00443386">
        <w:rPr>
          <w:rFonts w:ascii="Times New Roman" w:hAnsi="Times New Roman" w:cs="Times New Roman"/>
        </w:rPr>
        <w:t xml:space="preserve">increase of </w:t>
      </w:r>
      <w:r w:rsidR="00423244">
        <w:rPr>
          <w:rFonts w:ascii="Times New Roman" w:hAnsi="Times New Roman" w:cs="Times New Roman"/>
        </w:rPr>
        <w:t>3.7</w:t>
      </w:r>
      <w:r w:rsidRPr="00443386">
        <w:rPr>
          <w:rFonts w:ascii="Times New Roman" w:hAnsi="Times New Roman" w:cs="Times New Roman"/>
        </w:rPr>
        <w:t>% in</w:t>
      </w:r>
      <w:r w:rsidRPr="005540EB">
        <w:rPr>
          <w:rFonts w:ascii="Times New Roman" w:hAnsi="Times New Roman" w:cs="Times New Roman"/>
        </w:rPr>
        <w:t xml:space="preserve"> those customers’ total </w:t>
      </w:r>
      <w:r w:rsidR="00571787">
        <w:rPr>
          <w:rFonts w:ascii="Times New Roman" w:hAnsi="Times New Roman" w:cs="Times New Roman"/>
        </w:rPr>
        <w:t xml:space="preserve">natural </w:t>
      </w:r>
      <w:r w:rsidRPr="005540EB">
        <w:rPr>
          <w:rFonts w:ascii="Times New Roman" w:hAnsi="Times New Roman" w:cs="Times New Roman"/>
        </w:rPr>
        <w:t>gas bill</w:t>
      </w:r>
      <w:r w:rsidR="00987E07">
        <w:rPr>
          <w:rFonts w:ascii="Times New Roman" w:hAnsi="Times New Roman" w:cs="Times New Roman"/>
        </w:rPr>
        <w:t>.</w:t>
      </w:r>
    </w:p>
    <w:p w:rsidR="005540EB" w:rsidRPr="00D44A55" w:rsidRDefault="005540EB" w:rsidP="005540EB">
      <w:pPr>
        <w:pStyle w:val="P190"/>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What information did the Company use to develop the proposed spread of the </w:t>
      </w:r>
      <w:r w:rsidRPr="00D44A55">
        <w:rPr>
          <w:rStyle w:val="T11"/>
          <w:rFonts w:ascii="Times New Roman" w:hAnsi="Times New Roman" w:cs="Times New Roman"/>
        </w:rPr>
        <w:t>overall increase to the various rate schedules?</w:t>
      </w:r>
    </w:p>
    <w:p w:rsidR="008C51DB" w:rsidRPr="008C51DB" w:rsidRDefault="003A16ED" w:rsidP="008C51DB">
      <w:pPr>
        <w:pStyle w:val="P253"/>
        <w:tabs>
          <w:tab w:val="clear" w:pos="810"/>
          <w:tab w:val="left" w:pos="720"/>
        </w:tabs>
        <w:jc w:val="both"/>
        <w:outlineLvl w:val="0"/>
        <w:rPr>
          <w:rFonts w:ascii="Times New Roman" w:hAnsi="Times New Roman" w:cs="Times New Roman"/>
          <w:b w:val="0"/>
          <w:u w:val="none"/>
        </w:rPr>
      </w:pPr>
      <w:r>
        <w:rPr>
          <w:rFonts w:ascii="Times New Roman" w:hAnsi="Times New Roman" w:cs="Times New Roman"/>
          <w:b w:val="0"/>
          <w:u w:val="none"/>
        </w:rPr>
        <w:tab/>
      </w:r>
      <w:r w:rsidR="00D32A7D">
        <w:rPr>
          <w:rFonts w:ascii="Times New Roman" w:hAnsi="Times New Roman" w:cs="Times New Roman"/>
          <w:b w:val="0"/>
          <w:u w:val="none"/>
        </w:rPr>
        <w:t>A.</w:t>
      </w:r>
      <w:r w:rsidR="00D32A7D">
        <w:rPr>
          <w:rFonts w:ascii="Times New Roman" w:hAnsi="Times New Roman" w:cs="Times New Roman"/>
          <w:b w:val="0"/>
          <w:u w:val="none"/>
        </w:rPr>
        <w:tab/>
      </w:r>
      <w:r w:rsidRPr="003A16ED">
        <w:rPr>
          <w:rFonts w:ascii="Times New Roman" w:hAnsi="Times New Roman" w:cs="Times New Roman"/>
          <w:b w:val="0"/>
          <w:u w:val="none"/>
        </w:rPr>
        <w:t xml:space="preserve">The Company used the results of the cost of service study sponsored by </w:t>
      </w:r>
      <w:r>
        <w:rPr>
          <w:rFonts w:ascii="Times New Roman" w:hAnsi="Times New Roman" w:cs="Times New Roman"/>
          <w:b w:val="0"/>
          <w:u w:val="none"/>
        </w:rPr>
        <w:t>Mr. Miller</w:t>
      </w:r>
      <w:r w:rsidRPr="003A16ED">
        <w:rPr>
          <w:rFonts w:ascii="Times New Roman" w:hAnsi="Times New Roman" w:cs="Times New Roman"/>
          <w:b w:val="0"/>
          <w:u w:val="none"/>
        </w:rPr>
        <w:t xml:space="preserve"> as a guide to spread the general increase.  The spread of the proposed increase generally results in the rates of return for the various service schedules moving approximately </w:t>
      </w:r>
      <w:r w:rsidR="00423244">
        <w:rPr>
          <w:rFonts w:ascii="Times New Roman" w:hAnsi="Times New Roman" w:cs="Times New Roman"/>
          <w:b w:val="0"/>
          <w:u w:val="none"/>
        </w:rPr>
        <w:lastRenderedPageBreak/>
        <w:t>40%</w:t>
      </w:r>
      <w:r w:rsidRPr="003A16ED">
        <w:rPr>
          <w:rFonts w:ascii="Times New Roman" w:hAnsi="Times New Roman" w:cs="Times New Roman"/>
          <w:b w:val="0"/>
          <w:u w:val="none"/>
        </w:rPr>
        <w:t xml:space="preserve"> closer to the overall rate of return (unity).  The relative rates of return before and after application of the proposed increases by schedule are as follows:</w:t>
      </w:r>
    </w:p>
    <w:p w:rsidR="00423244" w:rsidRDefault="00B96536" w:rsidP="00791C2B">
      <w:pPr>
        <w:pStyle w:val="P253"/>
        <w:tabs>
          <w:tab w:val="clear" w:pos="810"/>
          <w:tab w:val="left" w:pos="720"/>
        </w:tabs>
        <w:jc w:val="both"/>
        <w:outlineLvl w:val="0"/>
        <w:rPr>
          <w:rFonts w:ascii="Times New Roman" w:hAnsi="Times New Roman" w:cs="Times New Roman"/>
          <w:b w:val="0"/>
          <w:u w:val="none"/>
        </w:rPr>
      </w:pPr>
      <w:r>
        <w:rPr>
          <w:rFonts w:ascii="Times New Roman" w:hAnsi="Times New Roman" w:cs="Times New Roman"/>
          <w:b w:val="0"/>
          <w:noProof/>
          <w:u w:val="none"/>
        </w:rPr>
        <w:drawing>
          <wp:anchor distT="0" distB="0" distL="114300" distR="114300" simplePos="0" relativeHeight="251934208" behindDoc="1" locked="0" layoutInCell="1" allowOverlap="1">
            <wp:simplePos x="0" y="0"/>
            <wp:positionH relativeFrom="column">
              <wp:posOffset>288194</wp:posOffset>
            </wp:positionH>
            <wp:positionV relativeFrom="paragraph">
              <wp:posOffset>6327</wp:posOffset>
            </wp:positionV>
            <wp:extent cx="5040846" cy="2078966"/>
            <wp:effectExtent l="19050" t="0" r="7404"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5040846" cy="2078966"/>
                    </a:xfrm>
                    <a:prstGeom prst="rect">
                      <a:avLst/>
                    </a:prstGeom>
                    <a:noFill/>
                    <a:ln w="9525">
                      <a:noFill/>
                      <a:miter lim="800000"/>
                      <a:headEnd/>
                      <a:tailEnd/>
                    </a:ln>
                  </pic:spPr>
                </pic:pic>
              </a:graphicData>
            </a:graphic>
          </wp:anchor>
        </w:drawing>
      </w:r>
    </w:p>
    <w:p w:rsidR="003A16ED" w:rsidRDefault="003A16ED" w:rsidP="005540EB">
      <w:pPr>
        <w:pStyle w:val="P253"/>
        <w:jc w:val="both"/>
        <w:outlineLvl w:val="0"/>
        <w:rPr>
          <w:rFonts w:ascii="Times New Roman" w:hAnsi="Times New Roman" w:cs="Times New Roman"/>
          <w:b w:val="0"/>
          <w:u w:val="none"/>
        </w:rPr>
      </w:pPr>
    </w:p>
    <w:p w:rsidR="003A16ED" w:rsidRDefault="003A16ED" w:rsidP="005540EB">
      <w:pPr>
        <w:pStyle w:val="P253"/>
        <w:jc w:val="both"/>
        <w:outlineLvl w:val="0"/>
        <w:rPr>
          <w:rFonts w:ascii="Times New Roman" w:hAnsi="Times New Roman" w:cs="Times New Roman"/>
          <w:b w:val="0"/>
          <w:u w:val="none"/>
        </w:rPr>
      </w:pPr>
    </w:p>
    <w:p w:rsidR="003A16ED" w:rsidRDefault="003A16ED" w:rsidP="005540EB">
      <w:pPr>
        <w:pStyle w:val="P253"/>
        <w:jc w:val="both"/>
        <w:outlineLvl w:val="0"/>
        <w:rPr>
          <w:rFonts w:ascii="Times New Roman" w:hAnsi="Times New Roman" w:cs="Times New Roman"/>
          <w:b w:val="0"/>
          <w:u w:val="none"/>
        </w:rPr>
      </w:pPr>
    </w:p>
    <w:p w:rsidR="003A16ED" w:rsidRDefault="003A16ED" w:rsidP="005540EB">
      <w:pPr>
        <w:pStyle w:val="P253"/>
        <w:jc w:val="both"/>
        <w:outlineLvl w:val="0"/>
        <w:rPr>
          <w:rFonts w:ascii="Times New Roman" w:hAnsi="Times New Roman" w:cs="Times New Roman"/>
          <w:b w:val="0"/>
          <w:u w:val="none"/>
        </w:rPr>
      </w:pPr>
    </w:p>
    <w:p w:rsidR="003A16ED" w:rsidRDefault="003A16ED" w:rsidP="005540EB">
      <w:pPr>
        <w:pStyle w:val="P253"/>
        <w:jc w:val="both"/>
        <w:outlineLvl w:val="0"/>
        <w:rPr>
          <w:rFonts w:ascii="Times New Roman" w:hAnsi="Times New Roman" w:cs="Times New Roman"/>
          <w:b w:val="0"/>
          <w:u w:val="none"/>
        </w:rPr>
      </w:pPr>
    </w:p>
    <w:p w:rsidR="00B50A07" w:rsidRDefault="00B50A07">
      <w:pPr>
        <w:autoSpaceDE/>
        <w:autoSpaceDN/>
        <w:rPr>
          <w:b/>
          <w:szCs w:val="20"/>
          <w:u w:val="single"/>
        </w:rPr>
      </w:pPr>
    </w:p>
    <w:p w:rsidR="005540EB" w:rsidRPr="005540EB" w:rsidRDefault="005540EB" w:rsidP="005540EB">
      <w:pPr>
        <w:pStyle w:val="P253"/>
        <w:jc w:val="both"/>
        <w:outlineLvl w:val="0"/>
        <w:rPr>
          <w:rFonts w:ascii="Times New Roman" w:hAnsi="Times New Roman" w:cs="Times New Roman"/>
        </w:rPr>
      </w:pPr>
      <w:r w:rsidRPr="005540EB">
        <w:rPr>
          <w:rFonts w:ascii="Times New Roman" w:hAnsi="Times New Roman" w:cs="Times New Roman"/>
        </w:rPr>
        <w:t>Proposed Rate Design</w:t>
      </w:r>
    </w:p>
    <w:p w:rsidR="005540EB" w:rsidRPr="005540EB" w:rsidRDefault="005540EB" w:rsidP="005540EB">
      <w:pPr>
        <w:pStyle w:val="P190"/>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D32A7D">
        <w:rPr>
          <w:rStyle w:val="T11"/>
          <w:rFonts w:ascii="Times New Roman" w:hAnsi="Times New Roman" w:cs="Times New Roman"/>
        </w:rPr>
        <w:t>W</w:t>
      </w:r>
      <w:r w:rsidRPr="005540EB">
        <w:rPr>
          <w:rStyle w:val="T11"/>
          <w:rFonts w:ascii="Times New Roman" w:hAnsi="Times New Roman" w:cs="Times New Roman"/>
        </w:rPr>
        <w:t xml:space="preserve">ould you please explain the present rate design within each of the Company’s present </w:t>
      </w:r>
      <w:r w:rsidR="0021578E">
        <w:rPr>
          <w:rStyle w:val="T11"/>
          <w:rFonts w:ascii="Times New Roman" w:hAnsi="Times New Roman" w:cs="Times New Roman"/>
        </w:rPr>
        <w:t xml:space="preserve">natural </w:t>
      </w:r>
      <w:r w:rsidRPr="005540EB">
        <w:rPr>
          <w:rStyle w:val="T11"/>
          <w:rFonts w:ascii="Times New Roman" w:hAnsi="Times New Roman" w:cs="Times New Roman"/>
        </w:rPr>
        <w:t>gas service schedules?</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Yes.  General Service Schedule 101 generally applies to residential and small commercial customers who use </w:t>
      </w:r>
      <w:proofErr w:type="gramStart"/>
      <w:r w:rsidRPr="005540EB">
        <w:rPr>
          <w:rFonts w:ascii="Times New Roman" w:hAnsi="Times New Roman" w:cs="Times New Roman"/>
        </w:rPr>
        <w:t>less than 200 therms/month</w:t>
      </w:r>
      <w:proofErr w:type="gramEnd"/>
      <w:r w:rsidRPr="005540EB">
        <w:rPr>
          <w:rFonts w:ascii="Times New Roman" w:hAnsi="Times New Roman" w:cs="Times New Roman"/>
        </w:rPr>
        <w:t xml:space="preserve">.  The </w:t>
      </w:r>
      <w:r w:rsidR="00B312FA">
        <w:rPr>
          <w:rFonts w:ascii="Times New Roman" w:hAnsi="Times New Roman" w:cs="Times New Roman"/>
        </w:rPr>
        <w:t>s</w:t>
      </w:r>
      <w:r w:rsidRPr="005540EB">
        <w:rPr>
          <w:rFonts w:ascii="Times New Roman" w:hAnsi="Times New Roman" w:cs="Times New Roman"/>
        </w:rPr>
        <w:t xml:space="preserve">chedule contains </w:t>
      </w:r>
      <w:r w:rsidR="009D3196" w:rsidRPr="005540EB">
        <w:rPr>
          <w:rFonts w:ascii="Times New Roman" w:hAnsi="Times New Roman" w:cs="Times New Roman"/>
        </w:rPr>
        <w:t>t</w:t>
      </w:r>
      <w:r w:rsidR="009D3196">
        <w:rPr>
          <w:rFonts w:ascii="Times New Roman" w:hAnsi="Times New Roman" w:cs="Times New Roman"/>
        </w:rPr>
        <w:t>wo</w:t>
      </w:r>
      <w:r w:rsidR="009D3196" w:rsidRPr="005540EB">
        <w:rPr>
          <w:rFonts w:ascii="Times New Roman" w:hAnsi="Times New Roman" w:cs="Times New Roman"/>
        </w:rPr>
        <w:t xml:space="preserve"> energy rate blocks</w:t>
      </w:r>
      <w:r w:rsidR="00B50A07">
        <w:rPr>
          <w:rFonts w:ascii="Times New Roman" w:hAnsi="Times New Roman" w:cs="Times New Roman"/>
        </w:rPr>
        <w:t xml:space="preserve"> (</w:t>
      </w:r>
      <w:r w:rsidR="009D3196">
        <w:rPr>
          <w:rFonts w:ascii="Times New Roman" w:hAnsi="Times New Roman" w:cs="Times New Roman"/>
        </w:rPr>
        <w:t>0-70 therms, and over 70</w:t>
      </w:r>
      <w:r w:rsidRPr="005540EB">
        <w:rPr>
          <w:rFonts w:ascii="Times New Roman" w:hAnsi="Times New Roman" w:cs="Times New Roman"/>
        </w:rPr>
        <w:t xml:space="preserve"> </w:t>
      </w:r>
      <w:r w:rsidR="00B50A07">
        <w:rPr>
          <w:rFonts w:ascii="Times New Roman" w:hAnsi="Times New Roman" w:cs="Times New Roman"/>
        </w:rPr>
        <w:t xml:space="preserve">therms), </w:t>
      </w:r>
      <w:r w:rsidRPr="005540EB">
        <w:rPr>
          <w:rFonts w:ascii="Times New Roman" w:hAnsi="Times New Roman" w:cs="Times New Roman"/>
        </w:rPr>
        <w:t>and a monthly customer/basic charge.</w:t>
      </w:r>
    </w:p>
    <w:p w:rsidR="005540EB" w:rsidRPr="005540EB" w:rsidRDefault="005540EB" w:rsidP="005540EB">
      <w:pPr>
        <w:pStyle w:val="P190"/>
        <w:jc w:val="both"/>
        <w:rPr>
          <w:rFonts w:ascii="Times New Roman" w:hAnsi="Times New Roman" w:cs="Times New Roman"/>
        </w:rPr>
      </w:pPr>
      <w:r w:rsidRPr="005540EB">
        <w:rPr>
          <w:rFonts w:ascii="Times New Roman" w:hAnsi="Times New Roman" w:cs="Times New Roman"/>
        </w:rPr>
        <w:t>Large General Service Schedule</w:t>
      </w:r>
      <w:r w:rsidR="00D32A7D">
        <w:rPr>
          <w:rFonts w:ascii="Times New Roman" w:hAnsi="Times New Roman" w:cs="Times New Roman"/>
        </w:rPr>
        <w:t>s</w:t>
      </w:r>
      <w:r w:rsidRPr="005540EB">
        <w:rPr>
          <w:rFonts w:ascii="Times New Roman" w:hAnsi="Times New Roman" w:cs="Times New Roman"/>
        </w:rPr>
        <w:t xml:space="preserve"> 111</w:t>
      </w:r>
      <w:r w:rsidR="00D32A7D">
        <w:rPr>
          <w:rFonts w:ascii="Times New Roman" w:hAnsi="Times New Roman" w:cs="Times New Roman"/>
        </w:rPr>
        <w:t>/112</w:t>
      </w:r>
      <w:r w:rsidRPr="005540EB">
        <w:rPr>
          <w:rFonts w:ascii="Times New Roman" w:hAnsi="Times New Roman" w:cs="Times New Roman"/>
        </w:rPr>
        <w:t xml:space="preserve"> has a three-tier declining-block rate structure and is generally for customers who consistently use </w:t>
      </w:r>
      <w:proofErr w:type="gramStart"/>
      <w:r w:rsidRPr="005540EB">
        <w:rPr>
          <w:rFonts w:ascii="Times New Roman" w:hAnsi="Times New Roman" w:cs="Times New Roman"/>
        </w:rPr>
        <w:t>over 200 therms/month</w:t>
      </w:r>
      <w:proofErr w:type="gramEnd"/>
      <w:r w:rsidRPr="005540EB">
        <w:rPr>
          <w:rFonts w:ascii="Times New Roman" w:hAnsi="Times New Roman" w:cs="Times New Roman"/>
        </w:rPr>
        <w:t xml:space="preserve">. </w:t>
      </w:r>
      <w:r w:rsidR="008B0C99">
        <w:rPr>
          <w:rFonts w:ascii="Times New Roman" w:hAnsi="Times New Roman" w:cs="Times New Roman"/>
        </w:rPr>
        <w:t xml:space="preserve"> </w:t>
      </w:r>
      <w:r w:rsidRPr="005540EB">
        <w:rPr>
          <w:rFonts w:ascii="Times New Roman" w:hAnsi="Times New Roman" w:cs="Times New Roman"/>
        </w:rPr>
        <w:t xml:space="preserve">The </w:t>
      </w:r>
      <w:r w:rsidR="00B312FA">
        <w:rPr>
          <w:rFonts w:ascii="Times New Roman" w:hAnsi="Times New Roman" w:cs="Times New Roman"/>
        </w:rPr>
        <w:t>s</w:t>
      </w:r>
      <w:r w:rsidRPr="005540EB">
        <w:rPr>
          <w:rFonts w:ascii="Times New Roman" w:hAnsi="Times New Roman" w:cs="Times New Roman"/>
        </w:rPr>
        <w:t xml:space="preserve">chedule consists of a monthly minimum charge plus a usage charge for the first 200 therms or less, and block rates for 201-1,000 therms/month and </w:t>
      </w:r>
      <w:proofErr w:type="gramStart"/>
      <w:r w:rsidRPr="005540EB">
        <w:rPr>
          <w:rFonts w:ascii="Times New Roman" w:hAnsi="Times New Roman" w:cs="Times New Roman"/>
        </w:rPr>
        <w:t>over 1,000 therms/month</w:t>
      </w:r>
      <w:proofErr w:type="gramEnd"/>
      <w:r w:rsidRPr="005540EB">
        <w:rPr>
          <w:rFonts w:ascii="Times New Roman" w:hAnsi="Times New Roman" w:cs="Times New Roman"/>
        </w:rPr>
        <w: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Extra Large General Service Schedule</w:t>
      </w:r>
      <w:r w:rsidR="00D32A7D">
        <w:rPr>
          <w:rFonts w:ascii="Times New Roman" w:hAnsi="Times New Roman" w:cs="Times New Roman"/>
        </w:rPr>
        <w:t>s</w:t>
      </w:r>
      <w:r w:rsidRPr="005540EB">
        <w:rPr>
          <w:rFonts w:ascii="Times New Roman" w:hAnsi="Times New Roman" w:cs="Times New Roman"/>
        </w:rPr>
        <w:t xml:space="preserve"> 121</w:t>
      </w:r>
      <w:r w:rsidR="00D32A7D">
        <w:rPr>
          <w:rFonts w:ascii="Times New Roman" w:hAnsi="Times New Roman" w:cs="Times New Roman"/>
        </w:rPr>
        <w:t>/122</w:t>
      </w:r>
      <w:r w:rsidRPr="005540EB">
        <w:rPr>
          <w:rFonts w:ascii="Times New Roman" w:hAnsi="Times New Roman" w:cs="Times New Roman"/>
        </w:rPr>
        <w:t xml:space="preserve"> has a five-tier declining-block rate structure with a monthly minimum charge plus a usage charge for the first 500 therms or less, and block rates for the next 500 therms, the next 9,000 therms, the next 15,000 therms, and usage over 25,000 therms/month.  There is also an annual minimum requirement of 60,000 </w:t>
      </w:r>
      <w:r w:rsidRPr="005540EB">
        <w:rPr>
          <w:rFonts w:ascii="Times New Roman" w:hAnsi="Times New Roman" w:cs="Times New Roman"/>
        </w:rPr>
        <w:lastRenderedPageBreak/>
        <w:t xml:space="preserve">therms under the schedule and a minimum load factor requirement of approximately 58%.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Interruptible Sales Service Schedule</w:t>
      </w:r>
      <w:r w:rsidR="00D32A7D">
        <w:rPr>
          <w:rFonts w:ascii="Times New Roman" w:hAnsi="Times New Roman" w:cs="Times New Roman"/>
        </w:rPr>
        <w:t>s</w:t>
      </w:r>
      <w:r w:rsidRPr="005540EB">
        <w:rPr>
          <w:rFonts w:ascii="Times New Roman" w:hAnsi="Times New Roman" w:cs="Times New Roman"/>
        </w:rPr>
        <w:t xml:space="preserve"> 131</w:t>
      </w:r>
      <w:r w:rsidR="00D32A7D">
        <w:rPr>
          <w:rFonts w:ascii="Times New Roman" w:hAnsi="Times New Roman" w:cs="Times New Roman"/>
        </w:rPr>
        <w:t>/132</w:t>
      </w:r>
      <w:r w:rsidRPr="005540EB">
        <w:rPr>
          <w:rFonts w:ascii="Times New Roman" w:hAnsi="Times New Roman" w:cs="Times New Roman"/>
        </w:rPr>
        <w:t xml:space="preserve"> has a four-tier declining-block rate structure for the first 10,000 therms, the next 15,000 therms, the next 25,000 therms, and usage over 50,000 therms per month.  The schedule also has an annual minimum deficiency charge based on a usage requirement of 250,000 therms per year.</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 xml:space="preserve">Transportation Service Schedule 146 contains </w:t>
      </w:r>
      <w:r w:rsidR="008F62BD">
        <w:rPr>
          <w:rFonts w:ascii="Times New Roman" w:hAnsi="Times New Roman" w:cs="Times New Roman"/>
        </w:rPr>
        <w:t>a monthly</w:t>
      </w:r>
      <w:r w:rsidRPr="005540EB">
        <w:rPr>
          <w:rFonts w:ascii="Times New Roman" w:hAnsi="Times New Roman" w:cs="Times New Roman"/>
        </w:rPr>
        <w:t xml:space="preserve"> customer charge and a five-tier declining-block rate structure for the first 20,000 therms, the next 30,000 therms, the next 250,000 therms, the next 200,000 therms, and usage over 500,000 therms per month.  The schedule also has an annual minimum deficiency charge based on a usage requirement of 250,000 therms per year.   </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 xml:space="preserve">Is the Company proposing any changes to the present rate structures contained in its </w:t>
      </w:r>
      <w:r w:rsidR="00D90ACA">
        <w:rPr>
          <w:rFonts w:ascii="Times New Roman" w:hAnsi="Times New Roman" w:cs="Times New Roman"/>
          <w:b/>
          <w:bCs/>
        </w:rPr>
        <w:t xml:space="preserve">natural </w:t>
      </w:r>
      <w:r w:rsidRPr="005540EB">
        <w:rPr>
          <w:rFonts w:ascii="Times New Roman" w:hAnsi="Times New Roman" w:cs="Times New Roman"/>
          <w:b/>
          <w:bCs/>
        </w:rPr>
        <w:t>gas service schedules?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No, it is not.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t>Where in your Exhibits do you show the present and proposed rates for the Company’s natural gas service schedules?</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Page 3 of Exhibit No._</w:t>
      </w:r>
      <w:r w:rsidR="00667220">
        <w:rPr>
          <w:rFonts w:ascii="Times New Roman" w:hAnsi="Times New Roman" w:cs="Times New Roman"/>
        </w:rPr>
        <w:t>_</w:t>
      </w:r>
      <w:proofErr w:type="gramStart"/>
      <w:r w:rsidR="00667220">
        <w:rPr>
          <w:rFonts w:ascii="Times New Roman" w:hAnsi="Times New Roman" w:cs="Times New Roman"/>
        </w:rPr>
        <w:t>_</w:t>
      </w:r>
      <w:r w:rsidRPr="005540EB">
        <w:rPr>
          <w:rFonts w:ascii="Times New Roman" w:hAnsi="Times New Roman" w:cs="Times New Roman"/>
        </w:rPr>
        <w:t>(</w:t>
      </w:r>
      <w:proofErr w:type="gramEnd"/>
      <w:r w:rsidR="00D8699E">
        <w:rPr>
          <w:rFonts w:ascii="Times New Roman" w:hAnsi="Times New Roman" w:cs="Times New Roman"/>
        </w:rPr>
        <w:t>PDE</w:t>
      </w:r>
      <w:r w:rsidRPr="005540EB">
        <w:rPr>
          <w:rFonts w:ascii="Times New Roman" w:hAnsi="Times New Roman" w:cs="Times New Roman"/>
        </w:rPr>
        <w:t>-7) shows the present and proposed rates under each of the rate schedules, including all present rate adjustments (adders).  Column (</w:t>
      </w:r>
      <w:r w:rsidR="00AF04A5">
        <w:rPr>
          <w:rFonts w:ascii="Times New Roman" w:hAnsi="Times New Roman" w:cs="Times New Roman"/>
        </w:rPr>
        <w:t>g</w:t>
      </w:r>
      <w:r w:rsidRPr="005540EB">
        <w:rPr>
          <w:rFonts w:ascii="Times New Roman" w:hAnsi="Times New Roman" w:cs="Times New Roman"/>
        </w:rPr>
        <w:t>) on that page shows the proposed changes to the rates contained in each of the schedules.</w:t>
      </w:r>
    </w:p>
    <w:p w:rsidR="005540EB" w:rsidRPr="005540EB" w:rsidRDefault="005540EB" w:rsidP="005540EB">
      <w:pPr>
        <w:pStyle w:val="P214"/>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Is the Company proposing </w:t>
      </w:r>
      <w:r w:rsidR="0076151E">
        <w:rPr>
          <w:rStyle w:val="T11"/>
          <w:rFonts w:ascii="Times New Roman" w:hAnsi="Times New Roman" w:cs="Times New Roman"/>
        </w:rPr>
        <w:t>a $</w:t>
      </w:r>
      <w:r w:rsidR="00AF04A5">
        <w:rPr>
          <w:rStyle w:val="T11"/>
          <w:rFonts w:ascii="Times New Roman" w:hAnsi="Times New Roman" w:cs="Times New Roman"/>
        </w:rPr>
        <w:t>3</w:t>
      </w:r>
      <w:r w:rsidR="0076151E">
        <w:rPr>
          <w:rStyle w:val="T11"/>
          <w:rFonts w:ascii="Times New Roman" w:hAnsi="Times New Roman" w:cs="Times New Roman"/>
        </w:rPr>
        <w:t xml:space="preserve">.00 per month </w:t>
      </w:r>
      <w:proofErr w:type="gramStart"/>
      <w:r w:rsidR="0076151E">
        <w:rPr>
          <w:rStyle w:val="T11"/>
          <w:rFonts w:ascii="Times New Roman" w:hAnsi="Times New Roman" w:cs="Times New Roman"/>
        </w:rPr>
        <w:t>increase</w:t>
      </w:r>
      <w:proofErr w:type="gramEnd"/>
      <w:r w:rsidRPr="005540EB">
        <w:rPr>
          <w:rStyle w:val="T11"/>
          <w:rFonts w:ascii="Times New Roman" w:hAnsi="Times New Roman" w:cs="Times New Roman"/>
        </w:rPr>
        <w:t xml:space="preserve"> to the present basic/customer charge of $</w:t>
      </w:r>
      <w:r w:rsidR="00AF04A5">
        <w:rPr>
          <w:rStyle w:val="T11"/>
          <w:rFonts w:ascii="Times New Roman" w:hAnsi="Times New Roman" w:cs="Times New Roman"/>
        </w:rPr>
        <w:t>9</w:t>
      </w:r>
      <w:r w:rsidR="001A4278">
        <w:rPr>
          <w:rStyle w:val="T11"/>
          <w:rFonts w:ascii="Times New Roman" w:hAnsi="Times New Roman" w:cs="Times New Roman"/>
        </w:rPr>
        <w:t>.00</w:t>
      </w:r>
      <w:r w:rsidRPr="005540EB">
        <w:rPr>
          <w:rStyle w:val="T11"/>
          <w:rFonts w:ascii="Times New Roman" w:hAnsi="Times New Roman" w:cs="Times New Roman"/>
        </w:rPr>
        <w:t xml:space="preserve">/month </w:t>
      </w:r>
      <w:r w:rsidR="00247DEE">
        <w:rPr>
          <w:rStyle w:val="T11"/>
          <w:rFonts w:ascii="Times New Roman" w:hAnsi="Times New Roman" w:cs="Times New Roman"/>
        </w:rPr>
        <w:t>for General Service Schedule 101</w:t>
      </w:r>
      <w:r w:rsidRPr="005540EB">
        <w:rPr>
          <w:rStyle w:val="T11"/>
          <w:rFonts w:ascii="Times New Roman" w:hAnsi="Times New Roman" w:cs="Times New Roman"/>
        </w:rPr>
        <w:t>?</w:t>
      </w:r>
    </w:p>
    <w:p w:rsidR="00CE5121" w:rsidRPr="002558EB" w:rsidRDefault="005540EB" w:rsidP="00580834">
      <w:pPr>
        <w:spacing w:line="480" w:lineRule="auto"/>
        <w:ind w:firstLine="720"/>
        <w:jc w:val="both"/>
      </w:pPr>
      <w:r w:rsidRPr="002558EB">
        <w:t>A.</w:t>
      </w:r>
      <w:r w:rsidRPr="002558EB">
        <w:tab/>
        <w:t>Yes.  The Company is proposing to increase the basic/customer charge from $</w:t>
      </w:r>
      <w:r w:rsidR="00AF04A5">
        <w:t>9</w:t>
      </w:r>
      <w:r w:rsidR="001A4278" w:rsidRPr="002558EB">
        <w:t>.00</w:t>
      </w:r>
      <w:r w:rsidRPr="002558EB">
        <w:t xml:space="preserve"> to </w:t>
      </w:r>
      <w:r w:rsidR="00257659" w:rsidRPr="002558EB">
        <w:t>$</w:t>
      </w:r>
      <w:r w:rsidR="007559C8" w:rsidRPr="002558EB">
        <w:t>12</w:t>
      </w:r>
      <w:r w:rsidR="00257659" w:rsidRPr="002558EB">
        <w:t>.00</w:t>
      </w:r>
      <w:r w:rsidR="00CE5121" w:rsidRPr="002558EB">
        <w:t xml:space="preserve"> per month, as </w:t>
      </w:r>
      <w:r w:rsidR="00CE5121" w:rsidRPr="002558EB">
        <w:rPr>
          <w:rStyle w:val="T11"/>
          <w:b w:val="0"/>
        </w:rPr>
        <w:t>t</w:t>
      </w:r>
      <w:r w:rsidRPr="002558EB">
        <w:t xml:space="preserve">he Company believes that the customer/basic charge should recover a reasonable portion of the fixed costs of providing service.  </w:t>
      </w:r>
      <w:r w:rsidR="00580834" w:rsidRPr="002558EB">
        <w:rPr>
          <w:kern w:val="24"/>
        </w:rPr>
        <w:t xml:space="preserve">Later in </w:t>
      </w:r>
      <w:r w:rsidR="00D32A7D">
        <w:rPr>
          <w:kern w:val="24"/>
        </w:rPr>
        <w:t xml:space="preserve">Section V. of </w:t>
      </w:r>
      <w:r w:rsidR="00580834" w:rsidRPr="002558EB">
        <w:rPr>
          <w:kern w:val="24"/>
        </w:rPr>
        <w:t xml:space="preserve">my </w:t>
      </w:r>
      <w:r w:rsidR="00580834" w:rsidRPr="002558EB">
        <w:rPr>
          <w:kern w:val="24"/>
        </w:rPr>
        <w:lastRenderedPageBreak/>
        <w:t>testimony I will provide greater detail as to why the Company believes the monthly customer charge should increase by $</w:t>
      </w:r>
      <w:r w:rsidR="00AF04A5">
        <w:rPr>
          <w:kern w:val="24"/>
        </w:rPr>
        <w:t>3</w:t>
      </w:r>
      <w:r w:rsidR="00580834" w:rsidRPr="002558EB">
        <w:rPr>
          <w:kern w:val="24"/>
        </w:rPr>
        <w:t>.00 per month.</w:t>
      </w:r>
    </w:p>
    <w:p w:rsidR="005540EB" w:rsidRPr="005540EB" w:rsidRDefault="005540EB" w:rsidP="005540EB">
      <w:pPr>
        <w:pStyle w:val="P214"/>
        <w:jc w:val="both"/>
        <w:rPr>
          <w:rFonts w:ascii="Times New Roman" w:hAnsi="Times New Roman" w:cs="Times New Roman"/>
        </w:rPr>
      </w:pPr>
      <w:r w:rsidRPr="002558EB">
        <w:rPr>
          <w:rStyle w:val="T11"/>
          <w:rFonts w:ascii="Times New Roman" w:hAnsi="Times New Roman" w:cs="Times New Roman"/>
        </w:rPr>
        <w:t>Q.</w:t>
      </w:r>
      <w:r w:rsidRPr="002558EB">
        <w:rPr>
          <w:rStyle w:val="T11"/>
          <w:rFonts w:ascii="Times New Roman" w:hAnsi="Times New Roman" w:cs="Times New Roman"/>
        </w:rPr>
        <w:tab/>
        <w:t xml:space="preserve">What is the proposed </w:t>
      </w:r>
      <w:r w:rsidR="00FF02B4" w:rsidRPr="002558EB">
        <w:rPr>
          <w:rStyle w:val="T11"/>
          <w:rFonts w:ascii="Times New Roman" w:hAnsi="Times New Roman" w:cs="Times New Roman"/>
        </w:rPr>
        <w:t>change</w:t>
      </w:r>
      <w:r w:rsidRPr="002558EB">
        <w:rPr>
          <w:rStyle w:val="T11"/>
          <w:rFonts w:ascii="Times New Roman" w:hAnsi="Times New Roman" w:cs="Times New Roman"/>
        </w:rPr>
        <w:t xml:space="preserve"> to the </w:t>
      </w:r>
      <w:r w:rsidR="007559C8" w:rsidRPr="002558EB">
        <w:rPr>
          <w:rStyle w:val="T11"/>
          <w:rFonts w:ascii="Times New Roman" w:hAnsi="Times New Roman" w:cs="Times New Roman"/>
        </w:rPr>
        <w:t>volumetric rates under</w:t>
      </w:r>
      <w:r w:rsidRPr="002558EB">
        <w:rPr>
          <w:rStyle w:val="T11"/>
          <w:rFonts w:ascii="Times New Roman" w:hAnsi="Times New Roman" w:cs="Times New Roman"/>
        </w:rPr>
        <w:t xml:space="preserve"> Schedule 101 in order to achieve the total</w:t>
      </w:r>
      <w:r w:rsidRPr="005540EB">
        <w:rPr>
          <w:rStyle w:val="T11"/>
          <w:rFonts w:ascii="Times New Roman" w:hAnsi="Times New Roman" w:cs="Times New Roman"/>
        </w:rPr>
        <w:t xml:space="preserve"> pro</w:t>
      </w:r>
      <w:r w:rsidR="00B312FA">
        <w:rPr>
          <w:rStyle w:val="T11"/>
          <w:rFonts w:ascii="Times New Roman" w:hAnsi="Times New Roman" w:cs="Times New Roman"/>
        </w:rPr>
        <w:t>posed revenue increase for the s</w:t>
      </w:r>
      <w:r w:rsidRPr="005540EB">
        <w:rPr>
          <w:rStyle w:val="T11"/>
          <w:rFonts w:ascii="Times New Roman" w:hAnsi="Times New Roman" w:cs="Times New Roman"/>
        </w:rPr>
        <w:t>chedule?</w:t>
      </w:r>
    </w:p>
    <w:p w:rsidR="005540EB" w:rsidRPr="005540EB" w:rsidRDefault="005540EB" w:rsidP="007559C8">
      <w:pPr>
        <w:pStyle w:val="P214"/>
        <w:tabs>
          <w:tab w:val="left" w:pos="1350"/>
        </w:tabs>
        <w:jc w:val="both"/>
        <w:rPr>
          <w:rFonts w:ascii="Times New Roman" w:hAnsi="Times New Roman" w:cs="Times New Roman"/>
        </w:rPr>
      </w:pPr>
      <w:r w:rsidRPr="00257659">
        <w:rPr>
          <w:rFonts w:ascii="Times New Roman" w:hAnsi="Times New Roman" w:cs="Times New Roman"/>
        </w:rPr>
        <w:t>A.</w:t>
      </w:r>
      <w:r w:rsidRPr="00257659">
        <w:rPr>
          <w:rFonts w:ascii="Times New Roman" w:hAnsi="Times New Roman" w:cs="Times New Roman"/>
        </w:rPr>
        <w:tab/>
      </w:r>
      <w:r w:rsidR="00434EE0" w:rsidRPr="00045C70">
        <w:rPr>
          <w:rFonts w:ascii="Times New Roman" w:hAnsi="Times New Roman" w:cs="Times New Roman"/>
        </w:rPr>
        <w:t xml:space="preserve">The Company, </w:t>
      </w:r>
      <w:r w:rsidRPr="00045C70">
        <w:rPr>
          <w:rFonts w:ascii="Times New Roman" w:hAnsi="Times New Roman" w:cs="Times New Roman"/>
        </w:rPr>
        <w:t>as shown in column (</w:t>
      </w:r>
      <w:r w:rsidR="008C51DB">
        <w:rPr>
          <w:rFonts w:ascii="Times New Roman" w:hAnsi="Times New Roman" w:cs="Times New Roman"/>
        </w:rPr>
        <w:t>g</w:t>
      </w:r>
      <w:r w:rsidRPr="00045C70">
        <w:rPr>
          <w:rFonts w:ascii="Times New Roman" w:hAnsi="Times New Roman" w:cs="Times New Roman"/>
        </w:rPr>
        <w:t>), page 3 of Exhibit No._</w:t>
      </w:r>
      <w:r w:rsidR="00667220" w:rsidRPr="00045C70">
        <w:rPr>
          <w:rFonts w:ascii="Times New Roman" w:hAnsi="Times New Roman" w:cs="Times New Roman"/>
        </w:rPr>
        <w:t>_</w:t>
      </w:r>
      <w:proofErr w:type="gramStart"/>
      <w:r w:rsidR="00667220" w:rsidRPr="00045C70">
        <w:rPr>
          <w:rFonts w:ascii="Times New Roman" w:hAnsi="Times New Roman" w:cs="Times New Roman"/>
        </w:rPr>
        <w:t>_</w:t>
      </w:r>
      <w:r w:rsidRPr="00045C70">
        <w:rPr>
          <w:rFonts w:ascii="Times New Roman" w:hAnsi="Times New Roman" w:cs="Times New Roman"/>
        </w:rPr>
        <w:t>(</w:t>
      </w:r>
      <w:proofErr w:type="gramEnd"/>
      <w:r w:rsidR="00D8699E" w:rsidRPr="00045C70">
        <w:rPr>
          <w:rFonts w:ascii="Times New Roman" w:hAnsi="Times New Roman" w:cs="Times New Roman"/>
        </w:rPr>
        <w:t>PDE</w:t>
      </w:r>
      <w:r w:rsidRPr="00045C70">
        <w:rPr>
          <w:rFonts w:ascii="Times New Roman" w:hAnsi="Times New Roman" w:cs="Times New Roman"/>
        </w:rPr>
        <w:t>-7)</w:t>
      </w:r>
      <w:r w:rsidR="00434EE0" w:rsidRPr="00045C70">
        <w:rPr>
          <w:rFonts w:ascii="Times New Roman" w:hAnsi="Times New Roman" w:cs="Times New Roman"/>
        </w:rPr>
        <w:t xml:space="preserve">, </w:t>
      </w:r>
      <w:r w:rsidR="00257659" w:rsidRPr="00045C70">
        <w:rPr>
          <w:rFonts w:ascii="Times New Roman" w:hAnsi="Times New Roman" w:cs="Times New Roman"/>
        </w:rPr>
        <w:t xml:space="preserve">has proposed to </w:t>
      </w:r>
      <w:r w:rsidR="007559C8">
        <w:rPr>
          <w:rFonts w:ascii="Times New Roman" w:hAnsi="Times New Roman" w:cs="Times New Roman"/>
        </w:rPr>
        <w:t xml:space="preserve">increase the </w:t>
      </w:r>
      <w:r w:rsidR="00434EE0" w:rsidRPr="00045C70">
        <w:rPr>
          <w:rFonts w:ascii="Times New Roman" w:hAnsi="Times New Roman" w:cs="Times New Roman"/>
        </w:rPr>
        <w:t>per therm rate</w:t>
      </w:r>
      <w:r w:rsidR="007559C8">
        <w:rPr>
          <w:rFonts w:ascii="Times New Roman" w:hAnsi="Times New Roman" w:cs="Times New Roman"/>
        </w:rPr>
        <w:t xml:space="preserve"> for the two volumetric blocks on a uniform percentage basis.  The first block (0-70 therms) would increase from $0.</w:t>
      </w:r>
      <w:r w:rsidR="00AF04A5">
        <w:rPr>
          <w:rFonts w:ascii="Times New Roman" w:hAnsi="Times New Roman" w:cs="Times New Roman"/>
        </w:rPr>
        <w:t>84808</w:t>
      </w:r>
      <w:r w:rsidR="007559C8">
        <w:rPr>
          <w:rFonts w:ascii="Times New Roman" w:hAnsi="Times New Roman" w:cs="Times New Roman"/>
        </w:rPr>
        <w:t xml:space="preserve"> to $0.</w:t>
      </w:r>
      <w:r w:rsidR="00AF04A5">
        <w:rPr>
          <w:rFonts w:ascii="Times New Roman" w:hAnsi="Times New Roman" w:cs="Times New Roman"/>
        </w:rPr>
        <w:t>88351</w:t>
      </w:r>
      <w:r w:rsidR="007559C8">
        <w:rPr>
          <w:rFonts w:ascii="Times New Roman" w:hAnsi="Times New Roman" w:cs="Times New Roman"/>
        </w:rPr>
        <w:t xml:space="preserve"> </w:t>
      </w:r>
      <w:r w:rsidR="00D44A55" w:rsidRPr="00045C70">
        <w:rPr>
          <w:rFonts w:ascii="Times New Roman" w:hAnsi="Times New Roman" w:cs="Times New Roman"/>
        </w:rPr>
        <w:t>(including Schedule 150 natural gas costs)</w:t>
      </w:r>
      <w:r w:rsidR="007559C8">
        <w:rPr>
          <w:rFonts w:ascii="Times New Roman" w:hAnsi="Times New Roman" w:cs="Times New Roman"/>
        </w:rPr>
        <w:t xml:space="preserve">, and the second block (over 70 therms) would increase from </w:t>
      </w:r>
      <w:r w:rsidR="00257659" w:rsidRPr="00045C70">
        <w:rPr>
          <w:rFonts w:ascii="Times New Roman" w:hAnsi="Times New Roman" w:cs="Times New Roman"/>
        </w:rPr>
        <w:t>$0.</w:t>
      </w:r>
      <w:r w:rsidR="00AF04A5">
        <w:rPr>
          <w:rFonts w:ascii="Times New Roman" w:hAnsi="Times New Roman" w:cs="Times New Roman"/>
        </w:rPr>
        <w:t>95421</w:t>
      </w:r>
      <w:r w:rsidR="00257659" w:rsidRPr="00045C70">
        <w:rPr>
          <w:rFonts w:ascii="Times New Roman" w:hAnsi="Times New Roman" w:cs="Times New Roman"/>
        </w:rPr>
        <w:t xml:space="preserve"> per therm to $0.</w:t>
      </w:r>
      <w:r w:rsidR="008F62BD">
        <w:rPr>
          <w:rFonts w:ascii="Times New Roman" w:hAnsi="Times New Roman" w:cs="Times New Roman"/>
        </w:rPr>
        <w:t>9</w:t>
      </w:r>
      <w:r w:rsidR="00AF04A5">
        <w:rPr>
          <w:rFonts w:ascii="Times New Roman" w:hAnsi="Times New Roman" w:cs="Times New Roman"/>
        </w:rPr>
        <w:t>9408</w:t>
      </w:r>
      <w:r w:rsidR="00257659" w:rsidRPr="00045C70">
        <w:rPr>
          <w:rFonts w:ascii="Times New Roman" w:hAnsi="Times New Roman" w:cs="Times New Roman"/>
        </w:rPr>
        <w:t xml:space="preserve"> per therm</w:t>
      </w:r>
      <w:r w:rsidRPr="00045C70">
        <w:rPr>
          <w:rFonts w:ascii="Times New Roman" w:hAnsi="Times New Roman" w:cs="Times New Roman"/>
        </w:rPr>
        <w:t>.</w:t>
      </w:r>
      <w:r w:rsidRPr="00257659">
        <w:rPr>
          <w:rFonts w:ascii="Times New Roman" w:hAnsi="Times New Roman" w:cs="Times New Roman"/>
        </w:rPr>
        <w:t xml:space="preserve">  </w:t>
      </w:r>
      <w:r w:rsidR="00FF02B4" w:rsidRPr="00257659">
        <w:rPr>
          <w:rFonts w:ascii="Times New Roman" w:hAnsi="Times New Roman" w:cs="Times New Roman"/>
        </w:rPr>
        <w:t xml:space="preserve"> </w:t>
      </w:r>
    </w:p>
    <w:p w:rsidR="005540EB" w:rsidRPr="00C679F4" w:rsidRDefault="005540EB" w:rsidP="005540EB">
      <w:pPr>
        <w:pStyle w:val="P214"/>
        <w:jc w:val="both"/>
        <w:rPr>
          <w:rFonts w:ascii="Times New Roman" w:hAnsi="Times New Roman" w:cs="Times New Roman"/>
        </w:rPr>
      </w:pPr>
      <w:r w:rsidRPr="00C679F4">
        <w:rPr>
          <w:rStyle w:val="T11"/>
          <w:rFonts w:ascii="Times New Roman" w:hAnsi="Times New Roman" w:cs="Times New Roman"/>
        </w:rPr>
        <w:t>Q.</w:t>
      </w:r>
      <w:r w:rsidRPr="00C679F4">
        <w:rPr>
          <w:rStyle w:val="T11"/>
          <w:rFonts w:ascii="Times New Roman" w:hAnsi="Times New Roman" w:cs="Times New Roman"/>
        </w:rPr>
        <w:tab/>
        <w:t>What would be the increase in a residential customer’s bill with average usage based on the proposed increase for Schedule 101?</w:t>
      </w:r>
    </w:p>
    <w:p w:rsidR="005540EB" w:rsidRDefault="005540EB" w:rsidP="005540EB">
      <w:pPr>
        <w:pStyle w:val="P190"/>
        <w:jc w:val="both"/>
        <w:rPr>
          <w:rFonts w:ascii="Times New Roman" w:hAnsi="Times New Roman" w:cs="Times New Roman"/>
        </w:rPr>
      </w:pPr>
      <w:r w:rsidRPr="00C679F4">
        <w:rPr>
          <w:rFonts w:ascii="Times New Roman" w:hAnsi="Times New Roman" w:cs="Times New Roman"/>
        </w:rPr>
        <w:t>A.</w:t>
      </w:r>
      <w:r w:rsidRPr="00C679F4">
        <w:rPr>
          <w:rFonts w:ascii="Times New Roman" w:hAnsi="Times New Roman" w:cs="Times New Roman"/>
        </w:rPr>
        <w:tab/>
        <w:t xml:space="preserve">The increase for a residential customer using an average of </w:t>
      </w:r>
      <w:r w:rsidR="008F62BD" w:rsidRPr="00C679F4">
        <w:rPr>
          <w:rFonts w:ascii="Times New Roman" w:hAnsi="Times New Roman" w:cs="Times New Roman"/>
        </w:rPr>
        <w:t>6</w:t>
      </w:r>
      <w:r w:rsidR="00C679F4" w:rsidRPr="00C679F4">
        <w:rPr>
          <w:rFonts w:ascii="Times New Roman" w:hAnsi="Times New Roman" w:cs="Times New Roman"/>
        </w:rPr>
        <w:t>8</w:t>
      </w:r>
      <w:r w:rsidRPr="00C679F4">
        <w:rPr>
          <w:rFonts w:ascii="Times New Roman" w:hAnsi="Times New Roman" w:cs="Times New Roman"/>
        </w:rPr>
        <w:t xml:space="preserve"> therms of</w:t>
      </w:r>
      <w:r w:rsidR="00580834" w:rsidRPr="00C679F4">
        <w:rPr>
          <w:rFonts w:ascii="Times New Roman" w:hAnsi="Times New Roman" w:cs="Times New Roman"/>
        </w:rPr>
        <w:t xml:space="preserve"> natural </w:t>
      </w:r>
      <w:r w:rsidRPr="00C679F4">
        <w:rPr>
          <w:rFonts w:ascii="Times New Roman" w:hAnsi="Times New Roman" w:cs="Times New Roman"/>
        </w:rPr>
        <w:t>gas per month would be $</w:t>
      </w:r>
      <w:r w:rsidR="00C679F4" w:rsidRPr="00C679F4">
        <w:rPr>
          <w:rFonts w:ascii="Times New Roman" w:hAnsi="Times New Roman" w:cs="Times New Roman"/>
        </w:rPr>
        <w:t>5.41</w:t>
      </w:r>
      <w:r w:rsidRPr="00C679F4">
        <w:rPr>
          <w:rFonts w:ascii="Times New Roman" w:hAnsi="Times New Roman" w:cs="Times New Roman"/>
        </w:rPr>
        <w:t xml:space="preserve"> per month, or </w:t>
      </w:r>
      <w:r w:rsidR="00C679F4" w:rsidRPr="00C679F4">
        <w:rPr>
          <w:rFonts w:ascii="Times New Roman" w:hAnsi="Times New Roman" w:cs="Times New Roman"/>
        </w:rPr>
        <w:t>7.9</w:t>
      </w:r>
      <w:r w:rsidRPr="00C679F4">
        <w:rPr>
          <w:rFonts w:ascii="Times New Roman" w:hAnsi="Times New Roman" w:cs="Times New Roman"/>
        </w:rPr>
        <w:t xml:space="preserve">%.  A bill for </w:t>
      </w:r>
      <w:r w:rsidR="00C679F4" w:rsidRPr="00C679F4">
        <w:rPr>
          <w:rFonts w:ascii="Times New Roman" w:hAnsi="Times New Roman" w:cs="Times New Roman"/>
        </w:rPr>
        <w:t>68</w:t>
      </w:r>
      <w:r w:rsidRPr="00C679F4">
        <w:rPr>
          <w:rFonts w:ascii="Times New Roman" w:hAnsi="Times New Roman" w:cs="Times New Roman"/>
        </w:rPr>
        <w:t xml:space="preserve"> therms per month would increase from the present level of $</w:t>
      </w:r>
      <w:r w:rsidR="00C679F4" w:rsidRPr="00C679F4">
        <w:rPr>
          <w:rFonts w:ascii="Times New Roman" w:hAnsi="Times New Roman" w:cs="Times New Roman"/>
        </w:rPr>
        <w:t>68.16</w:t>
      </w:r>
      <w:r w:rsidRPr="00C679F4">
        <w:rPr>
          <w:rFonts w:ascii="Times New Roman" w:hAnsi="Times New Roman" w:cs="Times New Roman"/>
        </w:rPr>
        <w:t xml:space="preserve"> to a proposed level of $</w:t>
      </w:r>
      <w:r w:rsidR="00C679F4" w:rsidRPr="00C679F4">
        <w:rPr>
          <w:rFonts w:ascii="Times New Roman" w:hAnsi="Times New Roman" w:cs="Times New Roman"/>
        </w:rPr>
        <w:t>73.57</w:t>
      </w:r>
      <w:r w:rsidRPr="00C679F4">
        <w:rPr>
          <w:rFonts w:ascii="Times New Roman" w:hAnsi="Times New Roman" w:cs="Times New Roman"/>
        </w:rPr>
        <w:t>.</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8F5275">
        <w:rPr>
          <w:rFonts w:ascii="Times New Roman" w:hAnsi="Times New Roman" w:cs="Times New Roman"/>
          <w:b/>
          <w:bCs/>
        </w:rPr>
        <w:t>Q.</w:t>
      </w:r>
      <w:r w:rsidRPr="008F5275">
        <w:rPr>
          <w:rFonts w:ascii="Times New Roman" w:hAnsi="Times New Roman" w:cs="Times New Roman"/>
          <w:b/>
          <w:bCs/>
        </w:rPr>
        <w:tab/>
      </w:r>
      <w:r w:rsidR="00D32A7D">
        <w:rPr>
          <w:rFonts w:ascii="Times New Roman" w:hAnsi="Times New Roman" w:cs="Times New Roman"/>
          <w:b/>
          <w:bCs/>
        </w:rPr>
        <w:t>P</w:t>
      </w:r>
      <w:r w:rsidRPr="008F5275">
        <w:rPr>
          <w:rFonts w:ascii="Times New Roman" w:hAnsi="Times New Roman" w:cs="Times New Roman"/>
          <w:b/>
          <w:bCs/>
        </w:rPr>
        <w:t>lease explain the proposed changes in the rates for Large and Extra Large Genera</w:t>
      </w:r>
      <w:r w:rsidR="00D32A7D">
        <w:rPr>
          <w:rFonts w:ascii="Times New Roman" w:hAnsi="Times New Roman" w:cs="Times New Roman"/>
          <w:b/>
          <w:bCs/>
        </w:rPr>
        <w:t>l Service Schedules 111/112 and 121/122</w:t>
      </w:r>
      <w:r w:rsidR="00D6388A">
        <w:rPr>
          <w:rFonts w:ascii="Times New Roman" w:hAnsi="Times New Roman" w:cs="Times New Roman"/>
          <w:b/>
          <w:bCs/>
        </w:rPr>
        <w:t>.</w:t>
      </w:r>
    </w:p>
    <w:p w:rsidR="005540EB" w:rsidRPr="000B55F7"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The present rates for Schedules 101, 111</w:t>
      </w:r>
      <w:r w:rsidR="00D32A7D">
        <w:rPr>
          <w:rFonts w:ascii="Times New Roman" w:hAnsi="Times New Roman" w:cs="Times New Roman"/>
        </w:rPr>
        <w:t>/112</w:t>
      </w:r>
      <w:r w:rsidRPr="005540EB">
        <w:rPr>
          <w:rFonts w:ascii="Times New Roman" w:hAnsi="Times New Roman" w:cs="Times New Roman"/>
        </w:rPr>
        <w:t>, and 121</w:t>
      </w:r>
      <w:r w:rsidR="00D32A7D">
        <w:rPr>
          <w:rFonts w:ascii="Times New Roman" w:hAnsi="Times New Roman" w:cs="Times New Roman"/>
        </w:rPr>
        <w:t>/122</w:t>
      </w:r>
      <w:r w:rsidRPr="005540EB">
        <w:rPr>
          <w:rFonts w:ascii="Times New Roman" w:hAnsi="Times New Roman" w:cs="Times New Roman"/>
        </w:rPr>
        <w:t xml:space="preserve"> provide a clear distinction for customer placement:  customers who use less than 200 therms/month should be placed on Schedule 101, customers who use between 200 and 10,000 therms per month should be placed on Schedule</w:t>
      </w:r>
      <w:r w:rsidR="00891F68">
        <w:rPr>
          <w:rFonts w:ascii="Times New Roman" w:hAnsi="Times New Roman" w:cs="Times New Roman"/>
        </w:rPr>
        <w:t>s</w:t>
      </w:r>
      <w:r w:rsidRPr="005540EB">
        <w:rPr>
          <w:rFonts w:ascii="Times New Roman" w:hAnsi="Times New Roman" w:cs="Times New Roman"/>
        </w:rPr>
        <w:t xml:space="preserve"> 111</w:t>
      </w:r>
      <w:r w:rsidR="00D32A7D">
        <w:rPr>
          <w:rFonts w:ascii="Times New Roman" w:hAnsi="Times New Roman" w:cs="Times New Roman"/>
        </w:rPr>
        <w:t>/112</w:t>
      </w:r>
      <w:r w:rsidRPr="005540EB">
        <w:rPr>
          <w:rFonts w:ascii="Times New Roman" w:hAnsi="Times New Roman" w:cs="Times New Roman"/>
        </w:rPr>
        <w:t>, and only those customers who generally use over 10,000 therms per month should be placed on Schedule</w:t>
      </w:r>
      <w:r w:rsidR="00891F68">
        <w:rPr>
          <w:rFonts w:ascii="Times New Roman" w:hAnsi="Times New Roman" w:cs="Times New Roman"/>
        </w:rPr>
        <w:t>s</w:t>
      </w:r>
      <w:r w:rsidRPr="005540EB">
        <w:rPr>
          <w:rFonts w:ascii="Times New Roman" w:hAnsi="Times New Roman" w:cs="Times New Roman"/>
        </w:rPr>
        <w:t xml:space="preserve"> 121</w:t>
      </w:r>
      <w:r w:rsidR="00D32A7D">
        <w:rPr>
          <w:rFonts w:ascii="Times New Roman" w:hAnsi="Times New Roman" w:cs="Times New Roman"/>
        </w:rPr>
        <w:t>/122</w:t>
      </w:r>
      <w:r w:rsidRPr="005540EB">
        <w:rPr>
          <w:rFonts w:ascii="Times New Roman" w:hAnsi="Times New Roman" w:cs="Times New Roman"/>
        </w:rPr>
        <w:t xml:space="preserve">.  Not only do the rates provide guidance for customer schedule placement, they provide a reasonable classification of customers for analyzing the </w:t>
      </w:r>
      <w:r w:rsidRPr="000B55F7">
        <w:rPr>
          <w:rFonts w:ascii="Times New Roman" w:hAnsi="Times New Roman" w:cs="Times New Roman"/>
        </w:rPr>
        <w:t>costs of providing service.</w:t>
      </w:r>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0B55F7">
        <w:rPr>
          <w:rFonts w:ascii="Times New Roman" w:hAnsi="Times New Roman" w:cs="Times New Roman"/>
        </w:rPr>
        <w:lastRenderedPageBreak/>
        <w:t>The Company’s proposed rates for Schedules 111</w:t>
      </w:r>
      <w:r w:rsidR="00D32A7D">
        <w:rPr>
          <w:rFonts w:ascii="Times New Roman" w:hAnsi="Times New Roman" w:cs="Times New Roman"/>
        </w:rPr>
        <w:t>/112</w:t>
      </w:r>
      <w:r w:rsidRPr="000B55F7">
        <w:rPr>
          <w:rFonts w:ascii="Times New Roman" w:hAnsi="Times New Roman" w:cs="Times New Roman"/>
        </w:rPr>
        <w:t xml:space="preserve"> and 121</w:t>
      </w:r>
      <w:r w:rsidR="00D32A7D">
        <w:rPr>
          <w:rFonts w:ascii="Times New Roman" w:hAnsi="Times New Roman" w:cs="Times New Roman"/>
        </w:rPr>
        <w:t>/122</w:t>
      </w:r>
      <w:r w:rsidRPr="000B55F7">
        <w:rPr>
          <w:rFonts w:ascii="Times New Roman" w:hAnsi="Times New Roman" w:cs="Times New Roman"/>
        </w:rPr>
        <w:t xml:space="preserve"> will maintain the rate structure within the schedules and continue to provide guidance for appropriate schedule placement for customers and a reasonable classification for cost analysis.  The proposed minimum charge </w:t>
      </w:r>
      <w:r w:rsidR="00B83A07">
        <w:rPr>
          <w:rFonts w:ascii="Times New Roman" w:hAnsi="Times New Roman" w:cs="Times New Roman"/>
        </w:rPr>
        <w:t>of</w:t>
      </w:r>
      <w:r w:rsidR="006D1C8A">
        <w:rPr>
          <w:rFonts w:ascii="Times New Roman" w:hAnsi="Times New Roman" w:cs="Times New Roman"/>
        </w:rPr>
        <w:t xml:space="preserve"> $</w:t>
      </w:r>
      <w:r w:rsidR="00AF04A5">
        <w:rPr>
          <w:rFonts w:ascii="Times New Roman" w:hAnsi="Times New Roman" w:cs="Times New Roman"/>
        </w:rPr>
        <w:t>97.70</w:t>
      </w:r>
      <w:r w:rsidR="006D1C8A">
        <w:rPr>
          <w:rFonts w:ascii="Times New Roman" w:hAnsi="Times New Roman" w:cs="Times New Roman"/>
        </w:rPr>
        <w:t xml:space="preserve"> per month </w:t>
      </w:r>
      <w:r w:rsidRPr="000B55F7">
        <w:rPr>
          <w:rFonts w:ascii="Times New Roman" w:hAnsi="Times New Roman" w:cs="Times New Roman"/>
        </w:rPr>
        <w:t>for Schedule</w:t>
      </w:r>
      <w:r w:rsidR="00891F68">
        <w:rPr>
          <w:rFonts w:ascii="Times New Roman" w:hAnsi="Times New Roman" w:cs="Times New Roman"/>
        </w:rPr>
        <w:t>s</w:t>
      </w:r>
      <w:r w:rsidRPr="000B55F7">
        <w:rPr>
          <w:rFonts w:ascii="Times New Roman" w:hAnsi="Times New Roman" w:cs="Times New Roman"/>
        </w:rPr>
        <w:t xml:space="preserve"> 111</w:t>
      </w:r>
      <w:r w:rsidR="00D32A7D">
        <w:rPr>
          <w:rFonts w:ascii="Times New Roman" w:hAnsi="Times New Roman" w:cs="Times New Roman"/>
        </w:rPr>
        <w:t>/112</w:t>
      </w:r>
      <w:r w:rsidRPr="000B55F7">
        <w:rPr>
          <w:rFonts w:ascii="Times New Roman" w:hAnsi="Times New Roman" w:cs="Times New Roman"/>
        </w:rPr>
        <w:t xml:space="preserve"> (for 200 therms or less) maintains the present relationship between the </w:t>
      </w:r>
      <w:r w:rsidR="000B55F7" w:rsidRPr="000B55F7">
        <w:rPr>
          <w:rFonts w:ascii="Times New Roman" w:hAnsi="Times New Roman" w:cs="Times New Roman"/>
        </w:rPr>
        <w:t>Schedule 101 and 111</w:t>
      </w:r>
      <w:r w:rsidR="00D32A7D">
        <w:rPr>
          <w:rFonts w:ascii="Times New Roman" w:hAnsi="Times New Roman" w:cs="Times New Roman"/>
        </w:rPr>
        <w:t>/112</w:t>
      </w:r>
      <w:r w:rsidRPr="000B55F7">
        <w:rPr>
          <w:rFonts w:ascii="Times New Roman" w:hAnsi="Times New Roman" w:cs="Times New Roman"/>
        </w:rPr>
        <w:t>, and will minimize customer shifting</w:t>
      </w:r>
      <w:r w:rsidR="00247DEE">
        <w:rPr>
          <w:rStyle w:val="FootnoteReference"/>
          <w:rFonts w:ascii="Times New Roman" w:hAnsi="Times New Roman"/>
        </w:rPr>
        <w:footnoteReference w:id="8"/>
      </w:r>
      <w:r w:rsidRPr="000B55F7">
        <w:rPr>
          <w:rFonts w:ascii="Times New Roman" w:hAnsi="Times New Roman" w:cs="Times New Roman"/>
        </w:rPr>
        <w:t>.  The remaining proposed revenue increase for Schedule</w:t>
      </w:r>
      <w:r w:rsidR="00891F68">
        <w:rPr>
          <w:rFonts w:ascii="Times New Roman" w:hAnsi="Times New Roman" w:cs="Times New Roman"/>
        </w:rPr>
        <w:t>s</w:t>
      </w:r>
      <w:r w:rsidRPr="000B55F7">
        <w:rPr>
          <w:rFonts w:ascii="Times New Roman" w:hAnsi="Times New Roman" w:cs="Times New Roman"/>
        </w:rPr>
        <w:t xml:space="preserve"> 111</w:t>
      </w:r>
      <w:r w:rsidR="00D32A7D">
        <w:rPr>
          <w:rFonts w:ascii="Times New Roman" w:hAnsi="Times New Roman" w:cs="Times New Roman"/>
        </w:rPr>
        <w:t>/112</w:t>
      </w:r>
      <w:r w:rsidRPr="000B55F7">
        <w:rPr>
          <w:rFonts w:ascii="Times New Roman" w:hAnsi="Times New Roman" w:cs="Times New Roman"/>
        </w:rPr>
        <w:t xml:space="preserve"> was then spread on a uniform percentage increase of </w:t>
      </w:r>
      <w:r w:rsidR="00AF04A5">
        <w:rPr>
          <w:rFonts w:ascii="Times New Roman" w:hAnsi="Times New Roman" w:cs="Times New Roman"/>
        </w:rPr>
        <w:t>3.4</w:t>
      </w:r>
      <w:r w:rsidRPr="000B55F7">
        <w:rPr>
          <w:rFonts w:ascii="Times New Roman" w:hAnsi="Times New Roman" w:cs="Times New Roman"/>
        </w:rPr>
        <w:t>% to the remai</w:t>
      </w:r>
      <w:r w:rsidR="00B312FA" w:rsidRPr="000B55F7">
        <w:rPr>
          <w:rFonts w:ascii="Times New Roman" w:hAnsi="Times New Roman" w:cs="Times New Roman"/>
        </w:rPr>
        <w:t>ning two rate blocks under the s</w:t>
      </w:r>
      <w:r w:rsidRPr="000B55F7">
        <w:rPr>
          <w:rFonts w:ascii="Times New Roman" w:hAnsi="Times New Roman" w:cs="Times New Roman"/>
        </w:rPr>
        <w:t xml:space="preserve">chedule, resulting in an overall revenue increase of </w:t>
      </w:r>
      <w:r w:rsidR="00AF04A5">
        <w:rPr>
          <w:rFonts w:ascii="Times New Roman" w:hAnsi="Times New Roman" w:cs="Times New Roman"/>
        </w:rPr>
        <w:t>3.8</w:t>
      </w:r>
      <w:r w:rsidR="00B312FA" w:rsidRPr="000B55F7">
        <w:rPr>
          <w:rFonts w:ascii="Times New Roman" w:hAnsi="Times New Roman" w:cs="Times New Roman"/>
        </w:rPr>
        <w:t>% for the s</w:t>
      </w:r>
      <w:r w:rsidRPr="000B55F7">
        <w:rPr>
          <w:rFonts w:ascii="Times New Roman" w:hAnsi="Times New Roman" w:cs="Times New Roman"/>
        </w:rPr>
        <w:t>chedule.</w:t>
      </w:r>
    </w:p>
    <w:p w:rsidR="00384DAD" w:rsidRDefault="00384DAD"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045C70">
        <w:rPr>
          <w:rFonts w:ascii="Times New Roman" w:hAnsi="Times New Roman" w:cs="Times New Roman"/>
        </w:rPr>
        <w:t>For Schedule</w:t>
      </w:r>
      <w:r w:rsidR="00891F68">
        <w:rPr>
          <w:rFonts w:ascii="Times New Roman" w:hAnsi="Times New Roman" w:cs="Times New Roman"/>
        </w:rPr>
        <w:t>s</w:t>
      </w:r>
      <w:r w:rsidRPr="00045C70">
        <w:rPr>
          <w:rFonts w:ascii="Times New Roman" w:hAnsi="Times New Roman" w:cs="Times New Roman"/>
        </w:rPr>
        <w:t xml:space="preserve"> 121</w:t>
      </w:r>
      <w:r w:rsidR="00891F68">
        <w:rPr>
          <w:rFonts w:ascii="Times New Roman" w:hAnsi="Times New Roman" w:cs="Times New Roman"/>
        </w:rPr>
        <w:t>/122</w:t>
      </w:r>
      <w:r w:rsidRPr="00045C70">
        <w:rPr>
          <w:rFonts w:ascii="Times New Roman" w:hAnsi="Times New Roman" w:cs="Times New Roman"/>
        </w:rPr>
        <w:t xml:space="preserve">, </w:t>
      </w:r>
      <w:r w:rsidR="000B55F7">
        <w:rPr>
          <w:rFonts w:ascii="Times New Roman" w:hAnsi="Times New Roman" w:cs="Times New Roman"/>
        </w:rPr>
        <w:t>in order to maintain the present relationship</w:t>
      </w:r>
      <w:r w:rsidR="006D1C8A">
        <w:rPr>
          <w:rFonts w:ascii="Times New Roman" w:hAnsi="Times New Roman" w:cs="Times New Roman"/>
        </w:rPr>
        <w:t xml:space="preserve"> between the schedules, the minimum monthly charge is set at $</w:t>
      </w:r>
      <w:r w:rsidR="00AF04A5">
        <w:rPr>
          <w:rFonts w:ascii="Times New Roman" w:hAnsi="Times New Roman" w:cs="Times New Roman"/>
        </w:rPr>
        <w:t>237.86</w:t>
      </w:r>
      <w:r w:rsidR="006D1C8A">
        <w:rPr>
          <w:rFonts w:ascii="Times New Roman" w:hAnsi="Times New Roman" w:cs="Times New Roman"/>
        </w:rPr>
        <w:t xml:space="preserve"> per month.  </w:t>
      </w:r>
      <w:r w:rsidRPr="00045C70">
        <w:rPr>
          <w:rFonts w:ascii="Times New Roman" w:hAnsi="Times New Roman" w:cs="Times New Roman"/>
        </w:rPr>
        <w:t>The minimum</w:t>
      </w:r>
      <w:r w:rsidRPr="00257659">
        <w:rPr>
          <w:rFonts w:ascii="Times New Roman" w:hAnsi="Times New Roman" w:cs="Times New Roman"/>
        </w:rPr>
        <w:t xml:space="preserve"> charge is derived by adding the proposed Schedule 101 basic charge of $</w:t>
      </w:r>
      <w:r w:rsidR="0080740D">
        <w:rPr>
          <w:rFonts w:ascii="Times New Roman" w:hAnsi="Times New Roman" w:cs="Times New Roman"/>
        </w:rPr>
        <w:t>12</w:t>
      </w:r>
      <w:r w:rsidRPr="00257659">
        <w:rPr>
          <w:rFonts w:ascii="Times New Roman" w:hAnsi="Times New Roman" w:cs="Times New Roman"/>
        </w:rPr>
        <w:t xml:space="preserve"> to the</w:t>
      </w:r>
      <w:r>
        <w:rPr>
          <w:rFonts w:ascii="Times New Roman" w:hAnsi="Times New Roman" w:cs="Times New Roman"/>
        </w:rPr>
        <w:t xml:space="preserve"> product of 500 therms multiplied by the</w:t>
      </w:r>
      <w:r w:rsidR="0080740D">
        <w:rPr>
          <w:rFonts w:ascii="Times New Roman" w:hAnsi="Times New Roman" w:cs="Times New Roman"/>
        </w:rPr>
        <w:t xml:space="preserve"> proposed</w:t>
      </w:r>
      <w:r>
        <w:rPr>
          <w:rFonts w:ascii="Times New Roman" w:hAnsi="Times New Roman" w:cs="Times New Roman"/>
        </w:rPr>
        <w:t xml:space="preserve"> </w:t>
      </w:r>
      <w:r w:rsidR="0080740D">
        <w:rPr>
          <w:rFonts w:ascii="Times New Roman" w:hAnsi="Times New Roman" w:cs="Times New Roman"/>
        </w:rPr>
        <w:t xml:space="preserve">Schedule 101 </w:t>
      </w:r>
      <w:r>
        <w:rPr>
          <w:rFonts w:ascii="Times New Roman" w:hAnsi="Times New Roman" w:cs="Times New Roman"/>
        </w:rPr>
        <w:t>rate</w:t>
      </w:r>
      <w:r w:rsidR="0080740D">
        <w:rPr>
          <w:rFonts w:ascii="Times New Roman" w:hAnsi="Times New Roman" w:cs="Times New Roman"/>
        </w:rPr>
        <w:t>s</w:t>
      </w:r>
      <w:r>
        <w:rPr>
          <w:rFonts w:ascii="Times New Roman" w:hAnsi="Times New Roman" w:cs="Times New Roman"/>
        </w:rPr>
        <w:t xml:space="preserve">.  </w:t>
      </w:r>
      <w:r w:rsidR="00891F68">
        <w:rPr>
          <w:rFonts w:ascii="Times New Roman" w:hAnsi="Times New Roman" w:cs="Times New Roman"/>
        </w:rPr>
        <w:t>T</w:t>
      </w:r>
      <w:r w:rsidRPr="00BA66BC">
        <w:rPr>
          <w:rFonts w:ascii="Times New Roman" w:hAnsi="Times New Roman" w:cs="Times New Roman"/>
        </w:rPr>
        <w:t>he calculation</w:t>
      </w:r>
      <w:r w:rsidR="00891F68">
        <w:rPr>
          <w:rFonts w:ascii="Times New Roman" w:hAnsi="Times New Roman" w:cs="Times New Roman"/>
        </w:rPr>
        <w:t xml:space="preserve"> is shown below</w:t>
      </w:r>
      <w:r w:rsidRPr="00BA66BC">
        <w:rPr>
          <w:rFonts w:ascii="Times New Roman" w:hAnsi="Times New Roman" w:cs="Times New Roman"/>
        </w:rPr>
        <w:t>:</w:t>
      </w:r>
    </w:p>
    <w:p w:rsidR="00384DAD" w:rsidRPr="00737CA1" w:rsidRDefault="00247DEE" w:rsidP="00384DAD">
      <w:pPr>
        <w:pStyle w:val="BodyText2"/>
        <w:tabs>
          <w:tab w:val="left" w:pos="810"/>
          <w:tab w:val="left" w:pos="1440"/>
        </w:tabs>
        <w:outlineLvl w:val="0"/>
        <w:rPr>
          <w:b/>
          <w:bCs/>
          <w:u w:val="single"/>
        </w:rPr>
      </w:pPr>
      <w:r w:rsidRPr="00247DEE">
        <w:rPr>
          <w:b/>
          <w:bCs/>
        </w:rPr>
        <w:tab/>
      </w:r>
      <w:r w:rsidR="00384DAD" w:rsidRPr="00737CA1">
        <w:rPr>
          <w:b/>
          <w:bCs/>
          <w:u w:val="single"/>
        </w:rPr>
        <w:t xml:space="preserve">Table </w:t>
      </w:r>
      <w:r w:rsidR="00066399">
        <w:rPr>
          <w:b/>
          <w:bCs/>
          <w:u w:val="single"/>
        </w:rPr>
        <w:t>9</w:t>
      </w:r>
      <w:r w:rsidR="00384DAD">
        <w:rPr>
          <w:b/>
          <w:bCs/>
          <w:u w:val="single"/>
        </w:rPr>
        <w:t xml:space="preserve"> – Schedule</w:t>
      </w:r>
      <w:r w:rsidR="00891F68">
        <w:rPr>
          <w:b/>
          <w:bCs/>
          <w:u w:val="single"/>
        </w:rPr>
        <w:t>s</w:t>
      </w:r>
      <w:r w:rsidR="00384DAD">
        <w:rPr>
          <w:b/>
          <w:bCs/>
          <w:u w:val="single"/>
        </w:rPr>
        <w:t xml:space="preserve"> 121</w:t>
      </w:r>
      <w:r w:rsidR="00891F68">
        <w:rPr>
          <w:b/>
          <w:bCs/>
          <w:u w:val="single"/>
        </w:rPr>
        <w:t>/122</w:t>
      </w:r>
      <w:r w:rsidR="00384DAD">
        <w:rPr>
          <w:b/>
          <w:bCs/>
          <w:u w:val="single"/>
        </w:rPr>
        <w:t xml:space="preserve"> Breakeven Calculation</w:t>
      </w:r>
    </w:p>
    <w:p w:rsidR="00384DAD" w:rsidRPr="00066399" w:rsidRDefault="00D6388A"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u w:val="single"/>
        </w:rPr>
      </w:pPr>
      <w:r>
        <w:rPr>
          <w:rFonts w:ascii="Times New Roman" w:hAnsi="Times New Roman" w:cs="Times New Roman"/>
          <w:noProof/>
          <w:u w:val="single"/>
        </w:rPr>
        <w:drawing>
          <wp:anchor distT="0" distB="0" distL="114300" distR="114300" simplePos="0" relativeHeight="251935232" behindDoc="1" locked="0" layoutInCell="1" allowOverlap="1">
            <wp:simplePos x="0" y="0"/>
            <wp:positionH relativeFrom="column">
              <wp:posOffset>1107440</wp:posOffset>
            </wp:positionH>
            <wp:positionV relativeFrom="paragraph">
              <wp:posOffset>93345</wp:posOffset>
            </wp:positionV>
            <wp:extent cx="2327275" cy="1397000"/>
            <wp:effectExtent l="1905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2327275" cy="1397000"/>
                    </a:xfrm>
                    <a:prstGeom prst="rect">
                      <a:avLst/>
                    </a:prstGeom>
                    <a:noFill/>
                    <a:ln w="9525">
                      <a:noFill/>
                      <a:miter lim="800000"/>
                      <a:headEnd/>
                      <a:tailEnd/>
                    </a:ln>
                  </pic:spPr>
                </pic:pic>
              </a:graphicData>
            </a:graphic>
          </wp:anchor>
        </w:drawing>
      </w:r>
    </w:p>
    <w:p w:rsidR="00384DAD" w:rsidRDefault="00384DAD"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384DAD" w:rsidRDefault="00384DAD"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384DAD" w:rsidRDefault="00384DAD"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B83A07" w:rsidRDefault="00B83A07"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p>
    <w:p w:rsidR="00384DAD" w:rsidRDefault="00384DAD"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 xml:space="preserve">The second </w:t>
      </w:r>
      <w:r w:rsidR="00AF04A5">
        <w:rPr>
          <w:rFonts w:ascii="Times New Roman" w:hAnsi="Times New Roman" w:cs="Times New Roman"/>
        </w:rPr>
        <w:t>through fifth</w:t>
      </w:r>
      <w:r w:rsidRPr="005540EB">
        <w:rPr>
          <w:rFonts w:ascii="Times New Roman" w:hAnsi="Times New Roman" w:cs="Times New Roman"/>
        </w:rPr>
        <w:t xml:space="preserve"> block rates were increased by a uniform percentage of </w:t>
      </w:r>
      <w:r w:rsidRPr="0087366D">
        <w:rPr>
          <w:rFonts w:ascii="Times New Roman" w:hAnsi="Times New Roman" w:cs="Times New Roman"/>
        </w:rPr>
        <w:t xml:space="preserve">approximately </w:t>
      </w:r>
      <w:r w:rsidR="00D35291">
        <w:rPr>
          <w:rFonts w:ascii="Times New Roman" w:hAnsi="Times New Roman" w:cs="Times New Roman"/>
        </w:rPr>
        <w:t>2.6</w:t>
      </w:r>
      <w:r w:rsidRPr="0087366D">
        <w:rPr>
          <w:rFonts w:ascii="Times New Roman" w:hAnsi="Times New Roman" w:cs="Times New Roman"/>
        </w:rPr>
        <w:t>% to maintain</w:t>
      </w:r>
      <w:r w:rsidRPr="005540EB">
        <w:rPr>
          <w:rFonts w:ascii="Times New Roman" w:hAnsi="Times New Roman" w:cs="Times New Roman"/>
        </w:rPr>
        <w:t xml:space="preserve"> consistency between the rates for Schedules 111</w:t>
      </w:r>
      <w:r w:rsidR="00D32A7D">
        <w:rPr>
          <w:rFonts w:ascii="Times New Roman" w:hAnsi="Times New Roman" w:cs="Times New Roman"/>
        </w:rPr>
        <w:t>/112</w:t>
      </w:r>
      <w:r w:rsidRPr="005540EB">
        <w:rPr>
          <w:rFonts w:ascii="Times New Roman" w:hAnsi="Times New Roman" w:cs="Times New Roman"/>
        </w:rPr>
        <w:t xml:space="preserve"> and 121</w:t>
      </w:r>
      <w:r w:rsidR="00D32A7D">
        <w:rPr>
          <w:rFonts w:ascii="Times New Roman" w:hAnsi="Times New Roman" w:cs="Times New Roman"/>
        </w:rPr>
        <w:t>/122</w:t>
      </w:r>
      <w:r w:rsidRPr="005540EB">
        <w:rPr>
          <w:rFonts w:ascii="Times New Roman" w:hAnsi="Times New Roman" w:cs="Times New Roman"/>
        </w:rPr>
        <w:t xml:space="preserve">.  </w:t>
      </w:r>
      <w:r w:rsidR="00AF04A5">
        <w:rPr>
          <w:rFonts w:ascii="Times New Roman" w:hAnsi="Times New Roman" w:cs="Times New Roman"/>
        </w:rPr>
        <w:t xml:space="preserve">The </w:t>
      </w:r>
      <w:r w:rsidRPr="0087366D">
        <w:rPr>
          <w:rFonts w:ascii="Times New Roman" w:hAnsi="Times New Roman" w:cs="Times New Roman"/>
        </w:rPr>
        <w:t>resulting</w:t>
      </w:r>
      <w:r>
        <w:rPr>
          <w:rFonts w:ascii="Times New Roman" w:hAnsi="Times New Roman" w:cs="Times New Roman"/>
        </w:rPr>
        <w:t xml:space="preserve"> overall revenue increase </w:t>
      </w:r>
      <w:r w:rsidR="00AF04A5">
        <w:rPr>
          <w:rFonts w:ascii="Times New Roman" w:hAnsi="Times New Roman" w:cs="Times New Roman"/>
        </w:rPr>
        <w:t>for the schedule is 2.7%</w:t>
      </w:r>
      <w:r w:rsidRPr="005540EB">
        <w:rPr>
          <w:rFonts w:ascii="Times New Roman" w:hAnsi="Times New Roman" w:cs="Times New Roman"/>
        </w:rPr>
        <w:t>.</w:t>
      </w:r>
    </w:p>
    <w:p w:rsidR="005540EB" w:rsidRPr="005540EB" w:rsidRDefault="005540EB" w:rsidP="00384DAD">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proofErr w:type="gramStart"/>
      <w:r w:rsidRPr="005540EB">
        <w:rPr>
          <w:rFonts w:ascii="Times New Roman" w:hAnsi="Times New Roman" w:cs="Times New Roman"/>
          <w:b/>
          <w:bCs/>
        </w:rPr>
        <w:t>Q.</w:t>
      </w:r>
      <w:r w:rsidRPr="005540EB">
        <w:rPr>
          <w:rFonts w:ascii="Times New Roman" w:hAnsi="Times New Roman" w:cs="Times New Roman"/>
        </w:rPr>
        <w:tab/>
      </w:r>
      <w:r w:rsidRPr="005540EB">
        <w:rPr>
          <w:rFonts w:ascii="Times New Roman" w:hAnsi="Times New Roman" w:cs="Times New Roman"/>
          <w:b/>
          <w:bCs/>
        </w:rPr>
        <w:t xml:space="preserve">How is the </w:t>
      </w:r>
      <w:r w:rsidRPr="00BA66BC">
        <w:rPr>
          <w:rFonts w:ascii="Times New Roman" w:hAnsi="Times New Roman" w:cs="Times New Roman"/>
          <w:b/>
          <w:bCs/>
        </w:rPr>
        <w:t>Company proposing to spread the proposed increase of $</w:t>
      </w:r>
      <w:r w:rsidR="00BA66BC" w:rsidRPr="00BA66BC">
        <w:rPr>
          <w:rFonts w:ascii="Times New Roman" w:hAnsi="Times New Roman" w:cs="Times New Roman"/>
          <w:b/>
          <w:bCs/>
        </w:rPr>
        <w:t>2</w:t>
      </w:r>
      <w:r w:rsidR="00D35291">
        <w:rPr>
          <w:rFonts w:ascii="Times New Roman" w:hAnsi="Times New Roman" w:cs="Times New Roman"/>
          <w:b/>
          <w:bCs/>
        </w:rPr>
        <w:t>6</w:t>
      </w:r>
      <w:r w:rsidR="0082656C" w:rsidRPr="00BA66BC">
        <w:rPr>
          <w:rFonts w:ascii="Times New Roman" w:hAnsi="Times New Roman" w:cs="Times New Roman"/>
          <w:b/>
          <w:bCs/>
        </w:rPr>
        <w:t>,000</w:t>
      </w:r>
      <w:r w:rsidRPr="00BA66BC">
        <w:rPr>
          <w:rFonts w:ascii="Times New Roman" w:hAnsi="Times New Roman" w:cs="Times New Roman"/>
          <w:b/>
          <w:bCs/>
        </w:rPr>
        <w:t xml:space="preserve"> </w:t>
      </w:r>
      <w:r w:rsidRPr="00BA66BC">
        <w:rPr>
          <w:rFonts w:ascii="Times New Roman" w:hAnsi="Times New Roman" w:cs="Times New Roman"/>
          <w:b/>
          <w:bCs/>
        </w:rPr>
        <w:lastRenderedPageBreak/>
        <w:t>to the rates under Interruptible</w:t>
      </w:r>
      <w:r w:rsidRPr="005540EB">
        <w:rPr>
          <w:rFonts w:ascii="Times New Roman" w:hAnsi="Times New Roman" w:cs="Times New Roman"/>
          <w:b/>
          <w:bCs/>
        </w:rPr>
        <w:t xml:space="preserve"> Schedule 131</w:t>
      </w:r>
      <w:r w:rsidR="0030773D">
        <w:rPr>
          <w:rFonts w:ascii="Times New Roman" w:hAnsi="Times New Roman" w:cs="Times New Roman"/>
          <w:b/>
          <w:bCs/>
        </w:rPr>
        <w:t>/132</w:t>
      </w:r>
      <w:r w:rsidRPr="005540EB">
        <w:rPr>
          <w:rFonts w:ascii="Times New Roman" w:hAnsi="Times New Roman" w:cs="Times New Roman"/>
          <w:b/>
          <w:bCs/>
        </w:rPr>
        <w:t>?</w:t>
      </w:r>
      <w:proofErr w:type="gramEnd"/>
    </w:p>
    <w:p w:rsidR="005540EB" w:rsidRPr="005540EB"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The Company proposes to </w:t>
      </w:r>
      <w:r w:rsidRPr="0030773D">
        <w:rPr>
          <w:rFonts w:ascii="Times New Roman" w:hAnsi="Times New Roman" w:cs="Times New Roman"/>
        </w:rPr>
        <w:t xml:space="preserve">increase the </w:t>
      </w:r>
      <w:r w:rsidR="00D35291">
        <w:rPr>
          <w:rFonts w:ascii="Times New Roman" w:hAnsi="Times New Roman" w:cs="Times New Roman"/>
        </w:rPr>
        <w:t>first three</w:t>
      </w:r>
      <w:r w:rsidRPr="0030773D">
        <w:rPr>
          <w:rFonts w:ascii="Times New Roman" w:hAnsi="Times New Roman" w:cs="Times New Roman"/>
        </w:rPr>
        <w:t xml:space="preserve"> block rates under the schedule by a uniform percentage increase of </w:t>
      </w:r>
      <w:r w:rsidR="00337649" w:rsidRPr="002558EB">
        <w:rPr>
          <w:rFonts w:ascii="Times New Roman" w:hAnsi="Times New Roman" w:cs="Times New Roman"/>
        </w:rPr>
        <w:t xml:space="preserve">approximately </w:t>
      </w:r>
      <w:r w:rsidR="00D35291">
        <w:rPr>
          <w:rFonts w:ascii="Times New Roman" w:hAnsi="Times New Roman" w:cs="Times New Roman"/>
        </w:rPr>
        <w:t>4.3</w:t>
      </w:r>
      <w:r w:rsidRPr="002558EB">
        <w:rPr>
          <w:rFonts w:ascii="Times New Roman" w:hAnsi="Times New Roman" w:cs="Times New Roman"/>
        </w:rPr>
        <w:t>%.</w:t>
      </w:r>
      <w:r w:rsidR="00D35291">
        <w:rPr>
          <w:rFonts w:ascii="Times New Roman" w:hAnsi="Times New Roman" w:cs="Times New Roman"/>
        </w:rPr>
        <w:t xml:space="preserve">  The Company is not proposing to change the fourth block on Schedules 131/132 in order to provide for a more meaningful spread between the blocks.</w:t>
      </w:r>
    </w:p>
    <w:p w:rsidR="005540EB" w:rsidRPr="005540EB" w:rsidRDefault="00A11C96"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b/>
          <w:bCs/>
        </w:rPr>
      </w:pPr>
      <w:r w:rsidRPr="005540EB">
        <w:rPr>
          <w:rFonts w:ascii="Times New Roman" w:hAnsi="Times New Roman" w:cs="Times New Roman"/>
          <w:b/>
          <w:bCs/>
        </w:rPr>
        <w:t>Q.</w:t>
      </w:r>
      <w:r w:rsidRPr="005540EB">
        <w:rPr>
          <w:rFonts w:ascii="Times New Roman" w:hAnsi="Times New Roman" w:cs="Times New Roman"/>
          <w:b/>
          <w:bCs/>
        </w:rPr>
        <w:tab/>
      </w:r>
      <w:r w:rsidR="00891F68">
        <w:rPr>
          <w:rFonts w:ascii="Times New Roman" w:hAnsi="Times New Roman" w:cs="Times New Roman"/>
          <w:b/>
          <w:bCs/>
        </w:rPr>
        <w:t>P</w:t>
      </w:r>
      <w:r w:rsidRPr="005540EB">
        <w:rPr>
          <w:rFonts w:ascii="Times New Roman" w:hAnsi="Times New Roman" w:cs="Times New Roman"/>
          <w:b/>
          <w:bCs/>
        </w:rPr>
        <w:t xml:space="preserve">lease explain the proposed changes in the rates for </w:t>
      </w:r>
      <w:r w:rsidR="00891F68">
        <w:rPr>
          <w:rFonts w:ascii="Times New Roman" w:hAnsi="Times New Roman" w:cs="Times New Roman"/>
          <w:b/>
          <w:bCs/>
        </w:rPr>
        <w:t>Transportation Schedule 146.</w:t>
      </w:r>
    </w:p>
    <w:p w:rsidR="005540EB" w:rsidRPr="00311F09" w:rsidRDefault="005540EB" w:rsidP="005540EB">
      <w:pPr>
        <w:pStyle w:val="TestBody"/>
        <w:widowControl w:val="0"/>
        <w:tabs>
          <w:tab w:val="left" w:pos="810"/>
          <w:tab w:val="left" w:pos="1440"/>
          <w:tab w:val="left" w:pos="2520"/>
        </w:tabs>
        <w:spacing w:line="480" w:lineRule="auto"/>
        <w:ind w:left="0" w:right="-100" w:firstLine="720"/>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CF1C5E">
        <w:rPr>
          <w:rFonts w:ascii="Times New Roman" w:hAnsi="Times New Roman" w:cs="Times New Roman"/>
        </w:rPr>
        <w:t xml:space="preserve">The </w:t>
      </w:r>
      <w:r w:rsidR="00CF1C5E" w:rsidRPr="002558EB">
        <w:rPr>
          <w:rFonts w:ascii="Times New Roman" w:hAnsi="Times New Roman" w:cs="Times New Roman"/>
        </w:rPr>
        <w:t xml:space="preserve">Company is proposing to adjust the basic charge </w:t>
      </w:r>
      <w:r w:rsidR="0087366D" w:rsidRPr="002558EB">
        <w:rPr>
          <w:rFonts w:ascii="Times New Roman" w:hAnsi="Times New Roman" w:cs="Times New Roman"/>
        </w:rPr>
        <w:t>by $</w:t>
      </w:r>
      <w:r w:rsidR="00D35291">
        <w:rPr>
          <w:rFonts w:ascii="Times New Roman" w:hAnsi="Times New Roman" w:cs="Times New Roman"/>
        </w:rPr>
        <w:t>25</w:t>
      </w:r>
      <w:r w:rsidR="0087366D" w:rsidRPr="002558EB">
        <w:rPr>
          <w:rFonts w:ascii="Times New Roman" w:hAnsi="Times New Roman" w:cs="Times New Roman"/>
        </w:rPr>
        <w:t xml:space="preserve"> per month</w:t>
      </w:r>
      <w:r w:rsidR="00CF1C5E" w:rsidRPr="002558EB">
        <w:rPr>
          <w:rFonts w:ascii="Times New Roman" w:hAnsi="Times New Roman" w:cs="Times New Roman"/>
        </w:rPr>
        <w:t xml:space="preserve">, </w:t>
      </w:r>
      <w:r w:rsidR="0087366D" w:rsidRPr="002558EB">
        <w:rPr>
          <w:rFonts w:ascii="Times New Roman" w:hAnsi="Times New Roman" w:cs="Times New Roman"/>
        </w:rPr>
        <w:t>which is</w:t>
      </w:r>
      <w:r w:rsidR="00CF1C5E" w:rsidRPr="002558EB">
        <w:rPr>
          <w:rFonts w:ascii="Times New Roman" w:hAnsi="Times New Roman" w:cs="Times New Roman"/>
        </w:rPr>
        <w:t xml:space="preserve"> an </w:t>
      </w:r>
      <w:r w:rsidR="007E74EA" w:rsidRPr="002558EB">
        <w:rPr>
          <w:rFonts w:ascii="Times New Roman" w:hAnsi="Times New Roman" w:cs="Times New Roman"/>
        </w:rPr>
        <w:t>increase from $</w:t>
      </w:r>
      <w:r w:rsidR="00D35291">
        <w:rPr>
          <w:rFonts w:ascii="Times New Roman" w:hAnsi="Times New Roman" w:cs="Times New Roman"/>
        </w:rPr>
        <w:t>500</w:t>
      </w:r>
      <w:r w:rsidR="002558EB" w:rsidRPr="002558EB">
        <w:rPr>
          <w:rFonts w:ascii="Times New Roman" w:hAnsi="Times New Roman" w:cs="Times New Roman"/>
        </w:rPr>
        <w:t xml:space="preserve"> to </w:t>
      </w:r>
      <w:r w:rsidR="00377B55">
        <w:rPr>
          <w:rFonts w:ascii="Times New Roman" w:hAnsi="Times New Roman" w:cs="Times New Roman"/>
        </w:rPr>
        <w:t>$</w:t>
      </w:r>
      <w:r w:rsidR="00D35291">
        <w:rPr>
          <w:rFonts w:ascii="Times New Roman" w:hAnsi="Times New Roman" w:cs="Times New Roman"/>
        </w:rPr>
        <w:t>525</w:t>
      </w:r>
      <w:r w:rsidR="00A11C96" w:rsidRPr="002558EB">
        <w:rPr>
          <w:rFonts w:ascii="Times New Roman" w:hAnsi="Times New Roman" w:cs="Times New Roman"/>
        </w:rPr>
        <w:t xml:space="preserve"> per month.  For the remaining revenue requirement, t</w:t>
      </w:r>
      <w:r w:rsidRPr="002558EB">
        <w:rPr>
          <w:rFonts w:ascii="Times New Roman" w:hAnsi="Times New Roman" w:cs="Times New Roman"/>
        </w:rPr>
        <w:t xml:space="preserve">he Company is proposing to spread the increase on a uniform percentage basis </w:t>
      </w:r>
      <w:r w:rsidR="0087366D" w:rsidRPr="002558EB">
        <w:rPr>
          <w:rFonts w:ascii="Times New Roman" w:hAnsi="Times New Roman" w:cs="Times New Roman"/>
        </w:rPr>
        <w:t xml:space="preserve">of </w:t>
      </w:r>
      <w:r w:rsidR="00337649" w:rsidRPr="002558EB">
        <w:rPr>
          <w:rFonts w:ascii="Times New Roman" w:hAnsi="Times New Roman" w:cs="Times New Roman"/>
        </w:rPr>
        <w:t xml:space="preserve">approximately </w:t>
      </w:r>
      <w:r w:rsidR="00D35291">
        <w:rPr>
          <w:rFonts w:ascii="Times New Roman" w:hAnsi="Times New Roman" w:cs="Times New Roman"/>
        </w:rPr>
        <w:t>24.7</w:t>
      </w:r>
      <w:r w:rsidR="0087366D" w:rsidRPr="002558EB">
        <w:rPr>
          <w:rFonts w:ascii="Times New Roman" w:hAnsi="Times New Roman" w:cs="Times New Roman"/>
        </w:rPr>
        <w:t xml:space="preserve">% </w:t>
      </w:r>
      <w:r w:rsidRPr="002558EB">
        <w:rPr>
          <w:rFonts w:ascii="Times New Roman" w:hAnsi="Times New Roman" w:cs="Times New Roman"/>
        </w:rPr>
        <w:t>to each of the present five block rates under the schedule.  The proposed increase to each of the block rates, as well as the present and proposed rates, are shown at the bottom of page 3 of Exhibit No.__</w:t>
      </w:r>
      <w:r w:rsidR="00667220" w:rsidRPr="002558EB">
        <w:rPr>
          <w:rFonts w:ascii="Times New Roman" w:hAnsi="Times New Roman" w:cs="Times New Roman"/>
        </w:rPr>
        <w:t>_</w:t>
      </w:r>
      <w:proofErr w:type="gramStart"/>
      <w:r w:rsidR="00667220" w:rsidRPr="002558EB">
        <w:rPr>
          <w:rFonts w:ascii="Times New Roman" w:hAnsi="Times New Roman" w:cs="Times New Roman"/>
        </w:rPr>
        <w:t>_</w:t>
      </w:r>
      <w:r w:rsidRPr="002558EB">
        <w:rPr>
          <w:rFonts w:ascii="Times New Roman" w:hAnsi="Times New Roman" w:cs="Times New Roman"/>
        </w:rPr>
        <w:t>(</w:t>
      </w:r>
      <w:proofErr w:type="gramEnd"/>
      <w:r w:rsidR="00D8699E" w:rsidRPr="002558EB">
        <w:rPr>
          <w:rFonts w:ascii="Times New Roman" w:hAnsi="Times New Roman" w:cs="Times New Roman"/>
        </w:rPr>
        <w:t>PDE</w:t>
      </w:r>
      <w:r w:rsidRPr="002558EB">
        <w:rPr>
          <w:rFonts w:ascii="Times New Roman" w:hAnsi="Times New Roman" w:cs="Times New Roman"/>
        </w:rPr>
        <w:t>-7).</w:t>
      </w:r>
    </w:p>
    <w:p w:rsidR="005540EB" w:rsidRPr="00311F09" w:rsidRDefault="005540EB" w:rsidP="005540EB">
      <w:pPr>
        <w:pStyle w:val="P242"/>
        <w:jc w:val="both"/>
        <w:rPr>
          <w:rFonts w:ascii="Times New Roman" w:hAnsi="Times New Roman" w:cs="Times New Roman"/>
        </w:rPr>
      </w:pPr>
      <w:r w:rsidRPr="00311F09">
        <w:rPr>
          <w:rFonts w:ascii="Times New Roman" w:hAnsi="Times New Roman" w:cs="Times New Roman"/>
        </w:rPr>
        <w:t>Q.</w:t>
      </w:r>
      <w:r w:rsidRPr="00311F09">
        <w:rPr>
          <w:rFonts w:ascii="Times New Roman" w:hAnsi="Times New Roman" w:cs="Times New Roman"/>
        </w:rPr>
        <w:tab/>
        <w:t>Is the Company proposing any other changes to its natural gas service schedules?</w:t>
      </w:r>
    </w:p>
    <w:p w:rsidR="002558EB" w:rsidRDefault="005540EB" w:rsidP="0027643C">
      <w:pPr>
        <w:pStyle w:val="P105"/>
        <w:jc w:val="both"/>
        <w:rPr>
          <w:rFonts w:ascii="Times New Roman" w:hAnsi="Times New Roman" w:cs="Times New Roman"/>
        </w:rPr>
      </w:pPr>
      <w:r w:rsidRPr="00311F09">
        <w:rPr>
          <w:rFonts w:ascii="Times New Roman" w:hAnsi="Times New Roman" w:cs="Times New Roman"/>
        </w:rPr>
        <w:t xml:space="preserve">A.  </w:t>
      </w:r>
      <w:r w:rsidR="005E25D7" w:rsidRPr="00311F09">
        <w:rPr>
          <w:rFonts w:ascii="Times New Roman" w:hAnsi="Times New Roman" w:cs="Times New Roman"/>
        </w:rPr>
        <w:tab/>
      </w:r>
      <w:r w:rsidR="006A39AB">
        <w:rPr>
          <w:rFonts w:ascii="Times New Roman" w:hAnsi="Times New Roman" w:cs="Times New Roman"/>
        </w:rPr>
        <w:t>No, it is not.</w:t>
      </w:r>
    </w:p>
    <w:p w:rsidR="002558EB" w:rsidRDefault="002558EB" w:rsidP="0027643C">
      <w:pPr>
        <w:pStyle w:val="P105"/>
        <w:jc w:val="both"/>
        <w:rPr>
          <w:rFonts w:ascii="Times New Roman" w:hAnsi="Times New Roman" w:cs="Times New Roman"/>
        </w:rPr>
      </w:pPr>
    </w:p>
    <w:p w:rsidR="003B278C" w:rsidRPr="008B41AB" w:rsidRDefault="00AA7417" w:rsidP="003B278C">
      <w:pPr>
        <w:pStyle w:val="P267"/>
        <w:tabs>
          <w:tab w:val="clear" w:pos="360"/>
          <w:tab w:val="left" w:pos="0"/>
        </w:tabs>
        <w:ind w:left="0"/>
        <w:jc w:val="center"/>
        <w:rPr>
          <w:rFonts w:ascii="Times New Roman" w:hAnsi="Times New Roman" w:cs="Times New Roman"/>
        </w:rPr>
      </w:pPr>
      <w:r>
        <w:rPr>
          <w:rFonts w:ascii="Times New Roman" w:hAnsi="Times New Roman" w:cs="Times New Roman"/>
        </w:rPr>
        <w:t xml:space="preserve">V. </w:t>
      </w:r>
      <w:r w:rsidR="003B278C" w:rsidRPr="008B41AB">
        <w:rPr>
          <w:rFonts w:ascii="Times New Roman" w:hAnsi="Times New Roman" w:cs="Times New Roman"/>
        </w:rPr>
        <w:t>BASIC CHARGE</w:t>
      </w:r>
      <w:r>
        <w:rPr>
          <w:rFonts w:ascii="Times New Roman" w:hAnsi="Times New Roman" w:cs="Times New Roman"/>
        </w:rPr>
        <w:t xml:space="preserve"> FOR SCHEDULES 1 &amp; 101</w:t>
      </w:r>
    </w:p>
    <w:p w:rsidR="003B278C" w:rsidRPr="008B41AB" w:rsidRDefault="003B278C" w:rsidP="003B278C">
      <w:pPr>
        <w:pStyle w:val="BodyText2"/>
        <w:tabs>
          <w:tab w:val="left" w:pos="720"/>
          <w:tab w:val="left" w:pos="1440"/>
        </w:tabs>
        <w:rPr>
          <w:b/>
          <w:bCs/>
        </w:rPr>
      </w:pPr>
      <w:r w:rsidRPr="008B41AB">
        <w:rPr>
          <w:b/>
          <w:bCs/>
        </w:rPr>
        <w:tab/>
        <w:t>Q.</w:t>
      </w:r>
      <w:r w:rsidRPr="008B41AB">
        <w:rPr>
          <w:b/>
          <w:bCs/>
        </w:rPr>
        <w:tab/>
        <w:t xml:space="preserve">Why is the Company proposing to increase the </w:t>
      </w:r>
      <w:r w:rsidRPr="00580834">
        <w:rPr>
          <w:b/>
          <w:bCs/>
          <w:u w:val="single"/>
        </w:rPr>
        <w:t>electric</w:t>
      </w:r>
      <w:r w:rsidRPr="008B41AB">
        <w:rPr>
          <w:b/>
          <w:bCs/>
        </w:rPr>
        <w:t xml:space="preserve"> monthly customer </w:t>
      </w:r>
      <w:proofErr w:type="gramStart"/>
      <w:r w:rsidRPr="008B41AB">
        <w:rPr>
          <w:b/>
          <w:bCs/>
        </w:rPr>
        <w:t>charge</w:t>
      </w:r>
      <w:proofErr w:type="gramEnd"/>
      <w:r w:rsidRPr="008B41AB">
        <w:rPr>
          <w:b/>
          <w:bCs/>
        </w:rPr>
        <w:t xml:space="preserve"> </w:t>
      </w:r>
      <w:r>
        <w:rPr>
          <w:b/>
          <w:bCs/>
        </w:rPr>
        <w:t xml:space="preserve">for Schedule 1 </w:t>
      </w:r>
      <w:r w:rsidRPr="008B41AB">
        <w:rPr>
          <w:b/>
          <w:bCs/>
        </w:rPr>
        <w:t>from $</w:t>
      </w:r>
      <w:r>
        <w:rPr>
          <w:b/>
          <w:bCs/>
        </w:rPr>
        <w:t>8</w:t>
      </w:r>
      <w:r w:rsidRPr="008B41AB">
        <w:rPr>
          <w:b/>
          <w:bCs/>
        </w:rPr>
        <w:t>.</w:t>
      </w:r>
      <w:r w:rsidR="00F96B2B">
        <w:rPr>
          <w:b/>
          <w:bCs/>
        </w:rPr>
        <w:t>5</w:t>
      </w:r>
      <w:r w:rsidRPr="008B41AB">
        <w:rPr>
          <w:b/>
          <w:bCs/>
        </w:rPr>
        <w:t xml:space="preserve">0 to </w:t>
      </w:r>
      <w:r w:rsidR="00F234BF">
        <w:rPr>
          <w:b/>
          <w:bCs/>
        </w:rPr>
        <w:t>$14</w:t>
      </w:r>
      <w:r w:rsidRPr="008B41AB">
        <w:rPr>
          <w:b/>
          <w:bCs/>
        </w:rPr>
        <w:t>.00 per month?</w:t>
      </w:r>
    </w:p>
    <w:p w:rsidR="003B278C" w:rsidRPr="00D6449A" w:rsidRDefault="003B278C" w:rsidP="003B278C">
      <w:pPr>
        <w:pStyle w:val="BodyText2"/>
        <w:tabs>
          <w:tab w:val="left" w:pos="810"/>
          <w:tab w:val="left" w:pos="1440"/>
        </w:tabs>
        <w:ind w:firstLine="720"/>
        <w:rPr>
          <w:highlight w:val="yellow"/>
        </w:rPr>
      </w:pPr>
      <w:r w:rsidRPr="008B41AB">
        <w:t>A.</w:t>
      </w:r>
      <w:r w:rsidRPr="008B41AB">
        <w:tab/>
        <w:t xml:space="preserve">A significant portion of </w:t>
      </w:r>
      <w:r w:rsidRPr="00E27E81">
        <w:t>the Company’s costs are fixed and do not vary with customer usage.  These costs include</w:t>
      </w:r>
      <w:r w:rsidR="00D6388A">
        <w:t>, among other costs,</w:t>
      </w:r>
      <w:r w:rsidRPr="00E27E81">
        <w:t xml:space="preserve"> distribution plant and operating costs to provide reliable service to customers.  </w:t>
      </w:r>
      <w:r w:rsidR="006C2E1E" w:rsidRPr="006C2E1E">
        <w:rPr>
          <w:u w:val="single"/>
        </w:rPr>
        <w:t>T</w:t>
      </w:r>
      <w:r w:rsidRPr="00E27E81">
        <w:rPr>
          <w:u w:val="single"/>
        </w:rPr>
        <w:t>otal customer allocated costs</w:t>
      </w:r>
      <w:r w:rsidRPr="00E27E81">
        <w:t xml:space="preserve"> for </w:t>
      </w:r>
      <w:r w:rsidRPr="00D4544A">
        <w:t xml:space="preserve">Schedule 1, </w:t>
      </w:r>
      <w:r w:rsidRPr="00D4544A">
        <w:lastRenderedPageBreak/>
        <w:t>as shown in Knox Exhibit No. _</w:t>
      </w:r>
      <w:proofErr w:type="gramStart"/>
      <w:r w:rsidRPr="00D4544A">
        <w:t>_(</w:t>
      </w:r>
      <w:proofErr w:type="gramEnd"/>
      <w:r w:rsidRPr="00D4544A">
        <w:t>TLK-</w:t>
      </w:r>
      <w:r w:rsidR="00D4544A" w:rsidRPr="00D4544A">
        <w:t>3</w:t>
      </w:r>
      <w:r w:rsidRPr="00D4544A">
        <w:t>), page 4, line 2</w:t>
      </w:r>
      <w:r w:rsidR="00D4544A" w:rsidRPr="00D4544A">
        <w:t>6</w:t>
      </w:r>
      <w:r w:rsidRPr="00D4544A">
        <w:t xml:space="preserve">, </w:t>
      </w:r>
      <w:r w:rsidR="006C2E1E">
        <w:t>is</w:t>
      </w:r>
      <w:r w:rsidRPr="00D4544A">
        <w:t xml:space="preserve"> </w:t>
      </w:r>
      <w:r w:rsidR="00D4544A" w:rsidRPr="00D4544A">
        <w:rPr>
          <w:u w:val="single"/>
        </w:rPr>
        <w:t>$14.73</w:t>
      </w:r>
      <w:r w:rsidR="002B1B54" w:rsidRPr="00D4544A">
        <w:t xml:space="preserve"> </w:t>
      </w:r>
      <w:r w:rsidRPr="00D4544A">
        <w:t>per</w:t>
      </w:r>
      <w:r w:rsidRPr="00E27E81">
        <w:t xml:space="preserve"> customer per month.  </w:t>
      </w:r>
      <w:proofErr w:type="gramStart"/>
      <w:r w:rsidRPr="00E27E81">
        <w:t xml:space="preserve">Factoring in </w:t>
      </w:r>
      <w:r w:rsidRPr="00E27E81">
        <w:rPr>
          <w:u w:val="single"/>
        </w:rPr>
        <w:t>distribution demand cost</w:t>
      </w:r>
      <w:r w:rsidRPr="00E27E81">
        <w:t xml:space="preserve"> per customer per month of </w:t>
      </w:r>
      <w:r w:rsidRPr="00E27E81">
        <w:rPr>
          <w:u w:val="single"/>
        </w:rPr>
        <w:t>$</w:t>
      </w:r>
      <w:r w:rsidR="00D4544A">
        <w:rPr>
          <w:u w:val="single"/>
        </w:rPr>
        <w:t>25.07</w:t>
      </w:r>
      <w:r w:rsidRPr="00E27E81">
        <w:t xml:space="preserve"> as shown in Knox Exhibit No.</w:t>
      </w:r>
      <w:proofErr w:type="gramEnd"/>
      <w:r w:rsidRPr="00E27E81">
        <w:t xml:space="preserve"> _</w:t>
      </w:r>
      <w:proofErr w:type="gramStart"/>
      <w:r w:rsidRPr="00E27E81">
        <w:t>_(</w:t>
      </w:r>
      <w:proofErr w:type="gramEnd"/>
      <w:r w:rsidRPr="00E27E81">
        <w:t>TLK-</w:t>
      </w:r>
      <w:r w:rsidR="00D4544A">
        <w:t>3</w:t>
      </w:r>
      <w:r w:rsidRPr="00E27E81">
        <w:t>), page 4, line 2</w:t>
      </w:r>
      <w:r w:rsidR="00D4544A">
        <w:t>8</w:t>
      </w:r>
      <w:r w:rsidRPr="00E27E81">
        <w:t xml:space="preserve">, the total customer and distribution demand monthly cost </w:t>
      </w:r>
      <w:r w:rsidR="00D4544A">
        <w:t xml:space="preserve">is </w:t>
      </w:r>
      <w:r w:rsidR="00D4544A" w:rsidRPr="00D4544A">
        <w:rPr>
          <w:u w:val="single"/>
        </w:rPr>
        <w:t>$39.80</w:t>
      </w:r>
      <w:r w:rsidR="00D4544A">
        <w:t>.</w:t>
      </w:r>
      <w:r w:rsidRPr="00E27E81">
        <w:t xml:space="preserve">  These are</w:t>
      </w:r>
      <w:r w:rsidRPr="0027643C">
        <w:t xml:space="preserve"> essentially</w:t>
      </w:r>
      <w:r w:rsidRPr="008B41AB">
        <w:t xml:space="preserve"> fixed costs that are allocated based on the number of customers served.  Given the large disparity between the level of customer and demand costs</w:t>
      </w:r>
      <w:r w:rsidR="000B6139">
        <w:t>,</w:t>
      </w:r>
      <w:r w:rsidRPr="008B41AB">
        <w:t xml:space="preserve"> and the present level of the basic charge, the Company believes that it is appropriate to recover a more reasonable level of these fixed customer costs through the basic charge.  </w:t>
      </w:r>
    </w:p>
    <w:p w:rsidR="003B278C" w:rsidRPr="008B41AB" w:rsidRDefault="003B278C" w:rsidP="003B278C">
      <w:pPr>
        <w:pStyle w:val="BodyText2"/>
        <w:tabs>
          <w:tab w:val="left" w:pos="720"/>
          <w:tab w:val="left" w:pos="1440"/>
        </w:tabs>
        <w:ind w:firstLine="720"/>
        <w:rPr>
          <w:b/>
          <w:bCs/>
        </w:rPr>
      </w:pPr>
      <w:proofErr w:type="gramStart"/>
      <w:r w:rsidRPr="008B41AB">
        <w:rPr>
          <w:b/>
          <w:bCs/>
        </w:rPr>
        <w:t>Q.</w:t>
      </w:r>
      <w:r w:rsidRPr="008B41AB">
        <w:rPr>
          <w:b/>
          <w:bCs/>
        </w:rPr>
        <w:tab/>
        <w:t xml:space="preserve">Why is the Company now proposing an increase of </w:t>
      </w:r>
      <w:r w:rsidR="00F234BF">
        <w:rPr>
          <w:b/>
          <w:bCs/>
        </w:rPr>
        <w:t>$5.50</w:t>
      </w:r>
      <w:r w:rsidRPr="008B41AB">
        <w:rPr>
          <w:b/>
          <w:bCs/>
        </w:rPr>
        <w:t xml:space="preserve"> per month in this filing?</w:t>
      </w:r>
      <w:proofErr w:type="gramEnd"/>
    </w:p>
    <w:p w:rsidR="003B278C" w:rsidRPr="008B41AB" w:rsidRDefault="003B278C" w:rsidP="003B278C">
      <w:pPr>
        <w:pStyle w:val="BodyText2"/>
        <w:tabs>
          <w:tab w:val="left" w:pos="720"/>
          <w:tab w:val="left" w:pos="1440"/>
        </w:tabs>
        <w:ind w:firstLine="720"/>
        <w:rPr>
          <w:bCs/>
        </w:rPr>
      </w:pPr>
      <w:r w:rsidRPr="008B41AB">
        <w:rPr>
          <w:bCs/>
        </w:rPr>
        <w:t>A.</w:t>
      </w:r>
      <w:r w:rsidRPr="008B41AB">
        <w:rPr>
          <w:bCs/>
        </w:rPr>
        <w:tab/>
        <w:t xml:space="preserve">One of the arguments against higher residential basic charges in the past was one of customer understandability and acceptance.  </w:t>
      </w:r>
      <w:r>
        <w:rPr>
          <w:bCs/>
        </w:rPr>
        <w:t>W</w:t>
      </w:r>
      <w:r w:rsidRPr="008B41AB">
        <w:rPr>
          <w:bCs/>
        </w:rPr>
        <w:t>e believe it is increasingly important that our charges to customers more accurately reflect the actual costs to serve customers. With regard to fixed charges, many other utility assessments (phone,</w:t>
      </w:r>
      <w:r w:rsidR="005E2247">
        <w:rPr>
          <w:bCs/>
        </w:rPr>
        <w:t xml:space="preserve"> water, sewer, solid waste, </w:t>
      </w:r>
      <w:r w:rsidRPr="008B41AB">
        <w:rPr>
          <w:bCs/>
        </w:rPr>
        <w:t>television, internet</w:t>
      </w:r>
      <w:r w:rsidR="005E2247">
        <w:rPr>
          <w:bCs/>
        </w:rPr>
        <w:t>, etc.</w:t>
      </w:r>
      <w:r w:rsidRPr="008B41AB">
        <w:rPr>
          <w:bCs/>
        </w:rPr>
        <w:t xml:space="preserve">) are generally a flat monthly fee.  Typically, there is little correlation between the level of use and the monthly amount paid for service related to these other utilities/services.  Consumers understand that most of the costs associated with these other utilities/services are fixed, and have become accustomed to paying a relatively constant monthly fee for service.  </w:t>
      </w:r>
    </w:p>
    <w:p w:rsidR="003B278C" w:rsidRPr="00294B78" w:rsidRDefault="003B278C" w:rsidP="003B278C">
      <w:pPr>
        <w:pStyle w:val="BodyText2"/>
        <w:tabs>
          <w:tab w:val="left" w:pos="720"/>
          <w:tab w:val="left" w:pos="1440"/>
        </w:tabs>
        <w:ind w:firstLine="720"/>
        <w:rPr>
          <w:bCs/>
        </w:rPr>
      </w:pPr>
      <w:r w:rsidRPr="008B41AB">
        <w:rPr>
          <w:bCs/>
        </w:rPr>
        <w:t xml:space="preserve">Publicly-owned electric utilities have been charging higher monthly customer charges for years in order to more accurately reflect (and recover) the fixed costs of providing service.  For example, </w:t>
      </w:r>
      <w:r w:rsidRPr="00791C2B">
        <w:rPr>
          <w:bCs/>
        </w:rPr>
        <w:t>Avista’s</w:t>
      </w:r>
      <w:r w:rsidRPr="00791C2B">
        <w:rPr>
          <w:rFonts w:hint="eastAsia"/>
          <w:bCs/>
        </w:rPr>
        <w:t xml:space="preserve"> </w:t>
      </w:r>
      <w:r w:rsidRPr="00791C2B">
        <w:rPr>
          <w:bCs/>
        </w:rPr>
        <w:t>nearest neighbor in Eastern Washington, Inland Power and Light, has a residential mont</w:t>
      </w:r>
      <w:r w:rsidR="000B6139">
        <w:rPr>
          <w:bCs/>
        </w:rPr>
        <w:t xml:space="preserve">hly basic charge of $19.23 </w:t>
      </w:r>
      <w:r w:rsidRPr="00791C2B">
        <w:rPr>
          <w:bCs/>
        </w:rPr>
        <w:t>per month.  Avista</w:t>
      </w:r>
      <w:r w:rsidRPr="00791C2B">
        <w:rPr>
          <w:rFonts w:hint="eastAsia"/>
          <w:bCs/>
        </w:rPr>
        <w:t>’</w:t>
      </w:r>
      <w:r w:rsidRPr="00791C2B">
        <w:rPr>
          <w:bCs/>
        </w:rPr>
        <w:t xml:space="preserve">s nearest neighbor in North </w:t>
      </w:r>
      <w:r w:rsidRPr="00791C2B">
        <w:rPr>
          <w:bCs/>
        </w:rPr>
        <w:lastRenderedPageBreak/>
        <w:t>Idaho, Kootenai Electric Cooperative, has a residential monthly basic charge of $19.50, and a minimum charge of $25.00 per month.</w:t>
      </w:r>
      <w:r w:rsidR="00337798">
        <w:rPr>
          <w:bCs/>
        </w:rPr>
        <w:t xml:space="preserve">    </w:t>
      </w:r>
      <w:r w:rsidRPr="00294B78">
        <w:rPr>
          <w:rStyle w:val="apple-style-span"/>
          <w:rFonts w:ascii="ITC Zapf Dingbats" w:hAnsi="ITC Zapf Dingbats"/>
          <w:color w:val="000000"/>
        </w:rPr>
        <w:t xml:space="preserve">   </w:t>
      </w:r>
    </w:p>
    <w:p w:rsidR="003B278C" w:rsidRPr="00D52594" w:rsidRDefault="003B278C" w:rsidP="003B278C">
      <w:pPr>
        <w:pStyle w:val="BodyText2"/>
        <w:tabs>
          <w:tab w:val="left" w:pos="720"/>
          <w:tab w:val="left" w:pos="1440"/>
        </w:tabs>
        <w:ind w:firstLine="720"/>
        <w:rPr>
          <w:b/>
          <w:bCs/>
        </w:rPr>
      </w:pPr>
      <w:proofErr w:type="gramStart"/>
      <w:r w:rsidRPr="00294B78">
        <w:rPr>
          <w:b/>
          <w:bCs/>
        </w:rPr>
        <w:t>Q.</w:t>
      </w:r>
      <w:r w:rsidRPr="00294B78">
        <w:rPr>
          <w:b/>
          <w:bCs/>
        </w:rPr>
        <w:tab/>
        <w:t xml:space="preserve">Turning now to </w:t>
      </w:r>
      <w:r w:rsidRPr="00294B78">
        <w:rPr>
          <w:b/>
          <w:bCs/>
          <w:u w:val="single"/>
        </w:rPr>
        <w:t>natural gas</w:t>
      </w:r>
      <w:r w:rsidRPr="00294B78">
        <w:rPr>
          <w:b/>
          <w:bCs/>
        </w:rPr>
        <w:t xml:space="preserve">, why is the Company proposing to increase </w:t>
      </w:r>
      <w:r>
        <w:rPr>
          <w:b/>
          <w:bCs/>
        </w:rPr>
        <w:t xml:space="preserve">the Schedule 101 </w:t>
      </w:r>
      <w:r w:rsidRPr="00D52594">
        <w:rPr>
          <w:b/>
          <w:bCs/>
        </w:rPr>
        <w:t>monthly customer charge from $</w:t>
      </w:r>
      <w:r w:rsidR="00337798">
        <w:rPr>
          <w:b/>
          <w:bCs/>
        </w:rPr>
        <w:t>9</w:t>
      </w:r>
      <w:r w:rsidRPr="00D52594">
        <w:rPr>
          <w:b/>
          <w:bCs/>
        </w:rPr>
        <w:t>.00 to $</w:t>
      </w:r>
      <w:r w:rsidR="00843D43">
        <w:rPr>
          <w:b/>
          <w:bCs/>
        </w:rPr>
        <w:t>12</w:t>
      </w:r>
      <w:r w:rsidRPr="00D52594">
        <w:rPr>
          <w:b/>
          <w:bCs/>
        </w:rPr>
        <w:t>.00 per month?</w:t>
      </w:r>
      <w:proofErr w:type="gramEnd"/>
    </w:p>
    <w:p w:rsidR="003B278C" w:rsidRDefault="000F0F87" w:rsidP="003B278C">
      <w:pPr>
        <w:pStyle w:val="BodyText2"/>
        <w:tabs>
          <w:tab w:val="left" w:pos="810"/>
          <w:tab w:val="left" w:pos="1440"/>
        </w:tabs>
        <w:ind w:firstLine="720"/>
      </w:pPr>
      <w:r>
        <w:t>A.</w:t>
      </w:r>
      <w:r>
        <w:tab/>
      </w:r>
      <w:r w:rsidR="003B278C">
        <w:t>Schedule 101</w:t>
      </w:r>
      <w:r w:rsidR="003B278C" w:rsidRPr="00D52594">
        <w:t xml:space="preserve"> </w:t>
      </w:r>
      <w:r w:rsidR="003B278C" w:rsidRPr="00D52594">
        <w:rPr>
          <w:u w:val="single"/>
        </w:rPr>
        <w:t>total customer allocated costs</w:t>
      </w:r>
      <w:r w:rsidR="003B278C" w:rsidRPr="00D52594">
        <w:t xml:space="preserve">, as shown in </w:t>
      </w:r>
      <w:r w:rsidR="00891F68">
        <w:t xml:space="preserve">Mr. </w:t>
      </w:r>
      <w:r w:rsidR="003B278C">
        <w:t>Miller</w:t>
      </w:r>
      <w:r w:rsidR="00891F68">
        <w:t>’s</w:t>
      </w:r>
      <w:r w:rsidR="003B278C" w:rsidRPr="00D52594">
        <w:t xml:space="preserve"> Exhibit </w:t>
      </w:r>
      <w:r w:rsidR="003B278C" w:rsidRPr="002C1009">
        <w:t>No. _</w:t>
      </w:r>
      <w:proofErr w:type="gramStart"/>
      <w:r w:rsidR="003B278C" w:rsidRPr="002C1009">
        <w:t>_(</w:t>
      </w:r>
      <w:proofErr w:type="gramEnd"/>
      <w:r w:rsidR="003B278C" w:rsidRPr="002C1009">
        <w:t>JDM-</w:t>
      </w:r>
      <w:r w:rsidR="002C1009" w:rsidRPr="002C1009">
        <w:t>3</w:t>
      </w:r>
      <w:r w:rsidR="003B278C" w:rsidRPr="002C1009">
        <w:t xml:space="preserve">), page 4, </w:t>
      </w:r>
      <w:r w:rsidR="003B278C" w:rsidRPr="007C10C8">
        <w:t>line 2</w:t>
      </w:r>
      <w:r w:rsidR="00DB7660" w:rsidRPr="007C10C8">
        <w:t>5</w:t>
      </w:r>
      <w:r w:rsidR="003B278C" w:rsidRPr="007C10C8">
        <w:t xml:space="preserve">, </w:t>
      </w:r>
      <w:r w:rsidRPr="007C10C8">
        <w:t>is</w:t>
      </w:r>
      <w:r w:rsidR="00946E99" w:rsidRPr="007C10C8">
        <w:t xml:space="preserve"> $</w:t>
      </w:r>
      <w:r w:rsidR="00946E99" w:rsidRPr="007C10C8">
        <w:rPr>
          <w:u w:val="single"/>
        </w:rPr>
        <w:t>27.07</w:t>
      </w:r>
      <w:r w:rsidR="003B278C" w:rsidRPr="002C1009">
        <w:t xml:space="preserve"> per customer per month.  </w:t>
      </w:r>
      <w:r w:rsidR="00EF2458">
        <w:t xml:space="preserve">$12.17 of the </w:t>
      </w:r>
      <w:r w:rsidR="00946E99">
        <w:t>$27.07</w:t>
      </w:r>
      <w:r w:rsidR="00AF6076">
        <w:t xml:space="preserve"> noted above are related to the</w:t>
      </w:r>
      <w:r w:rsidR="003B278C" w:rsidRPr="002C1009">
        <w:t xml:space="preserve"> cost of the meter and service, billing</w:t>
      </w:r>
      <w:r w:rsidR="00AF6076">
        <w:t>,</w:t>
      </w:r>
      <w:r w:rsidR="003B278C" w:rsidRPr="002C1009">
        <w:t xml:space="preserve"> and providing customer service, as shown in </w:t>
      </w:r>
      <w:r w:rsidR="00AD4FD5" w:rsidRPr="002C1009">
        <w:t>Miller</w:t>
      </w:r>
      <w:r w:rsidR="003B278C" w:rsidRPr="002C1009">
        <w:t xml:space="preserve"> Exhibit No. _</w:t>
      </w:r>
      <w:proofErr w:type="gramStart"/>
      <w:r w:rsidR="003B278C" w:rsidRPr="002C1009">
        <w:t>_(</w:t>
      </w:r>
      <w:proofErr w:type="gramEnd"/>
      <w:r w:rsidR="00AD4FD5" w:rsidRPr="002C1009">
        <w:t>JDM</w:t>
      </w:r>
      <w:r w:rsidR="003B278C" w:rsidRPr="002C1009">
        <w:t>-</w:t>
      </w:r>
      <w:r w:rsidR="002C1009" w:rsidRPr="002C1009">
        <w:t>3</w:t>
      </w:r>
      <w:r w:rsidR="00946E99">
        <w:t>), page 4 line 23</w:t>
      </w:r>
      <w:r w:rsidR="003B278C" w:rsidRPr="002C1009">
        <w:t>.</w:t>
      </w:r>
      <w:r w:rsidR="003B278C" w:rsidRPr="00D52594">
        <w:t xml:space="preserve">  </w:t>
      </w:r>
    </w:p>
    <w:p w:rsidR="003B278C" w:rsidRPr="008B41AB" w:rsidRDefault="003B278C" w:rsidP="003B278C">
      <w:pPr>
        <w:pStyle w:val="BodyText2"/>
        <w:tabs>
          <w:tab w:val="left" w:pos="720"/>
          <w:tab w:val="left" w:pos="1440"/>
        </w:tabs>
        <w:ind w:firstLine="720"/>
        <w:rPr>
          <w:b/>
        </w:rPr>
      </w:pPr>
      <w:r w:rsidRPr="008B41AB">
        <w:rPr>
          <w:b/>
        </w:rPr>
        <w:t>Q.</w:t>
      </w:r>
      <w:r w:rsidRPr="008B41AB">
        <w:rPr>
          <w:b/>
        </w:rPr>
        <w:tab/>
        <w:t>What is the consequence to a</w:t>
      </w:r>
      <w:r w:rsidR="00891F68">
        <w:rPr>
          <w:b/>
        </w:rPr>
        <w:t>n electric or natural gas</w:t>
      </w:r>
      <w:r w:rsidRPr="008B41AB">
        <w:rPr>
          <w:b/>
        </w:rPr>
        <w:t xml:space="preserve"> customer of a Basic Charge that is priced below cost?</w:t>
      </w:r>
    </w:p>
    <w:p w:rsidR="003B278C" w:rsidRPr="008B41AB" w:rsidRDefault="003B278C" w:rsidP="003B278C">
      <w:pPr>
        <w:pStyle w:val="BodyText2"/>
        <w:tabs>
          <w:tab w:val="left" w:pos="720"/>
          <w:tab w:val="left" w:pos="810"/>
          <w:tab w:val="left" w:pos="1440"/>
        </w:tabs>
        <w:ind w:firstLine="720"/>
      </w:pPr>
      <w:r w:rsidRPr="008B41AB">
        <w:t>A.</w:t>
      </w:r>
      <w:r w:rsidRPr="008B41AB">
        <w:tab/>
        <w:t>Because rate design is a “zero sum game”, if customer charges are set below the cost, then other charges are, by definition, set above their cost of service.  For residential gas and electric customers, the only other charge is the volumetric charge.  When volumetric rates are increased above their cost of service to include customer costs that are not in the Basic Charge, several consequences ensue:</w:t>
      </w:r>
    </w:p>
    <w:p w:rsidR="003B278C" w:rsidRPr="008B41AB" w:rsidRDefault="003B278C" w:rsidP="00C2766D">
      <w:pPr>
        <w:pStyle w:val="BodyText2"/>
        <w:numPr>
          <w:ilvl w:val="0"/>
          <w:numId w:val="35"/>
        </w:numPr>
        <w:tabs>
          <w:tab w:val="left" w:pos="810"/>
          <w:tab w:val="left" w:pos="1440"/>
        </w:tabs>
      </w:pPr>
      <w:r w:rsidRPr="008B41AB">
        <w:t xml:space="preserve">It results in almost all customers paying more </w:t>
      </w:r>
      <w:r>
        <w:t>“</w:t>
      </w:r>
      <w:r w:rsidRPr="008B41AB">
        <w:t>per-customer</w:t>
      </w:r>
      <w:r>
        <w:t>”</w:t>
      </w:r>
      <w:r w:rsidRPr="008B41AB">
        <w:t xml:space="preserve"> related costs in the winter, even though their customer costs are not higher in the winte</w:t>
      </w:r>
      <w:r w:rsidR="005E2247">
        <w:t>r</w:t>
      </w:r>
      <w:r w:rsidR="00AF6076">
        <w:t xml:space="preserve"> su</w:t>
      </w:r>
      <w:r w:rsidR="005E2247">
        <w:t>mmer.</w:t>
      </w:r>
    </w:p>
    <w:p w:rsidR="003B278C" w:rsidRPr="008B41AB" w:rsidRDefault="003B278C" w:rsidP="00C2766D">
      <w:pPr>
        <w:pStyle w:val="BodyText2"/>
        <w:numPr>
          <w:ilvl w:val="0"/>
          <w:numId w:val="35"/>
        </w:numPr>
        <w:tabs>
          <w:tab w:val="left" w:pos="810"/>
          <w:tab w:val="left" w:pos="1440"/>
        </w:tabs>
      </w:pPr>
      <w:r w:rsidRPr="008B41AB">
        <w:t>It results in the amount of customer costs a customer pays being unpredictable, even though customer costs are actually very predictable.</w:t>
      </w:r>
    </w:p>
    <w:p w:rsidR="003B278C" w:rsidRPr="008B41AB" w:rsidRDefault="003B278C" w:rsidP="00C2766D">
      <w:pPr>
        <w:pStyle w:val="BodyText2"/>
        <w:numPr>
          <w:ilvl w:val="0"/>
          <w:numId w:val="35"/>
        </w:numPr>
        <w:tabs>
          <w:tab w:val="left" w:pos="810"/>
          <w:tab w:val="left" w:pos="1440"/>
        </w:tabs>
      </w:pPr>
      <w:r w:rsidRPr="008B41AB">
        <w:t>A portion of fixed costs of providing service to low usage customers is actually recovered from other higher usage customers served under the same schedule.</w:t>
      </w:r>
    </w:p>
    <w:p w:rsidR="00AF6076" w:rsidRDefault="00891F68" w:rsidP="00AF6076">
      <w:pPr>
        <w:pStyle w:val="answer"/>
        <w:widowControl w:val="0"/>
        <w:spacing w:before="0" w:after="0"/>
        <w:ind w:left="0" w:firstLine="720"/>
        <w:jc w:val="both"/>
      </w:pPr>
      <w:r>
        <w:t>Ideally, to properly match revenues with the cost of service</w:t>
      </w:r>
      <w:r w:rsidR="003B278C">
        <w:t xml:space="preserve">, </w:t>
      </w:r>
      <w:r w:rsidR="003B278C" w:rsidRPr="00B37259">
        <w:t xml:space="preserve">the fixed costs of providing service would be recovered through a fixed </w:t>
      </w:r>
      <w:r w:rsidR="003B278C">
        <w:t xml:space="preserve">monthly </w:t>
      </w:r>
      <w:r w:rsidR="003B278C" w:rsidRPr="00B37259">
        <w:t>charge</w:t>
      </w:r>
      <w:r w:rsidR="003B278C">
        <w:t xml:space="preserve">, paid by each customer </w:t>
      </w:r>
      <w:r w:rsidR="003B278C">
        <w:lastRenderedPageBreak/>
        <w:t>irrespective of actual usage.  The rationale for that type of rate design is that a utility’s</w:t>
      </w:r>
      <w:r w:rsidR="003B278C" w:rsidRPr="00B37259">
        <w:t xml:space="preserve"> facilities and support </w:t>
      </w:r>
      <w:r w:rsidR="003B278C">
        <w:t xml:space="preserve">functions are made available to its customers </w:t>
      </w:r>
      <w:r w:rsidR="003B278C" w:rsidRPr="00B37259">
        <w:t xml:space="preserve">irrespective of how much energy they use.  </w:t>
      </w:r>
    </w:p>
    <w:p w:rsidR="003B278C" w:rsidRPr="008B41AB" w:rsidRDefault="003B278C" w:rsidP="00AF6076">
      <w:pPr>
        <w:pStyle w:val="answer"/>
        <w:widowControl w:val="0"/>
        <w:spacing w:before="0" w:after="0"/>
        <w:ind w:left="0" w:firstLine="720"/>
        <w:jc w:val="both"/>
      </w:pPr>
      <w:r w:rsidRPr="008B41AB">
        <w:t xml:space="preserve">In summary, setting the basic charge at a rate substantially less than an amount that covers annual customer costs </w:t>
      </w:r>
      <w:r>
        <w:t xml:space="preserve">can </w:t>
      </w:r>
      <w:r w:rsidRPr="008B41AB">
        <w:t xml:space="preserve">result in rates that are not </w:t>
      </w:r>
      <w:proofErr w:type="gramStart"/>
      <w:r w:rsidRPr="008B41AB">
        <w:t>equitable</w:t>
      </w:r>
      <w:r w:rsidR="00891F68">
        <w:t>,</w:t>
      </w:r>
      <w:proofErr w:type="gramEnd"/>
      <w:r w:rsidRPr="008B41AB">
        <w:t xml:space="preserve"> and </w:t>
      </w:r>
      <w:r w:rsidR="00891F68">
        <w:t xml:space="preserve">monthly bills that </w:t>
      </w:r>
      <w:r w:rsidRPr="008B41AB">
        <w:t xml:space="preserve">are unnecessarily </w:t>
      </w:r>
      <w:r>
        <w:t>volatile</w:t>
      </w:r>
      <w:r w:rsidRPr="008B41AB">
        <w:t>.</w:t>
      </w:r>
    </w:p>
    <w:p w:rsidR="003B278C" w:rsidRPr="008B41AB" w:rsidRDefault="003B278C" w:rsidP="003B278C">
      <w:pPr>
        <w:pStyle w:val="BodyText2"/>
        <w:tabs>
          <w:tab w:val="left" w:pos="720"/>
          <w:tab w:val="left" w:pos="810"/>
          <w:tab w:val="left" w:pos="1440"/>
        </w:tabs>
        <w:ind w:firstLine="720"/>
        <w:rPr>
          <w:b/>
          <w:bCs/>
        </w:rPr>
      </w:pPr>
      <w:r w:rsidRPr="008B41AB">
        <w:rPr>
          <w:b/>
          <w:bCs/>
        </w:rPr>
        <w:t>Q.</w:t>
      </w:r>
      <w:r w:rsidRPr="008B41AB">
        <w:rPr>
          <w:b/>
          <w:bCs/>
        </w:rPr>
        <w:tab/>
        <w:t>But won’t increasing the Basic Charge send the wrong price signal through the energy rates?</w:t>
      </w:r>
    </w:p>
    <w:p w:rsidR="003B278C" w:rsidRPr="002C1009" w:rsidRDefault="003B278C" w:rsidP="003B278C">
      <w:pPr>
        <w:pStyle w:val="BodyText2"/>
        <w:tabs>
          <w:tab w:val="left" w:pos="720"/>
          <w:tab w:val="left" w:pos="810"/>
          <w:tab w:val="left" w:pos="1440"/>
        </w:tabs>
        <w:ind w:firstLine="720"/>
      </w:pPr>
      <w:r w:rsidRPr="008B41AB">
        <w:rPr>
          <w:bCs/>
        </w:rPr>
        <w:t xml:space="preserve">A.  </w:t>
      </w:r>
      <w:r w:rsidRPr="008B41AB">
        <w:rPr>
          <w:bCs/>
        </w:rPr>
        <w:tab/>
      </w:r>
      <w:r>
        <w:rPr>
          <w:bCs/>
        </w:rPr>
        <w:t xml:space="preserve">No.  </w:t>
      </w:r>
      <w:r w:rsidRPr="008B41AB">
        <w:rPr>
          <w:bCs/>
        </w:rPr>
        <w:t xml:space="preserve">Conservation of electricity and natural gas is important for customers and for the Company, and one might argue that a lower basic charge results in higher commodity </w:t>
      </w:r>
      <w:r w:rsidR="00891F68">
        <w:rPr>
          <w:bCs/>
        </w:rPr>
        <w:t>charge</w:t>
      </w:r>
      <w:r w:rsidRPr="008B41AB">
        <w:rPr>
          <w:bCs/>
        </w:rPr>
        <w:t>s and a stronger price signal related to volume usage.  However, sending a price signal to customers through a residential rate design that contains a three</w:t>
      </w:r>
      <w:r>
        <w:rPr>
          <w:bCs/>
        </w:rPr>
        <w:t>-</w:t>
      </w:r>
      <w:r w:rsidRPr="008B41AB">
        <w:rPr>
          <w:bCs/>
        </w:rPr>
        <w:t xml:space="preserve">tier increasing block rate for electric (natural gas </w:t>
      </w:r>
      <w:r>
        <w:rPr>
          <w:bCs/>
        </w:rPr>
        <w:t>has two</w:t>
      </w:r>
      <w:r w:rsidRPr="008B41AB">
        <w:rPr>
          <w:bCs/>
        </w:rPr>
        <w:t xml:space="preserve"> volumetric </w:t>
      </w:r>
      <w:r>
        <w:rPr>
          <w:bCs/>
        </w:rPr>
        <w:t>tiers</w:t>
      </w:r>
      <w:r w:rsidRPr="008B41AB">
        <w:rPr>
          <w:bCs/>
        </w:rPr>
        <w:t>) was developed for just such a reason</w:t>
      </w:r>
      <w:r w:rsidRPr="002C1009">
        <w:rPr>
          <w:bCs/>
        </w:rPr>
        <w:t xml:space="preserve">.  </w:t>
      </w:r>
      <w:proofErr w:type="gramStart"/>
      <w:r w:rsidRPr="002C1009">
        <w:rPr>
          <w:bCs/>
        </w:rPr>
        <w:t>The more electricity that is used, the higher the rate, and therefore the higher the overall customer bill.</w:t>
      </w:r>
      <w:proofErr w:type="gramEnd"/>
      <w:r w:rsidRPr="002C1009">
        <w:rPr>
          <w:bCs/>
        </w:rPr>
        <w:t xml:space="preserve">  </w:t>
      </w:r>
      <w:r w:rsidR="002C1009" w:rsidRPr="002C1009">
        <w:t>T</w:t>
      </w:r>
      <w:r w:rsidRPr="002C1009">
        <w:t xml:space="preserve">he volumetric pricing components </w:t>
      </w:r>
      <w:r w:rsidR="00BE4355" w:rsidRPr="002C1009">
        <w:t>will still send a very clear price signal to conserve</w:t>
      </w:r>
      <w:r w:rsidR="00AF6076">
        <w:t>,</w:t>
      </w:r>
      <w:r w:rsidR="00BE4355" w:rsidRPr="002C1009">
        <w:t xml:space="preserve"> </w:t>
      </w:r>
      <w:r w:rsidR="002C1009" w:rsidRPr="002C1009">
        <w:t>even with the Company’s proposed basic charge increase</w:t>
      </w:r>
      <w:r w:rsidR="00843D43" w:rsidRPr="002C1009">
        <w:t>.</w:t>
      </w:r>
    </w:p>
    <w:p w:rsidR="00AF6076" w:rsidRPr="00AF6076" w:rsidRDefault="00BE4355" w:rsidP="00AF6076">
      <w:pPr>
        <w:tabs>
          <w:tab w:val="left" w:pos="720"/>
        </w:tabs>
        <w:spacing w:line="480" w:lineRule="auto"/>
        <w:ind w:firstLine="720"/>
        <w:jc w:val="both"/>
        <w:rPr>
          <w:bCs/>
        </w:rPr>
      </w:pPr>
      <w:r>
        <w:rPr>
          <w:bCs/>
        </w:rPr>
        <w:t>T</w:t>
      </w:r>
      <w:r w:rsidR="003B278C" w:rsidRPr="008B41AB">
        <w:rPr>
          <w:bCs/>
        </w:rPr>
        <w:t xml:space="preserve">he Company’s </w:t>
      </w:r>
      <w:r w:rsidR="00AD4FD5">
        <w:rPr>
          <w:bCs/>
        </w:rPr>
        <w:t xml:space="preserve">Integrated Resource </w:t>
      </w:r>
      <w:r w:rsidR="003B278C" w:rsidRPr="008B41AB">
        <w:rPr>
          <w:bCs/>
        </w:rPr>
        <w:t>P</w:t>
      </w:r>
      <w:r w:rsidR="00AD4FD5">
        <w:rPr>
          <w:bCs/>
        </w:rPr>
        <w:t>lans</w:t>
      </w:r>
      <w:r w:rsidR="003B278C" w:rsidRPr="008B41AB">
        <w:rPr>
          <w:bCs/>
        </w:rPr>
        <w:t xml:space="preserve"> </w:t>
      </w:r>
      <w:r>
        <w:rPr>
          <w:bCs/>
        </w:rPr>
        <w:t xml:space="preserve">provide a perspective of </w:t>
      </w:r>
      <w:r w:rsidR="003B278C" w:rsidRPr="008B41AB">
        <w:rPr>
          <w:bCs/>
        </w:rPr>
        <w:t xml:space="preserve">the incremental cost of electricity and natural gas on a forward looking basis, as compared to retail rates.  </w:t>
      </w:r>
      <w:r w:rsidR="0076151E">
        <w:rPr>
          <w:bCs/>
        </w:rPr>
        <w:t xml:space="preserve">Illustration </w:t>
      </w:r>
      <w:r w:rsidR="008C51DB">
        <w:rPr>
          <w:bCs/>
        </w:rPr>
        <w:t xml:space="preserve">No. </w:t>
      </w:r>
      <w:r w:rsidR="007F1D69">
        <w:rPr>
          <w:bCs/>
        </w:rPr>
        <w:t>4</w:t>
      </w:r>
      <w:r w:rsidR="0076151E">
        <w:rPr>
          <w:bCs/>
        </w:rPr>
        <w:t xml:space="preserve"> b</w:t>
      </w:r>
      <w:r w:rsidR="00D66DF0">
        <w:rPr>
          <w:bCs/>
        </w:rPr>
        <w:t xml:space="preserve">elow shows the average or melded </w:t>
      </w:r>
      <w:r w:rsidR="00CA4E13">
        <w:rPr>
          <w:bCs/>
        </w:rPr>
        <w:t xml:space="preserve">Schedule 1 </w:t>
      </w:r>
      <w:r w:rsidR="00D66DF0">
        <w:rPr>
          <w:bCs/>
        </w:rPr>
        <w:t>volumetric rate per kWh, at varying usage levels, and with varying basic charges.</w:t>
      </w:r>
      <w:r w:rsidR="00AF6076">
        <w:rPr>
          <w:b/>
          <w:bCs/>
          <w:u w:val="single"/>
        </w:rPr>
        <w:br w:type="page"/>
      </w:r>
    </w:p>
    <w:p w:rsidR="0076151E" w:rsidRPr="0076151E" w:rsidRDefault="002E7F3A" w:rsidP="0076151E">
      <w:pPr>
        <w:tabs>
          <w:tab w:val="left" w:pos="720"/>
        </w:tabs>
        <w:spacing w:line="480" w:lineRule="auto"/>
        <w:rPr>
          <w:b/>
          <w:bCs/>
          <w:u w:val="single"/>
        </w:rPr>
      </w:pPr>
      <w:r w:rsidRPr="00397844">
        <w:rPr>
          <w:b/>
          <w:bCs/>
          <w:u w:val="single"/>
        </w:rPr>
        <w:lastRenderedPageBreak/>
        <w:t xml:space="preserve">Illustration No. </w:t>
      </w:r>
      <w:r w:rsidR="007F1D69" w:rsidRPr="00397844">
        <w:rPr>
          <w:b/>
          <w:bCs/>
          <w:u w:val="single"/>
        </w:rPr>
        <w:t>4</w:t>
      </w:r>
    </w:p>
    <w:p w:rsidR="002C1009" w:rsidRDefault="00397844" w:rsidP="003B278C">
      <w:pPr>
        <w:tabs>
          <w:tab w:val="left" w:pos="720"/>
        </w:tabs>
        <w:spacing w:line="480" w:lineRule="auto"/>
        <w:ind w:firstLine="720"/>
        <w:jc w:val="both"/>
        <w:rPr>
          <w:bCs/>
        </w:rPr>
      </w:pPr>
      <w:r w:rsidRPr="00397844">
        <w:rPr>
          <w:noProof/>
        </w:rPr>
        <w:drawing>
          <wp:anchor distT="0" distB="0" distL="114300" distR="114300" simplePos="0" relativeHeight="251962880" behindDoc="1" locked="0" layoutInCell="1" allowOverlap="1">
            <wp:simplePos x="0" y="0"/>
            <wp:positionH relativeFrom="column">
              <wp:posOffset>322700</wp:posOffset>
            </wp:positionH>
            <wp:positionV relativeFrom="paragraph">
              <wp:posOffset>3163</wp:posOffset>
            </wp:positionV>
            <wp:extent cx="5320438" cy="3019245"/>
            <wp:effectExtent l="1905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5320438" cy="3019245"/>
                    </a:xfrm>
                    <a:prstGeom prst="rect">
                      <a:avLst/>
                    </a:prstGeom>
                    <a:noFill/>
                    <a:ln w="9525">
                      <a:noFill/>
                      <a:miter lim="800000"/>
                      <a:headEnd/>
                      <a:tailEnd/>
                    </a:ln>
                  </pic:spPr>
                </pic:pic>
              </a:graphicData>
            </a:graphic>
          </wp:anchor>
        </w:drawing>
      </w:r>
    </w:p>
    <w:p w:rsidR="002C1009" w:rsidRDefault="002C1009" w:rsidP="003B278C">
      <w:pPr>
        <w:tabs>
          <w:tab w:val="left" w:pos="720"/>
        </w:tabs>
        <w:spacing w:line="480" w:lineRule="auto"/>
        <w:ind w:firstLine="720"/>
        <w:jc w:val="both"/>
        <w:rPr>
          <w:bCs/>
        </w:rPr>
      </w:pPr>
    </w:p>
    <w:p w:rsidR="002B1B54" w:rsidRDefault="00D66DF0" w:rsidP="00344D41">
      <w:pPr>
        <w:tabs>
          <w:tab w:val="left" w:pos="720"/>
          <w:tab w:val="center" w:pos="4824"/>
        </w:tabs>
        <w:spacing w:line="480" w:lineRule="auto"/>
        <w:ind w:firstLine="720"/>
        <w:jc w:val="both"/>
        <w:rPr>
          <w:bCs/>
        </w:rPr>
      </w:pPr>
      <w:r>
        <w:rPr>
          <w:bCs/>
        </w:rPr>
        <w:t xml:space="preserve">  </w:t>
      </w:r>
    </w:p>
    <w:p w:rsidR="002B1B54" w:rsidRDefault="002B1B54" w:rsidP="00344D41">
      <w:pPr>
        <w:tabs>
          <w:tab w:val="left" w:pos="720"/>
          <w:tab w:val="center" w:pos="4824"/>
        </w:tabs>
        <w:spacing w:line="480" w:lineRule="auto"/>
        <w:ind w:firstLine="720"/>
        <w:jc w:val="both"/>
        <w:rPr>
          <w:bCs/>
        </w:rPr>
      </w:pPr>
    </w:p>
    <w:p w:rsidR="002B1B54" w:rsidRDefault="002B1B54" w:rsidP="00344D41">
      <w:pPr>
        <w:tabs>
          <w:tab w:val="left" w:pos="720"/>
          <w:tab w:val="center" w:pos="4824"/>
        </w:tabs>
        <w:spacing w:line="480" w:lineRule="auto"/>
        <w:ind w:firstLine="720"/>
        <w:jc w:val="both"/>
        <w:rPr>
          <w:bCs/>
        </w:rPr>
      </w:pPr>
    </w:p>
    <w:p w:rsidR="002B1B54" w:rsidRDefault="002B1B54" w:rsidP="00344D41">
      <w:pPr>
        <w:tabs>
          <w:tab w:val="left" w:pos="720"/>
          <w:tab w:val="center" w:pos="4824"/>
        </w:tabs>
        <w:spacing w:line="480" w:lineRule="auto"/>
        <w:ind w:firstLine="720"/>
        <w:jc w:val="both"/>
        <w:rPr>
          <w:bCs/>
        </w:rPr>
      </w:pPr>
    </w:p>
    <w:p w:rsidR="00204E63" w:rsidRDefault="00344D41" w:rsidP="00344D41">
      <w:pPr>
        <w:tabs>
          <w:tab w:val="left" w:pos="720"/>
          <w:tab w:val="center" w:pos="4824"/>
        </w:tabs>
        <w:spacing w:line="480" w:lineRule="auto"/>
        <w:ind w:firstLine="720"/>
        <w:jc w:val="both"/>
        <w:rPr>
          <w:bCs/>
        </w:rPr>
      </w:pPr>
      <w:r>
        <w:rPr>
          <w:bCs/>
        </w:rPr>
        <w:tab/>
      </w:r>
    </w:p>
    <w:p w:rsidR="00204E63" w:rsidRDefault="00204E63" w:rsidP="003B278C">
      <w:pPr>
        <w:tabs>
          <w:tab w:val="left" w:pos="720"/>
        </w:tabs>
        <w:spacing w:line="480" w:lineRule="auto"/>
        <w:ind w:firstLine="720"/>
        <w:jc w:val="both"/>
        <w:rPr>
          <w:bCs/>
        </w:rPr>
      </w:pPr>
    </w:p>
    <w:p w:rsidR="00375BB2" w:rsidRDefault="00375BB2" w:rsidP="00204E63">
      <w:pPr>
        <w:tabs>
          <w:tab w:val="left" w:pos="720"/>
        </w:tabs>
        <w:spacing w:line="480" w:lineRule="auto"/>
        <w:ind w:firstLine="720"/>
        <w:jc w:val="both"/>
        <w:rPr>
          <w:bCs/>
        </w:rPr>
      </w:pPr>
    </w:p>
    <w:p w:rsidR="00204E63" w:rsidRDefault="00D66DF0" w:rsidP="00204E63">
      <w:pPr>
        <w:tabs>
          <w:tab w:val="left" w:pos="720"/>
        </w:tabs>
        <w:spacing w:line="480" w:lineRule="auto"/>
        <w:ind w:firstLine="720"/>
        <w:jc w:val="both"/>
        <w:rPr>
          <w:bCs/>
        </w:rPr>
      </w:pPr>
      <w:r>
        <w:rPr>
          <w:bCs/>
        </w:rPr>
        <w:t>The dotted line</w:t>
      </w:r>
      <w:r w:rsidR="00EA75E7">
        <w:rPr>
          <w:bCs/>
        </w:rPr>
        <w:t xml:space="preserve"> at the top of the graph</w:t>
      </w:r>
      <w:r>
        <w:rPr>
          <w:bCs/>
        </w:rPr>
        <w:t xml:space="preserve"> shows the</w:t>
      </w:r>
      <w:r w:rsidR="000A19F4">
        <w:rPr>
          <w:bCs/>
        </w:rPr>
        <w:t xml:space="preserve"> </w:t>
      </w:r>
      <w:r w:rsidR="00AF6076">
        <w:rPr>
          <w:bCs/>
          <w:u w:val="single"/>
        </w:rPr>
        <w:t>proposed</w:t>
      </w:r>
      <w:r>
        <w:rPr>
          <w:bCs/>
        </w:rPr>
        <w:t xml:space="preserve"> melded volumetric rate per kWh with an $8</w:t>
      </w:r>
      <w:r w:rsidR="00337798">
        <w:rPr>
          <w:bCs/>
        </w:rPr>
        <w:t>.50</w:t>
      </w:r>
      <w:r>
        <w:rPr>
          <w:bCs/>
        </w:rPr>
        <w:t xml:space="preserve"> per month basic charge.  The </w:t>
      </w:r>
      <w:r w:rsidR="000A19F4">
        <w:rPr>
          <w:bCs/>
        </w:rPr>
        <w:t>second</w:t>
      </w:r>
      <w:r>
        <w:rPr>
          <w:bCs/>
        </w:rPr>
        <w:t xml:space="preserve"> </w:t>
      </w:r>
      <w:r w:rsidR="000F0F87">
        <w:rPr>
          <w:bCs/>
        </w:rPr>
        <w:t>solid</w:t>
      </w:r>
      <w:r>
        <w:rPr>
          <w:bCs/>
        </w:rPr>
        <w:t xml:space="preserve"> line shows the</w:t>
      </w:r>
      <w:r w:rsidR="000A19F4">
        <w:rPr>
          <w:bCs/>
        </w:rPr>
        <w:t xml:space="preserve"> </w:t>
      </w:r>
      <w:r w:rsidR="000A19F4" w:rsidRPr="005E2247">
        <w:rPr>
          <w:bCs/>
          <w:u w:val="single"/>
        </w:rPr>
        <w:t>proposed</w:t>
      </w:r>
      <w:r>
        <w:rPr>
          <w:bCs/>
        </w:rPr>
        <w:t xml:space="preserve"> melded volumetric rate per kWh with a </w:t>
      </w:r>
      <w:r w:rsidR="00F234BF">
        <w:rPr>
          <w:bCs/>
        </w:rPr>
        <w:t>$14</w:t>
      </w:r>
      <w:r>
        <w:rPr>
          <w:bCs/>
        </w:rPr>
        <w:t xml:space="preserve"> basic charge.  </w:t>
      </w:r>
      <w:r w:rsidR="00EA75E7">
        <w:rPr>
          <w:bCs/>
        </w:rPr>
        <w:t>At the bottom of the graph is a solid line which shows the levelized 20-year avoided cost from the Company’s 2013 electric Integrated Resource Plan</w:t>
      </w:r>
      <w:r w:rsidR="004032B9">
        <w:rPr>
          <w:bCs/>
        </w:rPr>
        <w:t xml:space="preserve"> ($0.05520 per kWh)</w:t>
      </w:r>
      <w:r w:rsidR="00EA75E7">
        <w:rPr>
          <w:bCs/>
        </w:rPr>
        <w:t xml:space="preserve">.  </w:t>
      </w:r>
      <w:r w:rsidR="00AF6076">
        <w:rPr>
          <w:bCs/>
        </w:rPr>
        <w:t>By</w:t>
      </w:r>
      <w:r w:rsidR="00EA75E7">
        <w:rPr>
          <w:bCs/>
        </w:rPr>
        <w:t xml:space="preserve"> adjusting the basic charge from its current $8</w:t>
      </w:r>
      <w:r w:rsidR="00337798">
        <w:rPr>
          <w:bCs/>
        </w:rPr>
        <w:t>.50</w:t>
      </w:r>
      <w:r w:rsidR="0030040F">
        <w:rPr>
          <w:bCs/>
        </w:rPr>
        <w:t xml:space="preserve"> per month</w:t>
      </w:r>
      <w:r w:rsidR="00EA75E7">
        <w:rPr>
          <w:bCs/>
        </w:rPr>
        <w:t xml:space="preserve"> level to </w:t>
      </w:r>
      <w:r w:rsidR="00F234BF">
        <w:rPr>
          <w:bCs/>
        </w:rPr>
        <w:t>$14</w:t>
      </w:r>
      <w:r w:rsidR="0030040F">
        <w:rPr>
          <w:bCs/>
        </w:rPr>
        <w:t xml:space="preserve"> per month</w:t>
      </w:r>
      <w:r w:rsidR="004032B9">
        <w:rPr>
          <w:bCs/>
        </w:rPr>
        <w:t>, the</w:t>
      </w:r>
      <w:r w:rsidR="00EA75E7">
        <w:rPr>
          <w:bCs/>
        </w:rPr>
        <w:t xml:space="preserve"> result</w:t>
      </w:r>
      <w:r w:rsidR="000A19F4">
        <w:rPr>
          <w:bCs/>
        </w:rPr>
        <w:t>ing</w:t>
      </w:r>
      <w:r w:rsidR="00EA75E7">
        <w:rPr>
          <w:bCs/>
        </w:rPr>
        <w:t xml:space="preserve"> melded volumetric rate</w:t>
      </w:r>
      <w:r w:rsidR="000A19F4">
        <w:rPr>
          <w:bCs/>
        </w:rPr>
        <w:t xml:space="preserve">, </w:t>
      </w:r>
      <w:r w:rsidR="00247DEE">
        <w:rPr>
          <w:bCs/>
        </w:rPr>
        <w:t xml:space="preserve">is </w:t>
      </w:r>
      <w:r w:rsidR="00EA75E7">
        <w:rPr>
          <w:bCs/>
        </w:rPr>
        <w:t>well above the 20</w:t>
      </w:r>
      <w:r w:rsidR="005E2247">
        <w:rPr>
          <w:bCs/>
        </w:rPr>
        <w:t>-</w:t>
      </w:r>
      <w:r w:rsidR="00EA75E7">
        <w:rPr>
          <w:bCs/>
        </w:rPr>
        <w:t xml:space="preserve">year levelized avoided cost.  With a basic charge of </w:t>
      </w:r>
      <w:r w:rsidR="00F234BF">
        <w:rPr>
          <w:bCs/>
        </w:rPr>
        <w:t>$14</w:t>
      </w:r>
      <w:r w:rsidR="00EA75E7">
        <w:rPr>
          <w:bCs/>
        </w:rPr>
        <w:t xml:space="preserve"> per month, customers w</w:t>
      </w:r>
      <w:r w:rsidR="000A19F4">
        <w:rPr>
          <w:bCs/>
        </w:rPr>
        <w:t>ill</w:t>
      </w:r>
      <w:r w:rsidR="00EA75E7">
        <w:rPr>
          <w:bCs/>
        </w:rPr>
        <w:t xml:space="preserve"> still pay a volumetric rate, regardless of usage, that exceeds the Company’s avoided cost</w:t>
      </w:r>
      <w:r w:rsidR="004032B9">
        <w:rPr>
          <w:bCs/>
        </w:rPr>
        <w:t xml:space="preserve"> and</w:t>
      </w:r>
      <w:r w:rsidR="00AF6076">
        <w:rPr>
          <w:bCs/>
        </w:rPr>
        <w:t>,</w:t>
      </w:r>
      <w:r w:rsidR="00204E63">
        <w:rPr>
          <w:bCs/>
        </w:rPr>
        <w:t xml:space="preserve"> </w:t>
      </w:r>
      <w:r w:rsidR="000A19F4">
        <w:rPr>
          <w:bCs/>
        </w:rPr>
        <w:t>therefore</w:t>
      </w:r>
      <w:r w:rsidR="00AF6076">
        <w:rPr>
          <w:bCs/>
        </w:rPr>
        <w:t>,</w:t>
      </w:r>
      <w:r w:rsidR="000A19F4">
        <w:rPr>
          <w:bCs/>
        </w:rPr>
        <w:t xml:space="preserve"> </w:t>
      </w:r>
      <w:r w:rsidR="00204E63">
        <w:rPr>
          <w:bCs/>
        </w:rPr>
        <w:t xml:space="preserve">sends a very clear price signal.  </w:t>
      </w:r>
    </w:p>
    <w:p w:rsidR="003B278C" w:rsidRPr="007F3749" w:rsidRDefault="003B278C" w:rsidP="00204E63">
      <w:pPr>
        <w:tabs>
          <w:tab w:val="left" w:pos="720"/>
        </w:tabs>
        <w:spacing w:line="480" w:lineRule="auto"/>
        <w:ind w:firstLine="720"/>
        <w:jc w:val="both"/>
      </w:pPr>
      <w:r w:rsidRPr="008B41AB">
        <w:rPr>
          <w:bCs/>
        </w:rPr>
        <w:t xml:space="preserve">For natural gas, the Company included several forecasts in </w:t>
      </w:r>
      <w:r>
        <w:rPr>
          <w:bCs/>
        </w:rPr>
        <w:t>i</w:t>
      </w:r>
      <w:r w:rsidRPr="008B41AB">
        <w:rPr>
          <w:bCs/>
        </w:rPr>
        <w:t>ts 2</w:t>
      </w:r>
      <w:r w:rsidR="00337798">
        <w:rPr>
          <w:bCs/>
        </w:rPr>
        <w:t>014</w:t>
      </w:r>
      <w:r w:rsidRPr="008B41AB">
        <w:rPr>
          <w:bCs/>
        </w:rPr>
        <w:t xml:space="preserve"> </w:t>
      </w:r>
      <w:r w:rsidR="00AF6449">
        <w:rPr>
          <w:bCs/>
        </w:rPr>
        <w:t>Integrated Resource Plan which a</w:t>
      </w:r>
      <w:r w:rsidRPr="008B41AB">
        <w:rPr>
          <w:bCs/>
        </w:rPr>
        <w:t>ll show</w:t>
      </w:r>
      <w:r w:rsidR="000A19F4">
        <w:rPr>
          <w:bCs/>
        </w:rPr>
        <w:t>ed</w:t>
      </w:r>
      <w:r w:rsidR="00AF6076">
        <w:rPr>
          <w:bCs/>
        </w:rPr>
        <w:t xml:space="preserve"> forecast</w:t>
      </w:r>
      <w:r w:rsidRPr="008B41AB">
        <w:rPr>
          <w:bCs/>
        </w:rPr>
        <w:t xml:space="preserve"> natural gas prices at Henry Hub over the next </w:t>
      </w:r>
      <w:r w:rsidR="00E85E66">
        <w:rPr>
          <w:bCs/>
        </w:rPr>
        <w:t>20</w:t>
      </w:r>
      <w:r w:rsidRPr="007F3749">
        <w:rPr>
          <w:bCs/>
        </w:rPr>
        <w:t xml:space="preserve"> years being lower than Avista’s retail rate</w:t>
      </w:r>
      <w:r w:rsidRPr="007F3749">
        <w:rPr>
          <w:rStyle w:val="FootnoteReference"/>
          <w:bCs/>
        </w:rPr>
        <w:footnoteReference w:id="9"/>
      </w:r>
      <w:r w:rsidRPr="007F3749">
        <w:rPr>
          <w:bCs/>
        </w:rPr>
        <w:t xml:space="preserve">.   </w:t>
      </w:r>
    </w:p>
    <w:p w:rsidR="00337798" w:rsidRPr="007F3749" w:rsidRDefault="00337798" w:rsidP="00337798">
      <w:pPr>
        <w:pStyle w:val="BodyText2"/>
        <w:tabs>
          <w:tab w:val="left" w:pos="720"/>
          <w:tab w:val="left" w:pos="810"/>
          <w:tab w:val="left" w:pos="1440"/>
        </w:tabs>
        <w:ind w:firstLine="720"/>
        <w:rPr>
          <w:b/>
          <w:bCs/>
        </w:rPr>
      </w:pPr>
      <w:r w:rsidRPr="007F3749">
        <w:rPr>
          <w:b/>
          <w:bCs/>
        </w:rPr>
        <w:lastRenderedPageBreak/>
        <w:t>Q.</w:t>
      </w:r>
      <w:r w:rsidRPr="007F3749">
        <w:rPr>
          <w:b/>
          <w:bCs/>
        </w:rPr>
        <w:tab/>
        <w:t>Does the fact that that Avista now has electric and natural gas decoupling change the Company’s view of the appropriate level of the basic charge?</w:t>
      </w:r>
    </w:p>
    <w:p w:rsidR="00337798" w:rsidRDefault="00E85E66" w:rsidP="00337798">
      <w:pPr>
        <w:pStyle w:val="BodyText2"/>
        <w:tabs>
          <w:tab w:val="left" w:pos="720"/>
          <w:tab w:val="left" w:pos="810"/>
          <w:tab w:val="left" w:pos="1440"/>
        </w:tabs>
        <w:ind w:firstLine="720"/>
        <w:rPr>
          <w:bCs/>
        </w:rPr>
      </w:pPr>
      <w:r>
        <w:rPr>
          <w:bCs/>
        </w:rPr>
        <w:t xml:space="preserve">A.  </w:t>
      </w:r>
      <w:r>
        <w:rPr>
          <w:bCs/>
        </w:rPr>
        <w:tab/>
        <w:t>No</w:t>
      </w:r>
      <w:r w:rsidR="00247DEE">
        <w:rPr>
          <w:bCs/>
        </w:rPr>
        <w:t>,</w:t>
      </w:r>
      <w:r w:rsidR="00337798" w:rsidRPr="007F3749">
        <w:rPr>
          <w:bCs/>
        </w:rPr>
        <w:t xml:space="preserve"> </w:t>
      </w:r>
      <w:r>
        <w:rPr>
          <w:bCs/>
        </w:rPr>
        <w:t>it does not</w:t>
      </w:r>
      <w:r w:rsidR="00AF6449" w:rsidRPr="007F3749">
        <w:rPr>
          <w:bCs/>
        </w:rPr>
        <w:t>.  Decoupling is</w:t>
      </w:r>
      <w:r w:rsidR="00AF6449">
        <w:rPr>
          <w:bCs/>
        </w:rPr>
        <w:t xml:space="preserve"> an important mechanism which allows the Company to recover, on a per customer basis, the fixed costs of providing service to customers which are not otherwise recovered in the basic charge. Decoupling</w:t>
      </w:r>
      <w:r w:rsidR="007F3749">
        <w:rPr>
          <w:bCs/>
        </w:rPr>
        <w:t>, however,</w:t>
      </w:r>
      <w:r w:rsidR="00AF6449">
        <w:rPr>
          <w:bCs/>
        </w:rPr>
        <w:t xml:space="preserve"> does not fix the </w:t>
      </w:r>
      <w:r w:rsidR="007F3749">
        <w:rPr>
          <w:bCs/>
        </w:rPr>
        <w:t>problem</w:t>
      </w:r>
      <w:r w:rsidR="00AF6449">
        <w:rPr>
          <w:bCs/>
        </w:rPr>
        <w:t xml:space="preserve"> of intra-schedule cross subsidization.  </w:t>
      </w:r>
      <w:r w:rsidR="005F75EE">
        <w:rPr>
          <w:bCs/>
        </w:rPr>
        <w:t xml:space="preserve">As long as a portion of the Company’s fixed costs are recovered in volumetric rates, ultimately some customers in a rate schedule are being subsidized by other customers.  </w:t>
      </w:r>
      <w:r w:rsidR="00AF6449">
        <w:rPr>
          <w:bCs/>
        </w:rPr>
        <w:t>The Company believes that progress needs to be made in reducing the amount of</w:t>
      </w:r>
      <w:r w:rsidR="005F75EE">
        <w:rPr>
          <w:bCs/>
        </w:rPr>
        <w:t xml:space="preserve"> intra</w:t>
      </w:r>
      <w:r w:rsidR="005869EC">
        <w:rPr>
          <w:bCs/>
        </w:rPr>
        <w:t>-</w:t>
      </w:r>
      <w:r w:rsidR="005F75EE">
        <w:rPr>
          <w:bCs/>
        </w:rPr>
        <w:t>schedule</w:t>
      </w:r>
      <w:r w:rsidR="00AF6449">
        <w:rPr>
          <w:bCs/>
        </w:rPr>
        <w:t xml:space="preserve"> subsidization,</w:t>
      </w:r>
      <w:r w:rsidR="005F75EE">
        <w:rPr>
          <w:bCs/>
        </w:rPr>
        <w:t xml:space="preserve"> and the $1</w:t>
      </w:r>
      <w:r w:rsidR="00F234BF">
        <w:rPr>
          <w:bCs/>
        </w:rPr>
        <w:t>4</w:t>
      </w:r>
      <w:r w:rsidR="005F75EE">
        <w:rPr>
          <w:bCs/>
        </w:rPr>
        <w:t xml:space="preserve"> per month basic charge proposal helps to do just that.</w:t>
      </w:r>
      <w:r w:rsidR="00AF6449">
        <w:rPr>
          <w:bCs/>
        </w:rPr>
        <w:t xml:space="preserve">  </w:t>
      </w:r>
    </w:p>
    <w:p w:rsidR="005F75EE" w:rsidRPr="007F3749" w:rsidRDefault="005F75EE" w:rsidP="005F75EE">
      <w:pPr>
        <w:pStyle w:val="BodyText2"/>
        <w:tabs>
          <w:tab w:val="left" w:pos="720"/>
          <w:tab w:val="left" w:pos="810"/>
          <w:tab w:val="left" w:pos="1440"/>
        </w:tabs>
        <w:ind w:firstLine="720"/>
        <w:rPr>
          <w:b/>
          <w:bCs/>
        </w:rPr>
      </w:pPr>
      <w:r w:rsidRPr="007F3749">
        <w:rPr>
          <w:b/>
          <w:bCs/>
        </w:rPr>
        <w:t>Q.</w:t>
      </w:r>
      <w:r w:rsidRPr="007F3749">
        <w:rPr>
          <w:b/>
          <w:bCs/>
        </w:rPr>
        <w:tab/>
      </w:r>
      <w:r>
        <w:rPr>
          <w:b/>
          <w:bCs/>
        </w:rPr>
        <w:t xml:space="preserve">Has the Company </w:t>
      </w:r>
      <w:r w:rsidR="00247DEE">
        <w:rPr>
          <w:b/>
          <w:bCs/>
        </w:rPr>
        <w:t xml:space="preserve">considered </w:t>
      </w:r>
      <w:r>
        <w:rPr>
          <w:b/>
          <w:bCs/>
        </w:rPr>
        <w:t>other rate design changes other than increasing the basic charge to address fixed cost recovery issues</w:t>
      </w:r>
      <w:r w:rsidRPr="007F3749">
        <w:rPr>
          <w:b/>
          <w:bCs/>
        </w:rPr>
        <w:t>?</w:t>
      </w:r>
    </w:p>
    <w:p w:rsidR="00337798" w:rsidRDefault="005F75EE" w:rsidP="005F75EE">
      <w:pPr>
        <w:pStyle w:val="BodyText2"/>
        <w:tabs>
          <w:tab w:val="left" w:pos="720"/>
          <w:tab w:val="left" w:pos="810"/>
          <w:tab w:val="left" w:pos="1440"/>
        </w:tabs>
        <w:ind w:firstLine="720"/>
        <w:rPr>
          <w:bCs/>
        </w:rPr>
      </w:pPr>
      <w:r w:rsidRPr="007F3749">
        <w:rPr>
          <w:bCs/>
        </w:rPr>
        <w:t xml:space="preserve">A.  </w:t>
      </w:r>
      <w:r w:rsidRPr="007F3749">
        <w:rPr>
          <w:bCs/>
        </w:rPr>
        <w:tab/>
      </w:r>
      <w:r>
        <w:rPr>
          <w:bCs/>
        </w:rPr>
        <w:t>Yes.  In the Company’s electric cost of service study, costs are ultimately classified into three main categories: energy, demand, and customer.  As shown on Ms. Knox’s Exhibit No.__</w:t>
      </w:r>
      <w:proofErr w:type="gramStart"/>
      <w:r>
        <w:rPr>
          <w:bCs/>
        </w:rPr>
        <w:t>_(</w:t>
      </w:r>
      <w:proofErr w:type="gramEnd"/>
      <w:r>
        <w:rPr>
          <w:bCs/>
        </w:rPr>
        <w:t>TLK-4), the costs associated with customers (meters, meter reading, billing, etc.) would be recovered in a monthly customer charge of $</w:t>
      </w:r>
      <w:r w:rsidR="00F234BF">
        <w:rPr>
          <w:bCs/>
        </w:rPr>
        <w:t>14.73</w:t>
      </w:r>
      <w:r>
        <w:rPr>
          <w:bCs/>
        </w:rPr>
        <w:t xml:space="preserve">.  Costs associated with energy would be recovered in a variable energy rate of $0.04131/kWh.  All other costs which are related to </w:t>
      </w:r>
      <w:proofErr w:type="gramStart"/>
      <w:r>
        <w:rPr>
          <w:bCs/>
        </w:rPr>
        <w:t>demand,</w:t>
      </w:r>
      <w:proofErr w:type="gramEnd"/>
      <w:r>
        <w:rPr>
          <w:bCs/>
        </w:rPr>
        <w:t xml:space="preserve"> would be recovered in a demand charge </w:t>
      </w:r>
      <w:r w:rsidR="00F234BF">
        <w:rPr>
          <w:bCs/>
        </w:rPr>
        <w:t>in the range of $4 to $</w:t>
      </w:r>
      <w:r w:rsidR="006E75AB">
        <w:rPr>
          <w:bCs/>
        </w:rPr>
        <w:t>6</w:t>
      </w:r>
      <w:r w:rsidR="00F234BF">
        <w:rPr>
          <w:bCs/>
        </w:rPr>
        <w:t xml:space="preserve"> per kW</w:t>
      </w:r>
      <w:r w:rsidR="00F234BF">
        <w:rPr>
          <w:rStyle w:val="FootnoteReference"/>
          <w:bCs/>
        </w:rPr>
        <w:footnoteReference w:id="10"/>
      </w:r>
      <w:r>
        <w:rPr>
          <w:bCs/>
        </w:rPr>
        <w:t>.  These</w:t>
      </w:r>
      <w:r w:rsidR="00F234BF">
        <w:rPr>
          <w:bCs/>
        </w:rPr>
        <w:t xml:space="preserve"> demand costs include costs </w:t>
      </w:r>
      <w:r>
        <w:rPr>
          <w:bCs/>
        </w:rPr>
        <w:t>associated with the generation facilities</w:t>
      </w:r>
      <w:r w:rsidR="00F234BF">
        <w:rPr>
          <w:bCs/>
        </w:rPr>
        <w:t>,</w:t>
      </w:r>
      <w:r>
        <w:rPr>
          <w:bCs/>
        </w:rPr>
        <w:t xml:space="preserve"> transmission and distribution.</w:t>
      </w:r>
      <w:r w:rsidR="00F234BF">
        <w:rPr>
          <w:bCs/>
        </w:rPr>
        <w:t xml:space="preserve">  Three-tier pricing, if correctly implemented, would provide for </w:t>
      </w:r>
      <w:r w:rsidR="00F234BF">
        <w:rPr>
          <w:bCs/>
        </w:rPr>
        <w:lastRenderedPageBreak/>
        <w:t>a better rate design</w:t>
      </w:r>
      <w:r w:rsidR="00AF6076">
        <w:rPr>
          <w:bCs/>
        </w:rPr>
        <w:t>,</w:t>
      </w:r>
      <w:r w:rsidR="00F234BF">
        <w:rPr>
          <w:bCs/>
        </w:rPr>
        <w:t xml:space="preserve"> as customers would be able to see and pay for the true cost of their utility service.</w:t>
      </w:r>
    </w:p>
    <w:p w:rsidR="00AC43BC" w:rsidRPr="007F3749" w:rsidRDefault="00AC43BC" w:rsidP="00AC43BC">
      <w:pPr>
        <w:pStyle w:val="BodyText2"/>
        <w:tabs>
          <w:tab w:val="left" w:pos="720"/>
          <w:tab w:val="left" w:pos="810"/>
          <w:tab w:val="left" w:pos="1440"/>
        </w:tabs>
        <w:ind w:firstLine="720"/>
        <w:rPr>
          <w:b/>
          <w:bCs/>
        </w:rPr>
      </w:pPr>
      <w:r w:rsidRPr="007F3749">
        <w:rPr>
          <w:b/>
          <w:bCs/>
        </w:rPr>
        <w:t>Q.</w:t>
      </w:r>
      <w:r w:rsidRPr="007F3749">
        <w:rPr>
          <w:b/>
          <w:bCs/>
        </w:rPr>
        <w:tab/>
      </w:r>
      <w:r>
        <w:rPr>
          <w:b/>
          <w:bCs/>
        </w:rPr>
        <w:t>Why hasn’t the Company filed for residential demand charges</w:t>
      </w:r>
      <w:r w:rsidRPr="007F3749">
        <w:rPr>
          <w:b/>
          <w:bCs/>
        </w:rPr>
        <w:t>?</w:t>
      </w:r>
    </w:p>
    <w:p w:rsidR="00AC43BC" w:rsidRDefault="00AC43BC" w:rsidP="00AC43BC">
      <w:pPr>
        <w:pStyle w:val="BodyText2"/>
        <w:tabs>
          <w:tab w:val="left" w:pos="720"/>
          <w:tab w:val="left" w:pos="810"/>
          <w:tab w:val="left" w:pos="1440"/>
        </w:tabs>
        <w:ind w:firstLine="720"/>
        <w:rPr>
          <w:bCs/>
        </w:rPr>
      </w:pPr>
      <w:r w:rsidRPr="007F3749">
        <w:rPr>
          <w:bCs/>
        </w:rPr>
        <w:t xml:space="preserve">A.  </w:t>
      </w:r>
      <w:r w:rsidRPr="007F3749">
        <w:rPr>
          <w:bCs/>
        </w:rPr>
        <w:tab/>
      </w:r>
      <w:r>
        <w:rPr>
          <w:bCs/>
        </w:rPr>
        <w:t xml:space="preserve">The simple answer is that the Company does not have the metering </w:t>
      </w:r>
      <w:r w:rsidR="00BE4355">
        <w:rPr>
          <w:bCs/>
        </w:rPr>
        <w:t>infrastructure</w:t>
      </w:r>
      <w:r>
        <w:rPr>
          <w:bCs/>
        </w:rPr>
        <w:t xml:space="preserve"> to do so.  As discussed in Company witness Mr. Kopczynski’s Exhibit No. DFK-2 related to Advanced Metering Infrastructure (“AMI”), at page 10:</w:t>
      </w:r>
    </w:p>
    <w:p w:rsidR="00AC43BC" w:rsidRDefault="00AC43BC" w:rsidP="00AC43BC">
      <w:pPr>
        <w:pStyle w:val="BodyText2"/>
        <w:tabs>
          <w:tab w:val="left" w:pos="720"/>
          <w:tab w:val="left" w:pos="810"/>
          <w:tab w:val="left" w:pos="1440"/>
        </w:tabs>
        <w:spacing w:line="240" w:lineRule="auto"/>
        <w:ind w:left="720"/>
        <w:rPr>
          <w:bCs/>
        </w:rPr>
      </w:pPr>
      <w:r>
        <w:rPr>
          <w:bCs/>
        </w:rPr>
        <w:t xml:space="preserve">Advanced metering is a foundational technology for enabling the utility to implement rate structures that require interval metering capabilities.  Some of these rate options include time-of-use pricing, critical peak pricing, </w:t>
      </w:r>
      <w:r w:rsidRPr="00E90849">
        <w:rPr>
          <w:bCs/>
          <w:u w:val="single"/>
        </w:rPr>
        <w:t>and demand pricing</w:t>
      </w:r>
      <w:r>
        <w:rPr>
          <w:bCs/>
        </w:rPr>
        <w:t>.  Of these options, demand pricing is emerging as a likely means to ensure customer’s rates more accurately reflect the value of the system they use.</w:t>
      </w:r>
      <w:r w:rsidR="00E90849">
        <w:rPr>
          <w:bCs/>
        </w:rPr>
        <w:t xml:space="preserve"> (</w:t>
      </w:r>
      <w:proofErr w:type="gramStart"/>
      <w:r w:rsidR="00E90849">
        <w:rPr>
          <w:bCs/>
        </w:rPr>
        <w:t>emphasis</w:t>
      </w:r>
      <w:proofErr w:type="gramEnd"/>
      <w:r w:rsidR="00E90849">
        <w:rPr>
          <w:bCs/>
        </w:rPr>
        <w:t xml:space="preserve"> added)</w:t>
      </w:r>
    </w:p>
    <w:p w:rsidR="00AC43BC" w:rsidRDefault="00AC43BC" w:rsidP="00AC43BC">
      <w:pPr>
        <w:pStyle w:val="BodyText2"/>
        <w:tabs>
          <w:tab w:val="left" w:pos="720"/>
          <w:tab w:val="left" w:pos="810"/>
          <w:tab w:val="left" w:pos="1440"/>
        </w:tabs>
        <w:spacing w:line="240" w:lineRule="auto"/>
        <w:ind w:left="720"/>
        <w:rPr>
          <w:bCs/>
        </w:rPr>
      </w:pPr>
    </w:p>
    <w:p w:rsidR="00AC43BC" w:rsidRDefault="00AC43BC" w:rsidP="00AC43BC">
      <w:pPr>
        <w:pStyle w:val="BodyText2"/>
        <w:tabs>
          <w:tab w:val="left" w:pos="720"/>
          <w:tab w:val="left" w:pos="810"/>
          <w:tab w:val="left" w:pos="1440"/>
        </w:tabs>
        <w:ind w:firstLine="720"/>
        <w:rPr>
          <w:bCs/>
        </w:rPr>
      </w:pPr>
      <w:r>
        <w:rPr>
          <w:bCs/>
        </w:rPr>
        <w:t>Once the Company has deployed AMI throughout its Washington electric service territory, it may then seek to add demand charges to its residential rate design.</w:t>
      </w:r>
    </w:p>
    <w:p w:rsidR="003B278C" w:rsidRPr="00894834" w:rsidRDefault="003B278C" w:rsidP="003B278C">
      <w:pPr>
        <w:pStyle w:val="BodyText2"/>
        <w:tabs>
          <w:tab w:val="left" w:pos="720"/>
          <w:tab w:val="left" w:pos="810"/>
          <w:tab w:val="left" w:pos="1440"/>
        </w:tabs>
        <w:ind w:firstLine="720"/>
        <w:rPr>
          <w:b/>
          <w:bCs/>
        </w:rPr>
      </w:pPr>
      <w:r w:rsidRPr="00894834">
        <w:rPr>
          <w:b/>
          <w:bCs/>
        </w:rPr>
        <w:t>Q.</w:t>
      </w:r>
      <w:r w:rsidRPr="00894834">
        <w:rPr>
          <w:b/>
          <w:bCs/>
        </w:rPr>
        <w:tab/>
        <w:t>Have you prepared an analysis to show what impact the proposed rate design changes would have on customers</w:t>
      </w:r>
      <w:r w:rsidR="00D52400">
        <w:rPr>
          <w:b/>
          <w:bCs/>
        </w:rPr>
        <w:t xml:space="preserve"> on electric Schedule 1 and natural gas Schedule 101, including the proposed increases to the monthly basic charges</w:t>
      </w:r>
      <w:r w:rsidRPr="00894834">
        <w:rPr>
          <w:b/>
          <w:bCs/>
        </w:rPr>
        <w:t>?</w:t>
      </w:r>
    </w:p>
    <w:p w:rsidR="003B278C" w:rsidRPr="00894834" w:rsidRDefault="003B278C" w:rsidP="003B278C">
      <w:pPr>
        <w:pStyle w:val="BodyText2"/>
        <w:tabs>
          <w:tab w:val="left" w:pos="720"/>
          <w:tab w:val="left" w:pos="810"/>
          <w:tab w:val="left" w:pos="1440"/>
        </w:tabs>
        <w:ind w:firstLine="720"/>
        <w:rPr>
          <w:bCs/>
        </w:rPr>
      </w:pPr>
      <w:r w:rsidRPr="00894834">
        <w:rPr>
          <w:bCs/>
        </w:rPr>
        <w:t xml:space="preserve">A.  </w:t>
      </w:r>
      <w:r w:rsidRPr="00894834">
        <w:rPr>
          <w:bCs/>
        </w:rPr>
        <w:tab/>
        <w:t>Yes.  The Company completed an analysis showing the impact on low, average, and high use electric and natural gas customers.  The comparison shows the difference in a customer’s bill (only including base rates) based on the Basic Charge and volume</w:t>
      </w:r>
      <w:bookmarkStart w:id="1" w:name="_GoBack"/>
      <w:bookmarkEnd w:id="1"/>
      <w:r w:rsidRPr="00894834">
        <w:rPr>
          <w:bCs/>
        </w:rPr>
        <w:t xml:space="preserve">tric rates being increased on a uniform percentage basis, versus the Company’s proposed changes.  Table </w:t>
      </w:r>
      <w:r w:rsidR="00066399">
        <w:rPr>
          <w:bCs/>
        </w:rPr>
        <w:t>10</w:t>
      </w:r>
      <w:r w:rsidRPr="00894834">
        <w:rPr>
          <w:bCs/>
        </w:rPr>
        <w:t xml:space="preserve"> below details results of that analysis for </w:t>
      </w:r>
      <w:r w:rsidR="00D52400">
        <w:rPr>
          <w:bCs/>
        </w:rPr>
        <w:t xml:space="preserve">residential </w:t>
      </w:r>
      <w:r w:rsidRPr="00894834">
        <w:rPr>
          <w:bCs/>
          <w:u w:val="single"/>
        </w:rPr>
        <w:t>electric</w:t>
      </w:r>
      <w:r w:rsidRPr="00894834">
        <w:rPr>
          <w:bCs/>
        </w:rPr>
        <w:t xml:space="preserve"> customers</w:t>
      </w:r>
      <w:r w:rsidR="00D52400">
        <w:rPr>
          <w:bCs/>
        </w:rPr>
        <w:t xml:space="preserve"> on Schedule 1</w:t>
      </w:r>
      <w:r w:rsidRPr="00894834">
        <w:rPr>
          <w:bCs/>
        </w:rPr>
        <w:t>:</w:t>
      </w:r>
    </w:p>
    <w:p w:rsidR="00AF6076" w:rsidRDefault="00AF6076">
      <w:pPr>
        <w:autoSpaceDE/>
        <w:autoSpaceDN/>
        <w:rPr>
          <w:b/>
          <w:bCs/>
          <w:u w:val="single"/>
        </w:rPr>
      </w:pPr>
      <w:r>
        <w:rPr>
          <w:b/>
          <w:bCs/>
          <w:u w:val="single"/>
        </w:rPr>
        <w:br w:type="page"/>
      </w:r>
    </w:p>
    <w:p w:rsidR="003B278C" w:rsidRPr="00737CA1" w:rsidRDefault="00251F92" w:rsidP="003B278C">
      <w:pPr>
        <w:pStyle w:val="BodyText2"/>
        <w:tabs>
          <w:tab w:val="left" w:pos="810"/>
          <w:tab w:val="left" w:pos="1440"/>
        </w:tabs>
        <w:outlineLvl w:val="0"/>
        <w:rPr>
          <w:b/>
          <w:bCs/>
          <w:u w:val="single"/>
        </w:rPr>
      </w:pPr>
      <w:r>
        <w:rPr>
          <w:b/>
          <w:bCs/>
          <w:noProof/>
          <w:u w:val="single"/>
        </w:rPr>
        <w:lastRenderedPageBreak/>
        <w:drawing>
          <wp:anchor distT="0" distB="0" distL="114300" distR="114300" simplePos="0" relativeHeight="251950592" behindDoc="1" locked="0" layoutInCell="1" allowOverlap="1">
            <wp:simplePos x="0" y="0"/>
            <wp:positionH relativeFrom="column">
              <wp:posOffset>20955</wp:posOffset>
            </wp:positionH>
            <wp:positionV relativeFrom="paragraph">
              <wp:posOffset>305435</wp:posOffset>
            </wp:positionV>
            <wp:extent cx="5762625" cy="1314450"/>
            <wp:effectExtent l="19050" t="0" r="9525" b="0"/>
            <wp:wrapNone/>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5762625" cy="1314450"/>
                    </a:xfrm>
                    <a:prstGeom prst="rect">
                      <a:avLst/>
                    </a:prstGeom>
                    <a:noFill/>
                    <a:ln w="9525">
                      <a:noFill/>
                      <a:miter lim="800000"/>
                      <a:headEnd/>
                      <a:tailEnd/>
                    </a:ln>
                  </pic:spPr>
                </pic:pic>
              </a:graphicData>
            </a:graphic>
          </wp:anchor>
        </w:drawing>
      </w:r>
      <w:r w:rsidR="00D52400">
        <w:rPr>
          <w:b/>
          <w:bCs/>
          <w:u w:val="single"/>
        </w:rPr>
        <w:t xml:space="preserve">Table </w:t>
      </w:r>
      <w:r w:rsidR="00066399">
        <w:rPr>
          <w:b/>
          <w:bCs/>
          <w:u w:val="single"/>
        </w:rPr>
        <w:t>10</w:t>
      </w:r>
    </w:p>
    <w:p w:rsidR="003B278C" w:rsidRDefault="003B278C" w:rsidP="003B278C">
      <w:pPr>
        <w:pStyle w:val="BodyText2"/>
        <w:tabs>
          <w:tab w:val="left" w:pos="810"/>
          <w:tab w:val="left" w:pos="1440"/>
        </w:tabs>
        <w:outlineLvl w:val="0"/>
        <w:rPr>
          <w:bCs/>
        </w:rPr>
      </w:pPr>
    </w:p>
    <w:p w:rsidR="003B278C" w:rsidRDefault="003B278C" w:rsidP="003B278C">
      <w:pPr>
        <w:spacing w:line="480" w:lineRule="auto"/>
        <w:jc w:val="both"/>
        <w:rPr>
          <w:bCs/>
        </w:rPr>
      </w:pPr>
    </w:p>
    <w:p w:rsidR="003B278C" w:rsidRDefault="003B278C" w:rsidP="003B278C">
      <w:pPr>
        <w:spacing w:line="480" w:lineRule="auto"/>
        <w:jc w:val="both"/>
        <w:rPr>
          <w:bCs/>
        </w:rPr>
      </w:pPr>
    </w:p>
    <w:p w:rsidR="003B278C" w:rsidRDefault="003B278C" w:rsidP="003B278C">
      <w:pPr>
        <w:spacing w:line="480" w:lineRule="auto"/>
        <w:jc w:val="both"/>
        <w:rPr>
          <w:bCs/>
        </w:rPr>
      </w:pPr>
    </w:p>
    <w:p w:rsidR="00AF6076" w:rsidRDefault="00AF6076" w:rsidP="00BE4355">
      <w:pPr>
        <w:spacing w:line="480" w:lineRule="auto"/>
        <w:jc w:val="both"/>
        <w:rPr>
          <w:bCs/>
        </w:rPr>
      </w:pPr>
    </w:p>
    <w:p w:rsidR="00BE4355" w:rsidRDefault="003B278C" w:rsidP="00BE4355">
      <w:pPr>
        <w:spacing w:line="480" w:lineRule="auto"/>
        <w:jc w:val="both"/>
        <w:rPr>
          <w:b/>
          <w:bCs/>
          <w:u w:val="single"/>
        </w:rPr>
      </w:pPr>
      <w:r w:rsidRPr="00894834">
        <w:rPr>
          <w:bCs/>
        </w:rPr>
        <w:t>Table 1</w:t>
      </w:r>
      <w:r w:rsidR="00066399">
        <w:rPr>
          <w:bCs/>
        </w:rPr>
        <w:t>1</w:t>
      </w:r>
      <w:r w:rsidRPr="00894834">
        <w:rPr>
          <w:bCs/>
        </w:rPr>
        <w:t xml:space="preserve"> below details the analysis for </w:t>
      </w:r>
      <w:r w:rsidRPr="00894834">
        <w:rPr>
          <w:bCs/>
          <w:u w:val="single"/>
        </w:rPr>
        <w:t>natural gas</w:t>
      </w:r>
      <w:r w:rsidRPr="00894834">
        <w:rPr>
          <w:bCs/>
        </w:rPr>
        <w:t xml:space="preserve"> customers</w:t>
      </w:r>
      <w:r w:rsidR="00D52400">
        <w:rPr>
          <w:bCs/>
        </w:rPr>
        <w:t xml:space="preserve"> on Schedule 101</w:t>
      </w:r>
      <w:r w:rsidRPr="00894834">
        <w:rPr>
          <w:bCs/>
        </w:rPr>
        <w:t>:</w:t>
      </w:r>
    </w:p>
    <w:p w:rsidR="003B278C" w:rsidRPr="00737CA1" w:rsidRDefault="003C1C3E" w:rsidP="003B278C">
      <w:pPr>
        <w:spacing w:line="480" w:lineRule="auto"/>
        <w:jc w:val="both"/>
        <w:rPr>
          <w:b/>
          <w:bCs/>
          <w:u w:val="single"/>
        </w:rPr>
      </w:pPr>
      <w:r>
        <w:rPr>
          <w:b/>
          <w:bCs/>
          <w:noProof/>
          <w:u w:val="single"/>
        </w:rPr>
        <w:drawing>
          <wp:anchor distT="0" distB="0" distL="114300" distR="114300" simplePos="0" relativeHeight="251943424" behindDoc="1" locked="0" layoutInCell="1" allowOverlap="1">
            <wp:simplePos x="0" y="0"/>
            <wp:positionH relativeFrom="column">
              <wp:posOffset>20955</wp:posOffset>
            </wp:positionH>
            <wp:positionV relativeFrom="paragraph">
              <wp:posOffset>316230</wp:posOffset>
            </wp:positionV>
            <wp:extent cx="5669280" cy="1485900"/>
            <wp:effectExtent l="19050" t="0" r="7620" b="0"/>
            <wp:wrapNone/>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5669280" cy="1485900"/>
                    </a:xfrm>
                    <a:prstGeom prst="rect">
                      <a:avLst/>
                    </a:prstGeom>
                    <a:noFill/>
                    <a:ln w="9525">
                      <a:noFill/>
                      <a:miter lim="800000"/>
                      <a:headEnd/>
                      <a:tailEnd/>
                    </a:ln>
                  </pic:spPr>
                </pic:pic>
              </a:graphicData>
            </a:graphic>
          </wp:anchor>
        </w:drawing>
      </w:r>
      <w:r w:rsidR="002C1009">
        <w:rPr>
          <w:b/>
          <w:bCs/>
          <w:u w:val="single"/>
        </w:rPr>
        <w:t xml:space="preserve">Table </w:t>
      </w:r>
      <w:r w:rsidR="00066399">
        <w:rPr>
          <w:b/>
          <w:bCs/>
          <w:u w:val="single"/>
        </w:rPr>
        <w:t>11</w:t>
      </w:r>
    </w:p>
    <w:p w:rsidR="003B278C" w:rsidRPr="00D6449A" w:rsidRDefault="003B278C" w:rsidP="003B278C">
      <w:pPr>
        <w:spacing w:line="480" w:lineRule="auto"/>
        <w:jc w:val="both"/>
        <w:rPr>
          <w:b/>
          <w:bCs/>
          <w:highlight w:val="yellow"/>
          <w:u w:val="single"/>
        </w:rPr>
      </w:pPr>
    </w:p>
    <w:p w:rsidR="003B278C" w:rsidRPr="00D6449A" w:rsidRDefault="003B278C" w:rsidP="003B278C">
      <w:pPr>
        <w:pStyle w:val="BodyText2"/>
        <w:tabs>
          <w:tab w:val="left" w:pos="810"/>
          <w:tab w:val="left" w:pos="1440"/>
        </w:tabs>
        <w:rPr>
          <w:b/>
          <w:bCs/>
          <w:highlight w:val="yellow"/>
        </w:rPr>
      </w:pPr>
    </w:p>
    <w:p w:rsidR="003B278C" w:rsidRPr="008B41AB" w:rsidRDefault="003B278C" w:rsidP="003B278C">
      <w:pPr>
        <w:pStyle w:val="BodyText2"/>
        <w:tabs>
          <w:tab w:val="left" w:pos="810"/>
          <w:tab w:val="left" w:pos="1440"/>
        </w:tabs>
        <w:rPr>
          <w:b/>
          <w:bCs/>
        </w:rPr>
      </w:pPr>
    </w:p>
    <w:p w:rsidR="003B278C" w:rsidRPr="008B41AB" w:rsidRDefault="003B278C" w:rsidP="003B278C">
      <w:pPr>
        <w:pStyle w:val="BodyText2"/>
        <w:tabs>
          <w:tab w:val="left" w:pos="810"/>
          <w:tab w:val="left" w:pos="1440"/>
        </w:tabs>
        <w:rPr>
          <w:b/>
          <w:bCs/>
        </w:rPr>
      </w:pPr>
      <w:r w:rsidRPr="008B41AB">
        <w:rPr>
          <w:b/>
          <w:bCs/>
        </w:rPr>
        <w:tab/>
      </w:r>
    </w:p>
    <w:p w:rsidR="0022502F" w:rsidRDefault="0022502F" w:rsidP="003B278C">
      <w:pPr>
        <w:pStyle w:val="BodyText2"/>
        <w:tabs>
          <w:tab w:val="left" w:pos="810"/>
          <w:tab w:val="left" w:pos="1440"/>
        </w:tabs>
        <w:rPr>
          <w:bCs/>
        </w:rPr>
      </w:pPr>
    </w:p>
    <w:p w:rsidR="003B278C" w:rsidRPr="00294B78" w:rsidRDefault="00AF6076" w:rsidP="003B278C">
      <w:pPr>
        <w:pStyle w:val="BodyText2"/>
        <w:tabs>
          <w:tab w:val="left" w:pos="810"/>
          <w:tab w:val="left" w:pos="1440"/>
        </w:tabs>
        <w:rPr>
          <w:bCs/>
        </w:rPr>
      </w:pPr>
      <w:r>
        <w:rPr>
          <w:bCs/>
        </w:rPr>
        <w:tab/>
      </w:r>
      <w:r w:rsidR="004043D5">
        <w:rPr>
          <w:bCs/>
        </w:rPr>
        <w:t>T</w:t>
      </w:r>
      <w:r w:rsidR="003B278C" w:rsidRPr="00294B78">
        <w:rPr>
          <w:bCs/>
        </w:rPr>
        <w:t xml:space="preserve">he impact of the Company’s proposed change to the basic charge varies based on monthly consumption.  For an electric customer who uses </w:t>
      </w:r>
      <w:r w:rsidR="003B278C" w:rsidRPr="00294B78">
        <w:rPr>
          <w:bCs/>
          <w:u w:val="single"/>
        </w:rPr>
        <w:t>less</w:t>
      </w:r>
      <w:r w:rsidR="003B278C" w:rsidRPr="00294B78">
        <w:rPr>
          <w:bCs/>
        </w:rPr>
        <w:t xml:space="preserve"> than the average </w:t>
      </w:r>
      <w:r w:rsidR="005869EC">
        <w:rPr>
          <w:bCs/>
        </w:rPr>
        <w:t>966</w:t>
      </w:r>
      <w:r w:rsidR="0022502F">
        <w:rPr>
          <w:bCs/>
        </w:rPr>
        <w:t xml:space="preserve"> </w:t>
      </w:r>
      <w:r w:rsidR="00247DEE">
        <w:rPr>
          <w:bCs/>
        </w:rPr>
        <w:t>kWh</w:t>
      </w:r>
      <w:r w:rsidR="003B278C" w:rsidRPr="00294B78">
        <w:rPr>
          <w:bCs/>
        </w:rPr>
        <w:t>s</w:t>
      </w:r>
      <w:r w:rsidR="00247DEE">
        <w:rPr>
          <w:bCs/>
        </w:rPr>
        <w:t xml:space="preserve"> per month,</w:t>
      </w:r>
      <w:r w:rsidR="003B278C" w:rsidRPr="00294B78">
        <w:rPr>
          <w:bCs/>
        </w:rPr>
        <w:t xml:space="preserve"> and</w:t>
      </w:r>
      <w:r w:rsidR="003B278C" w:rsidRPr="00BA66BC">
        <w:rPr>
          <w:bCs/>
        </w:rPr>
        <w:t>/or</w:t>
      </w:r>
      <w:r w:rsidR="00247DEE">
        <w:rPr>
          <w:bCs/>
        </w:rPr>
        <w:t xml:space="preserve"> </w:t>
      </w:r>
      <w:proofErr w:type="gramStart"/>
      <w:r w:rsidR="00247DEE">
        <w:rPr>
          <w:bCs/>
        </w:rPr>
        <w:t>a natural gas customers</w:t>
      </w:r>
      <w:proofErr w:type="gramEnd"/>
      <w:r w:rsidR="00247DEE">
        <w:rPr>
          <w:bCs/>
        </w:rPr>
        <w:t xml:space="preserve"> who uses </w:t>
      </w:r>
      <w:r w:rsidR="00247DEE" w:rsidRPr="00247DEE">
        <w:rPr>
          <w:bCs/>
          <w:u w:val="single"/>
        </w:rPr>
        <w:t>less</w:t>
      </w:r>
      <w:r w:rsidR="00247DEE">
        <w:rPr>
          <w:bCs/>
        </w:rPr>
        <w:t xml:space="preserve"> than</w:t>
      </w:r>
      <w:r w:rsidR="003B278C" w:rsidRPr="00BA66BC">
        <w:rPr>
          <w:bCs/>
        </w:rPr>
        <w:t xml:space="preserve"> </w:t>
      </w:r>
      <w:r w:rsidR="005869EC">
        <w:rPr>
          <w:bCs/>
        </w:rPr>
        <w:t>68</w:t>
      </w:r>
      <w:r w:rsidR="003B278C" w:rsidRPr="00BA66BC">
        <w:rPr>
          <w:bCs/>
        </w:rPr>
        <w:t xml:space="preserve"> therms</w:t>
      </w:r>
      <w:r w:rsidR="003B278C" w:rsidRPr="00294B78">
        <w:rPr>
          <w:bCs/>
        </w:rPr>
        <w:t xml:space="preserve"> per month, the percentage impact will be slightly higher than for those customers who use </w:t>
      </w:r>
      <w:r w:rsidR="003B278C" w:rsidRPr="00294B78">
        <w:rPr>
          <w:bCs/>
          <w:u w:val="single"/>
        </w:rPr>
        <w:t>more</w:t>
      </w:r>
      <w:r w:rsidR="003B278C" w:rsidRPr="00294B78">
        <w:rPr>
          <w:bCs/>
        </w:rPr>
        <w:t xml:space="preserve"> than the average.  </w:t>
      </w:r>
      <w:r w:rsidR="003B278C">
        <w:rPr>
          <w:bCs/>
        </w:rPr>
        <w:t xml:space="preserve">That makes sense in that, with fixed costs being recovered in variable energy rates, </w:t>
      </w:r>
      <w:r w:rsidR="003B278C" w:rsidRPr="00E85E66">
        <w:rPr>
          <w:bCs/>
          <w:u w:val="single"/>
        </w:rPr>
        <w:t>customers with higher use are subsidizing lower use customers</w:t>
      </w:r>
      <w:r w:rsidR="003B278C">
        <w:rPr>
          <w:bCs/>
        </w:rPr>
        <w:t xml:space="preserve">.  </w:t>
      </w:r>
      <w:r w:rsidR="003B278C" w:rsidRPr="00294B78">
        <w:rPr>
          <w:bCs/>
        </w:rPr>
        <w:t>We believe the improvement in matching customer payment of fixed costs with the fixed costs to serve customers, together with removing part of the inequity among customers on the amount of fixed costs paid, warrants this relatively small bill impact.</w:t>
      </w:r>
    </w:p>
    <w:p w:rsidR="00BE4355" w:rsidRPr="00BE4355" w:rsidRDefault="003B278C" w:rsidP="00BE4355">
      <w:pPr>
        <w:pStyle w:val="BodyText2"/>
        <w:tabs>
          <w:tab w:val="left" w:pos="810"/>
          <w:tab w:val="left" w:pos="1440"/>
        </w:tabs>
        <w:ind w:firstLine="720"/>
        <w:outlineLvl w:val="0"/>
        <w:rPr>
          <w:bCs/>
        </w:rPr>
      </w:pPr>
      <w:r>
        <w:rPr>
          <w:bCs/>
        </w:rPr>
        <w:lastRenderedPageBreak/>
        <w:t xml:space="preserve">Table </w:t>
      </w:r>
      <w:r w:rsidR="00066399">
        <w:rPr>
          <w:bCs/>
        </w:rPr>
        <w:t>12</w:t>
      </w:r>
      <w:r w:rsidRPr="00294B78">
        <w:rPr>
          <w:bCs/>
        </w:rPr>
        <w:t xml:space="preserve"> below shows a comparison of monthly bills for an electric customer with average usage for a 12-month period.  It shows the difference in the monthly bills with a uniform percentage increase to the basic charge and </w:t>
      </w:r>
      <w:r>
        <w:rPr>
          <w:bCs/>
        </w:rPr>
        <w:t>a uniform cent</w:t>
      </w:r>
      <w:r w:rsidR="004043D5">
        <w:rPr>
          <w:bCs/>
        </w:rPr>
        <w:t>s/kWh</w:t>
      </w:r>
      <w:r>
        <w:rPr>
          <w:bCs/>
        </w:rPr>
        <w:t xml:space="preserve"> increase to the </w:t>
      </w:r>
      <w:r w:rsidRPr="00294B78">
        <w:rPr>
          <w:bCs/>
        </w:rPr>
        <w:t xml:space="preserve">volumetric rates, versus the Company’s proposal.  The table illustrates the reduction in payment of fixed costs in the winter months, and increased payment in the summer, with the net result being improved alignment of payment of fixed costs by customers with the fixed </w:t>
      </w:r>
      <w:r w:rsidRPr="0055278A">
        <w:rPr>
          <w:bCs/>
        </w:rPr>
        <w:t xml:space="preserve">costs to serve customers, </w:t>
      </w:r>
      <w:r w:rsidR="00CB153A">
        <w:rPr>
          <w:bCs/>
        </w:rPr>
        <w:t>with a 0.</w:t>
      </w:r>
      <w:r w:rsidR="00251F92">
        <w:rPr>
          <w:bCs/>
        </w:rPr>
        <w:t>3</w:t>
      </w:r>
      <w:r w:rsidR="00CB153A">
        <w:rPr>
          <w:bCs/>
        </w:rPr>
        <w:t>%</w:t>
      </w:r>
      <w:r w:rsidRPr="0055278A">
        <w:rPr>
          <w:bCs/>
        </w:rPr>
        <w:t xml:space="preserve"> annual difference in overall payment.</w:t>
      </w:r>
    </w:p>
    <w:p w:rsidR="003B278C" w:rsidRDefault="003B278C" w:rsidP="005E2247">
      <w:pPr>
        <w:pStyle w:val="BodyText2"/>
        <w:tabs>
          <w:tab w:val="left" w:pos="810"/>
          <w:tab w:val="left" w:pos="1440"/>
        </w:tabs>
        <w:spacing w:line="240" w:lineRule="auto"/>
        <w:outlineLvl w:val="0"/>
        <w:rPr>
          <w:b/>
          <w:bCs/>
          <w:u w:val="single"/>
        </w:rPr>
      </w:pPr>
      <w:r w:rsidRPr="0055278A">
        <w:rPr>
          <w:b/>
          <w:bCs/>
          <w:u w:val="single"/>
        </w:rPr>
        <w:t xml:space="preserve">Table </w:t>
      </w:r>
      <w:r w:rsidR="00066399">
        <w:rPr>
          <w:b/>
          <w:bCs/>
          <w:u w:val="single"/>
        </w:rPr>
        <w:t>12</w:t>
      </w:r>
      <w:r w:rsidR="005E2247">
        <w:rPr>
          <w:b/>
          <w:bCs/>
          <w:u w:val="single"/>
        </w:rPr>
        <w:t xml:space="preserve"> – Monthly Bills for a</w:t>
      </w:r>
      <w:r w:rsidR="004043D5">
        <w:rPr>
          <w:b/>
          <w:bCs/>
          <w:u w:val="single"/>
        </w:rPr>
        <w:t xml:space="preserve"> Residential Schedule 1</w:t>
      </w:r>
      <w:r w:rsidR="005E2247">
        <w:rPr>
          <w:b/>
          <w:bCs/>
          <w:u w:val="single"/>
        </w:rPr>
        <w:t xml:space="preserve"> Electric Customer using an Average of </w:t>
      </w:r>
      <w:r w:rsidR="005869EC">
        <w:rPr>
          <w:b/>
          <w:bCs/>
          <w:u w:val="single"/>
        </w:rPr>
        <w:t>966</w:t>
      </w:r>
      <w:r w:rsidR="005E2247">
        <w:rPr>
          <w:b/>
          <w:bCs/>
          <w:u w:val="single"/>
        </w:rPr>
        <w:t xml:space="preserve"> kWhs per Month</w:t>
      </w:r>
    </w:p>
    <w:p w:rsidR="005E2247" w:rsidRDefault="005E2247" w:rsidP="005E2247">
      <w:pPr>
        <w:pStyle w:val="BodyText2"/>
        <w:tabs>
          <w:tab w:val="left" w:pos="810"/>
          <w:tab w:val="left" w:pos="1440"/>
        </w:tabs>
        <w:spacing w:line="240" w:lineRule="auto"/>
        <w:outlineLvl w:val="0"/>
        <w:rPr>
          <w:b/>
          <w:bCs/>
          <w:u w:val="single"/>
        </w:rPr>
      </w:pPr>
    </w:p>
    <w:p w:rsidR="003B278C" w:rsidRPr="00737CA1" w:rsidRDefault="00251F92" w:rsidP="003B278C">
      <w:pPr>
        <w:pStyle w:val="BodyText2"/>
        <w:tabs>
          <w:tab w:val="left" w:pos="810"/>
          <w:tab w:val="left" w:pos="1440"/>
        </w:tabs>
        <w:outlineLvl w:val="0"/>
        <w:rPr>
          <w:b/>
          <w:bCs/>
          <w:u w:val="single"/>
        </w:rPr>
      </w:pPr>
      <w:r w:rsidRPr="00251F92">
        <w:rPr>
          <w:noProof/>
        </w:rPr>
        <w:drawing>
          <wp:anchor distT="0" distB="0" distL="114300" distR="114300" simplePos="0" relativeHeight="251951616" behindDoc="1" locked="0" layoutInCell="1" allowOverlap="1">
            <wp:simplePos x="0" y="0"/>
            <wp:positionH relativeFrom="column">
              <wp:posOffset>20955</wp:posOffset>
            </wp:positionH>
            <wp:positionV relativeFrom="paragraph">
              <wp:posOffset>-1905</wp:posOffset>
            </wp:positionV>
            <wp:extent cx="5295900" cy="3486150"/>
            <wp:effectExtent l="19050" t="0" r="0" b="0"/>
            <wp:wrapNone/>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5295900" cy="3486150"/>
                    </a:xfrm>
                    <a:prstGeom prst="rect">
                      <a:avLst/>
                    </a:prstGeom>
                    <a:noFill/>
                    <a:ln w="9525">
                      <a:noFill/>
                      <a:miter lim="800000"/>
                      <a:headEnd/>
                      <a:tailEnd/>
                    </a:ln>
                  </pic:spPr>
                </pic:pic>
              </a:graphicData>
            </a:graphic>
          </wp:anchor>
        </w:drawing>
      </w: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Default="003B278C" w:rsidP="003B278C">
      <w:pPr>
        <w:spacing w:line="480" w:lineRule="auto"/>
        <w:jc w:val="both"/>
        <w:rPr>
          <w:bCs/>
        </w:rPr>
      </w:pPr>
    </w:p>
    <w:p w:rsidR="00BE4355" w:rsidRPr="00BE4355" w:rsidRDefault="003B278C" w:rsidP="00BE4355">
      <w:pPr>
        <w:spacing w:line="480" w:lineRule="auto"/>
        <w:ind w:firstLine="720"/>
        <w:jc w:val="both"/>
        <w:rPr>
          <w:bCs/>
        </w:rPr>
      </w:pPr>
      <w:r>
        <w:rPr>
          <w:bCs/>
        </w:rPr>
        <w:t xml:space="preserve">Table </w:t>
      </w:r>
      <w:r w:rsidR="00066399">
        <w:rPr>
          <w:bCs/>
        </w:rPr>
        <w:t xml:space="preserve">13 </w:t>
      </w:r>
      <w:r w:rsidRPr="00294B78">
        <w:rPr>
          <w:bCs/>
        </w:rPr>
        <w:t xml:space="preserve">below provides a similar comparison for a 12-month period for a natural gas customer with </w:t>
      </w:r>
      <w:r w:rsidRPr="00BA66BC">
        <w:rPr>
          <w:bCs/>
        </w:rPr>
        <w:t xml:space="preserve">average usage.  The net result is similar to the electric results above, namely a better alignment of payment of fixed costs by customers with the fixed costs to </w:t>
      </w:r>
      <w:r w:rsidRPr="00A522F4">
        <w:rPr>
          <w:bCs/>
        </w:rPr>
        <w:t>serve customers.</w:t>
      </w:r>
    </w:p>
    <w:p w:rsidR="003B278C" w:rsidRPr="00737CA1" w:rsidRDefault="003B278C" w:rsidP="005E2247">
      <w:pPr>
        <w:jc w:val="both"/>
        <w:outlineLvl w:val="0"/>
        <w:rPr>
          <w:b/>
          <w:bCs/>
          <w:u w:val="single"/>
        </w:rPr>
      </w:pPr>
      <w:r w:rsidRPr="00A522F4">
        <w:rPr>
          <w:b/>
          <w:bCs/>
          <w:u w:val="single"/>
        </w:rPr>
        <w:lastRenderedPageBreak/>
        <w:t xml:space="preserve">Table </w:t>
      </w:r>
      <w:r w:rsidR="00066399">
        <w:rPr>
          <w:b/>
          <w:bCs/>
          <w:u w:val="single"/>
        </w:rPr>
        <w:t>13</w:t>
      </w:r>
      <w:r w:rsidR="005E2247">
        <w:rPr>
          <w:b/>
          <w:bCs/>
          <w:u w:val="single"/>
        </w:rPr>
        <w:t xml:space="preserve"> – Monthly Bills for a </w:t>
      </w:r>
      <w:r w:rsidR="004043D5">
        <w:rPr>
          <w:b/>
          <w:bCs/>
          <w:u w:val="single"/>
        </w:rPr>
        <w:t xml:space="preserve">Schedule 101 </w:t>
      </w:r>
      <w:r w:rsidR="005E2247">
        <w:rPr>
          <w:b/>
          <w:bCs/>
          <w:u w:val="single"/>
        </w:rPr>
        <w:t>Natural Gas Customer using an Average of 6</w:t>
      </w:r>
      <w:r w:rsidR="0085002C">
        <w:rPr>
          <w:b/>
          <w:bCs/>
          <w:u w:val="single"/>
        </w:rPr>
        <w:t>8</w:t>
      </w:r>
      <w:r w:rsidR="005E2247">
        <w:rPr>
          <w:b/>
          <w:bCs/>
          <w:u w:val="single"/>
        </w:rPr>
        <w:t xml:space="preserve"> therms per Month</w:t>
      </w:r>
    </w:p>
    <w:p w:rsidR="003B278C" w:rsidRPr="00D6449A" w:rsidRDefault="0085002C" w:rsidP="003B278C">
      <w:pPr>
        <w:spacing w:line="480" w:lineRule="auto"/>
        <w:jc w:val="both"/>
        <w:outlineLvl w:val="0"/>
        <w:rPr>
          <w:b/>
          <w:bCs/>
          <w:highlight w:val="yellow"/>
          <w:u w:val="single"/>
        </w:rPr>
      </w:pPr>
      <w:r w:rsidRPr="0085002C">
        <w:rPr>
          <w:noProof/>
        </w:rPr>
        <w:drawing>
          <wp:anchor distT="0" distB="0" distL="114300" distR="114300" simplePos="0" relativeHeight="251942400" behindDoc="1" locked="0" layoutInCell="1" allowOverlap="1">
            <wp:simplePos x="0" y="0"/>
            <wp:positionH relativeFrom="column">
              <wp:posOffset>230505</wp:posOffset>
            </wp:positionH>
            <wp:positionV relativeFrom="paragraph">
              <wp:posOffset>144780</wp:posOffset>
            </wp:positionV>
            <wp:extent cx="5324475" cy="3409950"/>
            <wp:effectExtent l="19050" t="0" r="9525" b="0"/>
            <wp:wrapNone/>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5324475" cy="3409950"/>
                    </a:xfrm>
                    <a:prstGeom prst="rect">
                      <a:avLst/>
                    </a:prstGeom>
                    <a:noFill/>
                    <a:ln w="9525">
                      <a:noFill/>
                      <a:miter lim="800000"/>
                      <a:headEnd/>
                      <a:tailEnd/>
                    </a:ln>
                  </pic:spPr>
                </pic:pic>
              </a:graphicData>
            </a:graphic>
          </wp:anchor>
        </w:drawing>
      </w:r>
    </w:p>
    <w:p w:rsidR="003B278C" w:rsidRPr="00D6449A" w:rsidRDefault="003B278C" w:rsidP="003B278C">
      <w:pPr>
        <w:spacing w:line="480" w:lineRule="auto"/>
        <w:jc w:val="both"/>
        <w:outlineLvl w:val="0"/>
        <w:rPr>
          <w:b/>
          <w:bCs/>
          <w:highlight w:val="yellow"/>
          <w:u w:val="single"/>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D6449A" w:rsidRDefault="003B278C" w:rsidP="003B278C">
      <w:pPr>
        <w:pStyle w:val="BodyText2"/>
        <w:tabs>
          <w:tab w:val="left" w:pos="810"/>
          <w:tab w:val="left" w:pos="1440"/>
        </w:tabs>
        <w:rPr>
          <w:b/>
          <w:bCs/>
          <w:highlight w:val="yellow"/>
        </w:rPr>
      </w:pPr>
    </w:p>
    <w:p w:rsidR="003B278C" w:rsidRPr="00294B78" w:rsidRDefault="003B278C" w:rsidP="003B278C">
      <w:pPr>
        <w:pStyle w:val="BodyText2"/>
        <w:tabs>
          <w:tab w:val="left" w:pos="810"/>
          <w:tab w:val="left" w:pos="1440"/>
        </w:tabs>
        <w:rPr>
          <w:b/>
          <w:bCs/>
        </w:rPr>
      </w:pPr>
    </w:p>
    <w:p w:rsidR="003B278C" w:rsidRPr="00294B78" w:rsidRDefault="003B278C" w:rsidP="003B278C">
      <w:pPr>
        <w:pStyle w:val="BodyText2"/>
        <w:tabs>
          <w:tab w:val="left" w:pos="810"/>
          <w:tab w:val="left" w:pos="1440"/>
        </w:tabs>
        <w:rPr>
          <w:b/>
          <w:bCs/>
        </w:rPr>
      </w:pPr>
    </w:p>
    <w:p w:rsidR="003B278C" w:rsidRPr="00294B78" w:rsidRDefault="003B278C" w:rsidP="003B278C">
      <w:pPr>
        <w:pStyle w:val="BodyText2"/>
        <w:tabs>
          <w:tab w:val="left" w:pos="720"/>
          <w:tab w:val="left" w:pos="1440"/>
        </w:tabs>
        <w:rPr>
          <w:b/>
          <w:bCs/>
        </w:rPr>
      </w:pPr>
    </w:p>
    <w:p w:rsidR="003E71B4" w:rsidRDefault="003E71B4" w:rsidP="003B278C">
      <w:pPr>
        <w:pStyle w:val="BodyText2"/>
        <w:tabs>
          <w:tab w:val="left" w:pos="720"/>
          <w:tab w:val="left" w:pos="1440"/>
        </w:tabs>
        <w:ind w:firstLine="720"/>
        <w:rPr>
          <w:b/>
          <w:bCs/>
        </w:rPr>
      </w:pPr>
    </w:p>
    <w:p w:rsidR="003B278C" w:rsidRPr="00F557D5" w:rsidRDefault="003B278C" w:rsidP="003B278C">
      <w:pPr>
        <w:pStyle w:val="BodyText2"/>
        <w:tabs>
          <w:tab w:val="left" w:pos="720"/>
          <w:tab w:val="left" w:pos="1440"/>
        </w:tabs>
        <w:ind w:firstLine="720"/>
        <w:rPr>
          <w:b/>
          <w:bCs/>
        </w:rPr>
      </w:pPr>
      <w:r w:rsidRPr="00F557D5">
        <w:rPr>
          <w:b/>
          <w:bCs/>
        </w:rPr>
        <w:t>Q.</w:t>
      </w:r>
      <w:r w:rsidRPr="00F557D5">
        <w:rPr>
          <w:b/>
          <w:bCs/>
        </w:rPr>
        <w:tab/>
      </w:r>
      <w:r w:rsidR="001B0AC2">
        <w:rPr>
          <w:b/>
          <w:bCs/>
        </w:rPr>
        <w:t>How will the proposed change in the residential basic charge affect limited income customers?</w:t>
      </w:r>
    </w:p>
    <w:p w:rsidR="003B278C" w:rsidRPr="00F557D5" w:rsidRDefault="003B278C" w:rsidP="003B278C">
      <w:pPr>
        <w:pStyle w:val="BodyText2"/>
        <w:tabs>
          <w:tab w:val="left" w:pos="720"/>
          <w:tab w:val="left" w:pos="1440"/>
        </w:tabs>
        <w:ind w:firstLine="720"/>
        <w:rPr>
          <w:bCs/>
        </w:rPr>
      </w:pPr>
      <w:r w:rsidRPr="00F557D5">
        <w:rPr>
          <w:bCs/>
        </w:rPr>
        <w:t xml:space="preserve">A.  </w:t>
      </w:r>
      <w:r>
        <w:rPr>
          <w:bCs/>
        </w:rPr>
        <w:tab/>
      </w:r>
      <w:r w:rsidRPr="00F557D5">
        <w:rPr>
          <w:bCs/>
        </w:rPr>
        <w:t>Traditional thinking might lead one to believe that a l</w:t>
      </w:r>
      <w:r>
        <w:rPr>
          <w:bCs/>
        </w:rPr>
        <w:t>imited</w:t>
      </w:r>
      <w:r w:rsidRPr="00F557D5">
        <w:rPr>
          <w:bCs/>
        </w:rPr>
        <w:t xml:space="preserve"> income electric customer would tend to be a low user of electricity.  </w:t>
      </w:r>
      <w:r w:rsidR="00247DEE">
        <w:rPr>
          <w:bCs/>
        </w:rPr>
        <w:t xml:space="preserve">As explained below, </w:t>
      </w:r>
      <w:r w:rsidRPr="00F557D5">
        <w:rPr>
          <w:bCs/>
        </w:rPr>
        <w:t>the</w:t>
      </w:r>
      <w:r w:rsidR="00247DEE">
        <w:rPr>
          <w:bCs/>
        </w:rPr>
        <w:t xml:space="preserve"> available</w:t>
      </w:r>
      <w:r w:rsidRPr="00F557D5">
        <w:rPr>
          <w:bCs/>
        </w:rPr>
        <w:t xml:space="preserve"> data that we have suggest</w:t>
      </w:r>
      <w:r w:rsidR="001B0AC2">
        <w:rPr>
          <w:bCs/>
        </w:rPr>
        <w:t>s</w:t>
      </w:r>
      <w:r w:rsidRPr="00F557D5">
        <w:rPr>
          <w:bCs/>
        </w:rPr>
        <w:t xml:space="preserve"> that just the opposite is true.  </w:t>
      </w:r>
    </w:p>
    <w:p w:rsidR="0022502F" w:rsidRDefault="003B278C" w:rsidP="003B278C">
      <w:pPr>
        <w:pStyle w:val="BodyText2"/>
        <w:tabs>
          <w:tab w:val="left" w:pos="720"/>
          <w:tab w:val="left" w:pos="1440"/>
        </w:tabs>
        <w:ind w:firstLine="720"/>
        <w:rPr>
          <w:bCs/>
        </w:rPr>
      </w:pPr>
      <w:r w:rsidRPr="00F557D5">
        <w:rPr>
          <w:bCs/>
        </w:rPr>
        <w:t>A majority of our customers have natural gas for space and water heating, and therefore may have</w:t>
      </w:r>
      <w:r w:rsidR="0030040F">
        <w:rPr>
          <w:bCs/>
        </w:rPr>
        <w:t>, on average, lower</w:t>
      </w:r>
      <w:r w:rsidRPr="00F557D5">
        <w:rPr>
          <w:bCs/>
        </w:rPr>
        <w:t xml:space="preserve"> electric usage during the winter.  However, many </w:t>
      </w:r>
      <w:r>
        <w:rPr>
          <w:bCs/>
          <w:u w:val="single"/>
        </w:rPr>
        <w:t>limited</w:t>
      </w:r>
      <w:r w:rsidRPr="00F557D5">
        <w:rPr>
          <w:bCs/>
          <w:u w:val="single"/>
        </w:rPr>
        <w:t xml:space="preserve"> </w:t>
      </w:r>
      <w:r w:rsidRPr="00247DEE">
        <w:rPr>
          <w:bCs/>
          <w:u w:val="single"/>
        </w:rPr>
        <w:t>income customers</w:t>
      </w:r>
      <w:r w:rsidR="001B0AC2" w:rsidRPr="00247DEE">
        <w:rPr>
          <w:bCs/>
          <w:u w:val="single"/>
        </w:rPr>
        <w:t xml:space="preserve"> </w:t>
      </w:r>
      <w:r w:rsidRPr="00247DEE">
        <w:rPr>
          <w:bCs/>
          <w:u w:val="single"/>
        </w:rPr>
        <w:t>still use electricity</w:t>
      </w:r>
      <w:r w:rsidRPr="00F557D5">
        <w:rPr>
          <w:bCs/>
          <w:u w:val="single"/>
        </w:rPr>
        <w:t xml:space="preserve"> for space and water heating</w:t>
      </w:r>
      <w:r w:rsidRPr="00F557D5">
        <w:rPr>
          <w:bCs/>
        </w:rPr>
        <w:t xml:space="preserve">.  </w:t>
      </w:r>
      <w:r w:rsidR="001B0AC2">
        <w:rPr>
          <w:bCs/>
        </w:rPr>
        <w:t>Many of t</w:t>
      </w:r>
      <w:r w:rsidRPr="00F557D5">
        <w:rPr>
          <w:bCs/>
        </w:rPr>
        <w:t xml:space="preserve">hese customers live in apartments (which in Avista’s service territory predominantly have electric space and water heat), live in areas where natural gas is not available, or live in areas </w:t>
      </w:r>
      <w:r w:rsidR="00284C92">
        <w:rPr>
          <w:bCs/>
        </w:rPr>
        <w:t>where natural gas is available</w:t>
      </w:r>
      <w:r w:rsidRPr="00F557D5">
        <w:rPr>
          <w:bCs/>
        </w:rPr>
        <w:t xml:space="preserve">, </w:t>
      </w:r>
      <w:r w:rsidR="001E48C8">
        <w:rPr>
          <w:bCs/>
        </w:rPr>
        <w:t xml:space="preserve">but </w:t>
      </w:r>
      <w:r w:rsidR="00BE4355">
        <w:rPr>
          <w:bCs/>
        </w:rPr>
        <w:t>conversion is not affordable</w:t>
      </w:r>
      <w:r w:rsidRPr="00F557D5">
        <w:rPr>
          <w:bCs/>
        </w:rPr>
        <w:t>.  These l</w:t>
      </w:r>
      <w:r>
        <w:rPr>
          <w:bCs/>
        </w:rPr>
        <w:t>imited</w:t>
      </w:r>
      <w:r w:rsidRPr="00F557D5">
        <w:rPr>
          <w:bCs/>
        </w:rPr>
        <w:t xml:space="preserve"> income customers, </w:t>
      </w:r>
      <w:r w:rsidRPr="00F557D5">
        <w:rPr>
          <w:bCs/>
        </w:rPr>
        <w:lastRenderedPageBreak/>
        <w:t>with electric space and water heat, can have electric usage in the tail-block (above 1,</w:t>
      </w:r>
      <w:r>
        <w:rPr>
          <w:bCs/>
        </w:rPr>
        <w:t>5</w:t>
      </w:r>
      <w:r w:rsidR="00A07B81">
        <w:rPr>
          <w:bCs/>
        </w:rPr>
        <w:t>00 kWh</w:t>
      </w:r>
      <w:r w:rsidRPr="00F557D5">
        <w:rPr>
          <w:bCs/>
        </w:rPr>
        <w:t xml:space="preserve">s) during the winter months.  </w:t>
      </w:r>
    </w:p>
    <w:p w:rsidR="004D7861" w:rsidRPr="004D7861" w:rsidRDefault="004D7861" w:rsidP="003B278C">
      <w:pPr>
        <w:pStyle w:val="BodyText2"/>
        <w:tabs>
          <w:tab w:val="left" w:pos="720"/>
          <w:tab w:val="left" w:pos="1440"/>
        </w:tabs>
        <w:ind w:firstLine="720"/>
        <w:rPr>
          <w:b/>
          <w:bCs/>
        </w:rPr>
      </w:pPr>
      <w:r w:rsidRPr="004D7861">
        <w:rPr>
          <w:b/>
          <w:bCs/>
        </w:rPr>
        <w:t>Q.</w:t>
      </w:r>
      <w:r w:rsidRPr="004D7861">
        <w:rPr>
          <w:b/>
          <w:bCs/>
        </w:rPr>
        <w:tab/>
        <w:t xml:space="preserve">Does the Company </w:t>
      </w:r>
      <w:proofErr w:type="gramStart"/>
      <w:r w:rsidRPr="004D7861">
        <w:rPr>
          <w:b/>
          <w:bCs/>
        </w:rPr>
        <w:t>have</w:t>
      </w:r>
      <w:proofErr w:type="gramEnd"/>
      <w:r w:rsidRPr="004D7861">
        <w:rPr>
          <w:b/>
          <w:bCs/>
        </w:rPr>
        <w:t xml:space="preserve"> any analysis showing that limited income customers tend to use more electricity than </w:t>
      </w:r>
      <w:r w:rsidR="0022502F">
        <w:rPr>
          <w:b/>
          <w:bCs/>
        </w:rPr>
        <w:t>other residential</w:t>
      </w:r>
      <w:r w:rsidRPr="004D7861">
        <w:rPr>
          <w:b/>
          <w:bCs/>
        </w:rPr>
        <w:t xml:space="preserve"> customers?</w:t>
      </w:r>
    </w:p>
    <w:p w:rsidR="00375BB2" w:rsidRPr="00375BB2" w:rsidRDefault="004D7861" w:rsidP="00375BB2">
      <w:pPr>
        <w:pStyle w:val="BodyText2"/>
        <w:tabs>
          <w:tab w:val="left" w:pos="720"/>
          <w:tab w:val="left" w:pos="1440"/>
        </w:tabs>
        <w:ind w:firstLine="720"/>
        <w:rPr>
          <w:bCs/>
        </w:rPr>
      </w:pPr>
      <w:r>
        <w:rPr>
          <w:bCs/>
        </w:rPr>
        <w:t>A.</w:t>
      </w:r>
      <w:r>
        <w:rPr>
          <w:bCs/>
        </w:rPr>
        <w:tab/>
        <w:t>Yes.</w:t>
      </w:r>
      <w:r w:rsidR="008B0C99">
        <w:rPr>
          <w:bCs/>
        </w:rPr>
        <w:t xml:space="preserve"> </w:t>
      </w:r>
      <w:r>
        <w:rPr>
          <w:bCs/>
        </w:rPr>
        <w:t xml:space="preserve"> The Company recently conducted </w:t>
      </w:r>
      <w:r w:rsidR="00284C92">
        <w:rPr>
          <w:bCs/>
        </w:rPr>
        <w:t xml:space="preserve">an </w:t>
      </w:r>
      <w:r>
        <w:rPr>
          <w:bCs/>
        </w:rPr>
        <w:t xml:space="preserve">analysis which shows that limited income customers, on average, do use more electricity than </w:t>
      </w:r>
      <w:r w:rsidR="0022502F">
        <w:rPr>
          <w:bCs/>
        </w:rPr>
        <w:t xml:space="preserve">other residential </w:t>
      </w:r>
      <w:r>
        <w:rPr>
          <w:bCs/>
        </w:rPr>
        <w:t xml:space="preserve">customers.  For the analysis, the Company looked at those limited income customers who received a LIHEAP or LIRAP grant during the </w:t>
      </w:r>
      <w:r w:rsidR="0085002C">
        <w:rPr>
          <w:bCs/>
        </w:rPr>
        <w:t>January 2014</w:t>
      </w:r>
      <w:r>
        <w:rPr>
          <w:bCs/>
        </w:rPr>
        <w:t xml:space="preserve"> through </w:t>
      </w:r>
      <w:r w:rsidR="0085002C">
        <w:rPr>
          <w:bCs/>
        </w:rPr>
        <w:t>December 2014</w:t>
      </w:r>
      <w:r>
        <w:rPr>
          <w:bCs/>
        </w:rPr>
        <w:t xml:space="preserve"> time period, and compared their annual usage to </w:t>
      </w:r>
      <w:r w:rsidR="0022502F">
        <w:rPr>
          <w:bCs/>
        </w:rPr>
        <w:t>the usage of all other residential customers</w:t>
      </w:r>
      <w:r>
        <w:rPr>
          <w:bCs/>
        </w:rPr>
        <w:t>.</w:t>
      </w:r>
      <w:r w:rsidR="0022502F">
        <w:rPr>
          <w:rStyle w:val="FootnoteReference"/>
          <w:bCs/>
        </w:rPr>
        <w:footnoteReference w:id="11"/>
      </w:r>
      <w:r>
        <w:rPr>
          <w:bCs/>
        </w:rPr>
        <w:t xml:space="preserve">  The results of the analysis are shown in the </w:t>
      </w:r>
      <w:r w:rsidR="001B0AC2">
        <w:rPr>
          <w:bCs/>
        </w:rPr>
        <w:t>Table 1</w:t>
      </w:r>
      <w:r w:rsidR="00A07B81">
        <w:rPr>
          <w:bCs/>
        </w:rPr>
        <w:t>4</w:t>
      </w:r>
      <w:r>
        <w:rPr>
          <w:bCs/>
        </w:rPr>
        <w:t xml:space="preserve"> below:</w:t>
      </w:r>
    </w:p>
    <w:p w:rsidR="0017074B" w:rsidRPr="002C1009" w:rsidRDefault="002C1009" w:rsidP="002C1009">
      <w:pPr>
        <w:spacing w:line="480" w:lineRule="auto"/>
        <w:jc w:val="both"/>
        <w:outlineLvl w:val="0"/>
        <w:rPr>
          <w:b/>
          <w:bCs/>
          <w:u w:val="single"/>
        </w:rPr>
      </w:pPr>
      <w:r w:rsidRPr="00A07B81">
        <w:rPr>
          <w:b/>
          <w:bCs/>
          <w:u w:val="single"/>
        </w:rPr>
        <w:t xml:space="preserve">Table </w:t>
      </w:r>
      <w:r w:rsidR="00066399" w:rsidRPr="00A07B81">
        <w:rPr>
          <w:b/>
          <w:bCs/>
          <w:u w:val="single"/>
        </w:rPr>
        <w:t>14</w:t>
      </w:r>
      <w:r w:rsidR="00A07B81">
        <w:rPr>
          <w:b/>
          <w:bCs/>
          <w:u w:val="single"/>
        </w:rPr>
        <w:t xml:space="preserve"> </w:t>
      </w:r>
    </w:p>
    <w:p w:rsidR="0022502F" w:rsidRDefault="001E48C8" w:rsidP="003B278C">
      <w:pPr>
        <w:pStyle w:val="BodyText2"/>
        <w:tabs>
          <w:tab w:val="left" w:pos="720"/>
          <w:tab w:val="left" w:pos="1440"/>
        </w:tabs>
        <w:ind w:firstLine="720"/>
        <w:rPr>
          <w:bCs/>
        </w:rPr>
      </w:pPr>
      <w:r w:rsidRPr="001E48C8">
        <w:rPr>
          <w:noProof/>
        </w:rPr>
        <w:drawing>
          <wp:anchor distT="0" distB="0" distL="114300" distR="114300" simplePos="0" relativeHeight="251961856" behindDoc="1" locked="0" layoutInCell="1" allowOverlap="1">
            <wp:simplePos x="0" y="0"/>
            <wp:positionH relativeFrom="column">
              <wp:posOffset>-39610</wp:posOffset>
            </wp:positionH>
            <wp:positionV relativeFrom="paragraph">
              <wp:posOffset>923</wp:posOffset>
            </wp:positionV>
            <wp:extent cx="5760648" cy="271732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760648" cy="2717320"/>
                    </a:xfrm>
                    <a:prstGeom prst="rect">
                      <a:avLst/>
                    </a:prstGeom>
                    <a:noFill/>
                    <a:ln w="9525">
                      <a:noFill/>
                      <a:miter lim="800000"/>
                      <a:headEnd/>
                      <a:tailEnd/>
                    </a:ln>
                  </pic:spPr>
                </pic:pic>
              </a:graphicData>
            </a:graphic>
          </wp:anchor>
        </w:drawing>
      </w:r>
    </w:p>
    <w:p w:rsidR="0022502F" w:rsidRDefault="0022502F" w:rsidP="003B278C">
      <w:pPr>
        <w:pStyle w:val="BodyText2"/>
        <w:tabs>
          <w:tab w:val="left" w:pos="720"/>
          <w:tab w:val="left" w:pos="1440"/>
        </w:tabs>
        <w:ind w:firstLine="720"/>
        <w:rPr>
          <w:bCs/>
        </w:rPr>
      </w:pPr>
    </w:p>
    <w:p w:rsidR="0022502F" w:rsidRDefault="0022502F" w:rsidP="003B278C">
      <w:pPr>
        <w:pStyle w:val="BodyText2"/>
        <w:tabs>
          <w:tab w:val="left" w:pos="720"/>
          <w:tab w:val="left" w:pos="1440"/>
        </w:tabs>
        <w:ind w:firstLine="720"/>
        <w:rPr>
          <w:bCs/>
        </w:rPr>
      </w:pPr>
    </w:p>
    <w:p w:rsidR="0022502F" w:rsidRDefault="0022502F" w:rsidP="003B278C">
      <w:pPr>
        <w:pStyle w:val="BodyText2"/>
        <w:tabs>
          <w:tab w:val="left" w:pos="720"/>
          <w:tab w:val="left" w:pos="1440"/>
        </w:tabs>
        <w:ind w:firstLine="720"/>
        <w:rPr>
          <w:bCs/>
        </w:rPr>
      </w:pPr>
    </w:p>
    <w:p w:rsidR="0022502F" w:rsidRDefault="0022502F" w:rsidP="003B278C">
      <w:pPr>
        <w:pStyle w:val="BodyText2"/>
        <w:tabs>
          <w:tab w:val="left" w:pos="720"/>
          <w:tab w:val="left" w:pos="1440"/>
        </w:tabs>
        <w:ind w:firstLine="720"/>
        <w:rPr>
          <w:bCs/>
        </w:rPr>
      </w:pPr>
    </w:p>
    <w:p w:rsidR="0022502F" w:rsidRDefault="0022502F" w:rsidP="003B278C">
      <w:pPr>
        <w:pStyle w:val="BodyText2"/>
        <w:tabs>
          <w:tab w:val="left" w:pos="720"/>
          <w:tab w:val="left" w:pos="1440"/>
        </w:tabs>
        <w:ind w:firstLine="720"/>
        <w:rPr>
          <w:bCs/>
        </w:rPr>
      </w:pPr>
    </w:p>
    <w:p w:rsidR="0022502F" w:rsidRDefault="0022502F" w:rsidP="003B278C">
      <w:pPr>
        <w:pStyle w:val="BodyText2"/>
        <w:tabs>
          <w:tab w:val="left" w:pos="720"/>
          <w:tab w:val="left" w:pos="1440"/>
        </w:tabs>
        <w:ind w:firstLine="720"/>
        <w:rPr>
          <w:bCs/>
        </w:rPr>
      </w:pPr>
    </w:p>
    <w:p w:rsidR="0022502F" w:rsidRDefault="0022502F" w:rsidP="003B278C">
      <w:pPr>
        <w:pStyle w:val="BodyText2"/>
        <w:tabs>
          <w:tab w:val="left" w:pos="720"/>
          <w:tab w:val="left" w:pos="1440"/>
        </w:tabs>
        <w:ind w:firstLine="720"/>
        <w:rPr>
          <w:bCs/>
        </w:rPr>
      </w:pPr>
    </w:p>
    <w:p w:rsidR="001B0AC2" w:rsidRDefault="001B0AC2" w:rsidP="003B278C">
      <w:pPr>
        <w:pStyle w:val="BodyText2"/>
        <w:tabs>
          <w:tab w:val="left" w:pos="720"/>
          <w:tab w:val="left" w:pos="1440"/>
        </w:tabs>
        <w:ind w:firstLine="720"/>
        <w:rPr>
          <w:bCs/>
        </w:rPr>
      </w:pPr>
    </w:p>
    <w:p w:rsidR="004D7861" w:rsidRDefault="004D7861" w:rsidP="003B278C">
      <w:pPr>
        <w:pStyle w:val="BodyText2"/>
        <w:tabs>
          <w:tab w:val="left" w:pos="720"/>
          <w:tab w:val="left" w:pos="1440"/>
        </w:tabs>
        <w:ind w:firstLine="720"/>
        <w:rPr>
          <w:bCs/>
        </w:rPr>
      </w:pPr>
      <w:r w:rsidRPr="001A58EA">
        <w:rPr>
          <w:bCs/>
        </w:rPr>
        <w:lastRenderedPageBreak/>
        <w:t xml:space="preserve">The analysis shows that limited income customers who only have electric service use </w:t>
      </w:r>
      <w:r w:rsidR="001A58EA" w:rsidRPr="001A58EA">
        <w:rPr>
          <w:bCs/>
        </w:rPr>
        <w:t xml:space="preserve">711 </w:t>
      </w:r>
      <w:r w:rsidRPr="001A58EA">
        <w:rPr>
          <w:bCs/>
        </w:rPr>
        <w:t>kWhs more</w:t>
      </w:r>
      <w:r>
        <w:rPr>
          <w:bCs/>
        </w:rPr>
        <w:t xml:space="preserve"> per year than the </w:t>
      </w:r>
      <w:r w:rsidR="00CF4E3A">
        <w:rPr>
          <w:bCs/>
        </w:rPr>
        <w:t xml:space="preserve">residential </w:t>
      </w:r>
      <w:r>
        <w:rPr>
          <w:bCs/>
        </w:rPr>
        <w:t>population</w:t>
      </w:r>
      <w:r w:rsidR="001A58EA">
        <w:rPr>
          <w:bCs/>
        </w:rPr>
        <w:t>, and limited income customers in general use 766 kWhs per year more than the residential population</w:t>
      </w:r>
      <w:r>
        <w:rPr>
          <w:bCs/>
        </w:rPr>
        <w:t>.</w:t>
      </w:r>
      <w:r w:rsidR="00754AF6">
        <w:rPr>
          <w:bCs/>
        </w:rPr>
        <w:t xml:space="preserve">  </w:t>
      </w:r>
    </w:p>
    <w:p w:rsidR="00B17703" w:rsidRDefault="00B17703" w:rsidP="00B17703">
      <w:pPr>
        <w:pStyle w:val="BodyText2"/>
        <w:tabs>
          <w:tab w:val="left" w:pos="720"/>
          <w:tab w:val="left" w:pos="1440"/>
        </w:tabs>
        <w:ind w:firstLine="720"/>
        <w:rPr>
          <w:bCs/>
        </w:rPr>
      </w:pPr>
      <w:r>
        <w:rPr>
          <w:bCs/>
        </w:rPr>
        <w:t xml:space="preserve">This analysis shows that limited income customers may be harmed by having a rate design with a lower basic </w:t>
      </w:r>
      <w:r w:rsidRPr="00F557D5">
        <w:rPr>
          <w:bCs/>
        </w:rPr>
        <w:t xml:space="preserve">charge and </w:t>
      </w:r>
      <w:r>
        <w:rPr>
          <w:bCs/>
        </w:rPr>
        <w:t xml:space="preserve">a </w:t>
      </w:r>
      <w:r w:rsidRPr="00F557D5">
        <w:rPr>
          <w:bCs/>
        </w:rPr>
        <w:t xml:space="preserve">higher tail-block rate, as these customers are more susceptible to use in the tail-block.  A higher basic charge, on the other hand, would result in lower volumetric rates (than </w:t>
      </w:r>
      <w:r>
        <w:rPr>
          <w:bCs/>
        </w:rPr>
        <w:t xml:space="preserve">would </w:t>
      </w:r>
      <w:r w:rsidRPr="00F557D5">
        <w:rPr>
          <w:bCs/>
        </w:rPr>
        <w:t xml:space="preserve">otherwise be </w:t>
      </w:r>
      <w:r w:rsidRPr="0017074B">
        <w:rPr>
          <w:bCs/>
        </w:rPr>
        <w:t xml:space="preserve">the case), providing some relief to these high use customers during the winter months (as demonstrated </w:t>
      </w:r>
      <w:r w:rsidR="0017074B">
        <w:rPr>
          <w:bCs/>
        </w:rPr>
        <w:t xml:space="preserve">earlier </w:t>
      </w:r>
      <w:r w:rsidRPr="0017074B">
        <w:rPr>
          <w:bCs/>
        </w:rPr>
        <w:t xml:space="preserve">in Table </w:t>
      </w:r>
      <w:r w:rsidR="002C1009">
        <w:rPr>
          <w:bCs/>
        </w:rPr>
        <w:t xml:space="preserve">10 </w:t>
      </w:r>
      <w:r w:rsidRPr="0017074B">
        <w:rPr>
          <w:bCs/>
        </w:rPr>
        <w:t xml:space="preserve">where higher use customers would have less of an overall bill impact with a </w:t>
      </w:r>
      <w:r w:rsidR="00F234BF">
        <w:rPr>
          <w:bCs/>
        </w:rPr>
        <w:t>$14</w:t>
      </w:r>
      <w:r w:rsidRPr="0017074B">
        <w:rPr>
          <w:bCs/>
        </w:rPr>
        <w:t xml:space="preserve"> basic charge).</w:t>
      </w:r>
    </w:p>
    <w:p w:rsidR="003B278C" w:rsidRPr="00F557D5" w:rsidRDefault="003B278C" w:rsidP="003B278C">
      <w:pPr>
        <w:pStyle w:val="BodyText2"/>
        <w:tabs>
          <w:tab w:val="left" w:pos="720"/>
          <w:tab w:val="left" w:pos="1440"/>
        </w:tabs>
        <w:rPr>
          <w:bCs/>
        </w:rPr>
      </w:pPr>
      <w:r w:rsidRPr="00F557D5">
        <w:rPr>
          <w:b/>
          <w:bCs/>
        </w:rPr>
        <w:tab/>
        <w:t>Q.</w:t>
      </w:r>
      <w:r w:rsidRPr="00F557D5">
        <w:rPr>
          <w:b/>
          <w:bCs/>
        </w:rPr>
        <w:tab/>
        <w:t>What are the implications for limited income natural gas customers?</w:t>
      </w:r>
    </w:p>
    <w:p w:rsidR="001E48C8" w:rsidRDefault="003B278C" w:rsidP="001E48C8">
      <w:pPr>
        <w:pStyle w:val="BodyText2"/>
        <w:tabs>
          <w:tab w:val="left" w:pos="720"/>
          <w:tab w:val="left" w:pos="1440"/>
        </w:tabs>
        <w:rPr>
          <w:bCs/>
        </w:rPr>
      </w:pPr>
      <w:r w:rsidRPr="00F557D5">
        <w:rPr>
          <w:bCs/>
        </w:rPr>
        <w:tab/>
        <w:t xml:space="preserve">A.  </w:t>
      </w:r>
      <w:r w:rsidRPr="00F557D5">
        <w:rPr>
          <w:bCs/>
        </w:rPr>
        <w:tab/>
        <w:t>Average</w:t>
      </w:r>
      <w:r>
        <w:rPr>
          <w:bCs/>
        </w:rPr>
        <w:t>-</w:t>
      </w:r>
      <w:r w:rsidRPr="00F557D5">
        <w:rPr>
          <w:bCs/>
        </w:rPr>
        <w:t xml:space="preserve">use limited income natural gas customers would tend to pay slightly higher natural gas bills </w:t>
      </w:r>
      <w:r>
        <w:rPr>
          <w:bCs/>
        </w:rPr>
        <w:t>under the Company’s proposed rate design (i.e., $1</w:t>
      </w:r>
      <w:r w:rsidR="00B17703">
        <w:rPr>
          <w:bCs/>
        </w:rPr>
        <w:t>2</w:t>
      </w:r>
      <w:r>
        <w:rPr>
          <w:bCs/>
        </w:rPr>
        <w:t xml:space="preserve"> basic charge) than if the basic charge and volumetric rate were increased by a uniform or equal percentage.  </w:t>
      </w:r>
      <w:r w:rsidRPr="00F557D5">
        <w:rPr>
          <w:bCs/>
        </w:rPr>
        <w:t xml:space="preserve">Data gathered as part of the review of the Company’s </w:t>
      </w:r>
      <w:r>
        <w:rPr>
          <w:bCs/>
        </w:rPr>
        <w:t>N</w:t>
      </w:r>
      <w:r w:rsidRPr="00F557D5">
        <w:rPr>
          <w:bCs/>
        </w:rPr>
        <w:t xml:space="preserve">atural </w:t>
      </w:r>
      <w:r>
        <w:rPr>
          <w:bCs/>
        </w:rPr>
        <w:t>G</w:t>
      </w:r>
      <w:r w:rsidRPr="00F557D5">
        <w:rPr>
          <w:bCs/>
        </w:rPr>
        <w:t xml:space="preserve">as Decoupling Mechanism showed that limited income natural </w:t>
      </w:r>
      <w:r w:rsidRPr="0017074B">
        <w:rPr>
          <w:bCs/>
        </w:rPr>
        <w:t>gas customers tend to use slightly less natural gas (58 therms per month</w:t>
      </w:r>
      <w:r w:rsidRPr="0017074B">
        <w:rPr>
          <w:rStyle w:val="FootnoteReference"/>
          <w:bCs/>
        </w:rPr>
        <w:footnoteReference w:id="12"/>
      </w:r>
      <w:r w:rsidRPr="0017074B">
        <w:rPr>
          <w:bCs/>
        </w:rPr>
        <w:t>) than the residential customer</w:t>
      </w:r>
      <w:r w:rsidR="001B0AC2">
        <w:rPr>
          <w:bCs/>
        </w:rPr>
        <w:t xml:space="preserve"> population</w:t>
      </w:r>
      <w:r w:rsidRPr="0017074B">
        <w:rPr>
          <w:bCs/>
        </w:rPr>
        <w:t xml:space="preserve"> (</w:t>
      </w:r>
      <w:r w:rsidR="0085002C">
        <w:rPr>
          <w:bCs/>
        </w:rPr>
        <w:t>68</w:t>
      </w:r>
      <w:r w:rsidRPr="0017074B">
        <w:rPr>
          <w:bCs/>
        </w:rPr>
        <w:t xml:space="preserve"> therms per month).  As shown in Table </w:t>
      </w:r>
      <w:r w:rsidR="002C1009">
        <w:rPr>
          <w:bCs/>
        </w:rPr>
        <w:t>1</w:t>
      </w:r>
      <w:r w:rsidR="00A07B81">
        <w:rPr>
          <w:bCs/>
        </w:rPr>
        <w:t>5</w:t>
      </w:r>
      <w:r w:rsidRPr="0017074B">
        <w:rPr>
          <w:bCs/>
        </w:rPr>
        <w:t xml:space="preserve"> below, while there is an impact, it is relatively </w:t>
      </w:r>
      <w:r w:rsidRPr="0017074B">
        <w:rPr>
          <w:bCs/>
          <w:u w:val="single"/>
        </w:rPr>
        <w:t>small</w:t>
      </w:r>
      <w:r w:rsidRPr="0017074B">
        <w:rPr>
          <w:bCs/>
        </w:rPr>
        <w:t xml:space="preserve"> both on a dollar and percentage basis (between 0.</w:t>
      </w:r>
      <w:r w:rsidR="0085002C">
        <w:rPr>
          <w:bCs/>
        </w:rPr>
        <w:t>1</w:t>
      </w:r>
      <w:r w:rsidRPr="0017074B">
        <w:rPr>
          <w:bCs/>
        </w:rPr>
        <w:t>% and 0</w:t>
      </w:r>
      <w:r w:rsidR="0085002C">
        <w:rPr>
          <w:bCs/>
        </w:rPr>
        <w:t>.6</w:t>
      </w:r>
      <w:r w:rsidRPr="0017074B">
        <w:rPr>
          <w:bCs/>
        </w:rPr>
        <w:t>%).</w:t>
      </w:r>
      <w:r w:rsidR="00375BB2">
        <w:rPr>
          <w:bCs/>
        </w:rPr>
        <w:t xml:space="preserve">  </w:t>
      </w:r>
      <w:r w:rsidR="001E48C8">
        <w:rPr>
          <w:bCs/>
        </w:rPr>
        <w:br w:type="page"/>
      </w:r>
    </w:p>
    <w:p w:rsidR="00F10C1F" w:rsidRPr="0050216C" w:rsidRDefault="00F10C1F" w:rsidP="00F10C1F">
      <w:pPr>
        <w:pStyle w:val="BodyText2"/>
        <w:tabs>
          <w:tab w:val="left" w:pos="810"/>
          <w:tab w:val="left" w:pos="1440"/>
        </w:tabs>
        <w:jc w:val="left"/>
        <w:outlineLvl w:val="0"/>
        <w:rPr>
          <w:b/>
          <w:bCs/>
          <w:u w:val="single"/>
        </w:rPr>
      </w:pPr>
      <w:r w:rsidRPr="0050216C">
        <w:rPr>
          <w:b/>
          <w:bCs/>
          <w:u w:val="single"/>
        </w:rPr>
        <w:lastRenderedPageBreak/>
        <w:t>Table</w:t>
      </w:r>
      <w:r w:rsidR="001B0AC2">
        <w:rPr>
          <w:b/>
          <w:bCs/>
          <w:u w:val="single"/>
        </w:rPr>
        <w:t xml:space="preserve"> </w:t>
      </w:r>
      <w:r w:rsidR="003728BA">
        <w:rPr>
          <w:b/>
          <w:bCs/>
          <w:u w:val="single"/>
        </w:rPr>
        <w:t>15</w:t>
      </w:r>
    </w:p>
    <w:p w:rsidR="00F10C1F" w:rsidRPr="00D6449A" w:rsidRDefault="0085002C" w:rsidP="00F10C1F">
      <w:pPr>
        <w:pStyle w:val="BodyText2"/>
        <w:tabs>
          <w:tab w:val="left" w:pos="810"/>
          <w:tab w:val="left" w:pos="1440"/>
        </w:tabs>
        <w:rPr>
          <w:bCs/>
          <w:highlight w:val="yellow"/>
        </w:rPr>
      </w:pPr>
      <w:r w:rsidRPr="0085002C">
        <w:rPr>
          <w:noProof/>
        </w:rPr>
        <w:drawing>
          <wp:anchor distT="0" distB="0" distL="114300" distR="114300" simplePos="0" relativeHeight="251941376" behindDoc="1" locked="0" layoutInCell="1" allowOverlap="1">
            <wp:simplePos x="0" y="0"/>
            <wp:positionH relativeFrom="column">
              <wp:posOffset>20955</wp:posOffset>
            </wp:positionH>
            <wp:positionV relativeFrom="paragraph">
              <wp:posOffset>0</wp:posOffset>
            </wp:positionV>
            <wp:extent cx="5669280" cy="1123950"/>
            <wp:effectExtent l="19050" t="0" r="7620" b="0"/>
            <wp:wrapNone/>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srcRect/>
                    <a:stretch>
                      <a:fillRect/>
                    </a:stretch>
                  </pic:blipFill>
                  <pic:spPr bwMode="auto">
                    <a:xfrm>
                      <a:off x="0" y="0"/>
                      <a:ext cx="5669280" cy="1123950"/>
                    </a:xfrm>
                    <a:prstGeom prst="rect">
                      <a:avLst/>
                    </a:prstGeom>
                    <a:noFill/>
                    <a:ln w="9525">
                      <a:noFill/>
                      <a:miter lim="800000"/>
                      <a:headEnd/>
                      <a:tailEnd/>
                    </a:ln>
                  </pic:spPr>
                </pic:pic>
              </a:graphicData>
            </a:graphic>
          </wp:anchor>
        </w:drawing>
      </w:r>
    </w:p>
    <w:p w:rsidR="00F10C1F" w:rsidRPr="00D6449A" w:rsidRDefault="00F10C1F" w:rsidP="00F10C1F">
      <w:pPr>
        <w:pStyle w:val="BodyText2"/>
        <w:tabs>
          <w:tab w:val="left" w:pos="810"/>
          <w:tab w:val="left" w:pos="1440"/>
        </w:tabs>
        <w:rPr>
          <w:bCs/>
          <w:highlight w:val="yellow"/>
        </w:rPr>
      </w:pPr>
    </w:p>
    <w:p w:rsidR="00F10C1F" w:rsidRPr="00D6449A" w:rsidRDefault="00F10C1F" w:rsidP="00F10C1F">
      <w:pPr>
        <w:spacing w:line="480" w:lineRule="auto"/>
        <w:rPr>
          <w:highlight w:val="yellow"/>
        </w:rPr>
      </w:pPr>
    </w:p>
    <w:p w:rsidR="00B220C2" w:rsidRPr="005410BB" w:rsidRDefault="00F10C1F" w:rsidP="005410BB">
      <w:pPr>
        <w:pStyle w:val="BodyText2"/>
        <w:tabs>
          <w:tab w:val="left" w:pos="720"/>
          <w:tab w:val="left" w:pos="1440"/>
        </w:tabs>
        <w:rPr>
          <w:b/>
          <w:bCs/>
        </w:rPr>
      </w:pPr>
      <w:r w:rsidRPr="00F557D5">
        <w:rPr>
          <w:b/>
          <w:bCs/>
        </w:rPr>
        <w:tab/>
      </w:r>
    </w:p>
    <w:p w:rsidR="00BC1E00" w:rsidRDefault="00BC1E00" w:rsidP="00976DDC">
      <w:pPr>
        <w:pStyle w:val="P267"/>
        <w:tabs>
          <w:tab w:val="clear" w:pos="360"/>
          <w:tab w:val="left" w:pos="0"/>
        </w:tabs>
        <w:ind w:left="0"/>
        <w:jc w:val="center"/>
        <w:rPr>
          <w:rFonts w:ascii="Times New Roman" w:hAnsi="Times New Roman" w:cs="Times New Roman"/>
        </w:rPr>
      </w:pPr>
    </w:p>
    <w:p w:rsidR="00976DDC" w:rsidRPr="00AD03A5" w:rsidRDefault="0085002C" w:rsidP="00976DDC">
      <w:pPr>
        <w:pStyle w:val="P267"/>
        <w:tabs>
          <w:tab w:val="clear" w:pos="360"/>
          <w:tab w:val="left" w:pos="0"/>
        </w:tabs>
        <w:ind w:left="0"/>
        <w:jc w:val="center"/>
        <w:rPr>
          <w:rFonts w:ascii="Times New Roman" w:hAnsi="Times New Roman" w:cs="Times New Roman"/>
        </w:rPr>
      </w:pPr>
      <w:r>
        <w:rPr>
          <w:rFonts w:ascii="Times New Roman" w:hAnsi="Times New Roman" w:cs="Times New Roman"/>
        </w:rPr>
        <w:t>VI</w:t>
      </w:r>
      <w:r w:rsidR="00976DDC" w:rsidRPr="00AD03A5">
        <w:rPr>
          <w:rFonts w:ascii="Times New Roman" w:hAnsi="Times New Roman" w:cs="Times New Roman"/>
        </w:rPr>
        <w:t xml:space="preserve">. SUMMARY OF </w:t>
      </w:r>
      <w:r w:rsidR="00007085">
        <w:rPr>
          <w:rFonts w:ascii="Times New Roman" w:hAnsi="Times New Roman" w:cs="Times New Roman"/>
        </w:rPr>
        <w:t xml:space="preserve">DOCKET NOS. </w:t>
      </w:r>
      <w:r w:rsidR="00976DDC" w:rsidRPr="00AD03A5">
        <w:rPr>
          <w:rFonts w:ascii="Times New Roman" w:hAnsi="Times New Roman" w:cs="Times New Roman"/>
        </w:rPr>
        <w:t>UE-</w:t>
      </w:r>
      <w:r w:rsidR="00007085">
        <w:rPr>
          <w:rFonts w:ascii="Times New Roman" w:hAnsi="Times New Roman" w:cs="Times New Roman"/>
        </w:rPr>
        <w:t>140188</w:t>
      </w:r>
      <w:r w:rsidR="00976DDC" w:rsidRPr="00AD03A5">
        <w:rPr>
          <w:rFonts w:ascii="Times New Roman" w:hAnsi="Times New Roman" w:cs="Times New Roman"/>
        </w:rPr>
        <w:t>/UG-</w:t>
      </w:r>
      <w:r w:rsidR="00976DDC">
        <w:rPr>
          <w:rFonts w:ascii="Times New Roman" w:hAnsi="Times New Roman" w:cs="Times New Roman"/>
        </w:rPr>
        <w:t>1</w:t>
      </w:r>
      <w:r w:rsidR="00007085">
        <w:rPr>
          <w:rFonts w:ascii="Times New Roman" w:hAnsi="Times New Roman" w:cs="Times New Roman"/>
        </w:rPr>
        <w:t>40189</w:t>
      </w:r>
      <w:r w:rsidR="00976DDC" w:rsidRPr="00AD03A5">
        <w:rPr>
          <w:rFonts w:ascii="Times New Roman" w:hAnsi="Times New Roman" w:cs="Times New Roman"/>
        </w:rPr>
        <w:t xml:space="preserve"> ORDER </w:t>
      </w:r>
      <w:r w:rsidR="00976DDC">
        <w:rPr>
          <w:rFonts w:ascii="Times New Roman" w:hAnsi="Times New Roman" w:cs="Times New Roman"/>
        </w:rPr>
        <w:t>No. 0</w:t>
      </w:r>
      <w:r w:rsidR="00007085">
        <w:rPr>
          <w:rFonts w:ascii="Times New Roman" w:hAnsi="Times New Roman" w:cs="Times New Roman"/>
        </w:rPr>
        <w:t>5</w:t>
      </w:r>
      <w:r w:rsidR="00976DDC" w:rsidRPr="00AD03A5">
        <w:rPr>
          <w:rFonts w:ascii="Times New Roman" w:hAnsi="Times New Roman" w:cs="Times New Roman"/>
        </w:rPr>
        <w:t xml:space="preserve"> REQUIREMENTS</w:t>
      </w:r>
    </w:p>
    <w:p w:rsidR="00976DDC" w:rsidRDefault="00976DDC" w:rsidP="00976DDC">
      <w:pPr>
        <w:spacing w:line="480" w:lineRule="auto"/>
        <w:ind w:firstLine="720"/>
        <w:jc w:val="both"/>
        <w:rPr>
          <w:b/>
        </w:rPr>
      </w:pPr>
      <w:r w:rsidRPr="00AD03A5">
        <w:rPr>
          <w:b/>
        </w:rPr>
        <w:t>Q.</w:t>
      </w:r>
      <w:r w:rsidRPr="00AD03A5">
        <w:rPr>
          <w:b/>
        </w:rPr>
        <w:tab/>
      </w:r>
      <w:r w:rsidR="002A7493">
        <w:rPr>
          <w:b/>
        </w:rPr>
        <w:t xml:space="preserve">Please </w:t>
      </w:r>
      <w:proofErr w:type="gramStart"/>
      <w:r w:rsidR="002A7493">
        <w:rPr>
          <w:b/>
        </w:rPr>
        <w:t>summarize</w:t>
      </w:r>
      <w:proofErr w:type="gramEnd"/>
      <w:r w:rsidR="002A7493">
        <w:rPr>
          <w:b/>
        </w:rPr>
        <w:t xml:space="preserve"> the Company’s compliance </w:t>
      </w:r>
      <w:r w:rsidR="00C95E6C">
        <w:rPr>
          <w:b/>
        </w:rPr>
        <w:t xml:space="preserve">with the requirements of the Commission’s </w:t>
      </w:r>
      <w:r>
        <w:rPr>
          <w:b/>
        </w:rPr>
        <w:t>Order No. 0</w:t>
      </w:r>
      <w:r w:rsidR="00007085">
        <w:rPr>
          <w:b/>
        </w:rPr>
        <w:t>5</w:t>
      </w:r>
      <w:r>
        <w:rPr>
          <w:b/>
        </w:rPr>
        <w:t xml:space="preserve"> (and Set</w:t>
      </w:r>
      <w:r w:rsidR="00007085">
        <w:rPr>
          <w:b/>
        </w:rPr>
        <w:t xml:space="preserve">tlement Stipulation) in Docket Nos. </w:t>
      </w:r>
      <w:proofErr w:type="gramStart"/>
      <w:r>
        <w:rPr>
          <w:b/>
        </w:rPr>
        <w:t>UE-</w:t>
      </w:r>
      <w:r w:rsidR="00007085">
        <w:rPr>
          <w:b/>
        </w:rPr>
        <w:t>140188</w:t>
      </w:r>
      <w:r>
        <w:rPr>
          <w:b/>
        </w:rPr>
        <w:t xml:space="preserve"> and UG-1</w:t>
      </w:r>
      <w:r w:rsidR="00007085">
        <w:rPr>
          <w:b/>
        </w:rPr>
        <w:t>40189</w:t>
      </w:r>
      <w:r>
        <w:rPr>
          <w:b/>
        </w:rPr>
        <w:t>?</w:t>
      </w:r>
      <w:proofErr w:type="gramEnd"/>
    </w:p>
    <w:p w:rsidR="00976DDC" w:rsidRDefault="00976DDC" w:rsidP="00976DDC">
      <w:pPr>
        <w:spacing w:line="480" w:lineRule="auto"/>
        <w:ind w:firstLine="720"/>
        <w:jc w:val="both"/>
        <w:rPr>
          <w:rFonts w:eastAsia="Calibri"/>
        </w:rPr>
      </w:pPr>
      <w:r w:rsidRPr="00206BDE">
        <w:rPr>
          <w:rFonts w:eastAsia="Calibri"/>
        </w:rPr>
        <w:t>A.</w:t>
      </w:r>
      <w:r w:rsidRPr="00206BDE">
        <w:rPr>
          <w:rFonts w:eastAsia="Calibri"/>
        </w:rPr>
        <w:tab/>
      </w:r>
      <w:r w:rsidR="00007085">
        <w:rPr>
          <w:rFonts w:eastAsia="Calibri"/>
        </w:rPr>
        <w:t xml:space="preserve">Many of the requirements from the last general rate case were completed prior to new rates going into effect January 1, 2015.  Other items are requirements to the future.  </w:t>
      </w:r>
      <w:r>
        <w:rPr>
          <w:rFonts w:eastAsia="Calibri"/>
        </w:rPr>
        <w:t>Detailed below are</w:t>
      </w:r>
      <w:r w:rsidR="00007085">
        <w:rPr>
          <w:rFonts w:eastAsia="Calibri"/>
        </w:rPr>
        <w:t xml:space="preserve"> the </w:t>
      </w:r>
      <w:r w:rsidRPr="006753D1">
        <w:rPr>
          <w:rFonts w:eastAsia="Calibri"/>
        </w:rPr>
        <w:t>items</w:t>
      </w:r>
      <w:r w:rsidRPr="00266EF0">
        <w:rPr>
          <w:rFonts w:eastAsia="Calibri"/>
        </w:rPr>
        <w:t xml:space="preserve"> that the Company </w:t>
      </w:r>
      <w:r>
        <w:rPr>
          <w:rFonts w:eastAsia="Calibri"/>
        </w:rPr>
        <w:t xml:space="preserve">was required to address </w:t>
      </w:r>
      <w:r w:rsidR="00007085">
        <w:rPr>
          <w:rFonts w:eastAsia="Calibri"/>
        </w:rPr>
        <w:t>in this general rate case</w:t>
      </w:r>
      <w:r>
        <w:rPr>
          <w:rFonts w:eastAsia="Calibri"/>
        </w:rPr>
        <w:t>.  Shown below</w:t>
      </w:r>
      <w:r w:rsidR="00451C4F">
        <w:rPr>
          <w:rFonts w:eastAsia="Calibri"/>
        </w:rPr>
        <w:t>,</w:t>
      </w:r>
      <w:r>
        <w:rPr>
          <w:rFonts w:eastAsia="Calibri"/>
        </w:rPr>
        <w:t xml:space="preserve"> in no particular order</w:t>
      </w:r>
      <w:r w:rsidR="00451C4F">
        <w:rPr>
          <w:rFonts w:eastAsia="Calibri"/>
        </w:rPr>
        <w:t>,</w:t>
      </w:r>
      <w:r>
        <w:rPr>
          <w:rFonts w:eastAsia="Calibri"/>
        </w:rPr>
        <w:t xml:space="preserve"> are the requirements, </w:t>
      </w:r>
      <w:r w:rsidRPr="00266EF0">
        <w:rPr>
          <w:rFonts w:eastAsia="Calibri"/>
        </w:rPr>
        <w:t xml:space="preserve">the page number </w:t>
      </w:r>
      <w:r>
        <w:rPr>
          <w:rFonts w:eastAsia="Calibri"/>
        </w:rPr>
        <w:t xml:space="preserve">and paragraph where the items are located </w:t>
      </w:r>
      <w:r w:rsidRPr="00266EF0">
        <w:rPr>
          <w:rFonts w:eastAsia="Calibri"/>
        </w:rPr>
        <w:t xml:space="preserve">in the </w:t>
      </w:r>
      <w:r>
        <w:rPr>
          <w:rFonts w:eastAsia="Calibri"/>
        </w:rPr>
        <w:t>Order</w:t>
      </w:r>
      <w:r w:rsidR="00E85E66">
        <w:rPr>
          <w:rFonts w:eastAsia="Calibri"/>
        </w:rPr>
        <w:t xml:space="preserve"> or Stipulation</w:t>
      </w:r>
      <w:r w:rsidRPr="00266EF0">
        <w:rPr>
          <w:rFonts w:eastAsia="Calibri"/>
        </w:rPr>
        <w:t xml:space="preserve">, </w:t>
      </w:r>
      <w:r w:rsidR="00C26773">
        <w:rPr>
          <w:rFonts w:eastAsia="Calibri"/>
        </w:rPr>
        <w:t xml:space="preserve">the status of the requirement </w:t>
      </w:r>
      <w:r w:rsidRPr="00266EF0">
        <w:rPr>
          <w:rFonts w:eastAsia="Calibri"/>
        </w:rPr>
        <w:t>and</w:t>
      </w:r>
      <w:r w:rsidR="00C26773">
        <w:rPr>
          <w:rFonts w:eastAsia="Calibri"/>
        </w:rPr>
        <w:t>/or</w:t>
      </w:r>
      <w:r w:rsidRPr="00266EF0">
        <w:rPr>
          <w:rFonts w:eastAsia="Calibri"/>
        </w:rPr>
        <w:t xml:space="preserve"> </w:t>
      </w:r>
      <w:r>
        <w:rPr>
          <w:rFonts w:eastAsia="Calibri"/>
        </w:rPr>
        <w:t>the witnesses that address the issues in this docket.</w:t>
      </w:r>
    </w:p>
    <w:p w:rsidR="00976DDC" w:rsidRDefault="00976DDC" w:rsidP="00212B99">
      <w:pPr>
        <w:ind w:left="720"/>
        <w:jc w:val="both"/>
        <w:rPr>
          <w:rFonts w:eastAsia="Calibri"/>
        </w:rPr>
      </w:pPr>
      <w:r w:rsidRPr="008B7E2A">
        <w:rPr>
          <w:rFonts w:eastAsia="Calibri"/>
          <w:b/>
        </w:rPr>
        <w:t xml:space="preserve">Item 1 – </w:t>
      </w:r>
      <w:r w:rsidR="00C26773">
        <w:rPr>
          <w:rFonts w:eastAsia="Calibri"/>
          <w:b/>
        </w:rPr>
        <w:t>ERM Rebate</w:t>
      </w:r>
      <w:r w:rsidR="00451C4F">
        <w:rPr>
          <w:rFonts w:eastAsia="Calibri"/>
          <w:b/>
        </w:rPr>
        <w:t xml:space="preserve"> Mechanism (</w:t>
      </w:r>
      <w:r w:rsidR="00C26773">
        <w:rPr>
          <w:rFonts w:eastAsia="Calibri"/>
          <w:b/>
        </w:rPr>
        <w:t>Stipulation Page</w:t>
      </w:r>
      <w:r w:rsidRPr="008B7E2A">
        <w:rPr>
          <w:rFonts w:eastAsia="Calibri"/>
          <w:b/>
        </w:rPr>
        <w:t xml:space="preserve"> </w:t>
      </w:r>
      <w:r w:rsidR="00C26773">
        <w:rPr>
          <w:rFonts w:eastAsia="Calibri"/>
          <w:b/>
        </w:rPr>
        <w:t>12</w:t>
      </w:r>
      <w:r w:rsidRPr="008B7E2A">
        <w:rPr>
          <w:rFonts w:eastAsia="Calibri"/>
          <w:b/>
        </w:rPr>
        <w:t>, Paragraph</w:t>
      </w:r>
      <w:r w:rsidR="00C26773">
        <w:rPr>
          <w:rFonts w:eastAsia="Calibri"/>
          <w:b/>
        </w:rPr>
        <w:t xml:space="preserve"> 23</w:t>
      </w:r>
      <w:r w:rsidR="00451C4F">
        <w:rPr>
          <w:rFonts w:eastAsia="Calibri"/>
          <w:b/>
        </w:rPr>
        <w:t>)</w:t>
      </w:r>
      <w:r>
        <w:rPr>
          <w:rFonts w:eastAsia="Calibri"/>
        </w:rPr>
        <w:t>:</w:t>
      </w:r>
    </w:p>
    <w:p w:rsidR="00C26773" w:rsidRDefault="00C26773" w:rsidP="00212B99">
      <w:pPr>
        <w:ind w:left="720"/>
        <w:jc w:val="both"/>
        <w:rPr>
          <w:rFonts w:eastAsia="Calibri"/>
        </w:rPr>
      </w:pPr>
    </w:p>
    <w:p w:rsidR="00976DDC" w:rsidRPr="00451C4F" w:rsidRDefault="00976DDC" w:rsidP="00212B99">
      <w:pPr>
        <w:tabs>
          <w:tab w:val="left" w:pos="1710"/>
        </w:tabs>
        <w:ind w:left="720"/>
        <w:jc w:val="both"/>
        <w:rPr>
          <w:rFonts w:eastAsia="Calibri"/>
          <w:i/>
        </w:rPr>
      </w:pPr>
      <w:r w:rsidRPr="00451C4F">
        <w:rPr>
          <w:rFonts w:eastAsia="Calibri"/>
          <w:i/>
        </w:rPr>
        <w:t>"</w:t>
      </w:r>
      <w:r w:rsidR="00C26773" w:rsidRPr="00C26773">
        <w:rPr>
          <w:rFonts w:eastAsia="Calibri"/>
          <w:i/>
        </w:rPr>
        <w:t>The Parties agree to address in the next general rate case alternative methods to rebate or recover ERM balances.</w:t>
      </w:r>
      <w:r w:rsidRPr="00451C4F">
        <w:rPr>
          <w:rFonts w:eastAsia="Calibri"/>
          <w:i/>
        </w:rPr>
        <w:t>”</w:t>
      </w:r>
    </w:p>
    <w:p w:rsidR="00976DDC" w:rsidRDefault="00976DDC" w:rsidP="00212B99">
      <w:pPr>
        <w:tabs>
          <w:tab w:val="left" w:pos="1710"/>
        </w:tabs>
        <w:ind w:left="720"/>
        <w:jc w:val="both"/>
        <w:rPr>
          <w:rFonts w:eastAsia="Calibri"/>
        </w:rPr>
      </w:pPr>
    </w:p>
    <w:p w:rsidR="00451C4F" w:rsidRDefault="00451C4F" w:rsidP="00212B99">
      <w:pPr>
        <w:tabs>
          <w:tab w:val="left" w:pos="1710"/>
        </w:tabs>
        <w:ind w:left="720"/>
        <w:jc w:val="both"/>
        <w:rPr>
          <w:rFonts w:eastAsia="Calibri"/>
        </w:rPr>
      </w:pPr>
      <w:r>
        <w:rPr>
          <w:rFonts w:eastAsia="Calibri"/>
        </w:rPr>
        <w:t>This item is addressed by Mr. Johnson in Exhibit No.__</w:t>
      </w:r>
      <w:proofErr w:type="gramStart"/>
      <w:r>
        <w:rPr>
          <w:rFonts w:eastAsia="Calibri"/>
        </w:rPr>
        <w:t>_(</w:t>
      </w:r>
      <w:proofErr w:type="gramEnd"/>
      <w:r>
        <w:rPr>
          <w:rFonts w:eastAsia="Calibri"/>
        </w:rPr>
        <w:t>WGJ-1T).</w:t>
      </w:r>
    </w:p>
    <w:p w:rsidR="00451C4F" w:rsidRDefault="00451C4F" w:rsidP="00212B99">
      <w:pPr>
        <w:tabs>
          <w:tab w:val="left" w:pos="1710"/>
        </w:tabs>
        <w:ind w:left="720"/>
        <w:jc w:val="both"/>
        <w:rPr>
          <w:rFonts w:eastAsia="Calibri"/>
        </w:rPr>
      </w:pPr>
    </w:p>
    <w:p w:rsidR="00976DDC" w:rsidRDefault="00976DDC" w:rsidP="00212B99">
      <w:pPr>
        <w:ind w:left="720"/>
        <w:jc w:val="both"/>
        <w:rPr>
          <w:rFonts w:eastAsia="Calibri"/>
        </w:rPr>
      </w:pPr>
      <w:r w:rsidRPr="008B7E2A">
        <w:rPr>
          <w:rFonts w:eastAsia="Calibri"/>
          <w:b/>
        </w:rPr>
        <w:t xml:space="preserve">Item </w:t>
      </w:r>
      <w:r>
        <w:rPr>
          <w:rFonts w:eastAsia="Calibri"/>
          <w:b/>
        </w:rPr>
        <w:t>2</w:t>
      </w:r>
      <w:r w:rsidRPr="008B7E2A">
        <w:rPr>
          <w:rFonts w:eastAsia="Calibri"/>
          <w:b/>
        </w:rPr>
        <w:t xml:space="preserve"> – </w:t>
      </w:r>
      <w:r w:rsidR="00C26773">
        <w:rPr>
          <w:rFonts w:eastAsia="Calibri"/>
          <w:b/>
        </w:rPr>
        <w:t>Service Quality and Reliability Program</w:t>
      </w:r>
      <w:r w:rsidR="00451C4F">
        <w:rPr>
          <w:rFonts w:eastAsia="Calibri"/>
          <w:b/>
        </w:rPr>
        <w:t xml:space="preserve"> (</w:t>
      </w:r>
      <w:r w:rsidR="00C26773">
        <w:rPr>
          <w:rFonts w:eastAsia="Calibri"/>
          <w:b/>
        </w:rPr>
        <w:t xml:space="preserve">Stipulation </w:t>
      </w:r>
      <w:r w:rsidRPr="008B7E2A">
        <w:rPr>
          <w:rFonts w:eastAsia="Calibri"/>
          <w:b/>
        </w:rPr>
        <w:t xml:space="preserve">Page </w:t>
      </w:r>
      <w:r w:rsidR="00C26773">
        <w:rPr>
          <w:rFonts w:eastAsia="Calibri"/>
          <w:b/>
        </w:rPr>
        <w:t>11</w:t>
      </w:r>
      <w:r w:rsidRPr="008B7E2A">
        <w:rPr>
          <w:rFonts w:eastAsia="Calibri"/>
          <w:b/>
        </w:rPr>
        <w:t>, Paragraph</w:t>
      </w:r>
      <w:r>
        <w:rPr>
          <w:rFonts w:eastAsia="Calibri"/>
          <w:b/>
        </w:rPr>
        <w:t xml:space="preserve"> </w:t>
      </w:r>
      <w:r w:rsidR="00C26773">
        <w:rPr>
          <w:rFonts w:eastAsia="Calibri"/>
          <w:b/>
        </w:rPr>
        <w:t>16</w:t>
      </w:r>
      <w:r w:rsidR="00451C4F">
        <w:rPr>
          <w:rFonts w:eastAsia="Calibri"/>
          <w:b/>
        </w:rPr>
        <w:t>)</w:t>
      </w:r>
      <w:r>
        <w:rPr>
          <w:rFonts w:eastAsia="Calibri"/>
        </w:rPr>
        <w:t>:</w:t>
      </w:r>
    </w:p>
    <w:p w:rsidR="00976DDC" w:rsidRPr="00451C4F" w:rsidRDefault="00976DDC" w:rsidP="00212B99">
      <w:pPr>
        <w:ind w:left="720"/>
        <w:jc w:val="both"/>
        <w:rPr>
          <w:rFonts w:eastAsia="Calibri"/>
          <w:i/>
        </w:rPr>
      </w:pPr>
      <w:r w:rsidRPr="00451C4F">
        <w:rPr>
          <w:rFonts w:eastAsia="Calibri"/>
          <w:i/>
        </w:rPr>
        <w:t>“</w:t>
      </w:r>
      <w:r w:rsidR="00C26773" w:rsidRPr="00C26773">
        <w:rPr>
          <w:rFonts w:eastAsia="Calibri"/>
          <w:i/>
        </w:rPr>
        <w:t xml:space="preserve">Avista agrees to meet with Staff and interested parties to develop and implement appropriate service quality metrics, customer guarantees and reporting, with the </w:t>
      </w:r>
      <w:r w:rsidR="00C26773" w:rsidRPr="00C26773">
        <w:rPr>
          <w:rFonts w:eastAsia="Calibri"/>
          <w:i/>
        </w:rPr>
        <w:lastRenderedPageBreak/>
        <w:t>agreed upon tariff revisions filed on or before June 1, 2015, with a program in place on July 1, 2015</w:t>
      </w:r>
      <w:r w:rsidRPr="00451C4F">
        <w:rPr>
          <w:rFonts w:eastAsia="Calibri"/>
          <w:i/>
        </w:rPr>
        <w:t>”</w:t>
      </w:r>
    </w:p>
    <w:p w:rsidR="00451C4F" w:rsidRDefault="00451C4F" w:rsidP="00212B99">
      <w:pPr>
        <w:ind w:left="720"/>
        <w:jc w:val="both"/>
        <w:rPr>
          <w:rFonts w:eastAsia="Calibri"/>
        </w:rPr>
      </w:pPr>
    </w:p>
    <w:p w:rsidR="00E85E66" w:rsidRDefault="002A7493" w:rsidP="00E85E66">
      <w:pPr>
        <w:tabs>
          <w:tab w:val="left" w:pos="1710"/>
        </w:tabs>
        <w:ind w:left="720"/>
        <w:jc w:val="both"/>
        <w:rPr>
          <w:rFonts w:eastAsia="Calibri"/>
        </w:rPr>
      </w:pPr>
      <w:r>
        <w:rPr>
          <w:rFonts w:eastAsia="Calibri"/>
        </w:rPr>
        <w:t xml:space="preserve">Work on this item is in progress and </w:t>
      </w:r>
      <w:r w:rsidR="00E85E66">
        <w:rPr>
          <w:rFonts w:eastAsia="Calibri"/>
        </w:rPr>
        <w:t>is addressed by Company witness Mr. Kopczynski in Exhibit No.__</w:t>
      </w:r>
      <w:proofErr w:type="gramStart"/>
      <w:r w:rsidR="00E85E66">
        <w:rPr>
          <w:rFonts w:eastAsia="Calibri"/>
        </w:rPr>
        <w:t>_(</w:t>
      </w:r>
      <w:proofErr w:type="gramEnd"/>
      <w:r w:rsidR="00E85E66">
        <w:rPr>
          <w:rFonts w:eastAsia="Calibri"/>
        </w:rPr>
        <w:t>DFK-1T).</w:t>
      </w:r>
    </w:p>
    <w:p w:rsidR="00451C4F" w:rsidRDefault="00451C4F" w:rsidP="00212B99">
      <w:pPr>
        <w:ind w:left="720"/>
        <w:jc w:val="both"/>
        <w:rPr>
          <w:rFonts w:eastAsia="Calibri"/>
        </w:rPr>
      </w:pPr>
    </w:p>
    <w:p w:rsidR="00976DDC" w:rsidRDefault="00976DDC" w:rsidP="00212B99">
      <w:pPr>
        <w:ind w:left="720"/>
        <w:jc w:val="both"/>
        <w:rPr>
          <w:rFonts w:eastAsia="Calibri"/>
        </w:rPr>
      </w:pPr>
      <w:r w:rsidRPr="008B7E2A">
        <w:rPr>
          <w:rFonts w:eastAsia="Calibri"/>
          <w:b/>
        </w:rPr>
        <w:t xml:space="preserve">Item </w:t>
      </w:r>
      <w:r>
        <w:rPr>
          <w:rFonts w:eastAsia="Calibri"/>
          <w:b/>
        </w:rPr>
        <w:t>3</w:t>
      </w:r>
      <w:r w:rsidRPr="008B7E2A">
        <w:rPr>
          <w:rFonts w:eastAsia="Calibri"/>
          <w:b/>
        </w:rPr>
        <w:t xml:space="preserve"> – </w:t>
      </w:r>
      <w:r w:rsidR="005E0D2F">
        <w:rPr>
          <w:rFonts w:eastAsia="Calibri"/>
          <w:b/>
        </w:rPr>
        <w:t>Low Income Rate Assistance Program</w:t>
      </w:r>
      <w:r w:rsidR="00451C4F">
        <w:rPr>
          <w:rFonts w:eastAsia="Calibri"/>
          <w:b/>
        </w:rPr>
        <w:t xml:space="preserve"> (</w:t>
      </w:r>
      <w:r w:rsidRPr="008B7E2A">
        <w:rPr>
          <w:rFonts w:eastAsia="Calibri"/>
          <w:b/>
        </w:rPr>
        <w:t xml:space="preserve">Order </w:t>
      </w:r>
      <w:r>
        <w:rPr>
          <w:rFonts w:eastAsia="Calibri"/>
          <w:b/>
        </w:rPr>
        <w:t xml:space="preserve">Page </w:t>
      </w:r>
      <w:r w:rsidR="005E0D2F">
        <w:rPr>
          <w:rFonts w:eastAsia="Calibri"/>
          <w:b/>
        </w:rPr>
        <w:t>4,</w:t>
      </w:r>
      <w:r w:rsidRPr="008B7E2A">
        <w:rPr>
          <w:rFonts w:eastAsia="Calibri"/>
          <w:b/>
        </w:rPr>
        <w:t xml:space="preserve"> Paragraph</w:t>
      </w:r>
      <w:r w:rsidR="005E0D2F">
        <w:rPr>
          <w:rFonts w:eastAsia="Calibri"/>
          <w:b/>
        </w:rPr>
        <w:t xml:space="preserve"> </w:t>
      </w:r>
      <w:r>
        <w:rPr>
          <w:rFonts w:eastAsia="Calibri"/>
          <w:b/>
        </w:rPr>
        <w:t>5</w:t>
      </w:r>
      <w:r w:rsidR="00451C4F">
        <w:rPr>
          <w:rFonts w:eastAsia="Calibri"/>
          <w:b/>
        </w:rPr>
        <w:t>)</w:t>
      </w:r>
      <w:r>
        <w:rPr>
          <w:rFonts w:eastAsia="Calibri"/>
        </w:rPr>
        <w:t>:</w:t>
      </w:r>
    </w:p>
    <w:p w:rsidR="00976DDC" w:rsidRDefault="00C26773" w:rsidP="00212B99">
      <w:pPr>
        <w:tabs>
          <w:tab w:val="left" w:pos="1710"/>
        </w:tabs>
        <w:ind w:left="720"/>
        <w:jc w:val="both"/>
        <w:rPr>
          <w:rFonts w:eastAsia="Calibri"/>
          <w:i/>
        </w:rPr>
      </w:pPr>
      <w:r>
        <w:rPr>
          <w:rFonts w:eastAsia="Calibri"/>
          <w:i/>
        </w:rPr>
        <w:t>“</w:t>
      </w:r>
      <w:r w:rsidR="00E60660" w:rsidRPr="00E60660">
        <w:rPr>
          <w:rFonts w:eastAsia="Calibri"/>
          <w:i/>
        </w:rPr>
        <w:t>Using Staff’s proposed pilot program as a basis, the parties should work together to file mutually agreed upon additions and modifications to the LIRAP.  If the parties cannot agree upon modifications or additions to the program they should file alternative or competing proposals with the Commission no later than June 1, 2015.</w:t>
      </w:r>
      <w:r>
        <w:rPr>
          <w:rFonts w:eastAsia="Calibri"/>
          <w:i/>
        </w:rPr>
        <w:t>”</w:t>
      </w:r>
    </w:p>
    <w:p w:rsidR="00E85E66" w:rsidRDefault="00E85E66" w:rsidP="00E85E66">
      <w:pPr>
        <w:ind w:left="720"/>
        <w:jc w:val="both"/>
        <w:rPr>
          <w:rFonts w:eastAsia="Calibri"/>
        </w:rPr>
      </w:pPr>
    </w:p>
    <w:p w:rsidR="00E85E66" w:rsidRDefault="002A7493" w:rsidP="00E85E66">
      <w:pPr>
        <w:tabs>
          <w:tab w:val="left" w:pos="1710"/>
        </w:tabs>
        <w:ind w:left="720"/>
        <w:jc w:val="both"/>
        <w:rPr>
          <w:rFonts w:eastAsia="Calibri"/>
        </w:rPr>
      </w:pPr>
      <w:r>
        <w:rPr>
          <w:rFonts w:eastAsia="Calibri"/>
        </w:rPr>
        <w:t xml:space="preserve">Work on this item is in progress and is </w:t>
      </w:r>
      <w:r w:rsidR="00E85E66">
        <w:rPr>
          <w:rFonts w:eastAsia="Calibri"/>
        </w:rPr>
        <w:t>addressed by Company witness Mr. Kopczynski in Exhibit No.__</w:t>
      </w:r>
      <w:proofErr w:type="gramStart"/>
      <w:r w:rsidR="00E85E66">
        <w:rPr>
          <w:rFonts w:eastAsia="Calibri"/>
        </w:rPr>
        <w:t>_(</w:t>
      </w:r>
      <w:proofErr w:type="gramEnd"/>
      <w:r w:rsidR="00E85E66">
        <w:rPr>
          <w:rFonts w:eastAsia="Calibri"/>
        </w:rPr>
        <w:t>DFK-1T).</w:t>
      </w:r>
    </w:p>
    <w:p w:rsidR="00451C4F" w:rsidRDefault="00451C4F" w:rsidP="00212B99">
      <w:pPr>
        <w:ind w:left="720"/>
        <w:jc w:val="both"/>
        <w:rPr>
          <w:rFonts w:eastAsia="Calibri"/>
          <w:b/>
        </w:rPr>
      </w:pPr>
    </w:p>
    <w:p w:rsidR="00976DDC" w:rsidRDefault="00976DDC" w:rsidP="00212B99">
      <w:pPr>
        <w:ind w:left="720"/>
        <w:jc w:val="both"/>
        <w:rPr>
          <w:rFonts w:eastAsia="Calibri"/>
        </w:rPr>
      </w:pPr>
      <w:r w:rsidRPr="008B7E2A">
        <w:rPr>
          <w:rFonts w:eastAsia="Calibri"/>
          <w:b/>
        </w:rPr>
        <w:t xml:space="preserve">Item </w:t>
      </w:r>
      <w:r>
        <w:rPr>
          <w:rFonts w:eastAsia="Calibri"/>
          <w:b/>
        </w:rPr>
        <w:t>4</w:t>
      </w:r>
      <w:r w:rsidRPr="008B7E2A">
        <w:rPr>
          <w:rFonts w:eastAsia="Calibri"/>
          <w:b/>
        </w:rPr>
        <w:t xml:space="preserve"> – </w:t>
      </w:r>
      <w:r w:rsidR="00212B99">
        <w:rPr>
          <w:rFonts w:eastAsia="Calibri"/>
          <w:b/>
        </w:rPr>
        <w:t xml:space="preserve">Natural Gas Project Compass Deferral </w:t>
      </w:r>
      <w:r w:rsidR="00451C4F">
        <w:rPr>
          <w:rFonts w:eastAsia="Calibri"/>
          <w:b/>
        </w:rPr>
        <w:t>(</w:t>
      </w:r>
      <w:r>
        <w:rPr>
          <w:rFonts w:eastAsia="Calibri"/>
          <w:b/>
        </w:rPr>
        <w:t xml:space="preserve">Stipulation </w:t>
      </w:r>
      <w:r w:rsidRPr="008B7E2A">
        <w:rPr>
          <w:rFonts w:eastAsia="Calibri"/>
          <w:b/>
        </w:rPr>
        <w:t xml:space="preserve">Page </w:t>
      </w:r>
      <w:r w:rsidR="00212B99">
        <w:rPr>
          <w:rFonts w:eastAsia="Calibri"/>
          <w:b/>
        </w:rPr>
        <w:t>4</w:t>
      </w:r>
      <w:r w:rsidRPr="008B7E2A">
        <w:rPr>
          <w:rFonts w:eastAsia="Calibri"/>
          <w:b/>
        </w:rPr>
        <w:t>, Paragraph</w:t>
      </w:r>
      <w:r w:rsidR="00212B99">
        <w:rPr>
          <w:rFonts w:eastAsia="Calibri"/>
          <w:b/>
        </w:rPr>
        <w:t xml:space="preserve"> </w:t>
      </w:r>
      <w:r>
        <w:rPr>
          <w:rFonts w:eastAsia="Calibri"/>
          <w:b/>
        </w:rPr>
        <w:t>7</w:t>
      </w:r>
      <w:r w:rsidR="00451C4F">
        <w:rPr>
          <w:rFonts w:eastAsia="Calibri"/>
          <w:b/>
        </w:rPr>
        <w:t>)</w:t>
      </w:r>
      <w:r>
        <w:rPr>
          <w:rFonts w:eastAsia="Calibri"/>
        </w:rPr>
        <w:t>:</w:t>
      </w:r>
    </w:p>
    <w:p w:rsidR="00976DDC" w:rsidRPr="00451C4F" w:rsidRDefault="00451C4F" w:rsidP="002A7493">
      <w:pPr>
        <w:tabs>
          <w:tab w:val="left" w:pos="1710"/>
        </w:tabs>
        <w:ind w:left="720"/>
        <w:jc w:val="both"/>
        <w:rPr>
          <w:rFonts w:eastAsia="Calibri"/>
          <w:i/>
        </w:rPr>
      </w:pPr>
      <w:r w:rsidRPr="00451C4F">
        <w:rPr>
          <w:rFonts w:eastAsia="Calibri"/>
          <w:i/>
        </w:rPr>
        <w:t>“</w:t>
      </w:r>
      <w:r w:rsidR="002A7493" w:rsidRPr="002A7493">
        <w:rPr>
          <w:rFonts w:eastAsia="Calibri"/>
          <w:i/>
        </w:rPr>
        <w:t>The Parties agree the natural gas revenue requirement associated with the Project Compass Customer Information System for the calendar year 2015 will be deferred for recovery in a future proceeding, based on the actual costs of the Project at the time the Project goes into service.</w:t>
      </w:r>
      <w:r w:rsidR="002A7493">
        <w:rPr>
          <w:rFonts w:eastAsia="Calibri"/>
          <w:i/>
        </w:rPr>
        <w:t>”</w:t>
      </w:r>
      <w:r w:rsidR="002A7493" w:rsidRPr="002A7493">
        <w:rPr>
          <w:rFonts w:eastAsia="Calibri"/>
          <w:i/>
        </w:rPr>
        <w:t xml:space="preserve">  </w:t>
      </w:r>
    </w:p>
    <w:p w:rsidR="00451C4F" w:rsidRDefault="00451C4F" w:rsidP="00212B99">
      <w:pPr>
        <w:ind w:left="720"/>
        <w:jc w:val="both"/>
        <w:rPr>
          <w:rFonts w:eastAsia="Calibri"/>
        </w:rPr>
      </w:pPr>
    </w:p>
    <w:p w:rsidR="00451C4F" w:rsidRDefault="00451C4F" w:rsidP="00212B99">
      <w:pPr>
        <w:ind w:left="720"/>
        <w:jc w:val="both"/>
        <w:rPr>
          <w:b/>
        </w:rPr>
      </w:pPr>
      <w:r>
        <w:rPr>
          <w:rFonts w:eastAsia="Calibri"/>
        </w:rPr>
        <w:t xml:space="preserve">This item is addressed by </w:t>
      </w:r>
      <w:r w:rsidR="00352572">
        <w:rPr>
          <w:rFonts w:eastAsia="Calibri"/>
        </w:rPr>
        <w:t>Company witness Ms. Andrews in Exhibit No.__</w:t>
      </w:r>
      <w:proofErr w:type="gramStart"/>
      <w:r w:rsidR="00352572">
        <w:rPr>
          <w:rFonts w:eastAsia="Calibri"/>
        </w:rPr>
        <w:t>_(</w:t>
      </w:r>
      <w:proofErr w:type="gramEnd"/>
      <w:r w:rsidR="00352572">
        <w:rPr>
          <w:rFonts w:eastAsia="Calibri"/>
        </w:rPr>
        <w:t>EMA-1T) and</w:t>
      </w:r>
      <w:r w:rsidR="00212B99">
        <w:rPr>
          <w:rFonts w:eastAsia="Calibri"/>
        </w:rPr>
        <w:t xml:space="preserve"> </w:t>
      </w:r>
      <w:r w:rsidR="00352572">
        <w:rPr>
          <w:rFonts w:eastAsia="Calibri"/>
        </w:rPr>
        <w:t xml:space="preserve">Company witness </w:t>
      </w:r>
      <w:r>
        <w:rPr>
          <w:rFonts w:eastAsia="Calibri"/>
        </w:rPr>
        <w:t xml:space="preserve">Ms. </w:t>
      </w:r>
      <w:r w:rsidR="00212B99">
        <w:rPr>
          <w:rFonts w:eastAsia="Calibri"/>
        </w:rPr>
        <w:t>Smith</w:t>
      </w:r>
      <w:r>
        <w:rPr>
          <w:rFonts w:eastAsia="Calibri"/>
        </w:rPr>
        <w:t xml:space="preserve"> in Exhibit No.___(</w:t>
      </w:r>
      <w:r w:rsidR="00212B99">
        <w:rPr>
          <w:rFonts w:eastAsia="Calibri"/>
        </w:rPr>
        <w:t>JSS</w:t>
      </w:r>
      <w:r>
        <w:rPr>
          <w:rFonts w:eastAsia="Calibri"/>
        </w:rPr>
        <w:t>-1T).</w:t>
      </w:r>
    </w:p>
    <w:p w:rsidR="0085002C" w:rsidRDefault="0085002C" w:rsidP="005E0D2F">
      <w:pPr>
        <w:ind w:left="720"/>
        <w:jc w:val="both"/>
        <w:rPr>
          <w:rFonts w:eastAsia="Calibri"/>
          <w:b/>
        </w:rPr>
      </w:pPr>
    </w:p>
    <w:p w:rsidR="005E0D2F" w:rsidRDefault="005E0D2F" w:rsidP="005E0D2F">
      <w:pPr>
        <w:ind w:left="720"/>
        <w:jc w:val="both"/>
        <w:rPr>
          <w:rFonts w:eastAsia="Calibri"/>
        </w:rPr>
      </w:pPr>
      <w:r w:rsidRPr="008B7E2A">
        <w:rPr>
          <w:rFonts w:eastAsia="Calibri"/>
          <w:b/>
        </w:rPr>
        <w:t xml:space="preserve">Item </w:t>
      </w:r>
      <w:r>
        <w:rPr>
          <w:rFonts w:eastAsia="Calibri"/>
          <w:b/>
        </w:rPr>
        <w:t>5</w:t>
      </w:r>
      <w:r w:rsidRPr="008B7E2A">
        <w:rPr>
          <w:rFonts w:eastAsia="Calibri"/>
          <w:b/>
        </w:rPr>
        <w:t xml:space="preserve"> – </w:t>
      </w:r>
      <w:r w:rsidR="002A7493">
        <w:rPr>
          <w:rFonts w:eastAsia="Calibri"/>
          <w:b/>
        </w:rPr>
        <w:t>Capital Reporting</w:t>
      </w:r>
      <w:r>
        <w:rPr>
          <w:rFonts w:eastAsia="Calibri"/>
          <w:b/>
        </w:rPr>
        <w:t xml:space="preserve"> (Stipulation </w:t>
      </w:r>
      <w:r w:rsidRPr="008B7E2A">
        <w:rPr>
          <w:rFonts w:eastAsia="Calibri"/>
          <w:b/>
        </w:rPr>
        <w:t xml:space="preserve">Page </w:t>
      </w:r>
      <w:r>
        <w:rPr>
          <w:rFonts w:eastAsia="Calibri"/>
          <w:b/>
        </w:rPr>
        <w:t>12</w:t>
      </w:r>
      <w:r w:rsidRPr="008B7E2A">
        <w:rPr>
          <w:rFonts w:eastAsia="Calibri"/>
          <w:b/>
        </w:rPr>
        <w:t>, Paragraph</w:t>
      </w:r>
      <w:r>
        <w:rPr>
          <w:rFonts w:eastAsia="Calibri"/>
          <w:b/>
        </w:rPr>
        <w:t xml:space="preserve"> 20)</w:t>
      </w:r>
      <w:r>
        <w:rPr>
          <w:rFonts w:eastAsia="Calibri"/>
        </w:rPr>
        <w:t>:</w:t>
      </w:r>
    </w:p>
    <w:p w:rsidR="005E0D2F" w:rsidRPr="00451C4F" w:rsidRDefault="005E0D2F" w:rsidP="005E0D2F">
      <w:pPr>
        <w:tabs>
          <w:tab w:val="left" w:pos="1710"/>
        </w:tabs>
        <w:ind w:left="720"/>
        <w:jc w:val="both"/>
        <w:rPr>
          <w:rFonts w:eastAsia="Calibri"/>
          <w:i/>
        </w:rPr>
      </w:pPr>
      <w:r w:rsidRPr="00451C4F">
        <w:rPr>
          <w:rFonts w:eastAsia="Calibri"/>
          <w:i/>
        </w:rPr>
        <w:t>“</w:t>
      </w:r>
      <w:r w:rsidRPr="005E0D2F">
        <w:rPr>
          <w:rFonts w:eastAsia="Calibri"/>
          <w:i/>
        </w:rPr>
        <w:t>The Company agrees to provide detailed semi-annual reporting of 2014 and 2015 capital expenditures with actual data by expenditure request, in the categories provided in its pro forma “cross check” plant adjustments.  The Parties agree to meet and confer by no later than January 31, 2015 to establish any additional details of the capital reporting requirements.</w:t>
      </w:r>
      <w:r w:rsidRPr="00451C4F">
        <w:rPr>
          <w:rFonts w:eastAsia="Calibri"/>
          <w:i/>
        </w:rPr>
        <w:t xml:space="preserve">"   </w:t>
      </w:r>
    </w:p>
    <w:p w:rsidR="005E0D2F" w:rsidRDefault="005E0D2F" w:rsidP="005E0D2F">
      <w:pPr>
        <w:ind w:left="720"/>
        <w:jc w:val="both"/>
        <w:rPr>
          <w:rFonts w:eastAsia="Calibri"/>
        </w:rPr>
      </w:pPr>
    </w:p>
    <w:p w:rsidR="005E0D2F" w:rsidRDefault="002A7493" w:rsidP="005E0D2F">
      <w:pPr>
        <w:ind w:left="720"/>
        <w:jc w:val="both"/>
        <w:rPr>
          <w:b/>
        </w:rPr>
      </w:pPr>
      <w:r>
        <w:rPr>
          <w:rFonts w:eastAsia="Calibri"/>
        </w:rPr>
        <w:t xml:space="preserve">Discussions occurred among the parties prior to January 31, 2015.  </w:t>
      </w:r>
      <w:r w:rsidR="005E0D2F">
        <w:rPr>
          <w:rFonts w:eastAsia="Calibri"/>
        </w:rPr>
        <w:t>This item is addressed by Company witness Ms. Schuh in Exhibit No.__</w:t>
      </w:r>
      <w:proofErr w:type="gramStart"/>
      <w:r w:rsidR="005E0D2F">
        <w:rPr>
          <w:rFonts w:eastAsia="Calibri"/>
        </w:rPr>
        <w:t>_(</w:t>
      </w:r>
      <w:proofErr w:type="gramEnd"/>
      <w:r w:rsidR="005E0D2F">
        <w:rPr>
          <w:rFonts w:eastAsia="Calibri"/>
        </w:rPr>
        <w:t>KKS-1T).</w:t>
      </w:r>
    </w:p>
    <w:p w:rsidR="005E0D2F" w:rsidRDefault="005E0D2F" w:rsidP="00976DDC">
      <w:pPr>
        <w:spacing w:line="480" w:lineRule="auto"/>
        <w:ind w:firstLine="720"/>
        <w:jc w:val="both"/>
        <w:rPr>
          <w:b/>
        </w:rPr>
      </w:pPr>
    </w:p>
    <w:p w:rsidR="00976DDC" w:rsidRPr="0020672A" w:rsidRDefault="00976DDC" w:rsidP="00976DDC">
      <w:pPr>
        <w:spacing w:line="480" w:lineRule="auto"/>
        <w:ind w:firstLine="720"/>
        <w:jc w:val="both"/>
        <w:rPr>
          <w:b/>
        </w:rPr>
      </w:pPr>
      <w:proofErr w:type="gramStart"/>
      <w:r w:rsidRPr="0020672A">
        <w:rPr>
          <w:b/>
        </w:rPr>
        <w:t xml:space="preserve">Q.  </w:t>
      </w:r>
      <w:r>
        <w:rPr>
          <w:b/>
        </w:rPr>
        <w:tab/>
        <w:t>Were all the requirements in Order No. 0</w:t>
      </w:r>
      <w:r w:rsidR="006234CA">
        <w:rPr>
          <w:b/>
        </w:rPr>
        <w:t>5</w:t>
      </w:r>
      <w:r>
        <w:rPr>
          <w:b/>
        </w:rPr>
        <w:t xml:space="preserve"> and the Settlement Stipulation met by the Company prior to filing, or included in, this general rate case?</w:t>
      </w:r>
      <w:proofErr w:type="gramEnd"/>
    </w:p>
    <w:p w:rsidR="001E48C8" w:rsidRDefault="00976DDC" w:rsidP="001E48C8">
      <w:pPr>
        <w:spacing w:line="480" w:lineRule="auto"/>
        <w:ind w:firstLine="720"/>
        <w:jc w:val="both"/>
        <w:rPr>
          <w:rFonts w:eastAsia="Calibri"/>
        </w:rPr>
      </w:pPr>
      <w:r w:rsidRPr="0020672A">
        <w:t>A.</w:t>
      </w:r>
      <w:r w:rsidRPr="0020672A">
        <w:rPr>
          <w:b/>
        </w:rPr>
        <w:t xml:space="preserve">  </w:t>
      </w:r>
      <w:r>
        <w:rPr>
          <w:b/>
        </w:rPr>
        <w:tab/>
      </w:r>
      <w:r>
        <w:t>Yes, a</w:t>
      </w:r>
      <w:r>
        <w:rPr>
          <w:rFonts w:eastAsia="Calibri"/>
        </w:rPr>
        <w:t>ll of the items that were required of the Company in Order No. 0</w:t>
      </w:r>
      <w:r w:rsidR="006234CA">
        <w:rPr>
          <w:rFonts w:eastAsia="Calibri"/>
        </w:rPr>
        <w:t>5</w:t>
      </w:r>
      <w:r>
        <w:rPr>
          <w:rFonts w:eastAsia="Calibri"/>
        </w:rPr>
        <w:t xml:space="preserve"> and the Settlement Stipulation were either completed prior to filing this general rate case</w:t>
      </w:r>
      <w:r w:rsidR="006234CA">
        <w:rPr>
          <w:rFonts w:eastAsia="Calibri"/>
        </w:rPr>
        <w:t xml:space="preserve">, </w:t>
      </w:r>
      <w:r>
        <w:rPr>
          <w:rFonts w:eastAsia="Calibri"/>
        </w:rPr>
        <w:t xml:space="preserve"> </w:t>
      </w:r>
      <w:r>
        <w:rPr>
          <w:rFonts w:eastAsia="Calibri"/>
        </w:rPr>
        <w:lastRenderedPageBreak/>
        <w:t>addressed in this docket as required</w:t>
      </w:r>
      <w:r w:rsidR="006234CA">
        <w:rPr>
          <w:rFonts w:eastAsia="Calibri"/>
        </w:rPr>
        <w:t>, or are future requirements and not otherwise addressed in this case (such as the Decoupling Evaluation required after 2017)</w:t>
      </w:r>
      <w:r>
        <w:rPr>
          <w:rFonts w:eastAsia="Calibri"/>
        </w:rPr>
        <w:t>.</w:t>
      </w:r>
    </w:p>
    <w:p w:rsidR="002A7493" w:rsidRDefault="002A7493" w:rsidP="001E48C8">
      <w:pPr>
        <w:spacing w:line="480" w:lineRule="auto"/>
        <w:ind w:firstLine="720"/>
        <w:jc w:val="both"/>
        <w:rPr>
          <w:rFonts w:eastAsia="Calibri"/>
        </w:rPr>
      </w:pPr>
    </w:p>
    <w:p w:rsidR="0042464B" w:rsidRPr="001D76D1" w:rsidRDefault="0042464B" w:rsidP="0042464B">
      <w:pPr>
        <w:pStyle w:val="P267"/>
        <w:tabs>
          <w:tab w:val="clear" w:pos="360"/>
          <w:tab w:val="left" w:pos="0"/>
        </w:tabs>
        <w:ind w:left="0"/>
        <w:jc w:val="center"/>
        <w:rPr>
          <w:rFonts w:ascii="Times New Roman" w:hAnsi="Times New Roman" w:cs="Times New Roman"/>
        </w:rPr>
      </w:pPr>
      <w:r>
        <w:rPr>
          <w:rFonts w:ascii="Times New Roman" w:hAnsi="Times New Roman" w:cs="Times New Roman"/>
        </w:rPr>
        <w:t>VI</w:t>
      </w:r>
      <w:r w:rsidRPr="001D76D1">
        <w:rPr>
          <w:rFonts w:ascii="Times New Roman" w:hAnsi="Times New Roman" w:cs="Times New Roman"/>
        </w:rPr>
        <w:t xml:space="preserve">I. </w:t>
      </w:r>
      <w:r>
        <w:rPr>
          <w:rFonts w:ascii="Times New Roman" w:hAnsi="Times New Roman" w:cs="Times New Roman"/>
        </w:rPr>
        <w:t>OTHER ITEMS</w:t>
      </w:r>
    </w:p>
    <w:p w:rsidR="006234CA" w:rsidRPr="0020672A" w:rsidRDefault="006234CA" w:rsidP="006234CA">
      <w:pPr>
        <w:spacing w:line="480" w:lineRule="auto"/>
        <w:ind w:firstLine="720"/>
        <w:jc w:val="both"/>
        <w:rPr>
          <w:b/>
        </w:rPr>
      </w:pPr>
      <w:r w:rsidRPr="0020672A">
        <w:rPr>
          <w:b/>
        </w:rPr>
        <w:t xml:space="preserve">Q.  </w:t>
      </w:r>
      <w:r w:rsidR="00007085">
        <w:rPr>
          <w:b/>
        </w:rPr>
        <w:tab/>
        <w:t>Has the Co</w:t>
      </w:r>
      <w:r>
        <w:rPr>
          <w:b/>
        </w:rPr>
        <w:t>mpany filed electric rate Schedule 93, Power Cost Surcharge – Washington, in this case to implement the proposed Energy Recovery Mechanism rebate mechanism discussed by Mr. Johnson?</w:t>
      </w:r>
    </w:p>
    <w:p w:rsidR="0042464B" w:rsidRDefault="006234CA" w:rsidP="006234CA">
      <w:pPr>
        <w:spacing w:line="480" w:lineRule="auto"/>
        <w:ind w:firstLine="720"/>
        <w:jc w:val="both"/>
        <w:rPr>
          <w:rFonts w:eastAsia="Calibri"/>
        </w:rPr>
      </w:pPr>
      <w:r w:rsidRPr="0020672A">
        <w:t>A.</w:t>
      </w:r>
      <w:r w:rsidRPr="0020672A">
        <w:rPr>
          <w:b/>
        </w:rPr>
        <w:t xml:space="preserve">  </w:t>
      </w:r>
      <w:r>
        <w:rPr>
          <w:b/>
        </w:rPr>
        <w:tab/>
      </w:r>
      <w:r>
        <w:t xml:space="preserve">No, the Company has not filed Schedule 93 in this case.  As Mr. Johnson states, </w:t>
      </w:r>
      <w:r w:rsidRPr="006234CA">
        <w:t>on or before Ap</w:t>
      </w:r>
      <w:r>
        <w:t>ril 1 of each year</w:t>
      </w:r>
      <w:r w:rsidR="002A7493">
        <w:t xml:space="preserve"> Avista would</w:t>
      </w:r>
      <w:r w:rsidR="00BE4355">
        <w:t xml:space="preserve"> submit</w:t>
      </w:r>
      <w:r w:rsidRPr="006234CA">
        <w:t xml:space="preserve"> a proposed rate adjustment to recover or rebate the </w:t>
      </w:r>
      <w:r>
        <w:t xml:space="preserve">ERM </w:t>
      </w:r>
      <w:r w:rsidRPr="006234CA">
        <w:t>deferral balance over a twelve-month period</w:t>
      </w:r>
      <w:r>
        <w:t>, starting July 1, 2016</w:t>
      </w:r>
      <w:r w:rsidRPr="006234CA">
        <w:t>.</w:t>
      </w:r>
      <w:r>
        <w:t xml:space="preserve">  As such, if the Commission approves this modification to the ERM, the</w:t>
      </w:r>
      <w:r w:rsidR="002A7493">
        <w:t xml:space="preserve"> Company would file the tariff on or before</w:t>
      </w:r>
      <w:r>
        <w:t xml:space="preserve"> to April 1, 2016.</w:t>
      </w:r>
      <w:r w:rsidRPr="006234CA">
        <w:t xml:space="preserve">  </w:t>
      </w:r>
    </w:p>
    <w:p w:rsidR="006234CA" w:rsidRPr="0020672A" w:rsidRDefault="006234CA" w:rsidP="006234CA">
      <w:pPr>
        <w:spacing w:line="480" w:lineRule="auto"/>
        <w:ind w:firstLine="720"/>
        <w:jc w:val="both"/>
        <w:rPr>
          <w:b/>
        </w:rPr>
      </w:pPr>
      <w:r w:rsidRPr="0020672A">
        <w:rPr>
          <w:b/>
        </w:rPr>
        <w:t xml:space="preserve">Q.  </w:t>
      </w:r>
      <w:r>
        <w:rPr>
          <w:b/>
        </w:rPr>
        <w:tab/>
        <w:t xml:space="preserve">Did the Company </w:t>
      </w:r>
      <w:proofErr w:type="gramStart"/>
      <w:r>
        <w:rPr>
          <w:b/>
        </w:rPr>
        <w:t>file</w:t>
      </w:r>
      <w:proofErr w:type="gramEnd"/>
      <w:r>
        <w:rPr>
          <w:b/>
        </w:rPr>
        <w:t xml:space="preserve"> new electric and natural gas decoupling mechanism baseline information?</w:t>
      </w:r>
    </w:p>
    <w:p w:rsidR="002A7493" w:rsidRDefault="006234CA" w:rsidP="00976DDC">
      <w:pPr>
        <w:spacing w:line="480" w:lineRule="auto"/>
        <w:ind w:firstLine="720"/>
        <w:jc w:val="both"/>
      </w:pPr>
      <w:r w:rsidRPr="0020672A">
        <w:t>A.</w:t>
      </w:r>
      <w:r w:rsidRPr="0020672A">
        <w:rPr>
          <w:b/>
        </w:rPr>
        <w:t xml:space="preserve">  </w:t>
      </w:r>
      <w:r>
        <w:rPr>
          <w:b/>
        </w:rPr>
        <w:tab/>
      </w:r>
      <w:r>
        <w:t xml:space="preserve">No, the Company did not file exhibits detailing the new electric and natural gas decoupling baseline values.  </w:t>
      </w:r>
      <w:r w:rsidR="00A07B81">
        <w:t>The reason why new baseline values were not filed is because the final approved revenue requirement will be different from the Company’s request.  Therefore, t</w:t>
      </w:r>
      <w:r>
        <w:t xml:space="preserve">he Company would, as a part of </w:t>
      </w:r>
      <w:r w:rsidR="00E85E66">
        <w:t xml:space="preserve">the </w:t>
      </w:r>
      <w:r>
        <w:t xml:space="preserve">Compliance Filing, provide the final </w:t>
      </w:r>
      <w:r w:rsidR="00E85E66">
        <w:t>b</w:t>
      </w:r>
      <w:r>
        <w:t>aseline values prior to new rates going into effect as a result of this general rate case.</w:t>
      </w:r>
      <w:r w:rsidR="00F90494">
        <w:t xml:space="preserve">  </w:t>
      </w:r>
    </w:p>
    <w:p w:rsidR="00976DDC" w:rsidRPr="0020672A" w:rsidRDefault="00976DDC" w:rsidP="00976DDC">
      <w:pPr>
        <w:spacing w:line="480" w:lineRule="auto"/>
        <w:ind w:firstLine="720"/>
        <w:jc w:val="both"/>
        <w:rPr>
          <w:b/>
        </w:rPr>
      </w:pPr>
      <w:r w:rsidRPr="0020672A">
        <w:rPr>
          <w:b/>
        </w:rPr>
        <w:t xml:space="preserve">Q.  </w:t>
      </w:r>
      <w:r>
        <w:rPr>
          <w:b/>
        </w:rPr>
        <w:tab/>
        <w:t>Does this conclude your pre-filed, direct testimony?</w:t>
      </w:r>
    </w:p>
    <w:p w:rsidR="00976DDC" w:rsidRPr="00F72F9A" w:rsidRDefault="00976DDC" w:rsidP="00976DDC">
      <w:pPr>
        <w:spacing w:line="480" w:lineRule="auto"/>
        <w:ind w:firstLine="720"/>
        <w:jc w:val="both"/>
      </w:pPr>
      <w:r w:rsidRPr="0020672A">
        <w:t>A.</w:t>
      </w:r>
      <w:r w:rsidRPr="0020672A">
        <w:rPr>
          <w:b/>
        </w:rPr>
        <w:t xml:space="preserve">  </w:t>
      </w:r>
      <w:r>
        <w:rPr>
          <w:b/>
        </w:rPr>
        <w:tab/>
      </w:r>
      <w:r>
        <w:t xml:space="preserve">Yes it does. </w:t>
      </w:r>
    </w:p>
    <w:sectPr w:rsidR="00976DDC" w:rsidRPr="00F72F9A" w:rsidSect="003E19C9">
      <w:pgSz w:w="12240" w:h="15840" w:code="1"/>
      <w:pgMar w:top="1440" w:right="1296" w:bottom="1728" w:left="1872" w:header="720" w:footer="435"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660" w:rsidRDefault="00DB7660">
      <w:r>
        <w:separator/>
      </w:r>
    </w:p>
  </w:endnote>
  <w:endnote w:type="continuationSeparator" w:id="0">
    <w:p w:rsidR="00DB7660" w:rsidRDefault="00DB7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Zapf Dingbat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660" w:rsidRPr="00C372CC" w:rsidRDefault="00DB7660">
    <w:pPr>
      <w:pStyle w:val="Footer"/>
      <w:tabs>
        <w:tab w:val="clear" w:pos="4320"/>
        <w:tab w:val="clear" w:pos="8640"/>
        <w:tab w:val="left" w:pos="180"/>
        <w:tab w:val="right" w:pos="9360"/>
      </w:tabs>
    </w:pPr>
    <w:r w:rsidRPr="00C372CC">
      <w:t>Direct Testimony of Patrick D. Ehrbar</w:t>
    </w:r>
  </w:p>
  <w:p w:rsidR="00DB7660" w:rsidRPr="00C372CC" w:rsidRDefault="00DB7660">
    <w:pPr>
      <w:pStyle w:val="Footer"/>
      <w:tabs>
        <w:tab w:val="clear" w:pos="4320"/>
        <w:tab w:val="clear" w:pos="8640"/>
        <w:tab w:val="left" w:pos="180"/>
        <w:tab w:val="right" w:pos="9360"/>
      </w:tabs>
    </w:pPr>
    <w:r w:rsidRPr="00C372CC">
      <w:t>Avista Corporation</w:t>
    </w:r>
  </w:p>
  <w:p w:rsidR="00DB7660" w:rsidRPr="008B0C99" w:rsidRDefault="00DB7660" w:rsidP="008B0C99">
    <w:pPr>
      <w:pStyle w:val="Footer"/>
      <w:tabs>
        <w:tab w:val="clear" w:pos="4320"/>
        <w:tab w:val="clear" w:pos="8640"/>
        <w:tab w:val="left" w:pos="180"/>
        <w:tab w:val="right" w:pos="8910"/>
      </w:tabs>
    </w:pPr>
    <w:r w:rsidRPr="00C372CC">
      <w:t>Docket Nos. UE-1</w:t>
    </w:r>
    <w:r>
      <w:t>5</w:t>
    </w:r>
    <w:r w:rsidRPr="00C372CC">
      <w:t>____ and UG-</w:t>
    </w:r>
    <w:r>
      <w:t>15</w:t>
    </w:r>
    <w:r w:rsidRPr="00C372CC">
      <w:t>____</w:t>
    </w:r>
    <w:r w:rsidRPr="00C372CC">
      <w:tab/>
      <w:t xml:space="preserve">Page </w:t>
    </w:r>
    <w:r w:rsidRPr="00C372CC">
      <w:rPr>
        <w:rStyle w:val="PageNumber"/>
      </w:rPr>
      <w:fldChar w:fldCharType="begin"/>
    </w:r>
    <w:r w:rsidRPr="00C372CC">
      <w:rPr>
        <w:rStyle w:val="PageNumber"/>
      </w:rPr>
      <w:instrText xml:space="preserve"> PAGE </w:instrText>
    </w:r>
    <w:r w:rsidRPr="00C372CC">
      <w:rPr>
        <w:rStyle w:val="PageNumber"/>
      </w:rPr>
      <w:fldChar w:fldCharType="separate"/>
    </w:r>
    <w:r w:rsidR="007C10C8">
      <w:rPr>
        <w:rStyle w:val="PageNumber"/>
        <w:noProof/>
      </w:rPr>
      <w:t>26</w:t>
    </w:r>
    <w:r w:rsidRPr="00C372CC">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660" w:rsidRDefault="00DB7660">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660" w:rsidRDefault="00DB7660">
      <w:r>
        <w:separator/>
      </w:r>
    </w:p>
  </w:footnote>
  <w:footnote w:type="continuationSeparator" w:id="0">
    <w:p w:rsidR="00DB7660" w:rsidRDefault="00DB7660">
      <w:r>
        <w:continuationSeparator/>
      </w:r>
    </w:p>
  </w:footnote>
  <w:footnote w:id="1">
    <w:p w:rsidR="00DB7660" w:rsidRDefault="00DB7660" w:rsidP="00F03E78">
      <w:pPr>
        <w:pStyle w:val="FootnoteText"/>
        <w:jc w:val="both"/>
      </w:pPr>
      <w:r>
        <w:rPr>
          <w:rStyle w:val="FootnoteReference"/>
        </w:rPr>
        <w:footnoteRef/>
      </w:r>
      <w:r>
        <w:t xml:space="preserve"> With a proposed effective date of March 12, 2015, the increase in billing rates does not include the effect of the expiration of Energy Recovery Mechanism rebate customers are receiving in 2015 (through Schedule 93).</w:t>
      </w:r>
    </w:p>
  </w:footnote>
  <w:footnote w:id="2">
    <w:p w:rsidR="00DB7660" w:rsidRDefault="00DB7660" w:rsidP="003A16ED">
      <w:pPr>
        <w:pStyle w:val="FootnoteText"/>
        <w:jc w:val="both"/>
      </w:pPr>
      <w:r>
        <w:rPr>
          <w:rStyle w:val="FootnoteReference"/>
        </w:rPr>
        <w:footnoteRef/>
      </w:r>
      <w:r>
        <w:t xml:space="preserve"> The proposed increase in natural gas revenues of 7.0% includes revenues from base tariffs as well as the current cost of natural gas included in Schedule 150.</w:t>
      </w:r>
    </w:p>
  </w:footnote>
  <w:footnote w:id="3">
    <w:p w:rsidR="00DB7660" w:rsidRPr="009D7F10" w:rsidRDefault="00DB7660" w:rsidP="006C7E37">
      <w:pPr>
        <w:pStyle w:val="TestBody"/>
        <w:widowControl w:val="0"/>
        <w:tabs>
          <w:tab w:val="left" w:pos="1440"/>
        </w:tabs>
        <w:spacing w:line="240" w:lineRule="auto"/>
        <w:ind w:left="0" w:firstLine="0"/>
        <w:rPr>
          <w:rFonts w:ascii="Times New Roman" w:hAnsi="Times New Roman" w:cs="Times New Roman"/>
          <w:sz w:val="20"/>
          <w:szCs w:val="20"/>
        </w:rPr>
      </w:pPr>
      <w:r w:rsidRPr="009D7F10">
        <w:rPr>
          <w:rStyle w:val="FootnoteReference"/>
          <w:rFonts w:ascii="Times New Roman" w:hAnsi="Times New Roman"/>
          <w:sz w:val="20"/>
          <w:szCs w:val="20"/>
        </w:rPr>
        <w:footnoteRef/>
      </w:r>
      <w:r w:rsidRPr="009D7F10">
        <w:rPr>
          <w:rFonts w:ascii="Times New Roman" w:hAnsi="Times New Roman" w:cs="Times New Roman"/>
          <w:sz w:val="20"/>
          <w:szCs w:val="20"/>
        </w:rPr>
        <w:t xml:space="preserve"> For Schedule 146, including an estimate of </w:t>
      </w:r>
      <w:r>
        <w:rPr>
          <w:rFonts w:ascii="Times New Roman" w:hAnsi="Times New Roman" w:cs="Times New Roman"/>
          <w:sz w:val="20"/>
          <w:szCs w:val="20"/>
        </w:rPr>
        <w:t>45</w:t>
      </w:r>
      <w:r w:rsidRPr="009D7F10">
        <w:rPr>
          <w:rFonts w:ascii="Times New Roman" w:hAnsi="Times New Roman" w:cs="Times New Roman"/>
          <w:sz w:val="20"/>
          <w:szCs w:val="20"/>
        </w:rPr>
        <w:t xml:space="preserve">.0 cents per therm for the cost of natural gas and pipeline transportation, the proposed increase to Schedule 146 rates represents an average increase of </w:t>
      </w:r>
      <w:r>
        <w:rPr>
          <w:rFonts w:ascii="Times New Roman" w:hAnsi="Times New Roman" w:cs="Times New Roman"/>
          <w:sz w:val="20"/>
          <w:szCs w:val="20"/>
        </w:rPr>
        <w:t>3.4</w:t>
      </w:r>
      <w:r w:rsidRPr="009D7F10">
        <w:rPr>
          <w:rFonts w:ascii="Times New Roman" w:hAnsi="Times New Roman" w:cs="Times New Roman"/>
          <w:sz w:val="20"/>
          <w:szCs w:val="20"/>
        </w:rPr>
        <w:t>% in those customers’ total natural gas bill.</w:t>
      </w:r>
    </w:p>
    <w:p w:rsidR="00DB7660" w:rsidRDefault="00DB7660" w:rsidP="006C7E37">
      <w:pPr>
        <w:pStyle w:val="FootnoteText"/>
        <w:jc w:val="both"/>
      </w:pPr>
    </w:p>
  </w:footnote>
  <w:footnote w:id="4">
    <w:p w:rsidR="00DB7660" w:rsidRDefault="00DB7660" w:rsidP="00E66914">
      <w:pPr>
        <w:pStyle w:val="FootnoteText"/>
        <w:jc w:val="both"/>
      </w:pPr>
      <w:r w:rsidRPr="00287B1F">
        <w:rPr>
          <w:rStyle w:val="FootnoteReference"/>
        </w:rPr>
        <w:footnoteRef/>
      </w:r>
      <w:r w:rsidRPr="00287B1F">
        <w:t xml:space="preserve"> </w:t>
      </w:r>
      <w:proofErr w:type="gramStart"/>
      <w:r w:rsidRPr="00287B1F">
        <w:t>Knox Exhibit No.</w:t>
      </w:r>
      <w:proofErr w:type="gramEnd"/>
      <w:r w:rsidRPr="00287B1F">
        <w:t xml:space="preserve"> __</w:t>
      </w:r>
      <w:proofErr w:type="gramStart"/>
      <w:r w:rsidRPr="00287B1F">
        <w:t>_(</w:t>
      </w:r>
      <w:proofErr w:type="gramEnd"/>
      <w:r w:rsidRPr="00287B1F">
        <w:t xml:space="preserve">TLK-4), at 3 </w:t>
      </w:r>
      <w:proofErr w:type="spellStart"/>
      <w:r w:rsidRPr="00287B1F">
        <w:t>ln</w:t>
      </w:r>
      <w:proofErr w:type="spellEnd"/>
      <w:r w:rsidRPr="00287B1F">
        <w:t>.</w:t>
      </w:r>
      <w:r>
        <w:t xml:space="preserve"> </w:t>
      </w:r>
      <w:r w:rsidRPr="00287B1F">
        <w:t>28</w:t>
      </w:r>
    </w:p>
  </w:footnote>
  <w:footnote w:id="5">
    <w:p w:rsidR="00DB7660" w:rsidRDefault="00DB7660" w:rsidP="0008235E">
      <w:pPr>
        <w:pStyle w:val="FootnoteText"/>
        <w:jc w:val="both"/>
      </w:pPr>
      <w:r>
        <w:rPr>
          <w:rStyle w:val="FootnoteReference"/>
        </w:rPr>
        <w:footnoteRef/>
      </w:r>
      <w:r>
        <w:t xml:space="preserve"> The components would be updated with the final approved capital structure, gross-up factor, and depreciation factor as ordered by the Commission at the culmination of this general rate case.</w:t>
      </w:r>
    </w:p>
  </w:footnote>
  <w:footnote w:id="6">
    <w:p w:rsidR="00DB7660" w:rsidRDefault="00DB7660" w:rsidP="0008235E">
      <w:pPr>
        <w:pStyle w:val="FootnoteText"/>
        <w:jc w:val="both"/>
      </w:pPr>
      <w:r>
        <w:rPr>
          <w:rStyle w:val="FootnoteReference"/>
        </w:rPr>
        <w:footnoteRef/>
      </w:r>
      <w:r>
        <w:t xml:space="preserve"> The Capital Recovery Factor is derived by adding together the Company’s weighted Cost of Capital, grossed up for revenue-related expenses, and the effective depreciation rate for all Street and Area Lights (FERC Account 373) from the Company’s Cost of Service study.</w:t>
      </w:r>
    </w:p>
  </w:footnote>
  <w:footnote w:id="7">
    <w:p w:rsidR="00DB7660" w:rsidRDefault="00DB7660" w:rsidP="0008235E">
      <w:pPr>
        <w:pStyle w:val="FootnoteText"/>
        <w:jc w:val="both"/>
      </w:pPr>
      <w:r>
        <w:rPr>
          <w:rStyle w:val="FootnoteReference"/>
        </w:rPr>
        <w:footnoteRef/>
      </w:r>
      <w:r>
        <w:t xml:space="preserve"> </w:t>
      </w:r>
      <w:r w:rsidRPr="00FE74A8">
        <w:t xml:space="preserve">The </w:t>
      </w:r>
      <w:r>
        <w:t>maintenance component</w:t>
      </w:r>
      <w:r w:rsidRPr="00FE74A8">
        <w:t xml:space="preserve"> for an </w:t>
      </w:r>
      <w:r w:rsidRPr="002A7002">
        <w:rPr>
          <w:u w:val="single"/>
        </w:rPr>
        <w:t>existing</w:t>
      </w:r>
      <w:r w:rsidRPr="00FE74A8">
        <w:t xml:space="preserve"> light can be derived by subtracting the</w:t>
      </w:r>
      <w:r>
        <w:t xml:space="preserve"> Schedule 46 (energy) light code monthly charge from the same Schedule 44 light code monthly charge (</w:t>
      </w:r>
      <w:r w:rsidRPr="00FE74A8">
        <w:t>maintenance and energy</w:t>
      </w:r>
      <w:r>
        <w:t>)</w:t>
      </w:r>
      <w:r w:rsidRPr="00FE74A8">
        <w:t xml:space="preserve">.  </w:t>
      </w:r>
      <w:r w:rsidRPr="00D37769">
        <w:t xml:space="preserve">The maintenance component for a </w:t>
      </w:r>
      <w:r w:rsidRPr="002A7002">
        <w:rPr>
          <w:u w:val="single"/>
        </w:rPr>
        <w:t>new</w:t>
      </w:r>
      <w:r w:rsidRPr="00D37769">
        <w:t xml:space="preserve"> lighting standard that is outside of what is in the Company’s present offerings will be based on an engineering estimate of the monthly maintenance cost grossed up for revenue</w:t>
      </w:r>
      <w:r>
        <w:t>-</w:t>
      </w:r>
      <w:r w:rsidRPr="00D37769">
        <w:t>related expenses.</w:t>
      </w:r>
    </w:p>
  </w:footnote>
  <w:footnote w:id="8">
    <w:p w:rsidR="00DB7660" w:rsidRDefault="00DB7660" w:rsidP="00247DEE">
      <w:pPr>
        <w:pStyle w:val="FootnoteText"/>
        <w:jc w:val="both"/>
      </w:pPr>
      <w:r>
        <w:rPr>
          <w:rStyle w:val="FootnoteReference"/>
        </w:rPr>
        <w:footnoteRef/>
      </w:r>
      <w:r>
        <w:t xml:space="preserve"> The calculation of the minimum charge for Schedule 111 is equal to the total bill for 200 therms priced at Schedule 101 base rates (excluding Schedule 150 gas costs).</w:t>
      </w:r>
    </w:p>
  </w:footnote>
  <w:footnote w:id="9">
    <w:p w:rsidR="00DB7660" w:rsidRDefault="00DB7660" w:rsidP="00E66914">
      <w:pPr>
        <w:pStyle w:val="FootnoteText"/>
        <w:jc w:val="both"/>
      </w:pPr>
      <w:r w:rsidRPr="00EB082C">
        <w:rPr>
          <w:rStyle w:val="FootnoteReference"/>
        </w:rPr>
        <w:footnoteRef/>
      </w:r>
      <w:r w:rsidRPr="00EB082C">
        <w:t xml:space="preserve"> </w:t>
      </w:r>
      <w:proofErr w:type="gramStart"/>
      <w:r>
        <w:t xml:space="preserve">Morehouse </w:t>
      </w:r>
      <w:r w:rsidRPr="00EB082C">
        <w:t>Exhibit No.</w:t>
      </w:r>
      <w:proofErr w:type="gramEnd"/>
      <w:r w:rsidRPr="00EB082C">
        <w:t xml:space="preserve"> </w:t>
      </w:r>
      <w:r w:rsidRPr="0031526F">
        <w:t>__</w:t>
      </w:r>
      <w:proofErr w:type="gramStart"/>
      <w:r w:rsidRPr="0031526F">
        <w:t>_(</w:t>
      </w:r>
      <w:proofErr w:type="gramEnd"/>
      <w:r>
        <w:t>JM</w:t>
      </w:r>
      <w:r w:rsidRPr="00EA75E7">
        <w:t>-2)</w:t>
      </w:r>
      <w:r>
        <w:t>, p</w:t>
      </w:r>
      <w:r w:rsidRPr="00EB082C">
        <w:t xml:space="preserve"> </w:t>
      </w:r>
      <w:r>
        <w:t>6.</w:t>
      </w:r>
    </w:p>
  </w:footnote>
  <w:footnote w:id="10">
    <w:p w:rsidR="00DB7660" w:rsidRDefault="00DB7660" w:rsidP="00E85E66">
      <w:pPr>
        <w:pStyle w:val="FootnoteText"/>
        <w:jc w:val="both"/>
      </w:pPr>
      <w:r>
        <w:rPr>
          <w:rStyle w:val="FootnoteReference"/>
        </w:rPr>
        <w:footnoteRef/>
      </w:r>
      <w:r>
        <w:t xml:space="preserve"> Because the Company does not have Advanced Metering Infrastructure (AMI), residential demand billing determinants are not available. Simply using an estimate of 5 kW per residence, and only the </w:t>
      </w:r>
      <w:r w:rsidRPr="006E75AB">
        <w:rPr>
          <w:u w:val="single"/>
        </w:rPr>
        <w:t>Distribution</w:t>
      </w:r>
      <w:r>
        <w:t xml:space="preserve"> Demand Related Unit Cost per Month of $25.07 from Ms. Knox’s Exhibit No.__</w:t>
      </w:r>
      <w:proofErr w:type="gramStart"/>
      <w:r>
        <w:t>_(</w:t>
      </w:r>
      <w:proofErr w:type="gramEnd"/>
      <w:r>
        <w:t>TLK-3), page 4, line 28, one could estimate a monthly demand charge of $5.01/kW.</w:t>
      </w:r>
    </w:p>
  </w:footnote>
  <w:footnote w:id="11">
    <w:p w:rsidR="00DB7660" w:rsidRDefault="00DB7660" w:rsidP="00CF4E3A">
      <w:pPr>
        <w:pStyle w:val="FootnoteText"/>
        <w:jc w:val="both"/>
      </w:pPr>
      <w:r>
        <w:rPr>
          <w:rStyle w:val="FootnoteReference"/>
        </w:rPr>
        <w:footnoteRef/>
      </w:r>
      <w:r>
        <w:t xml:space="preserve"> Customer usage extracted from the Company’s billing system was from Schedule 1 customers that had their account open during the entire year, i.e., from January 1, 2014 through December 31, 2014.  Any accounts opened for a partial year were excluded.  Further, the Company is aware that the limited income population used for this analysis is not </w:t>
      </w:r>
      <w:proofErr w:type="gramStart"/>
      <w:r>
        <w:t>comprehensive,</w:t>
      </w:r>
      <w:proofErr w:type="gramEnd"/>
      <w:r>
        <w:t xml:space="preserve"> however the Company does not track customer incomes and therefore could only rely upon LIHEAP and LIRAP participants to be the proxy group for the limited income population.</w:t>
      </w:r>
    </w:p>
  </w:footnote>
  <w:footnote w:id="12">
    <w:p w:rsidR="00DB7660" w:rsidRDefault="00DB7660" w:rsidP="00E66914">
      <w:pPr>
        <w:pStyle w:val="FootnoteText"/>
        <w:jc w:val="both"/>
      </w:pPr>
      <w:r>
        <w:rPr>
          <w:rStyle w:val="FootnoteReference"/>
        </w:rPr>
        <w:footnoteRef/>
      </w:r>
      <w:r>
        <w:t xml:space="preserve"> </w:t>
      </w:r>
      <w:proofErr w:type="gramStart"/>
      <w:r>
        <w:t>Avista Docket UG-060518, “Evaluation of Avista Gas Decoupling Mechanism Pilot”, p. 81, Table K-10.</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660" w:rsidRDefault="00DB7660">
    <w:pPr>
      <w:pStyle w:val="Header"/>
      <w:jc w:val="right"/>
    </w:pPr>
    <w:r>
      <w:t>Exhibit No. __</w:t>
    </w:r>
    <w:proofErr w:type="gramStart"/>
    <w:r>
      <w:t>_(</w:t>
    </w:r>
    <w:proofErr w:type="gramEnd"/>
    <w:r>
      <w:t>PDE-1T)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660" w:rsidRDefault="00DB7660" w:rsidP="007B58C5">
    <w:pPr>
      <w:pStyle w:val="Header"/>
      <w:jc w:val="right"/>
    </w:pPr>
    <w:r>
      <w:t>Exhibit No. __</w:t>
    </w:r>
    <w:proofErr w:type="gramStart"/>
    <w:r>
      <w:t>_(</w:t>
    </w:r>
    <w:proofErr w:type="gramEnd"/>
    <w:r>
      <w:t>PDE-1T)</w:t>
    </w:r>
  </w:p>
  <w:p w:rsidR="00DB7660" w:rsidRDefault="00DB7660" w:rsidP="007B58C5">
    <w:pPr>
      <w:pStyle w:val="Header"/>
      <w:tabs>
        <w:tab w:val="clear" w:pos="86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E0E"/>
    <w:multiLevelType w:val="multilevel"/>
    <w:tmpl w:val="629C8054"/>
    <w:styleLink w:val="RTF5fNum2040"/>
    <w:lvl w:ilvl="0">
      <w:start w:val="17"/>
      <w:numFmt w:val="upperLetter"/>
      <w:lvlText w:val="%1."/>
      <w:lvlJc w:val="left"/>
      <w:pPr>
        <w:tabs>
          <w:tab w:val="num" w:pos="1949"/>
        </w:tabs>
        <w:ind w:left="1799" w:hanging="360"/>
      </w:pPr>
      <w:rPr>
        <w:rFonts w:cs="Times New Roman"/>
      </w:rPr>
    </w:lvl>
    <w:lvl w:ilvl="1">
      <w:start w:val="1"/>
      <w:numFmt w:val="lowerLetter"/>
      <w:lvlText w:val="%2."/>
      <w:lvlJc w:val="left"/>
      <w:pPr>
        <w:tabs>
          <w:tab w:val="num" w:pos="2669"/>
        </w:tabs>
        <w:ind w:left="2519" w:hanging="360"/>
      </w:pPr>
      <w:rPr>
        <w:rFonts w:cs="Times New Roman"/>
      </w:rPr>
    </w:lvl>
    <w:lvl w:ilvl="2">
      <w:start w:val="1"/>
      <w:numFmt w:val="lowerRoman"/>
      <w:lvlText w:val="%3."/>
      <w:lvlJc w:val="right"/>
      <w:pPr>
        <w:tabs>
          <w:tab w:val="num" w:pos="3389"/>
        </w:tabs>
        <w:ind w:left="3239" w:hanging="180"/>
      </w:pPr>
      <w:rPr>
        <w:rFonts w:cs="Times New Roman"/>
      </w:rPr>
    </w:lvl>
    <w:lvl w:ilvl="3">
      <w:start w:val="1"/>
      <w:numFmt w:val="decimal"/>
      <w:lvlText w:val="%4."/>
      <w:lvlJc w:val="left"/>
      <w:pPr>
        <w:tabs>
          <w:tab w:val="num" w:pos="4109"/>
        </w:tabs>
        <w:ind w:left="3959" w:hanging="360"/>
      </w:pPr>
      <w:rPr>
        <w:rFonts w:cs="Times New Roman"/>
      </w:rPr>
    </w:lvl>
    <w:lvl w:ilvl="4">
      <w:start w:val="1"/>
      <w:numFmt w:val="lowerLetter"/>
      <w:lvlText w:val="%5."/>
      <w:lvlJc w:val="left"/>
      <w:pPr>
        <w:tabs>
          <w:tab w:val="num" w:pos="4829"/>
        </w:tabs>
        <w:ind w:left="4679" w:hanging="360"/>
      </w:pPr>
      <w:rPr>
        <w:rFonts w:cs="Times New Roman"/>
      </w:rPr>
    </w:lvl>
    <w:lvl w:ilvl="5">
      <w:start w:val="1"/>
      <w:numFmt w:val="lowerRoman"/>
      <w:lvlText w:val="%6."/>
      <w:lvlJc w:val="right"/>
      <w:pPr>
        <w:tabs>
          <w:tab w:val="num" w:pos="5549"/>
        </w:tabs>
        <w:ind w:left="5399" w:hanging="180"/>
      </w:pPr>
      <w:rPr>
        <w:rFonts w:cs="Times New Roman"/>
      </w:rPr>
    </w:lvl>
    <w:lvl w:ilvl="6">
      <w:start w:val="1"/>
      <w:numFmt w:val="decimal"/>
      <w:lvlText w:val="%7."/>
      <w:lvlJc w:val="left"/>
      <w:pPr>
        <w:tabs>
          <w:tab w:val="num" w:pos="6269"/>
        </w:tabs>
        <w:ind w:left="6119" w:hanging="360"/>
      </w:pPr>
      <w:rPr>
        <w:rFonts w:cs="Times New Roman"/>
      </w:rPr>
    </w:lvl>
    <w:lvl w:ilvl="7">
      <w:start w:val="1"/>
      <w:numFmt w:val="lowerLetter"/>
      <w:lvlText w:val="%8."/>
      <w:lvlJc w:val="left"/>
      <w:pPr>
        <w:tabs>
          <w:tab w:val="num" w:pos="6989"/>
        </w:tabs>
        <w:ind w:left="6839"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1">
    <w:nsid w:val="042C3595"/>
    <w:multiLevelType w:val="multilevel"/>
    <w:tmpl w:val="A6BADA72"/>
    <w:styleLink w:val="RTF5fNum203"/>
    <w:lvl w:ilvl="0">
      <w:start w:val="17"/>
      <w:numFmt w:val="upperLetter"/>
      <w:lvlText w:val="%1."/>
      <w:lvlJc w:val="left"/>
      <w:pPr>
        <w:tabs>
          <w:tab w:val="num" w:pos="1950"/>
        </w:tabs>
        <w:ind w:left="180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2">
    <w:nsid w:val="0D2F6E90"/>
    <w:multiLevelType w:val="multilevel"/>
    <w:tmpl w:val="C0B67B86"/>
    <w:styleLink w:val="RTF5fNum2047"/>
    <w:lvl w:ilvl="0">
      <w:start w:val="1"/>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
    <w:nsid w:val="0EE0538F"/>
    <w:multiLevelType w:val="multilevel"/>
    <w:tmpl w:val="B39045D6"/>
    <w:styleLink w:val="RTF5fNum204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4">
    <w:nsid w:val="118C6769"/>
    <w:multiLevelType w:val="multilevel"/>
    <w:tmpl w:val="D3B8ECD6"/>
    <w:styleLink w:val="RTF5fNum207"/>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5">
    <w:nsid w:val="17985FA0"/>
    <w:multiLevelType w:val="multilevel"/>
    <w:tmpl w:val="77E29BE8"/>
    <w:styleLink w:val="RTF5fNum2036"/>
    <w:lvl w:ilvl="0">
      <w:start w:val="17"/>
      <w:numFmt w:val="upperLetter"/>
      <w:lvlText w:val="%1."/>
      <w:lvlJc w:val="left"/>
      <w:pPr>
        <w:tabs>
          <w:tab w:val="num" w:pos="510"/>
        </w:tabs>
        <w:ind w:left="360" w:hanging="360"/>
      </w:pPr>
      <w:rPr>
        <w:rFonts w:cs="Times New Roman"/>
      </w:rPr>
    </w:lvl>
    <w:lvl w:ilvl="1">
      <w:start w:val="17"/>
      <w:numFmt w:val="upperLetter"/>
      <w:lvlText w:val="%2."/>
      <w:lvlJc w:val="left"/>
      <w:pPr>
        <w:tabs>
          <w:tab w:val="num" w:pos="870"/>
        </w:tabs>
        <w:ind w:left="720" w:hanging="360"/>
      </w:pPr>
      <w:rPr>
        <w:rFonts w:cs="Times New Roman"/>
      </w:rPr>
    </w:lvl>
    <w:lvl w:ilvl="2">
      <w:start w:val="17"/>
      <w:numFmt w:val="upperLetter"/>
      <w:lvlText w:val="%3."/>
      <w:lvlJc w:val="left"/>
      <w:pPr>
        <w:tabs>
          <w:tab w:val="num" w:pos="1230"/>
        </w:tabs>
        <w:ind w:left="1080" w:hanging="360"/>
      </w:pPr>
      <w:rPr>
        <w:rFonts w:cs="Times New Roman"/>
      </w:rPr>
    </w:lvl>
    <w:lvl w:ilvl="3">
      <w:start w:val="17"/>
      <w:numFmt w:val="upperLetter"/>
      <w:lvlText w:val="%4."/>
      <w:lvlJc w:val="left"/>
      <w:pPr>
        <w:tabs>
          <w:tab w:val="num" w:pos="1590"/>
        </w:tabs>
        <w:ind w:left="1440" w:hanging="360"/>
      </w:pPr>
      <w:rPr>
        <w:rFonts w:cs="Times New Roman"/>
      </w:rPr>
    </w:lvl>
    <w:lvl w:ilvl="4">
      <w:start w:val="17"/>
      <w:numFmt w:val="upperLetter"/>
      <w:lvlText w:val="%5."/>
      <w:lvlJc w:val="left"/>
      <w:pPr>
        <w:tabs>
          <w:tab w:val="num" w:pos="1950"/>
        </w:tabs>
        <w:ind w:left="1800" w:hanging="360"/>
      </w:pPr>
      <w:rPr>
        <w:rFonts w:cs="Times New Roman"/>
      </w:rPr>
    </w:lvl>
    <w:lvl w:ilvl="5">
      <w:start w:val="17"/>
      <w:numFmt w:val="upperLetter"/>
      <w:lvlText w:val="%6."/>
      <w:lvlJc w:val="left"/>
      <w:pPr>
        <w:tabs>
          <w:tab w:val="num" w:pos="2310"/>
        </w:tabs>
        <w:ind w:left="2160" w:hanging="360"/>
      </w:pPr>
      <w:rPr>
        <w:rFonts w:cs="Times New Roman"/>
      </w:rPr>
    </w:lvl>
    <w:lvl w:ilvl="6">
      <w:start w:val="17"/>
      <w:numFmt w:val="upperLetter"/>
      <w:lvlText w:val="%7."/>
      <w:lvlJc w:val="left"/>
      <w:pPr>
        <w:tabs>
          <w:tab w:val="num" w:pos="2670"/>
        </w:tabs>
        <w:ind w:left="2520" w:hanging="360"/>
      </w:pPr>
      <w:rPr>
        <w:rFonts w:cs="Times New Roman"/>
      </w:rPr>
    </w:lvl>
    <w:lvl w:ilvl="7">
      <w:start w:val="17"/>
      <w:numFmt w:val="upperLetter"/>
      <w:lvlText w:val="%8."/>
      <w:lvlJc w:val="left"/>
      <w:pPr>
        <w:tabs>
          <w:tab w:val="num" w:pos="3030"/>
        </w:tabs>
        <w:ind w:left="2880" w:hanging="360"/>
      </w:pPr>
      <w:rPr>
        <w:rFonts w:cs="Times New Roman"/>
      </w:rPr>
    </w:lvl>
    <w:lvl w:ilvl="8">
      <w:start w:val="17"/>
      <w:numFmt w:val="upperLetter"/>
      <w:lvlText w:val="%9."/>
      <w:lvlJc w:val="left"/>
      <w:pPr>
        <w:tabs>
          <w:tab w:val="num" w:pos="3390"/>
        </w:tabs>
        <w:ind w:left="3240" w:hanging="360"/>
      </w:pPr>
      <w:rPr>
        <w:rFonts w:cs="Times New Roman"/>
      </w:rPr>
    </w:lvl>
  </w:abstractNum>
  <w:abstractNum w:abstractNumId="6">
    <w:nsid w:val="17FF4B4D"/>
    <w:multiLevelType w:val="multilevel"/>
    <w:tmpl w:val="3E8AB2E0"/>
    <w:styleLink w:val="RTF5fNum2018"/>
    <w:lvl w:ilvl="0">
      <w:start w:val="17"/>
      <w:numFmt w:val="upperLetter"/>
      <w:lvlText w:val="%1."/>
      <w:lvlJc w:val="left"/>
      <w:pPr>
        <w:tabs>
          <w:tab w:val="num" w:pos="1230"/>
        </w:tabs>
        <w:ind w:left="1080" w:hanging="360"/>
      </w:pPr>
      <w:rPr>
        <w:rFonts w:cs="Times New Roman"/>
        <w:b/>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7">
    <w:nsid w:val="183554FA"/>
    <w:multiLevelType w:val="hybridMultilevel"/>
    <w:tmpl w:val="80EC6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E41DB2"/>
    <w:multiLevelType w:val="multilevel"/>
    <w:tmpl w:val="C5643270"/>
    <w:styleLink w:val="RTF5fNum2011"/>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9">
    <w:nsid w:val="1C3A08E1"/>
    <w:multiLevelType w:val="multilevel"/>
    <w:tmpl w:val="B002B822"/>
    <w:styleLink w:val="RTF5fNum2052"/>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770"/>
        </w:tabs>
        <w:ind w:left="162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0">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1590"/>
        </w:tabs>
        <w:ind w:left="144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1">
    <w:nsid w:val="1DC37D03"/>
    <w:multiLevelType w:val="multilevel"/>
    <w:tmpl w:val="6888994A"/>
    <w:styleLink w:val="RTF5fNum2026"/>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12">
    <w:nsid w:val="222C317E"/>
    <w:multiLevelType w:val="multilevel"/>
    <w:tmpl w:val="EAE02E12"/>
    <w:styleLink w:val="RTF5fNum2012"/>
    <w:lvl w:ilvl="0">
      <w:start w:val="17"/>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3">
    <w:nsid w:val="235E76F7"/>
    <w:multiLevelType w:val="multilevel"/>
    <w:tmpl w:val="7736C418"/>
    <w:styleLink w:val="RTF5fNum2027"/>
    <w:lvl w:ilvl="0">
      <w:start w:val="17"/>
      <w:numFmt w:val="upperLetter"/>
      <w:lvlText w:val="%1."/>
      <w:lvlJc w:val="left"/>
      <w:pPr>
        <w:tabs>
          <w:tab w:val="num" w:pos="1680"/>
        </w:tabs>
        <w:ind w:left="1530" w:hanging="720"/>
      </w:pPr>
      <w:rPr>
        <w:rFonts w:cs="Times New Roman"/>
      </w:rPr>
    </w:lvl>
    <w:lvl w:ilvl="1">
      <w:start w:val="1"/>
      <w:numFmt w:val="lowerLetter"/>
      <w:lvlText w:val="%2."/>
      <w:lvlJc w:val="left"/>
      <w:pPr>
        <w:tabs>
          <w:tab w:val="num" w:pos="2040"/>
        </w:tabs>
        <w:ind w:left="1890" w:hanging="36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0"/>
        </w:tabs>
        <w:ind w:left="6930" w:hanging="180"/>
      </w:pPr>
      <w:rPr>
        <w:rFonts w:cs="Times New Roman"/>
      </w:rPr>
    </w:lvl>
  </w:abstractNum>
  <w:abstractNum w:abstractNumId="14">
    <w:nsid w:val="276D27DD"/>
    <w:multiLevelType w:val="multilevel"/>
    <w:tmpl w:val="01B25DE4"/>
    <w:styleLink w:val="RTF5fNum201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5">
    <w:nsid w:val="2990233C"/>
    <w:multiLevelType w:val="multilevel"/>
    <w:tmpl w:val="B70CBE8A"/>
    <w:styleLink w:val="RTF5fNum2035"/>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6">
    <w:nsid w:val="2D4A32A1"/>
    <w:multiLevelType w:val="multilevel"/>
    <w:tmpl w:val="235A8B5E"/>
    <w:styleLink w:val="RTF5fNum2010"/>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7">
    <w:nsid w:val="32EC4A84"/>
    <w:multiLevelType w:val="multilevel"/>
    <w:tmpl w:val="C9F2DB28"/>
    <w:styleLink w:val="RTF5fNum206"/>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8">
    <w:nsid w:val="336C6C70"/>
    <w:multiLevelType w:val="multilevel"/>
    <w:tmpl w:val="CC16EF20"/>
    <w:styleLink w:val="RTF5fNum2044"/>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9">
    <w:nsid w:val="361F7100"/>
    <w:multiLevelType w:val="multilevel"/>
    <w:tmpl w:val="9DFC71D2"/>
    <w:styleLink w:val="RTF5fNum2030"/>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0">
    <w:nsid w:val="3B1F56F4"/>
    <w:multiLevelType w:val="multilevel"/>
    <w:tmpl w:val="4B8EDA24"/>
    <w:styleLink w:val="RTF5fNum2014"/>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1">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2">
    <w:nsid w:val="4AD344F2"/>
    <w:multiLevelType w:val="multilevel"/>
    <w:tmpl w:val="7C6259FE"/>
    <w:styleLink w:val="RTF5fNum2042"/>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3">
    <w:nsid w:val="4DE0565B"/>
    <w:multiLevelType w:val="singleLevel"/>
    <w:tmpl w:val="5C86E022"/>
    <w:lvl w:ilvl="0">
      <w:start w:val="17"/>
      <w:numFmt w:val="upperLetter"/>
      <w:lvlText w:val="%1."/>
      <w:lvlJc w:val="left"/>
      <w:pPr>
        <w:tabs>
          <w:tab w:val="num" w:pos="1080"/>
        </w:tabs>
        <w:ind w:left="1080" w:hanging="360"/>
      </w:pPr>
      <w:rPr>
        <w:rFonts w:cs="Times New Roman" w:hint="default"/>
      </w:rPr>
    </w:lvl>
  </w:abstractNum>
  <w:abstractNum w:abstractNumId="24">
    <w:nsid w:val="500355B4"/>
    <w:multiLevelType w:val="multilevel"/>
    <w:tmpl w:val="2FEAB09A"/>
    <w:styleLink w:val="RTF5fNum2053"/>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5">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B10A88"/>
    <w:multiLevelType w:val="multilevel"/>
    <w:tmpl w:val="6C42879A"/>
    <w:styleLink w:val="RTF5fNum2041"/>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7">
    <w:nsid w:val="57AF2D8C"/>
    <w:multiLevelType w:val="multilevel"/>
    <w:tmpl w:val="1A0C89F6"/>
    <w:styleLink w:val="RTF5fNum2039"/>
    <w:lvl w:ilvl="0">
      <w:start w:val="1"/>
      <w:numFmt w:val="upperLetter"/>
      <w:lvlText w:val="%1."/>
      <w:lvlJc w:val="left"/>
      <w:pPr>
        <w:tabs>
          <w:tab w:val="num" w:pos="1590"/>
        </w:tabs>
        <w:ind w:left="1440" w:hanging="720"/>
      </w:pPr>
      <w:rPr>
        <w:rFonts w:ascii="Times New Roman" w:eastAsia="Times New Roman" w:hAnsi="Times New Roman" w:cs="Times New Roman"/>
      </w:rPr>
    </w:lvl>
    <w:lvl w:ilvl="1">
      <w:start w:val="1"/>
      <w:numFmt w:val="upperLetter"/>
      <w:lvlText w:val="%2."/>
      <w:lvlJc w:val="left"/>
      <w:pPr>
        <w:tabs>
          <w:tab w:val="num" w:pos="3030"/>
        </w:tabs>
        <w:ind w:left="2880" w:hanging="720"/>
      </w:pPr>
      <w:rPr>
        <w:rFonts w:ascii="Times New Roman" w:eastAsia="Times New Roman" w:hAnsi="Times New Roman" w:cs="Times New Roman"/>
      </w:rPr>
    </w:lvl>
    <w:lvl w:ilvl="2">
      <w:start w:val="1"/>
      <w:numFmt w:val="upperLetter"/>
      <w:lvlText w:val="%3."/>
      <w:lvlJc w:val="left"/>
      <w:pPr>
        <w:tabs>
          <w:tab w:val="num" w:pos="4470"/>
        </w:tabs>
        <w:ind w:left="4320" w:hanging="720"/>
      </w:pPr>
      <w:rPr>
        <w:rFonts w:ascii="Times New Roman" w:eastAsia="Times New Roman" w:hAnsi="Times New Roman" w:cs="Times New Roman"/>
      </w:rPr>
    </w:lvl>
    <w:lvl w:ilvl="3">
      <w:start w:val="1"/>
      <w:numFmt w:val="upperLetter"/>
      <w:lvlText w:val="%4."/>
      <w:lvlJc w:val="left"/>
      <w:pPr>
        <w:tabs>
          <w:tab w:val="num" w:pos="5910"/>
        </w:tabs>
        <w:ind w:left="5760" w:hanging="720"/>
      </w:pPr>
      <w:rPr>
        <w:rFonts w:ascii="Times New Roman" w:eastAsia="Times New Roman" w:hAnsi="Times New Roman" w:cs="Times New Roman"/>
      </w:rPr>
    </w:lvl>
    <w:lvl w:ilvl="4">
      <w:start w:val="1"/>
      <w:numFmt w:val="upperLetter"/>
      <w:lvlText w:val="%5."/>
      <w:lvlJc w:val="left"/>
      <w:pPr>
        <w:tabs>
          <w:tab w:val="num" w:pos="7350"/>
        </w:tabs>
        <w:ind w:left="7200" w:hanging="720"/>
      </w:pPr>
      <w:rPr>
        <w:rFonts w:ascii="Times New Roman" w:eastAsia="Times New Roman" w:hAnsi="Times New Roman" w:cs="Times New Roman"/>
      </w:rPr>
    </w:lvl>
    <w:lvl w:ilvl="5">
      <w:start w:val="1"/>
      <w:numFmt w:val="upperLetter"/>
      <w:lvlText w:val="%6."/>
      <w:lvlJc w:val="left"/>
      <w:pPr>
        <w:tabs>
          <w:tab w:val="num" w:pos="8791"/>
        </w:tabs>
        <w:ind w:left="8641" w:hanging="720"/>
      </w:pPr>
      <w:rPr>
        <w:rFonts w:ascii="Times New Roman" w:eastAsia="Times New Roman" w:hAnsi="Times New Roman" w:cs="Times New Roman"/>
      </w:rPr>
    </w:lvl>
    <w:lvl w:ilvl="6">
      <w:start w:val="1"/>
      <w:numFmt w:val="upperLetter"/>
      <w:lvlText w:val="%7."/>
      <w:lvlJc w:val="left"/>
      <w:pPr>
        <w:tabs>
          <w:tab w:val="num" w:pos="10231"/>
        </w:tabs>
        <w:ind w:left="10081" w:hanging="720"/>
      </w:pPr>
      <w:rPr>
        <w:rFonts w:ascii="Times New Roman" w:eastAsia="Times New Roman" w:hAnsi="Times New Roman" w:cs="Times New Roman"/>
      </w:rPr>
    </w:lvl>
    <w:lvl w:ilvl="7">
      <w:start w:val="1"/>
      <w:numFmt w:val="upperLetter"/>
      <w:lvlText w:val="%8."/>
      <w:lvlJc w:val="left"/>
      <w:pPr>
        <w:tabs>
          <w:tab w:val="num" w:pos="11671"/>
        </w:tabs>
        <w:ind w:left="11521" w:hanging="720"/>
      </w:pPr>
      <w:rPr>
        <w:rFonts w:ascii="Times New Roman" w:eastAsia="Times New Roman" w:hAnsi="Times New Roman" w:cs="Times New Roman"/>
      </w:rPr>
    </w:lvl>
    <w:lvl w:ilvl="8">
      <w:start w:val="1"/>
      <w:numFmt w:val="upperLetter"/>
      <w:lvlText w:val="%9."/>
      <w:lvlJc w:val="left"/>
      <w:pPr>
        <w:tabs>
          <w:tab w:val="num" w:pos="13111"/>
        </w:tabs>
        <w:ind w:left="12961" w:hanging="720"/>
      </w:pPr>
      <w:rPr>
        <w:rFonts w:ascii="Times New Roman" w:eastAsia="Times New Roman" w:hAnsi="Times New Roman" w:cs="Times New Roman"/>
      </w:rPr>
    </w:lvl>
  </w:abstractNum>
  <w:abstractNum w:abstractNumId="28">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9">
    <w:nsid w:val="5E9006A2"/>
    <w:multiLevelType w:val="hybridMultilevel"/>
    <w:tmpl w:val="BE58B562"/>
    <w:lvl w:ilvl="0" w:tplc="D2CC94D8">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1CD3951"/>
    <w:multiLevelType w:val="multilevel"/>
    <w:tmpl w:val="2B94592A"/>
    <w:styleLink w:val="RTF5fNum2051"/>
    <w:lvl w:ilvl="0">
      <w:start w:val="1"/>
      <w:numFmt w:val="upperLetter"/>
      <w:lvlText w:val="%1."/>
      <w:lvlJc w:val="left"/>
      <w:pPr>
        <w:tabs>
          <w:tab w:val="num" w:pos="2040"/>
        </w:tabs>
        <w:ind w:left="189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31">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2">
    <w:nsid w:val="6C9E3582"/>
    <w:multiLevelType w:val="multilevel"/>
    <w:tmpl w:val="17BCFE56"/>
    <w:styleLink w:val="RTF5fNum2033"/>
    <w:lvl w:ilvl="0">
      <w:start w:val="1"/>
      <w:numFmt w:val="upperLetter"/>
      <w:lvlText w:val="%1."/>
      <w:lvlJc w:val="left"/>
      <w:pPr>
        <w:tabs>
          <w:tab w:val="num" w:pos="1680"/>
        </w:tabs>
        <w:ind w:left="1530" w:hanging="720"/>
      </w:pPr>
      <w:rPr>
        <w:rFonts w:ascii="Times New Roman" w:eastAsia="Times New Roman" w:hAnsi="Times New Roman" w:cs="Times New Roman"/>
      </w:rPr>
    </w:lvl>
    <w:lvl w:ilvl="1">
      <w:start w:val="17"/>
      <w:numFmt w:val="upperLetter"/>
      <w:lvlText w:val="%2."/>
      <w:lvlJc w:val="left"/>
      <w:pPr>
        <w:tabs>
          <w:tab w:val="num" w:pos="3120"/>
        </w:tabs>
        <w:ind w:left="2970" w:hanging="144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1"/>
        </w:tabs>
        <w:ind w:left="6931" w:hanging="180"/>
      </w:pPr>
      <w:rPr>
        <w:rFonts w:cs="Times New Roman"/>
      </w:rPr>
    </w:lvl>
  </w:abstractNum>
  <w:abstractNum w:abstractNumId="33">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4">
    <w:nsid w:val="7BCD431E"/>
    <w:multiLevelType w:val="multilevel"/>
    <w:tmpl w:val="2FB6E014"/>
    <w:styleLink w:val="RTF5fNum2022"/>
    <w:lvl w:ilvl="0">
      <w:start w:val="17"/>
      <w:numFmt w:val="upperLetter"/>
      <w:lvlText w:val="%1."/>
      <w:lvlJc w:val="left"/>
      <w:pPr>
        <w:tabs>
          <w:tab w:val="num" w:pos="2130"/>
        </w:tabs>
        <w:ind w:left="1980" w:hanging="360"/>
      </w:pPr>
      <w:rPr>
        <w:rFonts w:cs="Times New Roman"/>
        <w:b/>
      </w:rPr>
    </w:lvl>
    <w:lvl w:ilvl="1">
      <w:start w:val="1"/>
      <w:numFmt w:val="lowerLetter"/>
      <w:lvlText w:val="%2."/>
      <w:lvlJc w:val="left"/>
      <w:pPr>
        <w:tabs>
          <w:tab w:val="num" w:pos="2850"/>
        </w:tabs>
        <w:ind w:left="2700" w:hanging="360"/>
      </w:pPr>
      <w:rPr>
        <w:rFonts w:cs="Times New Roman"/>
      </w:rPr>
    </w:lvl>
    <w:lvl w:ilvl="2">
      <w:start w:val="1"/>
      <w:numFmt w:val="lowerRoman"/>
      <w:lvlText w:val="%3."/>
      <w:lvlJc w:val="right"/>
      <w:pPr>
        <w:tabs>
          <w:tab w:val="num" w:pos="3570"/>
        </w:tabs>
        <w:ind w:left="3420" w:hanging="180"/>
      </w:pPr>
      <w:rPr>
        <w:rFonts w:cs="Times New Roman"/>
      </w:rPr>
    </w:lvl>
    <w:lvl w:ilvl="3">
      <w:start w:val="1"/>
      <w:numFmt w:val="decimal"/>
      <w:lvlText w:val="%4."/>
      <w:lvlJc w:val="left"/>
      <w:pPr>
        <w:tabs>
          <w:tab w:val="num" w:pos="4290"/>
        </w:tabs>
        <w:ind w:left="4140" w:hanging="360"/>
      </w:pPr>
      <w:rPr>
        <w:rFonts w:cs="Times New Roman"/>
      </w:rPr>
    </w:lvl>
    <w:lvl w:ilvl="4">
      <w:start w:val="1"/>
      <w:numFmt w:val="lowerLetter"/>
      <w:lvlText w:val="%5."/>
      <w:lvlJc w:val="left"/>
      <w:pPr>
        <w:tabs>
          <w:tab w:val="num" w:pos="5010"/>
        </w:tabs>
        <w:ind w:left="4860" w:hanging="360"/>
      </w:pPr>
      <w:rPr>
        <w:rFonts w:cs="Times New Roman"/>
      </w:rPr>
    </w:lvl>
    <w:lvl w:ilvl="5">
      <w:start w:val="1"/>
      <w:numFmt w:val="lowerRoman"/>
      <w:lvlText w:val="%6."/>
      <w:lvlJc w:val="right"/>
      <w:pPr>
        <w:tabs>
          <w:tab w:val="num" w:pos="5730"/>
        </w:tabs>
        <w:ind w:left="5580" w:hanging="180"/>
      </w:pPr>
      <w:rPr>
        <w:rFonts w:cs="Times New Roman"/>
      </w:rPr>
    </w:lvl>
    <w:lvl w:ilvl="6">
      <w:start w:val="1"/>
      <w:numFmt w:val="decimal"/>
      <w:lvlText w:val="%7."/>
      <w:lvlJc w:val="left"/>
      <w:pPr>
        <w:tabs>
          <w:tab w:val="num" w:pos="6451"/>
        </w:tabs>
        <w:ind w:left="6301" w:hanging="360"/>
      </w:pPr>
      <w:rPr>
        <w:rFonts w:cs="Times New Roman"/>
      </w:rPr>
    </w:lvl>
    <w:lvl w:ilvl="7">
      <w:start w:val="1"/>
      <w:numFmt w:val="lowerLetter"/>
      <w:lvlText w:val="%8."/>
      <w:lvlJc w:val="left"/>
      <w:pPr>
        <w:tabs>
          <w:tab w:val="num" w:pos="7171"/>
        </w:tabs>
        <w:ind w:left="7021" w:hanging="360"/>
      </w:pPr>
      <w:rPr>
        <w:rFonts w:cs="Times New Roman"/>
      </w:rPr>
    </w:lvl>
    <w:lvl w:ilvl="8">
      <w:start w:val="1"/>
      <w:numFmt w:val="lowerRoman"/>
      <w:lvlText w:val="%9."/>
      <w:lvlJc w:val="right"/>
      <w:pPr>
        <w:tabs>
          <w:tab w:val="num" w:pos="7891"/>
        </w:tabs>
        <w:ind w:left="7741" w:hanging="180"/>
      </w:pPr>
      <w:rPr>
        <w:rFonts w:cs="Times New Roman"/>
      </w:rPr>
    </w:lvl>
  </w:abstractNum>
  <w:num w:numId="1">
    <w:abstractNumId w:val="21"/>
  </w:num>
  <w:num w:numId="2">
    <w:abstractNumId w:val="23"/>
  </w:num>
  <w:num w:numId="3">
    <w:abstractNumId w:val="1"/>
  </w:num>
  <w:num w:numId="4">
    <w:abstractNumId w:val="17"/>
  </w:num>
  <w:num w:numId="5">
    <w:abstractNumId w:val="4"/>
  </w:num>
  <w:num w:numId="6">
    <w:abstractNumId w:val="16"/>
  </w:num>
  <w:num w:numId="7">
    <w:abstractNumId w:val="8"/>
  </w:num>
  <w:num w:numId="8">
    <w:abstractNumId w:val="12"/>
  </w:num>
  <w:num w:numId="9">
    <w:abstractNumId w:val="20"/>
  </w:num>
  <w:num w:numId="10">
    <w:abstractNumId w:val="14"/>
  </w:num>
  <w:num w:numId="11">
    <w:abstractNumId w:val="6"/>
  </w:num>
  <w:num w:numId="12">
    <w:abstractNumId w:val="33"/>
  </w:num>
  <w:num w:numId="13">
    <w:abstractNumId w:val="31"/>
  </w:num>
  <w:num w:numId="14">
    <w:abstractNumId w:val="34"/>
  </w:num>
  <w:num w:numId="15">
    <w:abstractNumId w:val="11"/>
  </w:num>
  <w:num w:numId="16">
    <w:abstractNumId w:val="13"/>
  </w:num>
  <w:num w:numId="17">
    <w:abstractNumId w:val="19"/>
  </w:num>
  <w:num w:numId="18">
    <w:abstractNumId w:val="32"/>
  </w:num>
  <w:num w:numId="19">
    <w:abstractNumId w:val="15"/>
  </w:num>
  <w:num w:numId="20">
    <w:abstractNumId w:val="27"/>
  </w:num>
  <w:num w:numId="21">
    <w:abstractNumId w:val="0"/>
  </w:num>
  <w:num w:numId="22">
    <w:abstractNumId w:val="26"/>
  </w:num>
  <w:num w:numId="23">
    <w:abstractNumId w:val="22"/>
  </w:num>
  <w:num w:numId="24">
    <w:abstractNumId w:val="18"/>
  </w:num>
  <w:num w:numId="25">
    <w:abstractNumId w:val="3"/>
  </w:num>
  <w:num w:numId="26">
    <w:abstractNumId w:val="2"/>
  </w:num>
  <w:num w:numId="27">
    <w:abstractNumId w:val="10"/>
  </w:num>
  <w:num w:numId="28">
    <w:abstractNumId w:val="30"/>
  </w:num>
  <w:num w:numId="29">
    <w:abstractNumId w:val="9"/>
  </w:num>
  <w:num w:numId="30">
    <w:abstractNumId w:val="24"/>
  </w:num>
  <w:num w:numId="31">
    <w:abstractNumId w:val="28"/>
  </w:num>
  <w:num w:numId="32">
    <w:abstractNumId w:val="29"/>
  </w:num>
  <w:num w:numId="33">
    <w:abstractNumId w:val="25"/>
  </w:num>
  <w:num w:numId="34">
    <w:abstractNumId w:val="5"/>
  </w:num>
  <w:num w:numId="35">
    <w:abstractNumId w:val="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
  <w:rsids>
    <w:rsidRoot w:val="00D114C4"/>
    <w:rsid w:val="00000480"/>
    <w:rsid w:val="00003068"/>
    <w:rsid w:val="00004003"/>
    <w:rsid w:val="00005690"/>
    <w:rsid w:val="000061C2"/>
    <w:rsid w:val="00006E2F"/>
    <w:rsid w:val="00007085"/>
    <w:rsid w:val="00007E94"/>
    <w:rsid w:val="00010A41"/>
    <w:rsid w:val="00010FB3"/>
    <w:rsid w:val="00011D1C"/>
    <w:rsid w:val="0001379A"/>
    <w:rsid w:val="00013EB7"/>
    <w:rsid w:val="0001498B"/>
    <w:rsid w:val="00015AD9"/>
    <w:rsid w:val="00016F05"/>
    <w:rsid w:val="00022EA9"/>
    <w:rsid w:val="00024AC8"/>
    <w:rsid w:val="0003051A"/>
    <w:rsid w:val="0003347A"/>
    <w:rsid w:val="0003621B"/>
    <w:rsid w:val="00042739"/>
    <w:rsid w:val="00045827"/>
    <w:rsid w:val="00045C70"/>
    <w:rsid w:val="00046323"/>
    <w:rsid w:val="000504EF"/>
    <w:rsid w:val="000547A1"/>
    <w:rsid w:val="00054A99"/>
    <w:rsid w:val="000568B0"/>
    <w:rsid w:val="00060FF5"/>
    <w:rsid w:val="00064145"/>
    <w:rsid w:val="00065523"/>
    <w:rsid w:val="00066399"/>
    <w:rsid w:val="00066C73"/>
    <w:rsid w:val="0006733F"/>
    <w:rsid w:val="00067420"/>
    <w:rsid w:val="00070A2E"/>
    <w:rsid w:val="00071706"/>
    <w:rsid w:val="0007197F"/>
    <w:rsid w:val="000725F5"/>
    <w:rsid w:val="00075515"/>
    <w:rsid w:val="00075612"/>
    <w:rsid w:val="00081958"/>
    <w:rsid w:val="0008235E"/>
    <w:rsid w:val="000831A6"/>
    <w:rsid w:val="00083D6D"/>
    <w:rsid w:val="000844DB"/>
    <w:rsid w:val="0008527C"/>
    <w:rsid w:val="00085E52"/>
    <w:rsid w:val="000925D0"/>
    <w:rsid w:val="000926C0"/>
    <w:rsid w:val="000926CF"/>
    <w:rsid w:val="0009624A"/>
    <w:rsid w:val="0009730E"/>
    <w:rsid w:val="000A0894"/>
    <w:rsid w:val="000A19F4"/>
    <w:rsid w:val="000A204F"/>
    <w:rsid w:val="000A2244"/>
    <w:rsid w:val="000A232B"/>
    <w:rsid w:val="000A2AD6"/>
    <w:rsid w:val="000A3548"/>
    <w:rsid w:val="000A497F"/>
    <w:rsid w:val="000A4A15"/>
    <w:rsid w:val="000A4C44"/>
    <w:rsid w:val="000A502C"/>
    <w:rsid w:val="000A6665"/>
    <w:rsid w:val="000A6734"/>
    <w:rsid w:val="000A6860"/>
    <w:rsid w:val="000A6BBC"/>
    <w:rsid w:val="000B2F0A"/>
    <w:rsid w:val="000B55F7"/>
    <w:rsid w:val="000B567E"/>
    <w:rsid w:val="000B5939"/>
    <w:rsid w:val="000B5DDE"/>
    <w:rsid w:val="000B6139"/>
    <w:rsid w:val="000B6A29"/>
    <w:rsid w:val="000B7DDE"/>
    <w:rsid w:val="000C0177"/>
    <w:rsid w:val="000C19AD"/>
    <w:rsid w:val="000C21C5"/>
    <w:rsid w:val="000C64E4"/>
    <w:rsid w:val="000D3A30"/>
    <w:rsid w:val="000D4B96"/>
    <w:rsid w:val="000D5132"/>
    <w:rsid w:val="000D6ABC"/>
    <w:rsid w:val="000D6BFD"/>
    <w:rsid w:val="000D7C83"/>
    <w:rsid w:val="000E2E27"/>
    <w:rsid w:val="000E62F6"/>
    <w:rsid w:val="000E6F31"/>
    <w:rsid w:val="000F0B81"/>
    <w:rsid w:val="000F0F87"/>
    <w:rsid w:val="000F15F3"/>
    <w:rsid w:val="000F2A4D"/>
    <w:rsid w:val="000F3263"/>
    <w:rsid w:val="000F3897"/>
    <w:rsid w:val="000F3DC4"/>
    <w:rsid w:val="000F4153"/>
    <w:rsid w:val="000F5D38"/>
    <w:rsid w:val="000F6CFB"/>
    <w:rsid w:val="00100091"/>
    <w:rsid w:val="001020C1"/>
    <w:rsid w:val="00102C9F"/>
    <w:rsid w:val="00102DA5"/>
    <w:rsid w:val="00103076"/>
    <w:rsid w:val="00103E4A"/>
    <w:rsid w:val="0010527D"/>
    <w:rsid w:val="00106FF3"/>
    <w:rsid w:val="00110785"/>
    <w:rsid w:val="001121FA"/>
    <w:rsid w:val="00112801"/>
    <w:rsid w:val="00113A3C"/>
    <w:rsid w:val="001210ED"/>
    <w:rsid w:val="00121B28"/>
    <w:rsid w:val="0012232D"/>
    <w:rsid w:val="00122BB9"/>
    <w:rsid w:val="0012369E"/>
    <w:rsid w:val="001279B7"/>
    <w:rsid w:val="00131A33"/>
    <w:rsid w:val="00131E05"/>
    <w:rsid w:val="00132707"/>
    <w:rsid w:val="00133769"/>
    <w:rsid w:val="0013455F"/>
    <w:rsid w:val="00135AD1"/>
    <w:rsid w:val="00137989"/>
    <w:rsid w:val="00141F88"/>
    <w:rsid w:val="001448F1"/>
    <w:rsid w:val="00146C46"/>
    <w:rsid w:val="001473F1"/>
    <w:rsid w:val="00147D24"/>
    <w:rsid w:val="00150518"/>
    <w:rsid w:val="00156D28"/>
    <w:rsid w:val="0015701E"/>
    <w:rsid w:val="00162D05"/>
    <w:rsid w:val="001634DE"/>
    <w:rsid w:val="00164150"/>
    <w:rsid w:val="00165004"/>
    <w:rsid w:val="001665DB"/>
    <w:rsid w:val="0017074B"/>
    <w:rsid w:val="00170A22"/>
    <w:rsid w:val="00171B4C"/>
    <w:rsid w:val="00174854"/>
    <w:rsid w:val="00174FCE"/>
    <w:rsid w:val="0017674C"/>
    <w:rsid w:val="00177866"/>
    <w:rsid w:val="00177CFC"/>
    <w:rsid w:val="00177FF7"/>
    <w:rsid w:val="00180519"/>
    <w:rsid w:val="001813D8"/>
    <w:rsid w:val="001827B6"/>
    <w:rsid w:val="00185D46"/>
    <w:rsid w:val="0019267A"/>
    <w:rsid w:val="0019453A"/>
    <w:rsid w:val="00197176"/>
    <w:rsid w:val="001A1483"/>
    <w:rsid w:val="001A3017"/>
    <w:rsid w:val="001A315C"/>
    <w:rsid w:val="001A4278"/>
    <w:rsid w:val="001A58EA"/>
    <w:rsid w:val="001A60D6"/>
    <w:rsid w:val="001A786F"/>
    <w:rsid w:val="001B0AC2"/>
    <w:rsid w:val="001B23F5"/>
    <w:rsid w:val="001B2DA2"/>
    <w:rsid w:val="001B3343"/>
    <w:rsid w:val="001B3BF7"/>
    <w:rsid w:val="001C15C7"/>
    <w:rsid w:val="001C4645"/>
    <w:rsid w:val="001C57DE"/>
    <w:rsid w:val="001C5F10"/>
    <w:rsid w:val="001C6565"/>
    <w:rsid w:val="001D224A"/>
    <w:rsid w:val="001D2BD3"/>
    <w:rsid w:val="001D2DC2"/>
    <w:rsid w:val="001D76D1"/>
    <w:rsid w:val="001E12F2"/>
    <w:rsid w:val="001E22ED"/>
    <w:rsid w:val="001E427B"/>
    <w:rsid w:val="001E455B"/>
    <w:rsid w:val="001E48C8"/>
    <w:rsid w:val="001E65B2"/>
    <w:rsid w:val="001E6D70"/>
    <w:rsid w:val="001E7D9F"/>
    <w:rsid w:val="001F0D77"/>
    <w:rsid w:val="001F4EC4"/>
    <w:rsid w:val="00200521"/>
    <w:rsid w:val="00203679"/>
    <w:rsid w:val="002041A4"/>
    <w:rsid w:val="00204C48"/>
    <w:rsid w:val="00204E63"/>
    <w:rsid w:val="00204EB2"/>
    <w:rsid w:val="00206BDE"/>
    <w:rsid w:val="002079A8"/>
    <w:rsid w:val="00207D6E"/>
    <w:rsid w:val="00212B99"/>
    <w:rsid w:val="00214D76"/>
    <w:rsid w:val="0021578E"/>
    <w:rsid w:val="00216493"/>
    <w:rsid w:val="00216BB6"/>
    <w:rsid w:val="00221538"/>
    <w:rsid w:val="0022220E"/>
    <w:rsid w:val="0022502F"/>
    <w:rsid w:val="00226A86"/>
    <w:rsid w:val="00230326"/>
    <w:rsid w:val="00231169"/>
    <w:rsid w:val="00232747"/>
    <w:rsid w:val="002329CD"/>
    <w:rsid w:val="002336F1"/>
    <w:rsid w:val="00233F30"/>
    <w:rsid w:val="002369E0"/>
    <w:rsid w:val="00240544"/>
    <w:rsid w:val="00240E36"/>
    <w:rsid w:val="00244590"/>
    <w:rsid w:val="002467E2"/>
    <w:rsid w:val="00247DEE"/>
    <w:rsid w:val="00251F92"/>
    <w:rsid w:val="0025349A"/>
    <w:rsid w:val="0025427B"/>
    <w:rsid w:val="002543B2"/>
    <w:rsid w:val="002558EB"/>
    <w:rsid w:val="00257659"/>
    <w:rsid w:val="00260171"/>
    <w:rsid w:val="0026350D"/>
    <w:rsid w:val="00265299"/>
    <w:rsid w:val="00265A10"/>
    <w:rsid w:val="00266EF0"/>
    <w:rsid w:val="00267E54"/>
    <w:rsid w:val="00272E6B"/>
    <w:rsid w:val="002734F6"/>
    <w:rsid w:val="002746C1"/>
    <w:rsid w:val="002750A1"/>
    <w:rsid w:val="0027643C"/>
    <w:rsid w:val="00280678"/>
    <w:rsid w:val="00284453"/>
    <w:rsid w:val="00284C92"/>
    <w:rsid w:val="0028794F"/>
    <w:rsid w:val="00287B1F"/>
    <w:rsid w:val="0029101F"/>
    <w:rsid w:val="00291631"/>
    <w:rsid w:val="00292D6F"/>
    <w:rsid w:val="00294B78"/>
    <w:rsid w:val="00294C0F"/>
    <w:rsid w:val="00294CA7"/>
    <w:rsid w:val="00294F94"/>
    <w:rsid w:val="0029596D"/>
    <w:rsid w:val="002A1F24"/>
    <w:rsid w:val="002A2752"/>
    <w:rsid w:val="002A433D"/>
    <w:rsid w:val="002A5583"/>
    <w:rsid w:val="002A7002"/>
    <w:rsid w:val="002A7493"/>
    <w:rsid w:val="002B0DA7"/>
    <w:rsid w:val="002B1B54"/>
    <w:rsid w:val="002B3375"/>
    <w:rsid w:val="002B68A1"/>
    <w:rsid w:val="002B6EA3"/>
    <w:rsid w:val="002B738D"/>
    <w:rsid w:val="002C0C2F"/>
    <w:rsid w:val="002C1009"/>
    <w:rsid w:val="002C1940"/>
    <w:rsid w:val="002C60CB"/>
    <w:rsid w:val="002C625F"/>
    <w:rsid w:val="002D35C8"/>
    <w:rsid w:val="002D398E"/>
    <w:rsid w:val="002E0B86"/>
    <w:rsid w:val="002E3123"/>
    <w:rsid w:val="002E3552"/>
    <w:rsid w:val="002E35D8"/>
    <w:rsid w:val="002E7F3A"/>
    <w:rsid w:val="002F0D16"/>
    <w:rsid w:val="002F3BC3"/>
    <w:rsid w:val="002F5AD7"/>
    <w:rsid w:val="0030040F"/>
    <w:rsid w:val="00301EC5"/>
    <w:rsid w:val="00303750"/>
    <w:rsid w:val="0030773D"/>
    <w:rsid w:val="00310EBD"/>
    <w:rsid w:val="00311F09"/>
    <w:rsid w:val="00313EFD"/>
    <w:rsid w:val="0031526F"/>
    <w:rsid w:val="003162C7"/>
    <w:rsid w:val="00324DBB"/>
    <w:rsid w:val="003279B2"/>
    <w:rsid w:val="00334F95"/>
    <w:rsid w:val="00336CAF"/>
    <w:rsid w:val="003370D8"/>
    <w:rsid w:val="0033746D"/>
    <w:rsid w:val="00337649"/>
    <w:rsid w:val="00337798"/>
    <w:rsid w:val="00337BB3"/>
    <w:rsid w:val="00344D41"/>
    <w:rsid w:val="00346019"/>
    <w:rsid w:val="00352572"/>
    <w:rsid w:val="00352B85"/>
    <w:rsid w:val="003538D4"/>
    <w:rsid w:val="00356E89"/>
    <w:rsid w:val="00357DE8"/>
    <w:rsid w:val="00362A42"/>
    <w:rsid w:val="003636C6"/>
    <w:rsid w:val="00364F2D"/>
    <w:rsid w:val="00371D94"/>
    <w:rsid w:val="003728BA"/>
    <w:rsid w:val="003730D2"/>
    <w:rsid w:val="00375BB2"/>
    <w:rsid w:val="00377B55"/>
    <w:rsid w:val="00377BBA"/>
    <w:rsid w:val="00381013"/>
    <w:rsid w:val="00384DAD"/>
    <w:rsid w:val="003956A9"/>
    <w:rsid w:val="0039709C"/>
    <w:rsid w:val="00397844"/>
    <w:rsid w:val="003A16ED"/>
    <w:rsid w:val="003B133A"/>
    <w:rsid w:val="003B278C"/>
    <w:rsid w:val="003B42EC"/>
    <w:rsid w:val="003C1C3E"/>
    <w:rsid w:val="003C1E67"/>
    <w:rsid w:val="003C3120"/>
    <w:rsid w:val="003C50D7"/>
    <w:rsid w:val="003C53DB"/>
    <w:rsid w:val="003D2E9A"/>
    <w:rsid w:val="003D665D"/>
    <w:rsid w:val="003D716B"/>
    <w:rsid w:val="003E19C9"/>
    <w:rsid w:val="003E2C1F"/>
    <w:rsid w:val="003E339D"/>
    <w:rsid w:val="003E3A36"/>
    <w:rsid w:val="003E52DF"/>
    <w:rsid w:val="003E654B"/>
    <w:rsid w:val="003E71B4"/>
    <w:rsid w:val="003E7ABF"/>
    <w:rsid w:val="003F11AC"/>
    <w:rsid w:val="003F5EB7"/>
    <w:rsid w:val="003F6BFD"/>
    <w:rsid w:val="003F766B"/>
    <w:rsid w:val="0040013A"/>
    <w:rsid w:val="004032B9"/>
    <w:rsid w:val="004034D5"/>
    <w:rsid w:val="004043D5"/>
    <w:rsid w:val="00407743"/>
    <w:rsid w:val="00411FE6"/>
    <w:rsid w:val="004163BA"/>
    <w:rsid w:val="00416D8E"/>
    <w:rsid w:val="00417744"/>
    <w:rsid w:val="00423244"/>
    <w:rsid w:val="004233FE"/>
    <w:rsid w:val="0042464B"/>
    <w:rsid w:val="0043473F"/>
    <w:rsid w:val="00434EE0"/>
    <w:rsid w:val="0043608E"/>
    <w:rsid w:val="00437376"/>
    <w:rsid w:val="00437F07"/>
    <w:rsid w:val="004414DA"/>
    <w:rsid w:val="00443386"/>
    <w:rsid w:val="00444CC5"/>
    <w:rsid w:val="00444CEA"/>
    <w:rsid w:val="004461E9"/>
    <w:rsid w:val="0044635D"/>
    <w:rsid w:val="004477EA"/>
    <w:rsid w:val="00451B1C"/>
    <w:rsid w:val="00451C4F"/>
    <w:rsid w:val="004568E4"/>
    <w:rsid w:val="00460A8B"/>
    <w:rsid w:val="00460FCB"/>
    <w:rsid w:val="004621CA"/>
    <w:rsid w:val="00462682"/>
    <w:rsid w:val="004627E0"/>
    <w:rsid w:val="00466E60"/>
    <w:rsid w:val="004713C9"/>
    <w:rsid w:val="004729E4"/>
    <w:rsid w:val="00474CF8"/>
    <w:rsid w:val="00475FB0"/>
    <w:rsid w:val="00476E35"/>
    <w:rsid w:val="00482455"/>
    <w:rsid w:val="004868D1"/>
    <w:rsid w:val="004910B1"/>
    <w:rsid w:val="004921AA"/>
    <w:rsid w:val="00492441"/>
    <w:rsid w:val="004940D3"/>
    <w:rsid w:val="00497EDA"/>
    <w:rsid w:val="004A0973"/>
    <w:rsid w:val="004A14EC"/>
    <w:rsid w:val="004A3FBB"/>
    <w:rsid w:val="004A43E9"/>
    <w:rsid w:val="004A5E75"/>
    <w:rsid w:val="004A5E9F"/>
    <w:rsid w:val="004A7A4C"/>
    <w:rsid w:val="004B1B0F"/>
    <w:rsid w:val="004B1D0C"/>
    <w:rsid w:val="004B23F1"/>
    <w:rsid w:val="004B4017"/>
    <w:rsid w:val="004B402E"/>
    <w:rsid w:val="004B5594"/>
    <w:rsid w:val="004B650C"/>
    <w:rsid w:val="004B6F76"/>
    <w:rsid w:val="004C1B9A"/>
    <w:rsid w:val="004C2025"/>
    <w:rsid w:val="004C3392"/>
    <w:rsid w:val="004C3DE4"/>
    <w:rsid w:val="004C58FC"/>
    <w:rsid w:val="004C5C79"/>
    <w:rsid w:val="004C6D99"/>
    <w:rsid w:val="004C715C"/>
    <w:rsid w:val="004C7198"/>
    <w:rsid w:val="004D0644"/>
    <w:rsid w:val="004D081B"/>
    <w:rsid w:val="004D0E04"/>
    <w:rsid w:val="004D102F"/>
    <w:rsid w:val="004D1B1A"/>
    <w:rsid w:val="004D207D"/>
    <w:rsid w:val="004D28F2"/>
    <w:rsid w:val="004D772E"/>
    <w:rsid w:val="004D7861"/>
    <w:rsid w:val="004E2D52"/>
    <w:rsid w:val="004E3BE5"/>
    <w:rsid w:val="004E4650"/>
    <w:rsid w:val="004E5181"/>
    <w:rsid w:val="004E793A"/>
    <w:rsid w:val="004E7C36"/>
    <w:rsid w:val="004F713F"/>
    <w:rsid w:val="004F7514"/>
    <w:rsid w:val="004F7C90"/>
    <w:rsid w:val="0050216C"/>
    <w:rsid w:val="0050474D"/>
    <w:rsid w:val="005100B9"/>
    <w:rsid w:val="005141FE"/>
    <w:rsid w:val="00514E80"/>
    <w:rsid w:val="00515008"/>
    <w:rsid w:val="00516F25"/>
    <w:rsid w:val="00517717"/>
    <w:rsid w:val="00520565"/>
    <w:rsid w:val="00524793"/>
    <w:rsid w:val="00524E01"/>
    <w:rsid w:val="00524EA6"/>
    <w:rsid w:val="00531D60"/>
    <w:rsid w:val="005369BB"/>
    <w:rsid w:val="00536E7C"/>
    <w:rsid w:val="005410BB"/>
    <w:rsid w:val="00541BEB"/>
    <w:rsid w:val="0054237D"/>
    <w:rsid w:val="005426B3"/>
    <w:rsid w:val="00543395"/>
    <w:rsid w:val="00545B95"/>
    <w:rsid w:val="00551C2D"/>
    <w:rsid w:val="0055278A"/>
    <w:rsid w:val="005540EB"/>
    <w:rsid w:val="0055620C"/>
    <w:rsid w:val="00562193"/>
    <w:rsid w:val="00562C12"/>
    <w:rsid w:val="0056366E"/>
    <w:rsid w:val="005678FA"/>
    <w:rsid w:val="00571787"/>
    <w:rsid w:val="005777CE"/>
    <w:rsid w:val="00577848"/>
    <w:rsid w:val="00580834"/>
    <w:rsid w:val="005819D4"/>
    <w:rsid w:val="00583438"/>
    <w:rsid w:val="0058469D"/>
    <w:rsid w:val="00585860"/>
    <w:rsid w:val="005869EC"/>
    <w:rsid w:val="00586BE2"/>
    <w:rsid w:val="00586CB3"/>
    <w:rsid w:val="00592BD1"/>
    <w:rsid w:val="00593603"/>
    <w:rsid w:val="00593B68"/>
    <w:rsid w:val="00596611"/>
    <w:rsid w:val="005A10A8"/>
    <w:rsid w:val="005A200C"/>
    <w:rsid w:val="005A37F6"/>
    <w:rsid w:val="005A38EB"/>
    <w:rsid w:val="005A47CB"/>
    <w:rsid w:val="005A55AE"/>
    <w:rsid w:val="005A6FE5"/>
    <w:rsid w:val="005A6FF9"/>
    <w:rsid w:val="005B0B41"/>
    <w:rsid w:val="005B1AA3"/>
    <w:rsid w:val="005B4C72"/>
    <w:rsid w:val="005B5994"/>
    <w:rsid w:val="005C1AB9"/>
    <w:rsid w:val="005C251E"/>
    <w:rsid w:val="005C26D3"/>
    <w:rsid w:val="005C2C88"/>
    <w:rsid w:val="005C37F4"/>
    <w:rsid w:val="005C3EE2"/>
    <w:rsid w:val="005C4E2C"/>
    <w:rsid w:val="005C4F7B"/>
    <w:rsid w:val="005D0943"/>
    <w:rsid w:val="005D45EC"/>
    <w:rsid w:val="005D6CC2"/>
    <w:rsid w:val="005D7A9E"/>
    <w:rsid w:val="005E0D2F"/>
    <w:rsid w:val="005E12E5"/>
    <w:rsid w:val="005E2247"/>
    <w:rsid w:val="005E25D7"/>
    <w:rsid w:val="005E61D1"/>
    <w:rsid w:val="005E79A4"/>
    <w:rsid w:val="005F0B42"/>
    <w:rsid w:val="005F1CE5"/>
    <w:rsid w:val="005F3BDA"/>
    <w:rsid w:val="005F4B1C"/>
    <w:rsid w:val="005F52EE"/>
    <w:rsid w:val="005F75EE"/>
    <w:rsid w:val="00600A93"/>
    <w:rsid w:val="00601C28"/>
    <w:rsid w:val="006057DA"/>
    <w:rsid w:val="0061080A"/>
    <w:rsid w:val="006130C6"/>
    <w:rsid w:val="00614DB9"/>
    <w:rsid w:val="0061606F"/>
    <w:rsid w:val="0061684F"/>
    <w:rsid w:val="00620985"/>
    <w:rsid w:val="006234CA"/>
    <w:rsid w:val="00625666"/>
    <w:rsid w:val="006324E1"/>
    <w:rsid w:val="00633F02"/>
    <w:rsid w:val="00634835"/>
    <w:rsid w:val="006368E0"/>
    <w:rsid w:val="00642E83"/>
    <w:rsid w:val="00643147"/>
    <w:rsid w:val="006435B7"/>
    <w:rsid w:val="00643CE5"/>
    <w:rsid w:val="0064487F"/>
    <w:rsid w:val="00644E23"/>
    <w:rsid w:val="00645683"/>
    <w:rsid w:val="006456F0"/>
    <w:rsid w:val="00645E0A"/>
    <w:rsid w:val="006470C2"/>
    <w:rsid w:val="006507E2"/>
    <w:rsid w:val="00651416"/>
    <w:rsid w:val="00652AC9"/>
    <w:rsid w:val="00657437"/>
    <w:rsid w:val="0065749C"/>
    <w:rsid w:val="00664B41"/>
    <w:rsid w:val="00667220"/>
    <w:rsid w:val="006676B9"/>
    <w:rsid w:val="006712D4"/>
    <w:rsid w:val="00671CFD"/>
    <w:rsid w:val="00672D65"/>
    <w:rsid w:val="006753D1"/>
    <w:rsid w:val="00675C4E"/>
    <w:rsid w:val="0067797B"/>
    <w:rsid w:val="00677B7B"/>
    <w:rsid w:val="00680941"/>
    <w:rsid w:val="006848C3"/>
    <w:rsid w:val="0068497F"/>
    <w:rsid w:val="00685D0C"/>
    <w:rsid w:val="00686872"/>
    <w:rsid w:val="00690866"/>
    <w:rsid w:val="006A2A4B"/>
    <w:rsid w:val="006A2C7D"/>
    <w:rsid w:val="006A2F58"/>
    <w:rsid w:val="006A39AB"/>
    <w:rsid w:val="006A4BDB"/>
    <w:rsid w:val="006A4CE9"/>
    <w:rsid w:val="006B0FBF"/>
    <w:rsid w:val="006B1DF5"/>
    <w:rsid w:val="006B4092"/>
    <w:rsid w:val="006B6BC2"/>
    <w:rsid w:val="006C1681"/>
    <w:rsid w:val="006C2E1E"/>
    <w:rsid w:val="006C2F60"/>
    <w:rsid w:val="006C6690"/>
    <w:rsid w:val="006C681F"/>
    <w:rsid w:val="006C72E6"/>
    <w:rsid w:val="006C7E37"/>
    <w:rsid w:val="006D0B08"/>
    <w:rsid w:val="006D0C1F"/>
    <w:rsid w:val="006D1C8A"/>
    <w:rsid w:val="006D3C1A"/>
    <w:rsid w:val="006E11B2"/>
    <w:rsid w:val="006E2663"/>
    <w:rsid w:val="006E2F83"/>
    <w:rsid w:val="006E3755"/>
    <w:rsid w:val="006E75AB"/>
    <w:rsid w:val="006E7C1D"/>
    <w:rsid w:val="006F42EC"/>
    <w:rsid w:val="006F6605"/>
    <w:rsid w:val="006F6763"/>
    <w:rsid w:val="006F681C"/>
    <w:rsid w:val="006F730C"/>
    <w:rsid w:val="00701425"/>
    <w:rsid w:val="00702E30"/>
    <w:rsid w:val="00704982"/>
    <w:rsid w:val="00704EEB"/>
    <w:rsid w:val="007055A8"/>
    <w:rsid w:val="007077ED"/>
    <w:rsid w:val="007100B2"/>
    <w:rsid w:val="00711833"/>
    <w:rsid w:val="00712A9B"/>
    <w:rsid w:val="00716C13"/>
    <w:rsid w:val="00720D05"/>
    <w:rsid w:val="00720F15"/>
    <w:rsid w:val="00721F40"/>
    <w:rsid w:val="00722C46"/>
    <w:rsid w:val="007267F6"/>
    <w:rsid w:val="00733A66"/>
    <w:rsid w:val="00736360"/>
    <w:rsid w:val="00737207"/>
    <w:rsid w:val="00737CA1"/>
    <w:rsid w:val="00742B9F"/>
    <w:rsid w:val="00743B59"/>
    <w:rsid w:val="00744D65"/>
    <w:rsid w:val="0074529E"/>
    <w:rsid w:val="0075372F"/>
    <w:rsid w:val="00754AF6"/>
    <w:rsid w:val="007559C8"/>
    <w:rsid w:val="00757728"/>
    <w:rsid w:val="007579AD"/>
    <w:rsid w:val="0076151E"/>
    <w:rsid w:val="007645E8"/>
    <w:rsid w:val="00772721"/>
    <w:rsid w:val="00774CC3"/>
    <w:rsid w:val="00775966"/>
    <w:rsid w:val="00777ABD"/>
    <w:rsid w:val="0078116B"/>
    <w:rsid w:val="00781C4B"/>
    <w:rsid w:val="00782766"/>
    <w:rsid w:val="007836C7"/>
    <w:rsid w:val="00786A12"/>
    <w:rsid w:val="00787FB4"/>
    <w:rsid w:val="007917C5"/>
    <w:rsid w:val="00791C2B"/>
    <w:rsid w:val="007928C1"/>
    <w:rsid w:val="00794403"/>
    <w:rsid w:val="00794492"/>
    <w:rsid w:val="00796789"/>
    <w:rsid w:val="00797C30"/>
    <w:rsid w:val="007A2A98"/>
    <w:rsid w:val="007A2F03"/>
    <w:rsid w:val="007A5DCF"/>
    <w:rsid w:val="007A73E1"/>
    <w:rsid w:val="007A7BE0"/>
    <w:rsid w:val="007B04C8"/>
    <w:rsid w:val="007B5402"/>
    <w:rsid w:val="007B58C5"/>
    <w:rsid w:val="007B5B92"/>
    <w:rsid w:val="007B60A4"/>
    <w:rsid w:val="007B7B22"/>
    <w:rsid w:val="007B7C07"/>
    <w:rsid w:val="007C10C8"/>
    <w:rsid w:val="007C1D7F"/>
    <w:rsid w:val="007C32EE"/>
    <w:rsid w:val="007C504B"/>
    <w:rsid w:val="007C54AA"/>
    <w:rsid w:val="007C57D8"/>
    <w:rsid w:val="007C7320"/>
    <w:rsid w:val="007C7911"/>
    <w:rsid w:val="007D05D4"/>
    <w:rsid w:val="007D16EF"/>
    <w:rsid w:val="007E1AF4"/>
    <w:rsid w:val="007E208F"/>
    <w:rsid w:val="007E6EA3"/>
    <w:rsid w:val="007E74EA"/>
    <w:rsid w:val="007F042B"/>
    <w:rsid w:val="007F095E"/>
    <w:rsid w:val="007F101D"/>
    <w:rsid w:val="007F1D69"/>
    <w:rsid w:val="007F213C"/>
    <w:rsid w:val="007F2423"/>
    <w:rsid w:val="007F3749"/>
    <w:rsid w:val="007F6B5E"/>
    <w:rsid w:val="00802819"/>
    <w:rsid w:val="00804381"/>
    <w:rsid w:val="00806C7F"/>
    <w:rsid w:val="0080740D"/>
    <w:rsid w:val="00807FC4"/>
    <w:rsid w:val="00812DE4"/>
    <w:rsid w:val="00814123"/>
    <w:rsid w:val="008147B1"/>
    <w:rsid w:val="00815D50"/>
    <w:rsid w:val="00816DD9"/>
    <w:rsid w:val="00817342"/>
    <w:rsid w:val="0081738C"/>
    <w:rsid w:val="00817ECB"/>
    <w:rsid w:val="008202A5"/>
    <w:rsid w:val="00820881"/>
    <w:rsid w:val="00822186"/>
    <w:rsid w:val="0082229C"/>
    <w:rsid w:val="00822621"/>
    <w:rsid w:val="00824F12"/>
    <w:rsid w:val="0082656C"/>
    <w:rsid w:val="0082661B"/>
    <w:rsid w:val="00830886"/>
    <w:rsid w:val="0083229F"/>
    <w:rsid w:val="00833CE1"/>
    <w:rsid w:val="008354EE"/>
    <w:rsid w:val="00843D43"/>
    <w:rsid w:val="00846B6E"/>
    <w:rsid w:val="0085002C"/>
    <w:rsid w:val="008503A2"/>
    <w:rsid w:val="008555E4"/>
    <w:rsid w:val="00872D83"/>
    <w:rsid w:val="0087366D"/>
    <w:rsid w:val="00874B82"/>
    <w:rsid w:val="008779F0"/>
    <w:rsid w:val="00881754"/>
    <w:rsid w:val="00882549"/>
    <w:rsid w:val="008832F2"/>
    <w:rsid w:val="00883F6F"/>
    <w:rsid w:val="00886C9D"/>
    <w:rsid w:val="00886E4E"/>
    <w:rsid w:val="008918EA"/>
    <w:rsid w:val="00891D48"/>
    <w:rsid w:val="00891F68"/>
    <w:rsid w:val="00892413"/>
    <w:rsid w:val="00892523"/>
    <w:rsid w:val="00892BAC"/>
    <w:rsid w:val="0089410F"/>
    <w:rsid w:val="00894834"/>
    <w:rsid w:val="00894CE2"/>
    <w:rsid w:val="008970B3"/>
    <w:rsid w:val="00897B8E"/>
    <w:rsid w:val="008A52E8"/>
    <w:rsid w:val="008A7469"/>
    <w:rsid w:val="008B0C99"/>
    <w:rsid w:val="008B41AB"/>
    <w:rsid w:val="008B4398"/>
    <w:rsid w:val="008B536F"/>
    <w:rsid w:val="008B5C02"/>
    <w:rsid w:val="008B744B"/>
    <w:rsid w:val="008B7D0B"/>
    <w:rsid w:val="008B7E2A"/>
    <w:rsid w:val="008C2923"/>
    <w:rsid w:val="008C49C5"/>
    <w:rsid w:val="008C51DB"/>
    <w:rsid w:val="008C59AC"/>
    <w:rsid w:val="008C630F"/>
    <w:rsid w:val="008D18B6"/>
    <w:rsid w:val="008D1B9E"/>
    <w:rsid w:val="008D2D75"/>
    <w:rsid w:val="008D308F"/>
    <w:rsid w:val="008D5C91"/>
    <w:rsid w:val="008E1B2E"/>
    <w:rsid w:val="008E48B0"/>
    <w:rsid w:val="008E49DF"/>
    <w:rsid w:val="008E580F"/>
    <w:rsid w:val="008E7886"/>
    <w:rsid w:val="008F0D0B"/>
    <w:rsid w:val="008F5275"/>
    <w:rsid w:val="008F62BD"/>
    <w:rsid w:val="008F6E36"/>
    <w:rsid w:val="008F70B5"/>
    <w:rsid w:val="009026B3"/>
    <w:rsid w:val="00903213"/>
    <w:rsid w:val="00904ACA"/>
    <w:rsid w:val="0090528A"/>
    <w:rsid w:val="00905F79"/>
    <w:rsid w:val="00910A6F"/>
    <w:rsid w:val="0091181E"/>
    <w:rsid w:val="0091216A"/>
    <w:rsid w:val="00912886"/>
    <w:rsid w:val="0091322F"/>
    <w:rsid w:val="00914F08"/>
    <w:rsid w:val="00916D0F"/>
    <w:rsid w:val="00921304"/>
    <w:rsid w:val="00922002"/>
    <w:rsid w:val="00923A17"/>
    <w:rsid w:val="00923D5A"/>
    <w:rsid w:val="00925CE2"/>
    <w:rsid w:val="00931621"/>
    <w:rsid w:val="009331EA"/>
    <w:rsid w:val="009334AE"/>
    <w:rsid w:val="0093530C"/>
    <w:rsid w:val="00935CE0"/>
    <w:rsid w:val="00936BE1"/>
    <w:rsid w:val="00944313"/>
    <w:rsid w:val="00946E99"/>
    <w:rsid w:val="00947A07"/>
    <w:rsid w:val="00956624"/>
    <w:rsid w:val="00956860"/>
    <w:rsid w:val="009577D0"/>
    <w:rsid w:val="009605C7"/>
    <w:rsid w:val="00961303"/>
    <w:rsid w:val="00964427"/>
    <w:rsid w:val="00966A3C"/>
    <w:rsid w:val="00973290"/>
    <w:rsid w:val="00974F03"/>
    <w:rsid w:val="00975FB9"/>
    <w:rsid w:val="00976DDC"/>
    <w:rsid w:val="0098231D"/>
    <w:rsid w:val="00983877"/>
    <w:rsid w:val="00987E07"/>
    <w:rsid w:val="00996D9A"/>
    <w:rsid w:val="009979AF"/>
    <w:rsid w:val="009A0AA1"/>
    <w:rsid w:val="009A1846"/>
    <w:rsid w:val="009A6E1D"/>
    <w:rsid w:val="009B388A"/>
    <w:rsid w:val="009B6AD6"/>
    <w:rsid w:val="009C289B"/>
    <w:rsid w:val="009C4EF9"/>
    <w:rsid w:val="009C52C8"/>
    <w:rsid w:val="009C54AD"/>
    <w:rsid w:val="009D3196"/>
    <w:rsid w:val="009D7F10"/>
    <w:rsid w:val="009E002D"/>
    <w:rsid w:val="009E1E4A"/>
    <w:rsid w:val="009E29E5"/>
    <w:rsid w:val="009E6376"/>
    <w:rsid w:val="009E6CD4"/>
    <w:rsid w:val="009F116E"/>
    <w:rsid w:val="009F186A"/>
    <w:rsid w:val="009F3201"/>
    <w:rsid w:val="009F36FA"/>
    <w:rsid w:val="009F4D51"/>
    <w:rsid w:val="009F5837"/>
    <w:rsid w:val="009F69BF"/>
    <w:rsid w:val="009F6A4B"/>
    <w:rsid w:val="00A001E8"/>
    <w:rsid w:val="00A05EB6"/>
    <w:rsid w:val="00A06D3D"/>
    <w:rsid w:val="00A07AB7"/>
    <w:rsid w:val="00A07B81"/>
    <w:rsid w:val="00A11C96"/>
    <w:rsid w:val="00A13A68"/>
    <w:rsid w:val="00A152BC"/>
    <w:rsid w:val="00A309B9"/>
    <w:rsid w:val="00A310C9"/>
    <w:rsid w:val="00A31942"/>
    <w:rsid w:val="00A33643"/>
    <w:rsid w:val="00A3375D"/>
    <w:rsid w:val="00A33792"/>
    <w:rsid w:val="00A355FE"/>
    <w:rsid w:val="00A359BB"/>
    <w:rsid w:val="00A4037C"/>
    <w:rsid w:val="00A429FD"/>
    <w:rsid w:val="00A42AF9"/>
    <w:rsid w:val="00A42F19"/>
    <w:rsid w:val="00A43F4C"/>
    <w:rsid w:val="00A44669"/>
    <w:rsid w:val="00A47B5B"/>
    <w:rsid w:val="00A522F4"/>
    <w:rsid w:val="00A539B1"/>
    <w:rsid w:val="00A54220"/>
    <w:rsid w:val="00A55DC6"/>
    <w:rsid w:val="00A6021E"/>
    <w:rsid w:val="00A63164"/>
    <w:rsid w:val="00A64306"/>
    <w:rsid w:val="00A64E45"/>
    <w:rsid w:val="00A65961"/>
    <w:rsid w:val="00A67FB6"/>
    <w:rsid w:val="00A74FBD"/>
    <w:rsid w:val="00A769E3"/>
    <w:rsid w:val="00A85884"/>
    <w:rsid w:val="00A8627C"/>
    <w:rsid w:val="00A879CD"/>
    <w:rsid w:val="00A91003"/>
    <w:rsid w:val="00A931A6"/>
    <w:rsid w:val="00AA0324"/>
    <w:rsid w:val="00AA41A9"/>
    <w:rsid w:val="00AA7417"/>
    <w:rsid w:val="00AB59BB"/>
    <w:rsid w:val="00AC1B51"/>
    <w:rsid w:val="00AC1DAD"/>
    <w:rsid w:val="00AC32BF"/>
    <w:rsid w:val="00AC3ADC"/>
    <w:rsid w:val="00AC43BC"/>
    <w:rsid w:val="00AC6208"/>
    <w:rsid w:val="00AD03A5"/>
    <w:rsid w:val="00AD03EF"/>
    <w:rsid w:val="00AD1968"/>
    <w:rsid w:val="00AD2C96"/>
    <w:rsid w:val="00AD2FA3"/>
    <w:rsid w:val="00AD4FD5"/>
    <w:rsid w:val="00AE0842"/>
    <w:rsid w:val="00AE0E9E"/>
    <w:rsid w:val="00AE4671"/>
    <w:rsid w:val="00AF0066"/>
    <w:rsid w:val="00AF04A5"/>
    <w:rsid w:val="00AF0FEB"/>
    <w:rsid w:val="00AF12CC"/>
    <w:rsid w:val="00AF2573"/>
    <w:rsid w:val="00AF5996"/>
    <w:rsid w:val="00AF6076"/>
    <w:rsid w:val="00AF6449"/>
    <w:rsid w:val="00B028C8"/>
    <w:rsid w:val="00B03C54"/>
    <w:rsid w:val="00B03DF0"/>
    <w:rsid w:val="00B065DD"/>
    <w:rsid w:val="00B07C8E"/>
    <w:rsid w:val="00B10A70"/>
    <w:rsid w:val="00B10EE8"/>
    <w:rsid w:val="00B11A3B"/>
    <w:rsid w:val="00B15B30"/>
    <w:rsid w:val="00B17425"/>
    <w:rsid w:val="00B17703"/>
    <w:rsid w:val="00B21F13"/>
    <w:rsid w:val="00B220C2"/>
    <w:rsid w:val="00B232F9"/>
    <w:rsid w:val="00B26158"/>
    <w:rsid w:val="00B26691"/>
    <w:rsid w:val="00B312FA"/>
    <w:rsid w:val="00B313D9"/>
    <w:rsid w:val="00B319D8"/>
    <w:rsid w:val="00B346E1"/>
    <w:rsid w:val="00B34EAB"/>
    <w:rsid w:val="00B361D5"/>
    <w:rsid w:val="00B36F8C"/>
    <w:rsid w:val="00B40081"/>
    <w:rsid w:val="00B44612"/>
    <w:rsid w:val="00B46884"/>
    <w:rsid w:val="00B50A07"/>
    <w:rsid w:val="00B5246C"/>
    <w:rsid w:val="00B54997"/>
    <w:rsid w:val="00B56F17"/>
    <w:rsid w:val="00B57941"/>
    <w:rsid w:val="00B605E8"/>
    <w:rsid w:val="00B60D79"/>
    <w:rsid w:val="00B62488"/>
    <w:rsid w:val="00B632D5"/>
    <w:rsid w:val="00B63D21"/>
    <w:rsid w:val="00B6598F"/>
    <w:rsid w:val="00B707E0"/>
    <w:rsid w:val="00B71BE8"/>
    <w:rsid w:val="00B73EB1"/>
    <w:rsid w:val="00B83A07"/>
    <w:rsid w:val="00B85AB9"/>
    <w:rsid w:val="00B9198A"/>
    <w:rsid w:val="00B9227F"/>
    <w:rsid w:val="00B96536"/>
    <w:rsid w:val="00B96DF1"/>
    <w:rsid w:val="00B96E2B"/>
    <w:rsid w:val="00BA0836"/>
    <w:rsid w:val="00BA3C7B"/>
    <w:rsid w:val="00BA66BC"/>
    <w:rsid w:val="00BB1AEE"/>
    <w:rsid w:val="00BB28F9"/>
    <w:rsid w:val="00BB4B20"/>
    <w:rsid w:val="00BC1E00"/>
    <w:rsid w:val="00BC29D3"/>
    <w:rsid w:val="00BC395A"/>
    <w:rsid w:val="00BC4EEE"/>
    <w:rsid w:val="00BC5C99"/>
    <w:rsid w:val="00BD11DE"/>
    <w:rsid w:val="00BD4FCB"/>
    <w:rsid w:val="00BD66D3"/>
    <w:rsid w:val="00BE3A17"/>
    <w:rsid w:val="00BE4355"/>
    <w:rsid w:val="00BE592C"/>
    <w:rsid w:val="00BE67DE"/>
    <w:rsid w:val="00BE7011"/>
    <w:rsid w:val="00BE7DBC"/>
    <w:rsid w:val="00BF0B67"/>
    <w:rsid w:val="00BF1E04"/>
    <w:rsid w:val="00BF220C"/>
    <w:rsid w:val="00BF3494"/>
    <w:rsid w:val="00BF36C1"/>
    <w:rsid w:val="00BF3B9A"/>
    <w:rsid w:val="00BF6CAC"/>
    <w:rsid w:val="00BF7A34"/>
    <w:rsid w:val="00C01292"/>
    <w:rsid w:val="00C0218F"/>
    <w:rsid w:val="00C02270"/>
    <w:rsid w:val="00C03760"/>
    <w:rsid w:val="00C04BCF"/>
    <w:rsid w:val="00C05050"/>
    <w:rsid w:val="00C057A2"/>
    <w:rsid w:val="00C06F9C"/>
    <w:rsid w:val="00C07A93"/>
    <w:rsid w:val="00C14052"/>
    <w:rsid w:val="00C142F0"/>
    <w:rsid w:val="00C14E85"/>
    <w:rsid w:val="00C17302"/>
    <w:rsid w:val="00C17D7D"/>
    <w:rsid w:val="00C20044"/>
    <w:rsid w:val="00C207BF"/>
    <w:rsid w:val="00C21346"/>
    <w:rsid w:val="00C21F4B"/>
    <w:rsid w:val="00C226BE"/>
    <w:rsid w:val="00C227DF"/>
    <w:rsid w:val="00C22D33"/>
    <w:rsid w:val="00C26773"/>
    <w:rsid w:val="00C2766D"/>
    <w:rsid w:val="00C33B67"/>
    <w:rsid w:val="00C372CC"/>
    <w:rsid w:val="00C37C56"/>
    <w:rsid w:val="00C42FEB"/>
    <w:rsid w:val="00C47E03"/>
    <w:rsid w:val="00C53F95"/>
    <w:rsid w:val="00C55F2A"/>
    <w:rsid w:val="00C62791"/>
    <w:rsid w:val="00C647CD"/>
    <w:rsid w:val="00C66B50"/>
    <w:rsid w:val="00C67525"/>
    <w:rsid w:val="00C67759"/>
    <w:rsid w:val="00C679F4"/>
    <w:rsid w:val="00C73089"/>
    <w:rsid w:val="00C73F56"/>
    <w:rsid w:val="00C84E4F"/>
    <w:rsid w:val="00C86EA5"/>
    <w:rsid w:val="00C86EB1"/>
    <w:rsid w:val="00C91091"/>
    <w:rsid w:val="00C92A6D"/>
    <w:rsid w:val="00C92E0A"/>
    <w:rsid w:val="00C9379A"/>
    <w:rsid w:val="00C94D90"/>
    <w:rsid w:val="00C951DC"/>
    <w:rsid w:val="00C95E6C"/>
    <w:rsid w:val="00CA1321"/>
    <w:rsid w:val="00CA394A"/>
    <w:rsid w:val="00CA4E13"/>
    <w:rsid w:val="00CA565F"/>
    <w:rsid w:val="00CA7EA4"/>
    <w:rsid w:val="00CB03C2"/>
    <w:rsid w:val="00CB153A"/>
    <w:rsid w:val="00CB3A2C"/>
    <w:rsid w:val="00CB4B74"/>
    <w:rsid w:val="00CB6133"/>
    <w:rsid w:val="00CB616E"/>
    <w:rsid w:val="00CB6730"/>
    <w:rsid w:val="00CB6B66"/>
    <w:rsid w:val="00CB6B6A"/>
    <w:rsid w:val="00CB77AB"/>
    <w:rsid w:val="00CD3B0C"/>
    <w:rsid w:val="00CD4F5D"/>
    <w:rsid w:val="00CE5121"/>
    <w:rsid w:val="00CE6A59"/>
    <w:rsid w:val="00CE7021"/>
    <w:rsid w:val="00CF07FD"/>
    <w:rsid w:val="00CF134C"/>
    <w:rsid w:val="00CF1C5E"/>
    <w:rsid w:val="00CF227B"/>
    <w:rsid w:val="00CF4396"/>
    <w:rsid w:val="00CF4E3A"/>
    <w:rsid w:val="00CF6646"/>
    <w:rsid w:val="00CF74E0"/>
    <w:rsid w:val="00D00A5C"/>
    <w:rsid w:val="00D01D5D"/>
    <w:rsid w:val="00D05A0A"/>
    <w:rsid w:val="00D05FDA"/>
    <w:rsid w:val="00D07D43"/>
    <w:rsid w:val="00D114C4"/>
    <w:rsid w:val="00D13BAA"/>
    <w:rsid w:val="00D211CA"/>
    <w:rsid w:val="00D22D26"/>
    <w:rsid w:val="00D23105"/>
    <w:rsid w:val="00D23716"/>
    <w:rsid w:val="00D24629"/>
    <w:rsid w:val="00D2673C"/>
    <w:rsid w:val="00D26BFF"/>
    <w:rsid w:val="00D30451"/>
    <w:rsid w:val="00D32A7D"/>
    <w:rsid w:val="00D33F64"/>
    <w:rsid w:val="00D34F06"/>
    <w:rsid w:val="00D35291"/>
    <w:rsid w:val="00D37769"/>
    <w:rsid w:val="00D37C2D"/>
    <w:rsid w:val="00D408D9"/>
    <w:rsid w:val="00D41DAB"/>
    <w:rsid w:val="00D431A2"/>
    <w:rsid w:val="00D448D9"/>
    <w:rsid w:val="00D44A55"/>
    <w:rsid w:val="00D44C2E"/>
    <w:rsid w:val="00D4544A"/>
    <w:rsid w:val="00D469C0"/>
    <w:rsid w:val="00D503E1"/>
    <w:rsid w:val="00D52400"/>
    <w:rsid w:val="00D52594"/>
    <w:rsid w:val="00D52BEC"/>
    <w:rsid w:val="00D57309"/>
    <w:rsid w:val="00D57644"/>
    <w:rsid w:val="00D602F1"/>
    <w:rsid w:val="00D60AAA"/>
    <w:rsid w:val="00D60C38"/>
    <w:rsid w:val="00D6388A"/>
    <w:rsid w:val="00D6449A"/>
    <w:rsid w:val="00D64945"/>
    <w:rsid w:val="00D65965"/>
    <w:rsid w:val="00D65F38"/>
    <w:rsid w:val="00D665C6"/>
    <w:rsid w:val="00D66BCF"/>
    <w:rsid w:val="00D66DF0"/>
    <w:rsid w:val="00D72036"/>
    <w:rsid w:val="00D74916"/>
    <w:rsid w:val="00D7592A"/>
    <w:rsid w:val="00D76B2E"/>
    <w:rsid w:val="00D77281"/>
    <w:rsid w:val="00D81685"/>
    <w:rsid w:val="00D8198E"/>
    <w:rsid w:val="00D84EFB"/>
    <w:rsid w:val="00D84FF1"/>
    <w:rsid w:val="00D86546"/>
    <w:rsid w:val="00D8699E"/>
    <w:rsid w:val="00D8771A"/>
    <w:rsid w:val="00D90448"/>
    <w:rsid w:val="00D90ACA"/>
    <w:rsid w:val="00D9113E"/>
    <w:rsid w:val="00D9150B"/>
    <w:rsid w:val="00D91979"/>
    <w:rsid w:val="00D92562"/>
    <w:rsid w:val="00D94D79"/>
    <w:rsid w:val="00D951AB"/>
    <w:rsid w:val="00D95326"/>
    <w:rsid w:val="00D9742D"/>
    <w:rsid w:val="00DA1FA5"/>
    <w:rsid w:val="00DA3323"/>
    <w:rsid w:val="00DA4A2B"/>
    <w:rsid w:val="00DB0086"/>
    <w:rsid w:val="00DB02B8"/>
    <w:rsid w:val="00DB40E5"/>
    <w:rsid w:val="00DB7660"/>
    <w:rsid w:val="00DB780C"/>
    <w:rsid w:val="00DB7F95"/>
    <w:rsid w:val="00DD0A5E"/>
    <w:rsid w:val="00DD318C"/>
    <w:rsid w:val="00DD4AC7"/>
    <w:rsid w:val="00DE00E2"/>
    <w:rsid w:val="00DE2D27"/>
    <w:rsid w:val="00DE33BF"/>
    <w:rsid w:val="00DE62CA"/>
    <w:rsid w:val="00DF0F9A"/>
    <w:rsid w:val="00DF12F7"/>
    <w:rsid w:val="00DF1AB0"/>
    <w:rsid w:val="00DF5CDD"/>
    <w:rsid w:val="00E000F4"/>
    <w:rsid w:val="00E01006"/>
    <w:rsid w:val="00E01674"/>
    <w:rsid w:val="00E0406D"/>
    <w:rsid w:val="00E05E04"/>
    <w:rsid w:val="00E10C3E"/>
    <w:rsid w:val="00E11984"/>
    <w:rsid w:val="00E13701"/>
    <w:rsid w:val="00E14F63"/>
    <w:rsid w:val="00E1520D"/>
    <w:rsid w:val="00E15C86"/>
    <w:rsid w:val="00E16771"/>
    <w:rsid w:val="00E16CAE"/>
    <w:rsid w:val="00E177B5"/>
    <w:rsid w:val="00E204C6"/>
    <w:rsid w:val="00E228B0"/>
    <w:rsid w:val="00E23CFF"/>
    <w:rsid w:val="00E23F70"/>
    <w:rsid w:val="00E24E2A"/>
    <w:rsid w:val="00E252B9"/>
    <w:rsid w:val="00E27E81"/>
    <w:rsid w:val="00E355F1"/>
    <w:rsid w:val="00E35684"/>
    <w:rsid w:val="00E35B37"/>
    <w:rsid w:val="00E42AAE"/>
    <w:rsid w:val="00E43526"/>
    <w:rsid w:val="00E50228"/>
    <w:rsid w:val="00E5022E"/>
    <w:rsid w:val="00E50FA4"/>
    <w:rsid w:val="00E54BA8"/>
    <w:rsid w:val="00E60660"/>
    <w:rsid w:val="00E64A57"/>
    <w:rsid w:val="00E657FC"/>
    <w:rsid w:val="00E65A4C"/>
    <w:rsid w:val="00E66914"/>
    <w:rsid w:val="00E726ED"/>
    <w:rsid w:val="00E745DE"/>
    <w:rsid w:val="00E74B3E"/>
    <w:rsid w:val="00E759B3"/>
    <w:rsid w:val="00E82144"/>
    <w:rsid w:val="00E828FA"/>
    <w:rsid w:val="00E8422E"/>
    <w:rsid w:val="00E844AB"/>
    <w:rsid w:val="00E85E66"/>
    <w:rsid w:val="00E87A5E"/>
    <w:rsid w:val="00E90849"/>
    <w:rsid w:val="00E90A92"/>
    <w:rsid w:val="00E90E6D"/>
    <w:rsid w:val="00E94D31"/>
    <w:rsid w:val="00EA2588"/>
    <w:rsid w:val="00EA3898"/>
    <w:rsid w:val="00EA52CF"/>
    <w:rsid w:val="00EA75E7"/>
    <w:rsid w:val="00EB082C"/>
    <w:rsid w:val="00EB1E66"/>
    <w:rsid w:val="00EB338C"/>
    <w:rsid w:val="00EB4421"/>
    <w:rsid w:val="00EB681F"/>
    <w:rsid w:val="00EB6F55"/>
    <w:rsid w:val="00EC06E6"/>
    <w:rsid w:val="00EC11AD"/>
    <w:rsid w:val="00EC4770"/>
    <w:rsid w:val="00EC7BFB"/>
    <w:rsid w:val="00ED3B60"/>
    <w:rsid w:val="00ED435A"/>
    <w:rsid w:val="00EE2BCD"/>
    <w:rsid w:val="00EE3D44"/>
    <w:rsid w:val="00EE498A"/>
    <w:rsid w:val="00EF07BA"/>
    <w:rsid w:val="00EF2458"/>
    <w:rsid w:val="00EF3C1A"/>
    <w:rsid w:val="00EF723C"/>
    <w:rsid w:val="00F02AD8"/>
    <w:rsid w:val="00F03E78"/>
    <w:rsid w:val="00F043CB"/>
    <w:rsid w:val="00F04603"/>
    <w:rsid w:val="00F04E95"/>
    <w:rsid w:val="00F05529"/>
    <w:rsid w:val="00F058FA"/>
    <w:rsid w:val="00F10C1F"/>
    <w:rsid w:val="00F10E61"/>
    <w:rsid w:val="00F125B2"/>
    <w:rsid w:val="00F13D1C"/>
    <w:rsid w:val="00F14CC5"/>
    <w:rsid w:val="00F152A2"/>
    <w:rsid w:val="00F161AD"/>
    <w:rsid w:val="00F16DBE"/>
    <w:rsid w:val="00F17A6C"/>
    <w:rsid w:val="00F17ED7"/>
    <w:rsid w:val="00F20CDF"/>
    <w:rsid w:val="00F22C45"/>
    <w:rsid w:val="00F2314D"/>
    <w:rsid w:val="00F234BF"/>
    <w:rsid w:val="00F24A6E"/>
    <w:rsid w:val="00F270B6"/>
    <w:rsid w:val="00F303A1"/>
    <w:rsid w:val="00F318AD"/>
    <w:rsid w:val="00F31A4E"/>
    <w:rsid w:val="00F31BEF"/>
    <w:rsid w:val="00F33810"/>
    <w:rsid w:val="00F34EA0"/>
    <w:rsid w:val="00F40195"/>
    <w:rsid w:val="00F4098D"/>
    <w:rsid w:val="00F40EED"/>
    <w:rsid w:val="00F4142D"/>
    <w:rsid w:val="00F46CE8"/>
    <w:rsid w:val="00F50CC2"/>
    <w:rsid w:val="00F50FF3"/>
    <w:rsid w:val="00F51458"/>
    <w:rsid w:val="00F51504"/>
    <w:rsid w:val="00F539AB"/>
    <w:rsid w:val="00F553EF"/>
    <w:rsid w:val="00F557D5"/>
    <w:rsid w:val="00F61FC8"/>
    <w:rsid w:val="00F63B78"/>
    <w:rsid w:val="00F64806"/>
    <w:rsid w:val="00F71538"/>
    <w:rsid w:val="00F7271F"/>
    <w:rsid w:val="00F72F9A"/>
    <w:rsid w:val="00F7412B"/>
    <w:rsid w:val="00F76380"/>
    <w:rsid w:val="00F765C1"/>
    <w:rsid w:val="00F76726"/>
    <w:rsid w:val="00F820B5"/>
    <w:rsid w:val="00F829AF"/>
    <w:rsid w:val="00F84743"/>
    <w:rsid w:val="00F85036"/>
    <w:rsid w:val="00F90494"/>
    <w:rsid w:val="00F9270A"/>
    <w:rsid w:val="00F957E5"/>
    <w:rsid w:val="00F95B65"/>
    <w:rsid w:val="00F96B2B"/>
    <w:rsid w:val="00F97D0D"/>
    <w:rsid w:val="00F97F00"/>
    <w:rsid w:val="00FA6D7F"/>
    <w:rsid w:val="00FA79E5"/>
    <w:rsid w:val="00FA7C1F"/>
    <w:rsid w:val="00FA7F94"/>
    <w:rsid w:val="00FB0DE4"/>
    <w:rsid w:val="00FB214D"/>
    <w:rsid w:val="00FB30C0"/>
    <w:rsid w:val="00FB67D0"/>
    <w:rsid w:val="00FB789D"/>
    <w:rsid w:val="00FC3CEF"/>
    <w:rsid w:val="00FC74FC"/>
    <w:rsid w:val="00FC7B01"/>
    <w:rsid w:val="00FD0445"/>
    <w:rsid w:val="00FD0FCC"/>
    <w:rsid w:val="00FD3616"/>
    <w:rsid w:val="00FD5ADD"/>
    <w:rsid w:val="00FE07FB"/>
    <w:rsid w:val="00FE0C74"/>
    <w:rsid w:val="00FE19A9"/>
    <w:rsid w:val="00FE31C3"/>
    <w:rsid w:val="00FE3A52"/>
    <w:rsid w:val="00FE74A8"/>
    <w:rsid w:val="00FF02B4"/>
    <w:rsid w:val="00FF2A84"/>
    <w:rsid w:val="00FF5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8EA"/>
    <w:pPr>
      <w:autoSpaceDE w:val="0"/>
      <w:autoSpaceDN w:val="0"/>
    </w:pPr>
    <w:rPr>
      <w:sz w:val="24"/>
      <w:szCs w:val="24"/>
    </w:rPr>
  </w:style>
  <w:style w:type="paragraph" w:styleId="Heading1">
    <w:name w:val="heading 1"/>
    <w:basedOn w:val="Normal"/>
    <w:next w:val="Normal"/>
    <w:qFormat/>
    <w:rsid w:val="008918E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8918E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8918E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8918E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8918EA"/>
    <w:pPr>
      <w:keepNext/>
      <w:spacing w:line="480" w:lineRule="auto"/>
      <w:jc w:val="center"/>
      <w:outlineLvl w:val="4"/>
    </w:pPr>
    <w:rPr>
      <w:b/>
      <w:bCs/>
    </w:rPr>
  </w:style>
  <w:style w:type="paragraph" w:styleId="Heading6">
    <w:name w:val="heading 6"/>
    <w:basedOn w:val="Normal"/>
    <w:next w:val="Normal"/>
    <w:qFormat/>
    <w:rsid w:val="008918E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8918EA"/>
    <w:pPr>
      <w:keepNext/>
      <w:tabs>
        <w:tab w:val="left" w:pos="1260"/>
      </w:tabs>
      <w:jc w:val="right"/>
      <w:outlineLvl w:val="6"/>
    </w:pPr>
    <w:rPr>
      <w:sz w:val="20"/>
      <w:szCs w:val="20"/>
    </w:rPr>
  </w:style>
  <w:style w:type="paragraph" w:styleId="Heading8">
    <w:name w:val="heading 8"/>
    <w:basedOn w:val="Normal"/>
    <w:next w:val="Normal"/>
    <w:qFormat/>
    <w:rsid w:val="008918E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8918E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8EA"/>
    <w:pPr>
      <w:tabs>
        <w:tab w:val="center" w:pos="4320"/>
        <w:tab w:val="right" w:pos="8640"/>
      </w:tabs>
    </w:pPr>
  </w:style>
  <w:style w:type="paragraph" w:styleId="Footer">
    <w:name w:val="footer"/>
    <w:basedOn w:val="Normal"/>
    <w:rsid w:val="008918EA"/>
    <w:pPr>
      <w:tabs>
        <w:tab w:val="center" w:pos="4320"/>
        <w:tab w:val="right" w:pos="8640"/>
      </w:tabs>
    </w:pPr>
  </w:style>
  <w:style w:type="character" w:styleId="PageNumber">
    <w:name w:val="page number"/>
    <w:basedOn w:val="DefaultParagraphFont"/>
    <w:rsid w:val="008918EA"/>
    <w:rPr>
      <w:rFonts w:ascii="Times New Roman" w:hAnsi="Times New Roman" w:cs="Times New Roman"/>
      <w:sz w:val="24"/>
      <w:szCs w:val="24"/>
    </w:rPr>
  </w:style>
  <w:style w:type="character" w:styleId="LineNumber">
    <w:name w:val="line number"/>
    <w:basedOn w:val="DefaultParagraphFont"/>
    <w:rsid w:val="008918EA"/>
    <w:rPr>
      <w:rFonts w:ascii="Times New Roman" w:hAnsi="Times New Roman" w:cs="Times New Roman"/>
      <w:sz w:val="24"/>
      <w:szCs w:val="24"/>
    </w:rPr>
  </w:style>
  <w:style w:type="paragraph" w:styleId="BodyText2">
    <w:name w:val="Body Text 2"/>
    <w:basedOn w:val="Normal"/>
    <w:link w:val="BodyText2Char"/>
    <w:uiPriority w:val="99"/>
    <w:rsid w:val="008918EA"/>
    <w:pPr>
      <w:spacing w:line="480" w:lineRule="auto"/>
      <w:jc w:val="both"/>
    </w:pPr>
  </w:style>
  <w:style w:type="paragraph" w:styleId="BodyTextIndent2">
    <w:name w:val="Body Text Indent 2"/>
    <w:basedOn w:val="Normal"/>
    <w:rsid w:val="008918EA"/>
    <w:pPr>
      <w:tabs>
        <w:tab w:val="left" w:pos="1260"/>
      </w:tabs>
      <w:spacing w:line="480" w:lineRule="auto"/>
      <w:ind w:left="540" w:hanging="540"/>
      <w:jc w:val="both"/>
    </w:pPr>
  </w:style>
  <w:style w:type="paragraph" w:styleId="BodyTextIndent3">
    <w:name w:val="Body Text Indent 3"/>
    <w:basedOn w:val="Normal"/>
    <w:rsid w:val="008918EA"/>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qFormat/>
    <w:rsid w:val="008918EA"/>
    <w:rPr>
      <w:sz w:val="20"/>
      <w:szCs w:val="20"/>
    </w:rPr>
  </w:style>
  <w:style w:type="character" w:styleId="FootnoteReference">
    <w:name w:val="footnote reference"/>
    <w:aliases w:val="o,fr,Style 3"/>
    <w:basedOn w:val="DefaultParagraphFont"/>
    <w:uiPriority w:val="99"/>
    <w:qFormat/>
    <w:rsid w:val="008918EA"/>
    <w:rPr>
      <w:rFonts w:cs="Times New Roman"/>
      <w:vertAlign w:val="superscript"/>
    </w:rPr>
  </w:style>
  <w:style w:type="paragraph" w:styleId="BodyText">
    <w:name w:val="Body Text"/>
    <w:basedOn w:val="Normal"/>
    <w:link w:val="BodyTextChar"/>
    <w:rsid w:val="008918EA"/>
    <w:pPr>
      <w:spacing w:line="360" w:lineRule="auto"/>
      <w:jc w:val="center"/>
    </w:pPr>
    <w:rPr>
      <w:b/>
      <w:bCs/>
    </w:rPr>
  </w:style>
  <w:style w:type="paragraph" w:styleId="DocumentMap">
    <w:name w:val="Document Map"/>
    <w:basedOn w:val="Normal"/>
    <w:rsid w:val="008918EA"/>
    <w:pPr>
      <w:shd w:val="clear" w:color="auto" w:fill="000080"/>
    </w:pPr>
    <w:rPr>
      <w:rFonts w:ascii="Tahoma" w:hAnsi="Tahoma" w:cs="Tahoma"/>
    </w:rPr>
  </w:style>
  <w:style w:type="paragraph" w:customStyle="1" w:styleId="TestBody">
    <w:name w:val="Test Body"/>
    <w:rsid w:val="008918E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8918EA"/>
    <w:pPr>
      <w:numPr>
        <w:numId w:val="1"/>
      </w:numPr>
    </w:pPr>
  </w:style>
  <w:style w:type="paragraph" w:styleId="BodyText3">
    <w:name w:val="Body Text 3"/>
    <w:basedOn w:val="Normal"/>
    <w:rsid w:val="008918EA"/>
    <w:pPr>
      <w:suppressAutoHyphens/>
      <w:spacing w:line="480" w:lineRule="auto"/>
      <w:ind w:right="-360"/>
    </w:pPr>
    <w:rPr>
      <w:b/>
      <w:bCs/>
    </w:rPr>
  </w:style>
  <w:style w:type="paragraph" w:customStyle="1" w:styleId="P24">
    <w:name w:val="P24"/>
    <w:basedOn w:val="Normal"/>
    <w:hidden/>
    <w:rsid w:val="005540EB"/>
    <w:pPr>
      <w:widowControl w:val="0"/>
      <w:tabs>
        <w:tab w:val="left" w:pos="810"/>
      </w:tabs>
      <w:adjustRightInd w:val="0"/>
    </w:pPr>
    <w:rPr>
      <w:rFonts w:ascii="Courier" w:hAnsi="Courier" w:cs="Courier"/>
      <w:szCs w:val="20"/>
    </w:rPr>
  </w:style>
  <w:style w:type="paragraph" w:customStyle="1" w:styleId="P25">
    <w:name w:val="P25"/>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27">
    <w:name w:val="P27"/>
    <w:basedOn w:val="Normal"/>
    <w:hidden/>
    <w:rsid w:val="005540EB"/>
    <w:pPr>
      <w:widowControl w:val="0"/>
      <w:tabs>
        <w:tab w:val="left" w:pos="810"/>
        <w:tab w:val="left" w:pos="1440"/>
        <w:tab w:val="left" w:pos="3060"/>
        <w:tab w:val="left" w:pos="6120"/>
        <w:tab w:val="left" w:pos="8011"/>
      </w:tabs>
      <w:adjustRightInd w:val="0"/>
      <w:spacing w:line="480" w:lineRule="auto"/>
    </w:pPr>
    <w:rPr>
      <w:rFonts w:ascii="Courier" w:hAnsi="Courier" w:cs="Courier"/>
      <w:sz w:val="20"/>
      <w:szCs w:val="20"/>
      <w:u w:val="single"/>
    </w:rPr>
  </w:style>
  <w:style w:type="paragraph" w:customStyle="1" w:styleId="P31">
    <w:name w:val="P31"/>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43">
    <w:name w:val="P43"/>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44">
    <w:name w:val="P44"/>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szCs w:val="20"/>
    </w:rPr>
  </w:style>
  <w:style w:type="paragraph" w:customStyle="1" w:styleId="P47">
    <w:name w:val="P47"/>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3">
    <w:name w:val="P63"/>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5">
    <w:name w:val="P65"/>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70">
    <w:name w:val="P70"/>
    <w:basedOn w:val="Normal"/>
    <w:hidden/>
    <w:rsid w:val="005540EB"/>
    <w:pPr>
      <w:widowControl w:val="0"/>
      <w:tabs>
        <w:tab w:val="left" w:pos="1440"/>
      </w:tabs>
      <w:adjustRightInd w:val="0"/>
      <w:spacing w:line="480" w:lineRule="auto"/>
      <w:ind w:firstLine="720"/>
    </w:pPr>
    <w:rPr>
      <w:rFonts w:ascii="Courier" w:hAnsi="Courier" w:cs="Courier"/>
      <w:b/>
      <w:szCs w:val="20"/>
    </w:rPr>
  </w:style>
  <w:style w:type="paragraph" w:customStyle="1" w:styleId="P72">
    <w:name w:val="P72"/>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rPr>
  </w:style>
  <w:style w:type="paragraph" w:customStyle="1" w:styleId="P83">
    <w:name w:val="P83"/>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u w:val="single"/>
    </w:rPr>
  </w:style>
  <w:style w:type="paragraph" w:customStyle="1" w:styleId="P84">
    <w:name w:val="P8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85">
    <w:name w:val="P85"/>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101">
    <w:name w:val="P101"/>
    <w:basedOn w:val="Normal"/>
    <w:hidden/>
    <w:rsid w:val="005540EB"/>
    <w:pPr>
      <w:widowControl w:val="0"/>
      <w:tabs>
        <w:tab w:val="left" w:pos="810"/>
        <w:tab w:val="left" w:pos="1440"/>
      </w:tabs>
      <w:adjustRightInd w:val="0"/>
    </w:pPr>
    <w:rPr>
      <w:rFonts w:ascii="Courier" w:hAnsi="Courier" w:cs="Courier"/>
      <w:szCs w:val="20"/>
    </w:rPr>
  </w:style>
  <w:style w:type="paragraph" w:customStyle="1" w:styleId="P105">
    <w:name w:val="P105"/>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06">
    <w:name w:val="P106"/>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17">
    <w:name w:val="P117"/>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123">
    <w:name w:val="P123"/>
    <w:basedOn w:val="Normal"/>
    <w:hidden/>
    <w:rsid w:val="005540EB"/>
    <w:pPr>
      <w:widowControl w:val="0"/>
      <w:tabs>
        <w:tab w:val="left" w:pos="810"/>
        <w:tab w:val="left" w:pos="3690"/>
        <w:tab w:val="left" w:pos="5130"/>
        <w:tab w:val="left" w:pos="7021"/>
      </w:tabs>
      <w:adjustRightInd w:val="0"/>
      <w:spacing w:line="480" w:lineRule="auto"/>
      <w:ind w:firstLine="720"/>
    </w:pPr>
    <w:rPr>
      <w:rFonts w:ascii="Courier" w:hAnsi="Courier" w:cs="Courier"/>
      <w:szCs w:val="20"/>
    </w:rPr>
  </w:style>
  <w:style w:type="paragraph" w:customStyle="1" w:styleId="P124">
    <w:name w:val="P124"/>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126">
    <w:name w:val="P126"/>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27">
    <w:name w:val="P127"/>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128">
    <w:name w:val="P128"/>
    <w:basedOn w:val="Normal"/>
    <w:hidden/>
    <w:rsid w:val="005540EB"/>
    <w:pPr>
      <w:widowControl w:val="0"/>
      <w:tabs>
        <w:tab w:val="left" w:pos="0"/>
        <w:tab w:val="left" w:pos="90"/>
        <w:tab w:val="left" w:pos="720"/>
      </w:tabs>
      <w:adjustRightInd w:val="0"/>
      <w:spacing w:line="480" w:lineRule="auto"/>
      <w:ind w:left="720" w:hanging="720"/>
    </w:pPr>
    <w:rPr>
      <w:rFonts w:ascii="Courier" w:hAnsi="Courier" w:cs="Courier"/>
      <w:b/>
      <w:szCs w:val="20"/>
    </w:rPr>
  </w:style>
  <w:style w:type="paragraph" w:customStyle="1" w:styleId="P129">
    <w:name w:val="P129"/>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0">
    <w:name w:val="P130"/>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1">
    <w:name w:val="P131"/>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2">
    <w:name w:val="P132"/>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3">
    <w:name w:val="P133"/>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4">
    <w:name w:val="P13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6">
    <w:name w:val="P136"/>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7">
    <w:name w:val="P137"/>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8">
    <w:name w:val="P138"/>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9">
    <w:name w:val="P139"/>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1">
    <w:name w:val="P141"/>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8">
    <w:name w:val="P148"/>
    <w:basedOn w:val="Normal"/>
    <w:hidden/>
    <w:rsid w:val="005540EB"/>
    <w:pPr>
      <w:widowControl w:val="0"/>
      <w:tabs>
        <w:tab w:val="left" w:pos="2340"/>
      </w:tabs>
      <w:adjustRightInd w:val="0"/>
      <w:spacing w:line="480" w:lineRule="auto"/>
      <w:ind w:left="720"/>
    </w:pPr>
    <w:rPr>
      <w:rFonts w:ascii="Courier" w:hAnsi="Courier" w:cs="Courier"/>
      <w:b/>
      <w:szCs w:val="20"/>
    </w:rPr>
  </w:style>
  <w:style w:type="paragraph" w:customStyle="1" w:styleId="P155">
    <w:name w:val="P155"/>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6">
    <w:name w:val="P156"/>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7">
    <w:name w:val="P157"/>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8">
    <w:name w:val="P158"/>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9">
    <w:name w:val="P159"/>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0">
    <w:name w:val="P160"/>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1">
    <w:name w:val="P161"/>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2">
    <w:name w:val="P162"/>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3">
    <w:name w:val="P163"/>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4">
    <w:name w:val="P164"/>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5">
    <w:name w:val="P165"/>
    <w:basedOn w:val="Normal"/>
    <w:hidden/>
    <w:rsid w:val="005540EB"/>
    <w:pPr>
      <w:widowControl w:val="0"/>
      <w:tabs>
        <w:tab w:val="left" w:pos="3600"/>
      </w:tabs>
      <w:adjustRightInd w:val="0"/>
      <w:spacing w:line="480" w:lineRule="auto"/>
      <w:ind w:left="720"/>
    </w:pPr>
    <w:rPr>
      <w:rFonts w:ascii="Courier" w:hAnsi="Courier" w:cs="Courier"/>
      <w:szCs w:val="20"/>
    </w:rPr>
  </w:style>
  <w:style w:type="paragraph" w:customStyle="1" w:styleId="P166">
    <w:name w:val="P166"/>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67">
    <w:name w:val="P167"/>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72">
    <w:name w:val="P172"/>
    <w:basedOn w:val="Normal"/>
    <w:hidden/>
    <w:rsid w:val="005540EB"/>
    <w:pPr>
      <w:widowControl w:val="0"/>
      <w:tabs>
        <w:tab w:val="left" w:pos="1260"/>
      </w:tabs>
      <w:adjustRightInd w:val="0"/>
      <w:spacing w:line="480" w:lineRule="auto"/>
      <w:ind w:left="720"/>
    </w:pPr>
    <w:rPr>
      <w:rFonts w:ascii="Courier" w:hAnsi="Courier" w:cs="Courier"/>
      <w:szCs w:val="20"/>
    </w:rPr>
  </w:style>
  <w:style w:type="paragraph" w:customStyle="1" w:styleId="P175">
    <w:name w:val="P175"/>
    <w:basedOn w:val="Normal"/>
    <w:hidden/>
    <w:rsid w:val="005540EB"/>
    <w:pPr>
      <w:widowControl w:val="0"/>
      <w:tabs>
        <w:tab w:val="left" w:pos="1530"/>
      </w:tabs>
      <w:adjustRightInd w:val="0"/>
      <w:spacing w:line="480" w:lineRule="auto"/>
      <w:ind w:left="720"/>
    </w:pPr>
    <w:rPr>
      <w:rFonts w:ascii="Courier" w:hAnsi="Courier" w:cs="Courier"/>
      <w:szCs w:val="20"/>
    </w:rPr>
  </w:style>
  <w:style w:type="paragraph" w:customStyle="1" w:styleId="P176">
    <w:name w:val="P176"/>
    <w:basedOn w:val="Normal"/>
    <w:hidden/>
    <w:rsid w:val="005540EB"/>
    <w:pPr>
      <w:widowControl w:val="0"/>
      <w:tabs>
        <w:tab w:val="left" w:pos="-3780"/>
        <w:tab w:val="left" w:pos="90"/>
        <w:tab w:val="left" w:pos="720"/>
      </w:tabs>
      <w:adjustRightInd w:val="0"/>
      <w:spacing w:line="480" w:lineRule="auto"/>
      <w:ind w:left="720"/>
    </w:pPr>
    <w:rPr>
      <w:rFonts w:ascii="Courier" w:hAnsi="Courier" w:cs="Courier"/>
      <w:szCs w:val="20"/>
    </w:rPr>
  </w:style>
  <w:style w:type="paragraph" w:customStyle="1" w:styleId="P177">
    <w:name w:val="P177"/>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78">
    <w:name w:val="P178"/>
    <w:basedOn w:val="Normal"/>
    <w:hidden/>
    <w:rsid w:val="005540EB"/>
    <w:pPr>
      <w:widowControl w:val="0"/>
      <w:tabs>
        <w:tab w:val="left" w:pos="1260"/>
      </w:tabs>
      <w:adjustRightInd w:val="0"/>
      <w:spacing w:line="480" w:lineRule="auto"/>
    </w:pPr>
    <w:rPr>
      <w:rFonts w:ascii="Courier" w:hAnsi="Courier" w:cs="Courier"/>
      <w:b/>
      <w:szCs w:val="20"/>
    </w:rPr>
  </w:style>
  <w:style w:type="paragraph" w:customStyle="1" w:styleId="P179">
    <w:name w:val="P179"/>
    <w:basedOn w:val="Normal"/>
    <w:hidden/>
    <w:rsid w:val="005540EB"/>
    <w:pPr>
      <w:widowControl w:val="0"/>
      <w:tabs>
        <w:tab w:val="left" w:pos="1260"/>
      </w:tabs>
      <w:adjustRightInd w:val="0"/>
      <w:spacing w:line="480" w:lineRule="auto"/>
      <w:ind w:left="2325"/>
    </w:pPr>
    <w:rPr>
      <w:rFonts w:ascii="Courier" w:hAnsi="Courier" w:cs="Courier"/>
      <w:b/>
      <w:szCs w:val="20"/>
    </w:rPr>
  </w:style>
  <w:style w:type="paragraph" w:customStyle="1" w:styleId="P190">
    <w:name w:val="P190"/>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203">
    <w:name w:val="P203"/>
    <w:basedOn w:val="Normal"/>
    <w:hidden/>
    <w:rsid w:val="005540EB"/>
    <w:pPr>
      <w:widowControl w:val="0"/>
      <w:tabs>
        <w:tab w:val="left" w:pos="810"/>
        <w:tab w:val="left" w:pos="1440"/>
        <w:tab w:val="left" w:pos="1880"/>
      </w:tabs>
      <w:adjustRightInd w:val="0"/>
      <w:spacing w:line="480" w:lineRule="auto"/>
      <w:ind w:firstLine="720"/>
    </w:pPr>
    <w:rPr>
      <w:rFonts w:ascii="Courier" w:hAnsi="Courier" w:cs="Courier"/>
      <w:szCs w:val="20"/>
    </w:rPr>
  </w:style>
  <w:style w:type="paragraph" w:customStyle="1" w:styleId="P204">
    <w:name w:val="P204"/>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szCs w:val="20"/>
    </w:rPr>
  </w:style>
  <w:style w:type="paragraph" w:customStyle="1" w:styleId="P208">
    <w:name w:val="P208"/>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209">
    <w:name w:val="P209"/>
    <w:basedOn w:val="Normal"/>
    <w:hidden/>
    <w:rsid w:val="005540EB"/>
    <w:pPr>
      <w:widowControl w:val="0"/>
      <w:tabs>
        <w:tab w:val="left" w:pos="810"/>
        <w:tab w:val="left" w:pos="1440"/>
        <w:tab w:val="left" w:pos="4230"/>
        <w:tab w:val="left" w:pos="5760"/>
      </w:tabs>
      <w:adjustRightInd w:val="0"/>
      <w:spacing w:line="480" w:lineRule="auto"/>
      <w:ind w:firstLine="720"/>
    </w:pPr>
    <w:rPr>
      <w:rFonts w:ascii="Courier" w:hAnsi="Courier" w:cs="Courier"/>
      <w:szCs w:val="20"/>
    </w:rPr>
  </w:style>
  <w:style w:type="paragraph" w:customStyle="1" w:styleId="P214">
    <w:name w:val="P214"/>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szCs w:val="20"/>
    </w:rPr>
  </w:style>
  <w:style w:type="paragraph" w:customStyle="1" w:styleId="P233">
    <w:name w:val="P233"/>
    <w:basedOn w:val="Normal"/>
    <w:hidden/>
    <w:rsid w:val="005540EB"/>
    <w:pPr>
      <w:widowControl w:val="0"/>
      <w:tabs>
        <w:tab w:val="left" w:pos="810"/>
        <w:tab w:val="left" w:pos="1080"/>
        <w:tab w:val="left" w:pos="1440"/>
        <w:tab w:val="left" w:pos="1880"/>
        <w:tab w:val="left" w:pos="7291"/>
        <w:tab w:val="right" w:pos="8550"/>
      </w:tabs>
      <w:adjustRightInd w:val="0"/>
      <w:spacing w:line="480" w:lineRule="auto"/>
      <w:ind w:firstLine="720"/>
    </w:pPr>
    <w:rPr>
      <w:rFonts w:ascii="Courier" w:hAnsi="Courier" w:cs="Courier"/>
      <w:sz w:val="22"/>
      <w:szCs w:val="20"/>
    </w:rPr>
  </w:style>
  <w:style w:type="paragraph" w:customStyle="1" w:styleId="P234">
    <w:name w:val="P234"/>
    <w:basedOn w:val="Normal"/>
    <w:hidden/>
    <w:rsid w:val="005540EB"/>
    <w:pPr>
      <w:widowControl w:val="0"/>
      <w:tabs>
        <w:tab w:val="left" w:pos="810"/>
        <w:tab w:val="left" w:pos="1080"/>
        <w:tab w:val="left" w:pos="1440"/>
        <w:tab w:val="left" w:pos="1880"/>
        <w:tab w:val="left" w:pos="2520"/>
        <w:tab w:val="left" w:pos="7291"/>
        <w:tab w:val="right" w:pos="8550"/>
      </w:tabs>
      <w:adjustRightInd w:val="0"/>
      <w:spacing w:line="480" w:lineRule="auto"/>
      <w:ind w:firstLine="720"/>
    </w:pPr>
    <w:rPr>
      <w:rFonts w:ascii="Courier" w:hAnsi="Courier" w:cs="Courier"/>
      <w:sz w:val="22"/>
      <w:szCs w:val="20"/>
    </w:rPr>
  </w:style>
  <w:style w:type="paragraph" w:customStyle="1" w:styleId="P238">
    <w:name w:val="P238"/>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rPr>
  </w:style>
  <w:style w:type="paragraph" w:customStyle="1" w:styleId="P240">
    <w:name w:val="P240"/>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242">
    <w:name w:val="P242"/>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b/>
      <w:szCs w:val="20"/>
    </w:rPr>
  </w:style>
  <w:style w:type="paragraph" w:customStyle="1" w:styleId="P246">
    <w:name w:val="P246"/>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u w:val="single"/>
    </w:rPr>
  </w:style>
  <w:style w:type="paragraph" w:customStyle="1" w:styleId="P249">
    <w:name w:val="P249"/>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252">
    <w:name w:val="P252"/>
    <w:basedOn w:val="Normal"/>
    <w:hidden/>
    <w:rsid w:val="005540EB"/>
    <w:pPr>
      <w:widowControl w:val="0"/>
      <w:tabs>
        <w:tab w:val="left" w:pos="810"/>
        <w:tab w:val="left" w:pos="1440"/>
        <w:tab w:val="left" w:pos="4230"/>
        <w:tab w:val="left" w:pos="5760"/>
      </w:tabs>
      <w:adjustRightInd w:val="0"/>
      <w:spacing w:line="480" w:lineRule="auto"/>
    </w:pPr>
    <w:rPr>
      <w:rFonts w:ascii="Courier" w:hAnsi="Courier" w:cs="Courier"/>
      <w:b/>
      <w:szCs w:val="20"/>
      <w:u w:val="single"/>
    </w:rPr>
  </w:style>
  <w:style w:type="paragraph" w:customStyle="1" w:styleId="P253">
    <w:name w:val="P253"/>
    <w:basedOn w:val="Normal"/>
    <w:hidden/>
    <w:rsid w:val="005540EB"/>
    <w:pPr>
      <w:widowControl w:val="0"/>
      <w:tabs>
        <w:tab w:val="left" w:pos="810"/>
        <w:tab w:val="left" w:pos="1440"/>
        <w:tab w:val="left" w:pos="1880"/>
        <w:tab w:val="left" w:pos="2520"/>
      </w:tabs>
      <w:adjustRightInd w:val="0"/>
      <w:spacing w:line="480" w:lineRule="auto"/>
    </w:pPr>
    <w:rPr>
      <w:rFonts w:ascii="Courier" w:hAnsi="Courier" w:cs="Courier"/>
      <w:b/>
      <w:szCs w:val="20"/>
      <w:u w:val="single"/>
    </w:rPr>
  </w:style>
  <w:style w:type="paragraph" w:customStyle="1" w:styleId="P257">
    <w:name w:val="P257"/>
    <w:basedOn w:val="Normal"/>
    <w:hidden/>
    <w:rsid w:val="005540EB"/>
    <w:pPr>
      <w:widowControl w:val="0"/>
      <w:tabs>
        <w:tab w:val="left" w:pos="1440"/>
      </w:tabs>
      <w:adjustRightInd w:val="0"/>
      <w:spacing w:line="480" w:lineRule="auto"/>
    </w:pPr>
    <w:rPr>
      <w:rFonts w:ascii="Palatino" w:hAnsi="Palatino" w:cs="Palatino"/>
      <w:szCs w:val="20"/>
    </w:rPr>
  </w:style>
  <w:style w:type="paragraph" w:customStyle="1" w:styleId="P258">
    <w:name w:val="P258"/>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260">
    <w:name w:val="P260"/>
    <w:basedOn w:val="Normal"/>
    <w:hidden/>
    <w:rsid w:val="005540EB"/>
    <w:pPr>
      <w:widowControl w:val="0"/>
      <w:tabs>
        <w:tab w:val="left" w:pos="810"/>
        <w:tab w:val="left" w:pos="1440"/>
      </w:tabs>
      <w:adjustRightInd w:val="0"/>
      <w:spacing w:line="480" w:lineRule="auto"/>
    </w:pPr>
    <w:rPr>
      <w:rFonts w:ascii="Courier" w:hAnsi="Courier" w:cs="Courier"/>
      <w:b/>
      <w:szCs w:val="20"/>
    </w:rPr>
  </w:style>
  <w:style w:type="paragraph" w:customStyle="1" w:styleId="P266">
    <w:name w:val="P266"/>
    <w:basedOn w:val="Normal"/>
    <w:hidden/>
    <w:rsid w:val="005540EB"/>
    <w:pPr>
      <w:widowControl w:val="0"/>
      <w:tabs>
        <w:tab w:val="left" w:pos="720"/>
        <w:tab w:val="left" w:pos="810"/>
        <w:tab w:val="left" w:pos="1440"/>
        <w:tab w:val="center" w:pos="5040"/>
        <w:tab w:val="center" w:pos="6480"/>
        <w:tab w:val="center" w:pos="7920"/>
      </w:tabs>
      <w:adjustRightInd w:val="0"/>
      <w:spacing w:line="480" w:lineRule="auto"/>
    </w:pPr>
    <w:rPr>
      <w:rFonts w:ascii="Courier" w:hAnsi="Courier" w:cs="Courier"/>
      <w:b/>
      <w:szCs w:val="20"/>
      <w:u w:val="single"/>
    </w:rPr>
  </w:style>
  <w:style w:type="paragraph" w:customStyle="1" w:styleId="P267">
    <w:name w:val="P267"/>
    <w:basedOn w:val="Normal"/>
    <w:hidden/>
    <w:rsid w:val="005540EB"/>
    <w:pPr>
      <w:widowControl w:val="0"/>
      <w:tabs>
        <w:tab w:val="left" w:pos="360"/>
        <w:tab w:val="left" w:pos="450"/>
        <w:tab w:val="left" w:pos="720"/>
        <w:tab w:val="left" w:pos="1080"/>
        <w:tab w:val="center" w:pos="4680"/>
        <w:tab w:val="center" w:pos="5040"/>
        <w:tab w:val="center" w:pos="6120"/>
        <w:tab w:val="center" w:pos="6480"/>
        <w:tab w:val="center" w:pos="7560"/>
        <w:tab w:val="center" w:pos="7920"/>
      </w:tabs>
      <w:adjustRightInd w:val="0"/>
      <w:spacing w:line="480" w:lineRule="auto"/>
      <w:ind w:left="360"/>
    </w:pPr>
    <w:rPr>
      <w:rFonts w:ascii="Courier" w:hAnsi="Courier" w:cs="Courier"/>
      <w:b/>
      <w:szCs w:val="20"/>
      <w:u w:val="single"/>
    </w:rPr>
  </w:style>
  <w:style w:type="paragraph" w:customStyle="1" w:styleId="P268">
    <w:name w:val="P268"/>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u w:val="single"/>
    </w:rPr>
  </w:style>
  <w:style w:type="paragraph" w:customStyle="1" w:styleId="P270">
    <w:name w:val="P270"/>
    <w:basedOn w:val="Normal"/>
    <w:hidden/>
    <w:rsid w:val="005540EB"/>
    <w:pPr>
      <w:widowControl w:val="0"/>
      <w:tabs>
        <w:tab w:val="left" w:pos="-297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paragraph" w:customStyle="1" w:styleId="P271">
    <w:name w:val="P271"/>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character" w:customStyle="1" w:styleId="T5">
    <w:name w:val="T5"/>
    <w:hidden/>
    <w:rsid w:val="005540EB"/>
    <w:rPr>
      <w:u w:val="single"/>
    </w:rPr>
  </w:style>
  <w:style w:type="character" w:customStyle="1" w:styleId="T8">
    <w:name w:val="T8"/>
    <w:hidden/>
    <w:rsid w:val="005540EB"/>
    <w:rPr>
      <w:u w:val="single"/>
    </w:rPr>
  </w:style>
  <w:style w:type="character" w:customStyle="1" w:styleId="T11">
    <w:name w:val="T11"/>
    <w:hidden/>
    <w:rsid w:val="005540EB"/>
    <w:rPr>
      <w:b/>
    </w:rPr>
  </w:style>
  <w:style w:type="character" w:customStyle="1" w:styleId="T12">
    <w:name w:val="T12"/>
    <w:hidden/>
    <w:rsid w:val="005540EB"/>
  </w:style>
  <w:style w:type="character" w:customStyle="1" w:styleId="T13">
    <w:name w:val="T13"/>
    <w:hidden/>
    <w:rsid w:val="005540EB"/>
  </w:style>
  <w:style w:type="numbering" w:customStyle="1" w:styleId="RTF5fNum2040">
    <w:name w:val="RTF_5f_Num_20_40"/>
    <w:rsid w:val="005540EB"/>
    <w:pPr>
      <w:numPr>
        <w:numId w:val="21"/>
      </w:numPr>
    </w:pPr>
  </w:style>
  <w:style w:type="numbering" w:customStyle="1" w:styleId="RTF5fNum203">
    <w:name w:val="RTF_5f_Num_20_3"/>
    <w:rsid w:val="005540EB"/>
    <w:pPr>
      <w:numPr>
        <w:numId w:val="3"/>
      </w:numPr>
    </w:pPr>
  </w:style>
  <w:style w:type="numbering" w:customStyle="1" w:styleId="RTF5fNum2047">
    <w:name w:val="RTF_5f_Num_20_47"/>
    <w:rsid w:val="005540EB"/>
    <w:pPr>
      <w:numPr>
        <w:numId w:val="26"/>
      </w:numPr>
    </w:pPr>
  </w:style>
  <w:style w:type="numbering" w:customStyle="1" w:styleId="RTF5fNum2045">
    <w:name w:val="RTF_5f_Num_20_45"/>
    <w:rsid w:val="005540EB"/>
    <w:pPr>
      <w:numPr>
        <w:numId w:val="25"/>
      </w:numPr>
    </w:pPr>
  </w:style>
  <w:style w:type="numbering" w:customStyle="1" w:styleId="RTF5fNum207">
    <w:name w:val="RTF_5f_Num_20_7"/>
    <w:rsid w:val="005540EB"/>
    <w:pPr>
      <w:numPr>
        <w:numId w:val="5"/>
      </w:numPr>
    </w:pPr>
  </w:style>
  <w:style w:type="numbering" w:customStyle="1" w:styleId="RTF5fNum2036">
    <w:name w:val="RTF_5f_Num_20_36"/>
    <w:rsid w:val="005540EB"/>
    <w:pPr>
      <w:numPr>
        <w:numId w:val="34"/>
      </w:numPr>
    </w:pPr>
  </w:style>
  <w:style w:type="numbering" w:customStyle="1" w:styleId="RTF5fNum2018">
    <w:name w:val="RTF_5f_Num_20_18"/>
    <w:rsid w:val="005540EB"/>
    <w:pPr>
      <w:numPr>
        <w:numId w:val="11"/>
      </w:numPr>
    </w:pPr>
  </w:style>
  <w:style w:type="numbering" w:customStyle="1" w:styleId="RTF5fNum2011">
    <w:name w:val="RTF_5f_Num_20_11"/>
    <w:rsid w:val="005540EB"/>
    <w:pPr>
      <w:numPr>
        <w:numId w:val="7"/>
      </w:numPr>
    </w:pPr>
  </w:style>
  <w:style w:type="numbering" w:customStyle="1" w:styleId="RTF5fNum2052">
    <w:name w:val="RTF_5f_Num_20_52"/>
    <w:rsid w:val="005540EB"/>
    <w:pPr>
      <w:numPr>
        <w:numId w:val="29"/>
      </w:numPr>
    </w:pPr>
  </w:style>
  <w:style w:type="numbering" w:customStyle="1" w:styleId="RTF5fNum2048">
    <w:name w:val="RTF_5f_Num_20_48"/>
    <w:rsid w:val="005540EB"/>
    <w:pPr>
      <w:numPr>
        <w:numId w:val="27"/>
      </w:numPr>
    </w:pPr>
  </w:style>
  <w:style w:type="numbering" w:customStyle="1" w:styleId="RTF5fNum2026">
    <w:name w:val="RTF_5f_Num_20_26"/>
    <w:rsid w:val="005540EB"/>
    <w:pPr>
      <w:numPr>
        <w:numId w:val="15"/>
      </w:numPr>
    </w:pPr>
  </w:style>
  <w:style w:type="numbering" w:customStyle="1" w:styleId="RTF5fNum2012">
    <w:name w:val="RTF_5f_Num_20_12"/>
    <w:rsid w:val="005540EB"/>
    <w:pPr>
      <w:numPr>
        <w:numId w:val="8"/>
      </w:numPr>
    </w:pPr>
  </w:style>
  <w:style w:type="numbering" w:customStyle="1" w:styleId="RTF5fNum2027">
    <w:name w:val="RTF_5f_Num_20_27"/>
    <w:rsid w:val="005540EB"/>
    <w:pPr>
      <w:numPr>
        <w:numId w:val="16"/>
      </w:numPr>
    </w:pPr>
  </w:style>
  <w:style w:type="numbering" w:customStyle="1" w:styleId="RTF5fNum2015">
    <w:name w:val="RTF_5f_Num_20_15"/>
    <w:rsid w:val="005540EB"/>
    <w:pPr>
      <w:numPr>
        <w:numId w:val="10"/>
      </w:numPr>
    </w:pPr>
  </w:style>
  <w:style w:type="numbering" w:customStyle="1" w:styleId="RTF5fNum2035">
    <w:name w:val="RTF_5f_Num_20_35"/>
    <w:rsid w:val="005540EB"/>
    <w:pPr>
      <w:numPr>
        <w:numId w:val="19"/>
      </w:numPr>
    </w:pPr>
  </w:style>
  <w:style w:type="numbering" w:customStyle="1" w:styleId="RTF5fNum2010">
    <w:name w:val="RTF_5f_Num_20_10"/>
    <w:rsid w:val="005540EB"/>
    <w:pPr>
      <w:numPr>
        <w:numId w:val="6"/>
      </w:numPr>
    </w:pPr>
  </w:style>
  <w:style w:type="numbering" w:customStyle="1" w:styleId="RTF5fNum206">
    <w:name w:val="RTF_5f_Num_20_6"/>
    <w:rsid w:val="005540EB"/>
    <w:pPr>
      <w:numPr>
        <w:numId w:val="4"/>
      </w:numPr>
    </w:pPr>
  </w:style>
  <w:style w:type="numbering" w:customStyle="1" w:styleId="RTF5fNum2044">
    <w:name w:val="RTF_5f_Num_20_44"/>
    <w:rsid w:val="005540EB"/>
    <w:pPr>
      <w:numPr>
        <w:numId w:val="24"/>
      </w:numPr>
    </w:pPr>
  </w:style>
  <w:style w:type="numbering" w:customStyle="1" w:styleId="RTF5fNum2030">
    <w:name w:val="RTF_5f_Num_20_30"/>
    <w:rsid w:val="005540EB"/>
    <w:pPr>
      <w:numPr>
        <w:numId w:val="17"/>
      </w:numPr>
    </w:pPr>
  </w:style>
  <w:style w:type="numbering" w:customStyle="1" w:styleId="RTF5fNum2014">
    <w:name w:val="RTF_5f_Num_20_14"/>
    <w:rsid w:val="005540EB"/>
    <w:pPr>
      <w:numPr>
        <w:numId w:val="9"/>
      </w:numPr>
    </w:pPr>
  </w:style>
  <w:style w:type="numbering" w:customStyle="1" w:styleId="RTF5fNum2042">
    <w:name w:val="RTF_5f_Num_20_42"/>
    <w:rsid w:val="005540EB"/>
    <w:pPr>
      <w:numPr>
        <w:numId w:val="23"/>
      </w:numPr>
    </w:pPr>
  </w:style>
  <w:style w:type="numbering" w:customStyle="1" w:styleId="RTF5fNum2053">
    <w:name w:val="RTF_5f_Num_20_53"/>
    <w:rsid w:val="005540EB"/>
    <w:pPr>
      <w:numPr>
        <w:numId w:val="30"/>
      </w:numPr>
    </w:pPr>
  </w:style>
  <w:style w:type="numbering" w:customStyle="1" w:styleId="RTF5fNum2041">
    <w:name w:val="RTF_5f_Num_20_41"/>
    <w:rsid w:val="005540EB"/>
    <w:pPr>
      <w:numPr>
        <w:numId w:val="22"/>
      </w:numPr>
    </w:pPr>
  </w:style>
  <w:style w:type="numbering" w:customStyle="1" w:styleId="RTF5fNum2039">
    <w:name w:val="RTF_5f_Num_20_39"/>
    <w:rsid w:val="005540EB"/>
    <w:pPr>
      <w:numPr>
        <w:numId w:val="20"/>
      </w:numPr>
    </w:pPr>
  </w:style>
  <w:style w:type="numbering" w:customStyle="1" w:styleId="RTF5fNum2051">
    <w:name w:val="RTF_5f_Num_20_51"/>
    <w:rsid w:val="005540EB"/>
    <w:pPr>
      <w:numPr>
        <w:numId w:val="28"/>
      </w:numPr>
    </w:pPr>
  </w:style>
  <w:style w:type="numbering" w:customStyle="1" w:styleId="RTF5fNum2021">
    <w:name w:val="RTF_5f_Num_20_21"/>
    <w:rsid w:val="005540EB"/>
    <w:pPr>
      <w:numPr>
        <w:numId w:val="13"/>
      </w:numPr>
    </w:pPr>
  </w:style>
  <w:style w:type="numbering" w:customStyle="1" w:styleId="RTF5fNum2033">
    <w:name w:val="RTF_5f_Num_20_33"/>
    <w:rsid w:val="005540EB"/>
    <w:pPr>
      <w:numPr>
        <w:numId w:val="18"/>
      </w:numPr>
    </w:pPr>
  </w:style>
  <w:style w:type="numbering" w:customStyle="1" w:styleId="RTF5fNum2019">
    <w:name w:val="RTF_5f_Num_20_19"/>
    <w:rsid w:val="005540EB"/>
    <w:pPr>
      <w:numPr>
        <w:numId w:val="12"/>
      </w:numPr>
    </w:pPr>
  </w:style>
  <w:style w:type="numbering" w:customStyle="1" w:styleId="RTF5fNum2022">
    <w:name w:val="RTF_5f_Num_20_22"/>
    <w:rsid w:val="005540EB"/>
    <w:pPr>
      <w:numPr>
        <w:numId w:val="14"/>
      </w:numPr>
    </w:pPr>
  </w:style>
  <w:style w:type="paragraph" w:styleId="ListParagraph">
    <w:name w:val="List Paragraph"/>
    <w:basedOn w:val="Normal"/>
    <w:uiPriority w:val="99"/>
    <w:qFormat/>
    <w:rsid w:val="00D64945"/>
    <w:pPr>
      <w:ind w:left="720"/>
    </w:pPr>
  </w:style>
  <w:style w:type="table" w:styleId="TableGrid">
    <w:name w:val="Table Grid"/>
    <w:basedOn w:val="TableNormal"/>
    <w:rsid w:val="00B524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nswer">
    <w:name w:val="answer"/>
    <w:basedOn w:val="Normal"/>
    <w:rsid w:val="004D1B1A"/>
    <w:pPr>
      <w:autoSpaceDE/>
      <w:autoSpaceDN/>
      <w:spacing w:before="120" w:after="120" w:line="480" w:lineRule="auto"/>
      <w:ind w:left="720" w:hanging="720"/>
    </w:pPr>
    <w:rPr>
      <w:rFonts w:eastAsia="Calibri"/>
      <w:szCs w:val="20"/>
      <w:lang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locked/>
    <w:rsid w:val="004D1B1A"/>
  </w:style>
  <w:style w:type="character" w:customStyle="1" w:styleId="apple-style-span">
    <w:name w:val="apple-style-span"/>
    <w:basedOn w:val="DefaultParagraphFont"/>
    <w:rsid w:val="004D1B1A"/>
  </w:style>
  <w:style w:type="character" w:styleId="Hyperlink">
    <w:name w:val="Hyperlink"/>
    <w:basedOn w:val="DefaultParagraphFont"/>
    <w:uiPriority w:val="99"/>
    <w:unhideWhenUsed/>
    <w:rsid w:val="004D1B1A"/>
    <w:rPr>
      <w:color w:val="0000FF"/>
      <w:u w:val="single"/>
    </w:rPr>
  </w:style>
  <w:style w:type="paragraph" w:styleId="BalloonText">
    <w:name w:val="Balloon Text"/>
    <w:basedOn w:val="Normal"/>
    <w:link w:val="BalloonTextChar"/>
    <w:rsid w:val="00524793"/>
    <w:rPr>
      <w:rFonts w:ascii="Tahoma" w:hAnsi="Tahoma" w:cs="Tahoma"/>
      <w:sz w:val="16"/>
      <w:szCs w:val="16"/>
    </w:rPr>
  </w:style>
  <w:style w:type="character" w:customStyle="1" w:styleId="BalloonTextChar">
    <w:name w:val="Balloon Text Char"/>
    <w:basedOn w:val="DefaultParagraphFont"/>
    <w:link w:val="BalloonText"/>
    <w:rsid w:val="00524793"/>
    <w:rPr>
      <w:rFonts w:ascii="Tahoma" w:hAnsi="Tahoma" w:cs="Tahoma"/>
      <w:sz w:val="16"/>
      <w:szCs w:val="16"/>
    </w:rPr>
  </w:style>
  <w:style w:type="character" w:customStyle="1" w:styleId="BodyText2Char">
    <w:name w:val="Body Text 2 Char"/>
    <w:basedOn w:val="DefaultParagraphFont"/>
    <w:link w:val="BodyText2"/>
    <w:uiPriority w:val="99"/>
    <w:rsid w:val="005D45EC"/>
    <w:rPr>
      <w:sz w:val="24"/>
      <w:szCs w:val="24"/>
    </w:rPr>
  </w:style>
  <w:style w:type="character" w:customStyle="1" w:styleId="apple-converted-space">
    <w:name w:val="apple-converted-space"/>
    <w:basedOn w:val="DefaultParagraphFont"/>
    <w:rsid w:val="00882549"/>
  </w:style>
  <w:style w:type="character" w:customStyle="1" w:styleId="BodyTextChar">
    <w:name w:val="Body Text Char"/>
    <w:basedOn w:val="DefaultParagraphFont"/>
    <w:link w:val="BodyText"/>
    <w:rsid w:val="00721F40"/>
    <w:rPr>
      <w:b/>
      <w:bCs/>
      <w:sz w:val="24"/>
      <w:szCs w:val="24"/>
    </w:rPr>
  </w:style>
  <w:style w:type="character" w:customStyle="1" w:styleId="EquationCaption">
    <w:name w:val="_Equation Caption"/>
    <w:rsid w:val="006A4CE9"/>
  </w:style>
</w:styles>
</file>

<file path=word/webSettings.xml><?xml version="1.0" encoding="utf-8"?>
<w:webSettings xmlns:r="http://schemas.openxmlformats.org/officeDocument/2006/relationships" xmlns:w="http://schemas.openxmlformats.org/wordprocessingml/2006/main">
  <w:divs>
    <w:div w:id="65031064">
      <w:bodyDiv w:val="1"/>
      <w:marLeft w:val="0"/>
      <w:marRight w:val="0"/>
      <w:marTop w:val="0"/>
      <w:marBottom w:val="0"/>
      <w:divBdr>
        <w:top w:val="none" w:sz="0" w:space="0" w:color="auto"/>
        <w:left w:val="none" w:sz="0" w:space="0" w:color="auto"/>
        <w:bottom w:val="none" w:sz="0" w:space="0" w:color="auto"/>
        <w:right w:val="none" w:sz="0" w:space="0" w:color="auto"/>
      </w:divBdr>
    </w:div>
    <w:div w:id="364064500">
      <w:bodyDiv w:val="1"/>
      <w:marLeft w:val="0"/>
      <w:marRight w:val="0"/>
      <w:marTop w:val="0"/>
      <w:marBottom w:val="0"/>
      <w:divBdr>
        <w:top w:val="none" w:sz="0" w:space="0" w:color="auto"/>
        <w:left w:val="none" w:sz="0" w:space="0" w:color="auto"/>
        <w:bottom w:val="none" w:sz="0" w:space="0" w:color="auto"/>
        <w:right w:val="none" w:sz="0" w:space="0" w:color="auto"/>
      </w:divBdr>
    </w:div>
    <w:div w:id="418528646">
      <w:bodyDiv w:val="1"/>
      <w:marLeft w:val="0"/>
      <w:marRight w:val="0"/>
      <w:marTop w:val="0"/>
      <w:marBottom w:val="0"/>
      <w:divBdr>
        <w:top w:val="none" w:sz="0" w:space="0" w:color="auto"/>
        <w:left w:val="none" w:sz="0" w:space="0" w:color="auto"/>
        <w:bottom w:val="none" w:sz="0" w:space="0" w:color="auto"/>
        <w:right w:val="none" w:sz="0" w:space="0" w:color="auto"/>
      </w:divBdr>
    </w:div>
    <w:div w:id="570386216">
      <w:bodyDiv w:val="1"/>
      <w:marLeft w:val="0"/>
      <w:marRight w:val="0"/>
      <w:marTop w:val="0"/>
      <w:marBottom w:val="0"/>
      <w:divBdr>
        <w:top w:val="none" w:sz="0" w:space="0" w:color="auto"/>
        <w:left w:val="none" w:sz="0" w:space="0" w:color="auto"/>
        <w:bottom w:val="none" w:sz="0" w:space="0" w:color="auto"/>
        <w:right w:val="none" w:sz="0" w:space="0" w:color="auto"/>
      </w:divBdr>
    </w:div>
    <w:div w:id="956326706">
      <w:bodyDiv w:val="1"/>
      <w:marLeft w:val="0"/>
      <w:marRight w:val="0"/>
      <w:marTop w:val="0"/>
      <w:marBottom w:val="0"/>
      <w:divBdr>
        <w:top w:val="none" w:sz="0" w:space="0" w:color="auto"/>
        <w:left w:val="none" w:sz="0" w:space="0" w:color="auto"/>
        <w:bottom w:val="none" w:sz="0" w:space="0" w:color="auto"/>
        <w:right w:val="none" w:sz="0" w:space="0" w:color="auto"/>
      </w:divBdr>
    </w:div>
    <w:div w:id="1182428921">
      <w:bodyDiv w:val="1"/>
      <w:marLeft w:val="0"/>
      <w:marRight w:val="0"/>
      <w:marTop w:val="0"/>
      <w:marBottom w:val="0"/>
      <w:divBdr>
        <w:top w:val="none" w:sz="0" w:space="0" w:color="auto"/>
        <w:left w:val="none" w:sz="0" w:space="0" w:color="auto"/>
        <w:bottom w:val="none" w:sz="0" w:space="0" w:color="auto"/>
        <w:right w:val="none" w:sz="0" w:space="0" w:color="auto"/>
      </w:divBdr>
    </w:div>
    <w:div w:id="1187404018">
      <w:bodyDiv w:val="1"/>
      <w:marLeft w:val="0"/>
      <w:marRight w:val="0"/>
      <w:marTop w:val="0"/>
      <w:marBottom w:val="0"/>
      <w:divBdr>
        <w:top w:val="none" w:sz="0" w:space="0" w:color="auto"/>
        <w:left w:val="none" w:sz="0" w:space="0" w:color="auto"/>
        <w:bottom w:val="none" w:sz="0" w:space="0" w:color="auto"/>
        <w:right w:val="none" w:sz="0" w:space="0" w:color="auto"/>
      </w:divBdr>
    </w:div>
    <w:div w:id="1195539232">
      <w:bodyDiv w:val="1"/>
      <w:marLeft w:val="0"/>
      <w:marRight w:val="0"/>
      <w:marTop w:val="0"/>
      <w:marBottom w:val="0"/>
      <w:divBdr>
        <w:top w:val="none" w:sz="0" w:space="0" w:color="auto"/>
        <w:left w:val="none" w:sz="0" w:space="0" w:color="auto"/>
        <w:bottom w:val="none" w:sz="0" w:space="0" w:color="auto"/>
        <w:right w:val="none" w:sz="0" w:space="0" w:color="auto"/>
      </w:divBdr>
    </w:div>
    <w:div w:id="1511337799">
      <w:bodyDiv w:val="1"/>
      <w:marLeft w:val="0"/>
      <w:marRight w:val="0"/>
      <w:marTop w:val="0"/>
      <w:marBottom w:val="0"/>
      <w:divBdr>
        <w:top w:val="none" w:sz="0" w:space="0" w:color="auto"/>
        <w:left w:val="none" w:sz="0" w:space="0" w:color="auto"/>
        <w:bottom w:val="none" w:sz="0" w:space="0" w:color="auto"/>
        <w:right w:val="none" w:sz="0" w:space="0" w:color="auto"/>
      </w:divBdr>
    </w:div>
    <w:div w:id="1812094819">
      <w:bodyDiv w:val="1"/>
      <w:marLeft w:val="0"/>
      <w:marRight w:val="0"/>
      <w:marTop w:val="0"/>
      <w:marBottom w:val="0"/>
      <w:divBdr>
        <w:top w:val="none" w:sz="0" w:space="0" w:color="auto"/>
        <w:left w:val="none" w:sz="0" w:space="0" w:color="auto"/>
        <w:bottom w:val="none" w:sz="0" w:space="0" w:color="auto"/>
        <w:right w:val="none" w:sz="0" w:space="0" w:color="auto"/>
      </w:divBdr>
    </w:div>
    <w:div w:id="2060741217">
      <w:bodyDiv w:val="1"/>
      <w:marLeft w:val="0"/>
      <w:marRight w:val="0"/>
      <w:marTop w:val="0"/>
      <w:marBottom w:val="0"/>
      <w:divBdr>
        <w:top w:val="none" w:sz="0" w:space="0" w:color="auto"/>
        <w:left w:val="none" w:sz="0" w:space="0" w:color="auto"/>
        <w:bottom w:val="none" w:sz="0" w:space="0" w:color="auto"/>
        <w:right w:val="none" w:sz="0" w:space="0" w:color="auto"/>
      </w:divBdr>
    </w:div>
    <w:div w:id="21405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emf"/><Relationship Id="rId26"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emf"/><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header" Target="header2.xml"/><Relationship Id="rId19" Type="http://schemas.openxmlformats.org/officeDocument/2006/relationships/image" Target="media/image8.emf"/><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6884F29-7833-4DB9-A7F2-A9ABFD277F3C}"/>
</file>

<file path=customXml/itemProps2.xml><?xml version="1.0" encoding="utf-8"?>
<ds:datastoreItem xmlns:ds="http://schemas.openxmlformats.org/officeDocument/2006/customXml" ds:itemID="{D17919BC-A728-49B2-937A-52703A3C7E9A}"/>
</file>

<file path=customXml/itemProps3.xml><?xml version="1.0" encoding="utf-8"?>
<ds:datastoreItem xmlns:ds="http://schemas.openxmlformats.org/officeDocument/2006/customXml" ds:itemID="{16FBD970-D81E-4478-91BC-BA9526C962F0}"/>
</file>

<file path=customXml/itemProps4.xml><?xml version="1.0" encoding="utf-8"?>
<ds:datastoreItem xmlns:ds="http://schemas.openxmlformats.org/officeDocument/2006/customXml" ds:itemID="{0732743B-272B-4777-A7A4-2BB3ED243EC4}"/>
</file>

<file path=customXml/itemProps5.xml><?xml version="1.0" encoding="utf-8"?>
<ds:datastoreItem xmlns:ds="http://schemas.openxmlformats.org/officeDocument/2006/customXml" ds:itemID="{94A3BE3B-E490-45DC-BF3B-4CFACC73AF92}"/>
</file>

<file path=docProps/app.xml><?xml version="1.0" encoding="utf-8"?>
<Properties xmlns="http://schemas.openxmlformats.org/officeDocument/2006/extended-properties" xmlns:vt="http://schemas.openxmlformats.org/officeDocument/2006/docPropsVTypes">
  <Template>Normal.dotm</Template>
  <TotalTime>493</TotalTime>
  <Pages>39</Pages>
  <Words>8200</Words>
  <Characters>46745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54836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jzlfgj</cp:lastModifiedBy>
  <cp:revision>48</cp:revision>
  <cp:lastPrinted>2015-02-04T00:58:00Z</cp:lastPrinted>
  <dcterms:created xsi:type="dcterms:W3CDTF">2015-01-25T22:26:00Z</dcterms:created>
  <dcterms:modified xsi:type="dcterms:W3CDTF">2015-02-04T23:37:00Z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