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3DB" w:rsidRPr="00B52ED2" w:rsidRDefault="002B7796" w:rsidP="001B37C6">
      <w:pPr>
        <w:jc w:val="center"/>
        <w:rPr>
          <w:b/>
        </w:rPr>
      </w:pPr>
      <w:bookmarkStart w:id="0" w:name="_GoBack"/>
      <w:bookmarkEnd w:id="0"/>
      <w:r>
        <w:rPr>
          <w:b/>
        </w:rPr>
        <w:t>PACIFIC POWER</w:t>
      </w:r>
      <w:r w:rsidR="008D777A">
        <w:rPr>
          <w:b/>
        </w:rPr>
        <w:t xml:space="preserve"> &amp; LIGHT COMPANY</w:t>
      </w:r>
    </w:p>
    <w:p w:rsidR="00F733DB" w:rsidRPr="00B52ED2" w:rsidRDefault="00F733DB" w:rsidP="00F733DB">
      <w:pPr>
        <w:jc w:val="center"/>
        <w:rPr>
          <w:b/>
        </w:rPr>
      </w:pPr>
      <w:r w:rsidRPr="00B52ED2">
        <w:rPr>
          <w:b/>
        </w:rPr>
        <w:t xml:space="preserve">AVOIDED </w:t>
      </w:r>
      <w:smartTag w:uri="urn:schemas-microsoft-com:office:smarttags" w:element="stockticker">
        <w:r w:rsidRPr="00B52ED2">
          <w:rPr>
            <w:b/>
          </w:rPr>
          <w:t>COST</w:t>
        </w:r>
      </w:smartTag>
      <w:r w:rsidRPr="00B52ED2">
        <w:rPr>
          <w:b/>
        </w:rPr>
        <w:t xml:space="preserve"> CALCULATION</w:t>
      </w:r>
    </w:p>
    <w:p w:rsidR="00B52ED2" w:rsidRPr="00B52ED2" w:rsidRDefault="00B52ED2" w:rsidP="00F733DB">
      <w:pPr>
        <w:jc w:val="center"/>
        <w:rPr>
          <w:b/>
        </w:rPr>
      </w:pPr>
    </w:p>
    <w:p w:rsidR="00F733DB" w:rsidRPr="00B52ED2" w:rsidRDefault="002B7796" w:rsidP="00F733DB">
      <w:pPr>
        <w:jc w:val="center"/>
        <w:rPr>
          <w:b/>
        </w:rPr>
      </w:pPr>
      <w:r>
        <w:rPr>
          <w:b/>
        </w:rPr>
        <w:t xml:space="preserve">WASHINGTON - </w:t>
      </w:r>
      <w:r w:rsidR="009536B6">
        <w:rPr>
          <w:b/>
        </w:rPr>
        <w:t>NOVEMBER</w:t>
      </w:r>
      <w:r>
        <w:rPr>
          <w:b/>
        </w:rPr>
        <w:t xml:space="preserve"> </w:t>
      </w:r>
      <w:r w:rsidR="0080754A">
        <w:rPr>
          <w:b/>
        </w:rPr>
        <w:t>201</w:t>
      </w:r>
      <w:r w:rsidR="009536B6">
        <w:rPr>
          <w:b/>
        </w:rPr>
        <w:t>5</w:t>
      </w:r>
    </w:p>
    <w:p w:rsidR="00C439F8" w:rsidRDefault="00C439F8"/>
    <w:p w:rsidR="00C76F1B" w:rsidRDefault="00C76F1B" w:rsidP="00C76F1B">
      <w:r>
        <w:t>Washington Utilities and Transportation Commission rule WAC 480-107-055, related to schedules of estimated avoided costs, states that avoided costs should be based on:</w:t>
      </w:r>
    </w:p>
    <w:p w:rsidR="00C76F1B" w:rsidRDefault="00C76F1B" w:rsidP="00C76F1B">
      <w:pPr>
        <w:pStyle w:val="ListParagraph"/>
        <w:numPr>
          <w:ilvl w:val="0"/>
          <w:numId w:val="1"/>
        </w:numPr>
      </w:pPr>
      <w:r>
        <w:t>The most recent project proposals received pursuant to an RFP issued under these rules;</w:t>
      </w:r>
    </w:p>
    <w:p w:rsidR="00C76F1B" w:rsidRDefault="00C76F1B" w:rsidP="00C76F1B">
      <w:pPr>
        <w:pStyle w:val="ListParagraph"/>
        <w:numPr>
          <w:ilvl w:val="0"/>
          <w:numId w:val="1"/>
        </w:numPr>
      </w:pPr>
      <w:r>
        <w:t>Estimates included in utility’s current integrated resource plan filed pursuant to WAC 480-100-23;</w:t>
      </w:r>
    </w:p>
    <w:p w:rsidR="00C76F1B" w:rsidRDefault="00C76F1B" w:rsidP="00C76F1B">
      <w:pPr>
        <w:pStyle w:val="ListParagraph"/>
        <w:numPr>
          <w:ilvl w:val="0"/>
          <w:numId w:val="1"/>
        </w:numPr>
      </w:pPr>
      <w:r>
        <w:t>The results of the utilities most recent bidding process;</w:t>
      </w:r>
    </w:p>
    <w:p w:rsidR="00C76F1B" w:rsidRDefault="00C76F1B" w:rsidP="00C76F1B">
      <w:pPr>
        <w:pStyle w:val="ListParagraph"/>
        <w:numPr>
          <w:ilvl w:val="0"/>
          <w:numId w:val="1"/>
        </w:numPr>
      </w:pPr>
      <w:r>
        <w:t>Current projected market prices for power.</w:t>
      </w:r>
    </w:p>
    <w:p w:rsidR="00C76F1B" w:rsidRDefault="00C76F1B" w:rsidP="00C76F1B">
      <w:pPr>
        <w:pStyle w:val="ListParagraph"/>
      </w:pPr>
    </w:p>
    <w:p w:rsidR="00C76F1B" w:rsidRPr="00DA2168" w:rsidRDefault="00C76F1B" w:rsidP="00C76F1B">
      <w:r>
        <w:t>T</w:t>
      </w:r>
      <w:r w:rsidRPr="00AC4174">
        <w:t>he starting point for the avoided cost calculation</w:t>
      </w:r>
      <w:r>
        <w:t xml:space="preserve"> in this filing</w:t>
      </w:r>
      <w:r w:rsidRPr="00AC4174">
        <w:t xml:space="preserve"> is </w:t>
      </w:r>
      <w:r>
        <w:t>the</w:t>
      </w:r>
      <w:r w:rsidRPr="00AC4174">
        <w:t xml:space="preserve"> load and resource balance </w:t>
      </w:r>
      <w:r>
        <w:t>from the</w:t>
      </w:r>
      <w:r w:rsidRPr="00AC4174">
        <w:t xml:space="preserve"> Company’s </w:t>
      </w:r>
      <w:r>
        <w:t>2013</w:t>
      </w:r>
      <w:r w:rsidRPr="00AC4174">
        <w:t xml:space="preserve"> Integrated Resource Plan (IRP)</w:t>
      </w:r>
      <w:r>
        <w:t xml:space="preserve"> Update, filed on March 31, 2014. The avoided cost prices are then developed consistent with the west control area allocation methodology adopted by the Washington Utilities and Transportation Commission in Docket No. UE-061546.</w:t>
      </w:r>
    </w:p>
    <w:p w:rsidR="00C439F8" w:rsidRPr="00DA2168" w:rsidRDefault="00C439F8">
      <w:pPr>
        <w:pStyle w:val="Heading2"/>
      </w:pPr>
      <w:r w:rsidRPr="00DA2168">
        <w:t>Loads and Resources</w:t>
      </w:r>
    </w:p>
    <w:p w:rsidR="009F3C50" w:rsidRDefault="009F3C50"/>
    <w:p w:rsidR="00C439F8" w:rsidRPr="00DA2168" w:rsidRDefault="00C439F8">
      <w:r w:rsidRPr="0069522B">
        <w:rPr>
          <w:b/>
        </w:rPr>
        <w:lastRenderedPageBreak/>
        <w:t>Table 1</w:t>
      </w:r>
      <w:r w:rsidRPr="00DA2168">
        <w:t xml:space="preserve"> </w:t>
      </w:r>
      <w:r w:rsidR="00DA414D" w:rsidRPr="00DA2168">
        <w:t>presents</w:t>
      </w:r>
      <w:r w:rsidRPr="00DA2168">
        <w:t xml:space="preserve"> the Company’s </w:t>
      </w:r>
      <w:r w:rsidR="008931E1">
        <w:t xml:space="preserve">west control area </w:t>
      </w:r>
      <w:r w:rsidRPr="00DA2168">
        <w:t xml:space="preserve">loads and resource balance.  </w:t>
      </w:r>
      <w:r w:rsidR="002B7796" w:rsidRPr="002B7796">
        <w:t>Table 1 shows an energy</w:t>
      </w:r>
      <w:r w:rsidR="002B7796">
        <w:t xml:space="preserve"> balance with a</w:t>
      </w:r>
      <w:r w:rsidR="002B7796" w:rsidRPr="002B7796">
        <w:t xml:space="preserve"> </w:t>
      </w:r>
      <w:r w:rsidR="009F3C50">
        <w:t xml:space="preserve">surplus </w:t>
      </w:r>
      <w:r w:rsidR="002B7796" w:rsidRPr="002B7796">
        <w:t xml:space="preserve">of </w:t>
      </w:r>
      <w:r w:rsidR="00C76F1B">
        <w:t>345</w:t>
      </w:r>
      <w:r w:rsidR="00883FA7" w:rsidRPr="002B7796">
        <w:t xml:space="preserve"> </w:t>
      </w:r>
      <w:r w:rsidR="002B7796" w:rsidRPr="002B7796">
        <w:t xml:space="preserve">aMW in </w:t>
      </w:r>
      <w:r w:rsidR="00C279D8">
        <w:t>201</w:t>
      </w:r>
      <w:r w:rsidR="00C76F1B">
        <w:t>5</w:t>
      </w:r>
      <w:r w:rsidR="00C279D8" w:rsidRPr="002B7796">
        <w:t xml:space="preserve"> </w:t>
      </w:r>
      <w:r w:rsidR="00355B5C">
        <w:t>declining</w:t>
      </w:r>
      <w:r w:rsidR="002B7796" w:rsidRPr="002B7796">
        <w:t xml:space="preserve"> to a </w:t>
      </w:r>
      <w:r w:rsidR="004129D8">
        <w:t>deficit</w:t>
      </w:r>
      <w:r w:rsidR="004129D8" w:rsidRPr="002B7796">
        <w:t xml:space="preserve"> </w:t>
      </w:r>
      <w:r w:rsidR="002B7796" w:rsidRPr="002B7796">
        <w:t xml:space="preserve">of </w:t>
      </w:r>
      <w:r w:rsidR="00C76F1B">
        <w:t>111</w:t>
      </w:r>
      <w:r w:rsidR="00C279D8" w:rsidRPr="002B7796">
        <w:t xml:space="preserve"> </w:t>
      </w:r>
      <w:r w:rsidR="002B7796" w:rsidRPr="002B7796">
        <w:t xml:space="preserve">aMW in </w:t>
      </w:r>
      <w:r w:rsidR="004129D8">
        <w:t>202</w:t>
      </w:r>
      <w:r w:rsidR="00C76F1B">
        <w:t>4</w:t>
      </w:r>
      <w:r w:rsidR="002B7796" w:rsidRPr="002B7796">
        <w:t xml:space="preserve">.  The winter peak has a capacity </w:t>
      </w:r>
      <w:r w:rsidR="00883FA7">
        <w:t xml:space="preserve">deficit </w:t>
      </w:r>
      <w:r w:rsidR="009C4C4C">
        <w:t xml:space="preserve">of </w:t>
      </w:r>
      <w:r w:rsidR="00C76F1B">
        <w:t>124</w:t>
      </w:r>
      <w:r w:rsidR="00C279D8">
        <w:t xml:space="preserve"> </w:t>
      </w:r>
      <w:r w:rsidR="009C4C4C">
        <w:t xml:space="preserve">MW in </w:t>
      </w:r>
      <w:r w:rsidR="00C279D8">
        <w:t>201</w:t>
      </w:r>
      <w:r w:rsidR="00C76F1B">
        <w:t>5</w:t>
      </w:r>
      <w:r w:rsidR="00C279D8">
        <w:t xml:space="preserve"> </w:t>
      </w:r>
      <w:r w:rsidR="00C12CBA">
        <w:t>increasing to</w:t>
      </w:r>
      <w:r w:rsidR="009C4C4C">
        <w:t xml:space="preserve"> </w:t>
      </w:r>
      <w:r w:rsidR="00B95FC2">
        <w:t xml:space="preserve">a deficit of </w:t>
      </w:r>
      <w:r w:rsidR="00C76F1B">
        <w:t>858</w:t>
      </w:r>
      <w:r w:rsidR="004129D8">
        <w:t xml:space="preserve"> </w:t>
      </w:r>
      <w:r w:rsidR="009C4C4C">
        <w:t xml:space="preserve">MW in </w:t>
      </w:r>
      <w:r w:rsidR="00C279D8">
        <w:t>20</w:t>
      </w:r>
      <w:r w:rsidR="00883FA7">
        <w:t>2</w:t>
      </w:r>
      <w:r w:rsidR="00C76F1B">
        <w:t>4</w:t>
      </w:r>
      <w:r w:rsidR="00E31956">
        <w:t>.</w:t>
      </w:r>
      <w:r w:rsidR="009C4C4C">
        <w:t xml:space="preserve">  The summer </w:t>
      </w:r>
      <w:r w:rsidR="00883FA7">
        <w:t>peak has a cap</w:t>
      </w:r>
      <w:r w:rsidR="00C12CBA">
        <w:t xml:space="preserve">acity deficit of </w:t>
      </w:r>
      <w:r w:rsidR="00C76F1B">
        <w:t>191</w:t>
      </w:r>
      <w:r w:rsidR="00C12CBA">
        <w:t xml:space="preserve"> MW in 201</w:t>
      </w:r>
      <w:r w:rsidR="00C76F1B">
        <w:t>5</w:t>
      </w:r>
      <w:r w:rsidR="00C12CBA">
        <w:t xml:space="preserve"> increasing to</w:t>
      </w:r>
      <w:r w:rsidR="00883FA7">
        <w:t xml:space="preserve"> </w:t>
      </w:r>
      <w:r w:rsidR="00C76F1B">
        <w:t>732</w:t>
      </w:r>
      <w:r w:rsidR="00883FA7">
        <w:t xml:space="preserve"> in 202</w:t>
      </w:r>
      <w:r w:rsidR="00C76F1B">
        <w:t>4</w:t>
      </w:r>
      <w:r w:rsidR="00883FA7">
        <w:t>.</w:t>
      </w:r>
      <w:r w:rsidR="009C4C4C">
        <w:t xml:space="preserve"> </w:t>
      </w:r>
    </w:p>
    <w:p w:rsidR="00E31956" w:rsidRPr="00DA2168" w:rsidRDefault="00E31956" w:rsidP="00E31956">
      <w:pPr>
        <w:pStyle w:val="Heading2"/>
      </w:pPr>
      <w:r w:rsidRPr="00DA2168">
        <w:t>Avoided Cost Calculation</w:t>
      </w:r>
    </w:p>
    <w:p w:rsidR="00B567B8" w:rsidRDefault="00B95FC2" w:rsidP="00B567B8">
      <w:r>
        <w:t xml:space="preserve">Resource deficiency period is assumed to begin </w:t>
      </w:r>
      <w:r w:rsidR="00A233DB">
        <w:t>when the l</w:t>
      </w:r>
      <w:r>
        <w:t xml:space="preserve">oad and resource </w:t>
      </w:r>
      <w:r w:rsidR="00A233DB">
        <w:t>balance is short in both energy and capacity on annual basis.</w:t>
      </w:r>
      <w:r>
        <w:t xml:space="preserve"> </w:t>
      </w:r>
      <w:r w:rsidR="00B567B8" w:rsidRPr="00DA2168">
        <w:t xml:space="preserve">Based on the load and resource balance shown in </w:t>
      </w:r>
      <w:r w:rsidR="00B567B8" w:rsidRPr="00B828EC">
        <w:rPr>
          <w:b/>
        </w:rPr>
        <w:t>Table 1</w:t>
      </w:r>
      <w:r w:rsidR="00B567B8" w:rsidRPr="00DA2168">
        <w:t>, the avoided cost calculation is separated into two distinct periods:  (1) the Short Run – a period of resource sufficiency (20</w:t>
      </w:r>
      <w:r w:rsidR="00B567B8">
        <w:t>1</w:t>
      </w:r>
      <w:r w:rsidR="00C76F1B">
        <w:t>5</w:t>
      </w:r>
      <w:r w:rsidR="00B567B8">
        <w:t xml:space="preserve"> through </w:t>
      </w:r>
      <w:r w:rsidR="00B567B8" w:rsidRPr="00DA2168">
        <w:t>20</w:t>
      </w:r>
      <w:r w:rsidR="00B567B8">
        <w:t>2</w:t>
      </w:r>
      <w:r w:rsidR="00C76F1B">
        <w:t>0</w:t>
      </w:r>
      <w:r w:rsidR="00B567B8">
        <w:t>)</w:t>
      </w:r>
      <w:r w:rsidR="00B567B8" w:rsidRPr="00DA2168">
        <w:t xml:space="preserve">; and (2) the Long Run – a </w:t>
      </w:r>
      <w:r w:rsidR="00B567B8">
        <w:t xml:space="preserve">period of </w:t>
      </w:r>
      <w:r w:rsidR="00B567B8" w:rsidRPr="00DA2168">
        <w:t>resource defic</w:t>
      </w:r>
      <w:r w:rsidR="00B567B8">
        <w:t>iency</w:t>
      </w:r>
      <w:r w:rsidR="00B567B8" w:rsidRPr="00DA2168">
        <w:t xml:space="preserve"> (</w:t>
      </w:r>
      <w:r w:rsidR="00B567B8">
        <w:t>202</w:t>
      </w:r>
      <w:r w:rsidR="00C76F1B">
        <w:t>1-2024</w:t>
      </w:r>
      <w:r w:rsidR="00B567B8" w:rsidRPr="00DA2168">
        <w:t>)</w:t>
      </w:r>
      <w:r w:rsidR="00B567B8">
        <w:t>.</w:t>
      </w:r>
    </w:p>
    <w:p w:rsidR="00B567B8" w:rsidRDefault="00B567B8" w:rsidP="00B567B8"/>
    <w:p w:rsidR="00B567B8" w:rsidRPr="00FB3D5F" w:rsidRDefault="00B567B8" w:rsidP="00B567B8">
      <w:pPr>
        <w:keepNext/>
        <w:keepLines/>
        <w:rPr>
          <w:b/>
        </w:rPr>
      </w:pPr>
      <w:r w:rsidRPr="00FB3D5F">
        <w:rPr>
          <w:b/>
        </w:rPr>
        <w:t>1.</w:t>
      </w:r>
      <w:r w:rsidRPr="00FB3D5F">
        <w:rPr>
          <w:b/>
        </w:rPr>
        <w:tab/>
      </w:r>
      <w:r w:rsidRPr="00FB3D5F">
        <w:rPr>
          <w:b/>
          <w:u w:val="single"/>
        </w:rPr>
        <w:t>Short Run Avoided Costs</w:t>
      </w:r>
    </w:p>
    <w:p w:rsidR="00B567B8" w:rsidRPr="00FB3D5F" w:rsidRDefault="00B567B8" w:rsidP="00B567B8">
      <w:pPr>
        <w:keepNext/>
        <w:keepLines/>
      </w:pPr>
    </w:p>
    <w:p w:rsidR="00B567B8" w:rsidRPr="00FB3D5F" w:rsidRDefault="00B567B8" w:rsidP="00B567B8">
      <w:r w:rsidRPr="00FB3D5F">
        <w:t xml:space="preserve">During periods of resource sufficiency, the company’s avoided energy costs are based on the displacement of purchased power and existing thermal resources as modeled by the company’s GRID model.  The model input data includes the monthly load and resource data, which are the basis for the annual summary of loads and resources shown in </w:t>
      </w:r>
      <w:r w:rsidRPr="00FB3D5F">
        <w:rPr>
          <w:b/>
        </w:rPr>
        <w:t>Table 1</w:t>
      </w:r>
      <w:r w:rsidRPr="00FB3D5F">
        <w:t xml:space="preserve">. </w:t>
      </w:r>
      <w:r w:rsidR="00CE224A" w:rsidRPr="00FB3D5F">
        <w:t xml:space="preserve"> </w:t>
      </w:r>
      <w:r w:rsidRPr="00FB3D5F">
        <w:t>To calculate short-run avoided costs, two production cost studies are prepared</w:t>
      </w:r>
      <w:r w:rsidR="00CE224A" w:rsidRPr="00FB3D5F">
        <w:t xml:space="preserve">, </w:t>
      </w:r>
      <w:r w:rsidR="00CE224A" w:rsidRPr="00FB3D5F">
        <w:lastRenderedPageBreak/>
        <w:t xml:space="preserve">where the only </w:t>
      </w:r>
      <w:r w:rsidRPr="00FB3D5F">
        <w:t xml:space="preserve">difference between the two studies is an assumed 50 aMW </w:t>
      </w:r>
      <w:r w:rsidR="00CE224A" w:rsidRPr="00FB3D5F">
        <w:t xml:space="preserve">resource modeled </w:t>
      </w:r>
      <w:r w:rsidRPr="00FB3D5F">
        <w:t xml:space="preserve">at zero cost.  The outputs of the production cost model run are provided as </w:t>
      </w:r>
      <w:r w:rsidRPr="00FB3D5F">
        <w:rPr>
          <w:b/>
        </w:rPr>
        <w:t>Table 2</w:t>
      </w:r>
      <w:r w:rsidRPr="00FB3D5F">
        <w:t>.</w:t>
      </w:r>
    </w:p>
    <w:p w:rsidR="00B567B8" w:rsidRPr="00FB3D5F" w:rsidRDefault="00B567B8" w:rsidP="00B567B8">
      <w:pPr>
        <w:rPr>
          <w:highlight w:val="yellow"/>
        </w:rPr>
      </w:pPr>
    </w:p>
    <w:p w:rsidR="00B567B8" w:rsidRPr="00FB3D5F" w:rsidRDefault="00B567B8" w:rsidP="00B567B8">
      <w:r w:rsidRPr="00FB3D5F">
        <w:t xml:space="preserve">Winter capacity costs in this period are based on </w:t>
      </w:r>
      <w:r w:rsidR="00CE224A" w:rsidRPr="00FB3D5F">
        <w:t xml:space="preserve">a </w:t>
      </w:r>
      <w:r w:rsidRPr="00FB3D5F">
        <w:t>three-month capacity purchase</w:t>
      </w:r>
      <w:r w:rsidR="00CE224A" w:rsidRPr="00FB3D5F">
        <w:t xml:space="preserve"> </w:t>
      </w:r>
      <w:r w:rsidR="00C12CBA" w:rsidRPr="00FB3D5F">
        <w:t>using the</w:t>
      </w:r>
      <w:r w:rsidR="00CE224A" w:rsidRPr="00FB3D5F">
        <w:t xml:space="preserve"> cost of a simple cycle combustion turbine (SCCT)</w:t>
      </w:r>
      <w:r w:rsidRPr="00FB3D5F">
        <w:t xml:space="preserve">.  The annual value as shown in </w:t>
      </w:r>
      <w:r w:rsidRPr="00FB3D5F">
        <w:rPr>
          <w:b/>
        </w:rPr>
        <w:t>Table 3</w:t>
      </w:r>
      <w:r w:rsidRPr="00FB3D5F">
        <w:t xml:space="preserve"> is one-fourth of the capacity cost of a simple cycle combustion turbine</w:t>
      </w:r>
      <w:r w:rsidR="00CE224A" w:rsidRPr="00FB3D5F">
        <w:t>.</w:t>
      </w:r>
    </w:p>
    <w:p w:rsidR="00B567B8" w:rsidRPr="00FB3D5F" w:rsidRDefault="00B567B8" w:rsidP="00B567B8">
      <w:pPr>
        <w:rPr>
          <w:highlight w:val="yellow"/>
        </w:rPr>
      </w:pPr>
    </w:p>
    <w:p w:rsidR="00B567B8" w:rsidRPr="00F824C0" w:rsidRDefault="00B567B8" w:rsidP="00B567B8">
      <w:pPr>
        <w:rPr>
          <w:b/>
        </w:rPr>
      </w:pPr>
      <w:r w:rsidRPr="00F824C0">
        <w:rPr>
          <w:b/>
        </w:rPr>
        <w:t>2.</w:t>
      </w:r>
      <w:r w:rsidRPr="00F824C0">
        <w:rPr>
          <w:b/>
        </w:rPr>
        <w:tab/>
      </w:r>
      <w:r w:rsidRPr="00F824C0">
        <w:rPr>
          <w:b/>
          <w:u w:val="single"/>
        </w:rPr>
        <w:t>Long Run Avoided Costs</w:t>
      </w:r>
    </w:p>
    <w:p w:rsidR="00B567B8" w:rsidRPr="00F824C0" w:rsidRDefault="00B567B8" w:rsidP="00B567B8"/>
    <w:p w:rsidR="00B567B8" w:rsidRPr="00F824C0" w:rsidRDefault="00B567B8" w:rsidP="00B567B8">
      <w:r w:rsidRPr="00F824C0">
        <w:t>During the resource deficiency</w:t>
      </w:r>
      <w:r w:rsidR="00CE224A" w:rsidRPr="00F824C0">
        <w:t xml:space="preserve"> </w:t>
      </w:r>
      <w:r w:rsidRPr="00F824C0">
        <w:t>period, avoided costs are the fixed and variable costs of a</w:t>
      </w:r>
      <w:r w:rsidR="00CE224A" w:rsidRPr="00F824C0">
        <w:t xml:space="preserve"> </w:t>
      </w:r>
      <w:r w:rsidRPr="00F824C0">
        <w:t>combined cycle combustion turbine (CCCT).</w:t>
      </w:r>
      <w:r w:rsidRPr="00F824C0">
        <w:rPr>
          <w:rStyle w:val="FootnoteReference"/>
        </w:rPr>
        <w:footnoteReference w:id="1"/>
      </w:r>
      <w:r w:rsidRPr="00F824C0">
        <w:t xml:space="preserve"> </w:t>
      </w:r>
    </w:p>
    <w:p w:rsidR="00B567B8" w:rsidRPr="00F0600E" w:rsidRDefault="00B567B8" w:rsidP="00B567B8"/>
    <w:p w:rsidR="00B567B8" w:rsidRPr="00F0600E" w:rsidRDefault="003C060D" w:rsidP="00B567B8">
      <w:r w:rsidRPr="00F0600E">
        <w:t>Long Run Avoided C</w:t>
      </w:r>
      <w:r w:rsidR="00C12CBA" w:rsidRPr="00F0600E">
        <w:t>osts use the peak c</w:t>
      </w:r>
      <w:r w:rsidR="00CE224A" w:rsidRPr="00F0600E">
        <w:t xml:space="preserve">redit method to separate the non-fuel costs of the proxy CCCT into capacity and energy components. </w:t>
      </w:r>
      <w:r w:rsidR="0051215F" w:rsidRPr="00F0600E">
        <w:t>Under the method, non-fuel</w:t>
      </w:r>
      <w:r w:rsidR="00B567B8" w:rsidRPr="00F0600E">
        <w:t xml:space="preserve"> costs associated with the construction of a CCCT </w:t>
      </w:r>
      <w:r w:rsidR="0051215F" w:rsidRPr="00F0600E">
        <w:t xml:space="preserve">that exceed the cost of a </w:t>
      </w:r>
      <w:r w:rsidR="00B567B8" w:rsidRPr="00F0600E">
        <w:t>SCCT are</w:t>
      </w:r>
      <w:r w:rsidR="0051215F" w:rsidRPr="00F0600E">
        <w:t xml:space="preserve"> designated as capitalized energy </w:t>
      </w:r>
      <w:r w:rsidR="00B567B8" w:rsidRPr="00F0600E">
        <w:t xml:space="preserve">and added to the variable production (fuel) cost of the CCCT </w:t>
      </w:r>
      <w:r w:rsidR="00C12CBA" w:rsidRPr="00F0600E">
        <w:t xml:space="preserve">in </w:t>
      </w:r>
      <w:r w:rsidR="00B567B8" w:rsidRPr="00F0600E">
        <w:t xml:space="preserve">the total </w:t>
      </w:r>
      <w:r w:rsidR="00B567B8" w:rsidRPr="00F0600E">
        <w:lastRenderedPageBreak/>
        <w:t xml:space="preserve">avoided energy costs.  </w:t>
      </w:r>
      <w:r w:rsidR="00B567B8" w:rsidRPr="00F0600E">
        <w:rPr>
          <w:b/>
        </w:rPr>
        <w:t>Table 3</w:t>
      </w:r>
      <w:r w:rsidR="00B567B8" w:rsidRPr="00F0600E">
        <w:t xml:space="preserve"> shows the capitalized energy costs. </w:t>
      </w:r>
    </w:p>
    <w:p w:rsidR="00F0600E" w:rsidRPr="00F0600E" w:rsidRDefault="00F0600E" w:rsidP="00B567B8"/>
    <w:p w:rsidR="00B567B8" w:rsidRPr="00F0600E" w:rsidRDefault="00B567B8" w:rsidP="00B567B8">
      <w:r w:rsidRPr="00F0600E">
        <w:t xml:space="preserve">The fuel cost of the CCCT defines the avoided variable energy costs.  </w:t>
      </w:r>
      <w:r w:rsidRPr="00F0600E">
        <w:rPr>
          <w:b/>
        </w:rPr>
        <w:t>Table 4</w:t>
      </w:r>
      <w:r w:rsidRPr="00F0600E">
        <w:t xml:space="preserve"> shows the CCCT fuel cost and the total avoided energy costs.</w:t>
      </w:r>
    </w:p>
    <w:p w:rsidR="00B567B8" w:rsidRPr="00F0600E" w:rsidRDefault="00B567B8" w:rsidP="00B567B8"/>
    <w:p w:rsidR="00B567B8" w:rsidRPr="00F0600E" w:rsidRDefault="00B567B8" w:rsidP="00B567B8">
      <w:r w:rsidRPr="00F0600E">
        <w:t xml:space="preserve">Because energy generated by a qualifying facility may vary, avoided costs at 75%, 85% and 95% capacity factors are prepared to illustrate the impact of differing generation levels.  These calculations are shown in </w:t>
      </w:r>
      <w:r w:rsidRPr="00F0600E">
        <w:rPr>
          <w:b/>
        </w:rPr>
        <w:t>Table 5</w:t>
      </w:r>
      <w:r w:rsidRPr="00F0600E">
        <w:t>.</w:t>
      </w:r>
    </w:p>
    <w:p w:rsidR="00B567B8" w:rsidRPr="00F0600E" w:rsidRDefault="00B567B8" w:rsidP="00B567B8"/>
    <w:p w:rsidR="00B567B8" w:rsidRPr="00F0600E" w:rsidRDefault="00B567B8" w:rsidP="00B567B8">
      <w:r w:rsidRPr="00F0600E">
        <w:t xml:space="preserve">Avoided energy costs </w:t>
      </w:r>
      <w:r w:rsidR="00C12CBA" w:rsidRPr="00F0600E">
        <w:t>are</w:t>
      </w:r>
      <w:r w:rsidRPr="00F0600E">
        <w:t xml:space="preserve"> differentiated between on-peak and off-peak periods.  To make this calculation, the Company a</w:t>
      </w:r>
      <w:r w:rsidR="00C12CBA" w:rsidRPr="00F0600E">
        <w:t xml:space="preserve">pplies </w:t>
      </w:r>
      <w:r w:rsidRPr="00F0600E">
        <w:t xml:space="preserve">all capacity costs to meet on-peak </w:t>
      </w:r>
      <w:r w:rsidR="00C12CBA" w:rsidRPr="00F0600E">
        <w:t>prices</w:t>
      </w:r>
      <w:r w:rsidRPr="00F0600E">
        <w:t xml:space="preserve">.  On an annual basis, approximately 57% of all hours are on-peak and 43% are off-peak.  </w:t>
      </w:r>
      <w:r w:rsidRPr="00F0600E">
        <w:rPr>
          <w:b/>
        </w:rPr>
        <w:t>Table 6</w:t>
      </w:r>
      <w:r w:rsidRPr="00F0600E">
        <w:t xml:space="preserve"> shows the calculation of on-peak and off-peak avoided energy prices.</w:t>
      </w:r>
    </w:p>
    <w:p w:rsidR="00B567B8" w:rsidRPr="00FB3D5F" w:rsidRDefault="00B567B8" w:rsidP="00B567B8">
      <w:pPr>
        <w:rPr>
          <w:highlight w:val="yellow"/>
        </w:rPr>
      </w:pPr>
    </w:p>
    <w:p w:rsidR="00B567B8" w:rsidRPr="00F0600E" w:rsidRDefault="00B567B8" w:rsidP="00B567B8">
      <w:r w:rsidRPr="00F0600E">
        <w:t xml:space="preserve">For informational purposes, </w:t>
      </w:r>
      <w:r w:rsidRPr="00F0600E">
        <w:rPr>
          <w:b/>
        </w:rPr>
        <w:t xml:space="preserve">Table 7 </w:t>
      </w:r>
      <w:r w:rsidRPr="00F0600E">
        <w:t xml:space="preserve">shows a comparison between the avoided costs currently in effect in </w:t>
      </w:r>
      <w:r w:rsidR="001650DC" w:rsidRPr="00F0600E">
        <w:t>Washington</w:t>
      </w:r>
      <w:r w:rsidRPr="00F0600E">
        <w:t xml:space="preserve"> and the proposed avoided costs in this filing.</w:t>
      </w:r>
    </w:p>
    <w:p w:rsidR="00B567B8" w:rsidRPr="00F0600E" w:rsidRDefault="00B567B8" w:rsidP="00B567B8"/>
    <w:p w:rsidR="00B567B8" w:rsidRPr="00F0600E" w:rsidRDefault="00B567B8" w:rsidP="00B567B8">
      <w:r w:rsidRPr="00F0600E">
        <w:rPr>
          <w:b/>
        </w:rPr>
        <w:lastRenderedPageBreak/>
        <w:t>Table 8</w:t>
      </w:r>
      <w:r w:rsidRPr="00F0600E">
        <w:t xml:space="preserve"> shows the calculation of the total fixed costs and fuel costs of the CCCT and SCCT that are used in </w:t>
      </w:r>
      <w:r w:rsidRPr="00F0600E">
        <w:rPr>
          <w:b/>
        </w:rPr>
        <w:t>Table 3</w:t>
      </w:r>
      <w:r w:rsidRPr="00F0600E">
        <w:t xml:space="preserve"> and </w:t>
      </w:r>
      <w:r w:rsidRPr="00F0600E">
        <w:rPr>
          <w:b/>
        </w:rPr>
        <w:t>Table 4</w:t>
      </w:r>
      <w:r w:rsidRPr="00F0600E">
        <w:t xml:space="preserve">.  </w:t>
      </w:r>
    </w:p>
    <w:p w:rsidR="00B567B8" w:rsidRPr="00F0600E" w:rsidRDefault="00B567B8" w:rsidP="00B567B8">
      <w:pPr>
        <w:pStyle w:val="Heading2"/>
        <w:rPr>
          <w:bCs/>
        </w:rPr>
      </w:pPr>
      <w:r w:rsidRPr="00F0600E">
        <w:rPr>
          <w:bCs/>
        </w:rPr>
        <w:t>Gas Price Forecast</w:t>
      </w:r>
    </w:p>
    <w:p w:rsidR="00ED413E" w:rsidRPr="00DA2168" w:rsidRDefault="00B567B8" w:rsidP="00B567B8">
      <w:r w:rsidRPr="00F0600E">
        <w:rPr>
          <w:szCs w:val="24"/>
        </w:rPr>
        <w:t xml:space="preserve">The electricity and natural gas prices used in this filing are from the Company’s Official Forward Price Curve dated </w:t>
      </w:r>
      <w:r w:rsidR="001650DC" w:rsidRPr="00F0600E">
        <w:rPr>
          <w:szCs w:val="24"/>
        </w:rPr>
        <w:t>September</w:t>
      </w:r>
      <w:r w:rsidRPr="00F0600E">
        <w:rPr>
          <w:szCs w:val="24"/>
        </w:rPr>
        <w:t xml:space="preserve"> </w:t>
      </w:r>
      <w:r w:rsidR="001650DC" w:rsidRPr="00F0600E">
        <w:rPr>
          <w:szCs w:val="24"/>
        </w:rPr>
        <w:t>30</w:t>
      </w:r>
      <w:r w:rsidRPr="00F0600E">
        <w:rPr>
          <w:szCs w:val="24"/>
        </w:rPr>
        <w:t>, 201</w:t>
      </w:r>
      <w:r w:rsidR="00F0600E" w:rsidRPr="00F0600E">
        <w:rPr>
          <w:szCs w:val="24"/>
        </w:rPr>
        <w:t>4</w:t>
      </w:r>
      <w:r w:rsidRPr="00F0600E">
        <w:rPr>
          <w:szCs w:val="24"/>
        </w:rPr>
        <w:t xml:space="preserve">.  Both the electricity and natural gas prices are inputs to the Company’s GRID model in the calculation of the proposed </w:t>
      </w:r>
      <w:r w:rsidR="00CE224A" w:rsidRPr="00F0600E">
        <w:rPr>
          <w:szCs w:val="24"/>
        </w:rPr>
        <w:t xml:space="preserve">short-run </w:t>
      </w:r>
      <w:r w:rsidRPr="00F0600E">
        <w:rPr>
          <w:szCs w:val="24"/>
        </w:rPr>
        <w:t>avoided</w:t>
      </w:r>
      <w:r w:rsidR="00CE224A" w:rsidRPr="00F0600E">
        <w:rPr>
          <w:szCs w:val="24"/>
        </w:rPr>
        <w:t xml:space="preserve"> energy</w:t>
      </w:r>
      <w:r w:rsidRPr="00F0600E">
        <w:rPr>
          <w:szCs w:val="24"/>
        </w:rPr>
        <w:t xml:space="preserve"> costs in this filing.  Natural gas prices are also used to calculate the fuel costs of the CCCT proxy resource for the Long Run avoided costs, as shown in </w:t>
      </w:r>
      <w:r w:rsidRPr="00F0600E">
        <w:rPr>
          <w:b/>
          <w:szCs w:val="24"/>
        </w:rPr>
        <w:t>Table 9</w:t>
      </w:r>
      <w:r w:rsidRPr="00F0600E">
        <w:rPr>
          <w:szCs w:val="24"/>
        </w:rPr>
        <w:t>.</w:t>
      </w:r>
      <w:r>
        <w:rPr>
          <w:szCs w:val="24"/>
        </w:rPr>
        <w:t xml:space="preserve">  </w:t>
      </w:r>
    </w:p>
    <w:sectPr w:rsidR="00ED413E" w:rsidRPr="00DA2168" w:rsidSect="005746B3">
      <w:headerReference w:type="even" r:id="rId7"/>
      <w:headerReference w:type="default" r:id="rId8"/>
      <w:footerReference w:type="even" r:id="rId9"/>
      <w:footerReference w:type="default" r:id="rId10"/>
      <w:headerReference w:type="first" r:id="rId11"/>
      <w:footerReference w:type="first" r:id="rId12"/>
      <w:pgSz w:w="12240" w:h="15840"/>
      <w:pgMar w:top="1440" w:right="1800" w:bottom="99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E5A" w:rsidRDefault="00D24E5A" w:rsidP="00F52E62">
      <w:r>
        <w:separator/>
      </w:r>
    </w:p>
  </w:endnote>
  <w:endnote w:type="continuationSeparator" w:id="0">
    <w:p w:rsidR="00D24E5A" w:rsidRDefault="00D24E5A" w:rsidP="00F5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F1" w:rsidRDefault="00D02E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881318"/>
      <w:docPartObj>
        <w:docPartGallery w:val="Page Numbers (Bottom of Page)"/>
        <w:docPartUnique/>
      </w:docPartObj>
    </w:sdtPr>
    <w:sdtEndPr>
      <w:rPr>
        <w:noProof/>
      </w:rPr>
    </w:sdtEndPr>
    <w:sdtContent>
      <w:p w:rsidR="0051215F" w:rsidRDefault="00675277" w:rsidP="00675277">
        <w:pPr>
          <w:pStyle w:val="Footer"/>
          <w:jc w:val="center"/>
        </w:pPr>
        <w:r>
          <w:t xml:space="preserve">Page </w:t>
        </w:r>
        <w:r>
          <w:fldChar w:fldCharType="begin"/>
        </w:r>
        <w:r>
          <w:instrText xml:space="preserve"> PAGE   \* MERGEFORMAT </w:instrText>
        </w:r>
        <w:r>
          <w:fldChar w:fldCharType="separate"/>
        </w:r>
        <w:r w:rsidR="00EB638E">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F1" w:rsidRDefault="00D02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E5A" w:rsidRDefault="00D24E5A" w:rsidP="00F52E62">
      <w:r>
        <w:separator/>
      </w:r>
    </w:p>
  </w:footnote>
  <w:footnote w:type="continuationSeparator" w:id="0">
    <w:p w:rsidR="00D24E5A" w:rsidRDefault="00D24E5A" w:rsidP="00F52E62">
      <w:r>
        <w:continuationSeparator/>
      </w:r>
    </w:p>
  </w:footnote>
  <w:footnote w:id="1">
    <w:p w:rsidR="0051215F" w:rsidRDefault="0051215F" w:rsidP="00B567B8">
      <w:pPr>
        <w:pStyle w:val="FootnoteText"/>
      </w:pPr>
      <w:r>
        <w:rPr>
          <w:rStyle w:val="FootnoteReference"/>
        </w:rPr>
        <w:footnoteRef/>
      </w:r>
      <w:r>
        <w:t xml:space="preserve"> CCCT (</w:t>
      </w:r>
      <w:r w:rsidR="00F824C0">
        <w:t>Dry</w:t>
      </w:r>
      <w:r>
        <w:t xml:space="preserve"> "</w:t>
      </w:r>
      <w:r w:rsidR="00F824C0">
        <w:t>J</w:t>
      </w:r>
      <w:r>
        <w:t>"</w:t>
      </w:r>
      <w:r w:rsidR="00F824C0">
        <w:t xml:space="preserve"> Adv</w:t>
      </w:r>
      <w:r>
        <w:t xml:space="preserve"> 1x1) </w:t>
      </w:r>
      <w:r w:rsidRPr="00795ED6">
        <w:t xml:space="preserve">- </w:t>
      </w:r>
      <w:r>
        <w:t>West Side Options (1</w:t>
      </w:r>
      <w:r w:rsidRPr="00795ED6">
        <w:t>500')</w:t>
      </w:r>
      <w:r>
        <w:t xml:space="preserve"> as modeled for the 201</w:t>
      </w:r>
      <w:r w:rsidR="00F824C0">
        <w:t>3</w:t>
      </w:r>
      <w:r>
        <w:t xml:space="preserve"> IRP Update.  Fuel costs are f</w:t>
      </w:r>
      <w:r w:rsidR="00F824C0">
        <w:t>rom the Company’s September 2014</w:t>
      </w:r>
      <w:r>
        <w:t xml:space="preserve"> Official Forward Price Curve.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F1" w:rsidRDefault="00D02E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5F" w:rsidRPr="001B37C6" w:rsidRDefault="00B95FC2" w:rsidP="00F733DB">
    <w:pPr>
      <w:ind w:left="3600" w:firstLine="720"/>
      <w:jc w:val="right"/>
      <w:rPr>
        <w:b/>
      </w:rPr>
    </w:pPr>
    <w:r>
      <w:rPr>
        <w:b/>
      </w:rPr>
      <w:t xml:space="preserve">Attachment </w:t>
    </w:r>
    <w:r w:rsidR="008D777A">
      <w:rPr>
        <w:b/>
      </w:rPr>
      <w:t>A</w:t>
    </w:r>
  </w:p>
  <w:p w:rsidR="0051215F" w:rsidRDefault="0051215F" w:rsidP="00F733DB"/>
  <w:p w:rsidR="0051215F" w:rsidRDefault="005121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F1" w:rsidRDefault="00D02E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17FC2"/>
    <w:multiLevelType w:val="hybridMultilevel"/>
    <w:tmpl w:val="1AF21E0E"/>
    <w:lvl w:ilvl="0" w:tplc="37B6A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85TrailerType" w:val="100"/>
    <w:docVar w:name="MPDocID" w:val="3191802.1"/>
    <w:docVar w:name="NewDocStampType" w:val="1"/>
  </w:docVars>
  <w:rsids>
    <w:rsidRoot w:val="00066FFE"/>
    <w:rsid w:val="00015D80"/>
    <w:rsid w:val="00016598"/>
    <w:rsid w:val="00040C69"/>
    <w:rsid w:val="00050A51"/>
    <w:rsid w:val="00066FFE"/>
    <w:rsid w:val="000C4964"/>
    <w:rsid w:val="000C534C"/>
    <w:rsid w:val="000D6BCD"/>
    <w:rsid w:val="000E0556"/>
    <w:rsid w:val="000E14AC"/>
    <w:rsid w:val="001260E8"/>
    <w:rsid w:val="00133ECE"/>
    <w:rsid w:val="001650DC"/>
    <w:rsid w:val="001B37C6"/>
    <w:rsid w:val="001D1169"/>
    <w:rsid w:val="002006E7"/>
    <w:rsid w:val="00217E88"/>
    <w:rsid w:val="00243D39"/>
    <w:rsid w:val="002670EC"/>
    <w:rsid w:val="002B7796"/>
    <w:rsid w:val="002C1833"/>
    <w:rsid w:val="002D4328"/>
    <w:rsid w:val="002F721A"/>
    <w:rsid w:val="00303DC6"/>
    <w:rsid w:val="003331A2"/>
    <w:rsid w:val="00355B5C"/>
    <w:rsid w:val="0038217B"/>
    <w:rsid w:val="0039490C"/>
    <w:rsid w:val="003A31CF"/>
    <w:rsid w:val="003A5E0B"/>
    <w:rsid w:val="003B5FA5"/>
    <w:rsid w:val="003B70E7"/>
    <w:rsid w:val="003C060D"/>
    <w:rsid w:val="003C796E"/>
    <w:rsid w:val="003F709E"/>
    <w:rsid w:val="0040268B"/>
    <w:rsid w:val="004129D8"/>
    <w:rsid w:val="00444540"/>
    <w:rsid w:val="004569E2"/>
    <w:rsid w:val="00464051"/>
    <w:rsid w:val="00464612"/>
    <w:rsid w:val="0047675D"/>
    <w:rsid w:val="004C4AEA"/>
    <w:rsid w:val="004E1D11"/>
    <w:rsid w:val="004F6E6B"/>
    <w:rsid w:val="005016A3"/>
    <w:rsid w:val="0051215F"/>
    <w:rsid w:val="00521276"/>
    <w:rsid w:val="005241FB"/>
    <w:rsid w:val="005746B3"/>
    <w:rsid w:val="00576EAB"/>
    <w:rsid w:val="005B4D15"/>
    <w:rsid w:val="005B6975"/>
    <w:rsid w:val="005C4590"/>
    <w:rsid w:val="005E3340"/>
    <w:rsid w:val="00656C3F"/>
    <w:rsid w:val="0066006C"/>
    <w:rsid w:val="00675277"/>
    <w:rsid w:val="00676589"/>
    <w:rsid w:val="0069522B"/>
    <w:rsid w:val="006A7DAD"/>
    <w:rsid w:val="006B01BA"/>
    <w:rsid w:val="006B78BD"/>
    <w:rsid w:val="006C2D15"/>
    <w:rsid w:val="006F4EA1"/>
    <w:rsid w:val="0071271F"/>
    <w:rsid w:val="0076168E"/>
    <w:rsid w:val="00765B45"/>
    <w:rsid w:val="0077171F"/>
    <w:rsid w:val="00774B48"/>
    <w:rsid w:val="00777F34"/>
    <w:rsid w:val="007826D3"/>
    <w:rsid w:val="0079065E"/>
    <w:rsid w:val="007A6AC1"/>
    <w:rsid w:val="007C52D8"/>
    <w:rsid w:val="007F3EE8"/>
    <w:rsid w:val="008012EA"/>
    <w:rsid w:val="0080754A"/>
    <w:rsid w:val="00824576"/>
    <w:rsid w:val="00851890"/>
    <w:rsid w:val="008573E3"/>
    <w:rsid w:val="00871722"/>
    <w:rsid w:val="00883FA7"/>
    <w:rsid w:val="008931E1"/>
    <w:rsid w:val="008D777A"/>
    <w:rsid w:val="0090720B"/>
    <w:rsid w:val="00922E9E"/>
    <w:rsid w:val="00944B64"/>
    <w:rsid w:val="009536B6"/>
    <w:rsid w:val="009C01FD"/>
    <w:rsid w:val="009C15C9"/>
    <w:rsid w:val="009C4C4C"/>
    <w:rsid w:val="009C70E3"/>
    <w:rsid w:val="009F0137"/>
    <w:rsid w:val="009F2F74"/>
    <w:rsid w:val="009F3C50"/>
    <w:rsid w:val="00A16AE3"/>
    <w:rsid w:val="00A207E5"/>
    <w:rsid w:val="00A233DB"/>
    <w:rsid w:val="00A24311"/>
    <w:rsid w:val="00A26C0B"/>
    <w:rsid w:val="00A94274"/>
    <w:rsid w:val="00AA231F"/>
    <w:rsid w:val="00AC16AA"/>
    <w:rsid w:val="00AC4174"/>
    <w:rsid w:val="00AF3331"/>
    <w:rsid w:val="00B131D5"/>
    <w:rsid w:val="00B52ED2"/>
    <w:rsid w:val="00B567B8"/>
    <w:rsid w:val="00B83804"/>
    <w:rsid w:val="00B95FC2"/>
    <w:rsid w:val="00BE6E19"/>
    <w:rsid w:val="00BF39F1"/>
    <w:rsid w:val="00C050E3"/>
    <w:rsid w:val="00C12CBA"/>
    <w:rsid w:val="00C2080C"/>
    <w:rsid w:val="00C279D8"/>
    <w:rsid w:val="00C439F8"/>
    <w:rsid w:val="00C56C86"/>
    <w:rsid w:val="00C76F1B"/>
    <w:rsid w:val="00CC6D3F"/>
    <w:rsid w:val="00CE224A"/>
    <w:rsid w:val="00D02EF1"/>
    <w:rsid w:val="00D125DD"/>
    <w:rsid w:val="00D24E5A"/>
    <w:rsid w:val="00D32E28"/>
    <w:rsid w:val="00D3415F"/>
    <w:rsid w:val="00D55B55"/>
    <w:rsid w:val="00D87FDB"/>
    <w:rsid w:val="00DA2168"/>
    <w:rsid w:val="00DA414D"/>
    <w:rsid w:val="00DB7558"/>
    <w:rsid w:val="00E15B92"/>
    <w:rsid w:val="00E1724C"/>
    <w:rsid w:val="00E31956"/>
    <w:rsid w:val="00E7471E"/>
    <w:rsid w:val="00EB638E"/>
    <w:rsid w:val="00ED413E"/>
    <w:rsid w:val="00F0600E"/>
    <w:rsid w:val="00F40242"/>
    <w:rsid w:val="00F52E62"/>
    <w:rsid w:val="00F733DB"/>
    <w:rsid w:val="00F824C0"/>
    <w:rsid w:val="00FB0BCD"/>
    <w:rsid w:val="00FB3D5F"/>
    <w:rsid w:val="00FD7BCE"/>
    <w:rsid w:val="00FE5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8BD"/>
    <w:rPr>
      <w:sz w:val="24"/>
    </w:rPr>
  </w:style>
  <w:style w:type="paragraph" w:styleId="Heading1">
    <w:name w:val="heading 1"/>
    <w:basedOn w:val="Normal"/>
    <w:next w:val="Normal"/>
    <w:qFormat/>
    <w:rsid w:val="006B78BD"/>
    <w:pPr>
      <w:keepNext/>
      <w:spacing w:before="240" w:after="60"/>
      <w:jc w:val="center"/>
      <w:outlineLvl w:val="0"/>
    </w:pPr>
    <w:rPr>
      <w:b/>
      <w:kern w:val="28"/>
      <w:sz w:val="28"/>
    </w:rPr>
  </w:style>
  <w:style w:type="paragraph" w:styleId="Heading2">
    <w:name w:val="heading 2"/>
    <w:basedOn w:val="Normal"/>
    <w:next w:val="Normal"/>
    <w:qFormat/>
    <w:rsid w:val="006B78BD"/>
    <w:pPr>
      <w:keepNext/>
      <w:spacing w:before="240" w:after="120"/>
      <w:outlineLvl w:val="1"/>
    </w:pPr>
    <w:rPr>
      <w:b/>
      <w:iCs/>
    </w:rPr>
  </w:style>
  <w:style w:type="paragraph" w:styleId="Heading3">
    <w:name w:val="heading 3"/>
    <w:basedOn w:val="Normal"/>
    <w:next w:val="Normal"/>
    <w:qFormat/>
    <w:rsid w:val="006B78BD"/>
    <w:pPr>
      <w:keepNext/>
      <w:spacing w:before="240" w:after="120"/>
      <w:ind w:left="720"/>
      <w:outlineLvl w:val="2"/>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nt">
    <w:name w:val="Hanging Indent"/>
    <w:basedOn w:val="Normal"/>
    <w:rsid w:val="006B78BD"/>
    <w:pPr>
      <w:ind w:left="720" w:hanging="720"/>
    </w:pPr>
  </w:style>
  <w:style w:type="paragraph" w:styleId="Header">
    <w:name w:val="header"/>
    <w:basedOn w:val="Normal"/>
    <w:rsid w:val="006B78BD"/>
    <w:pPr>
      <w:tabs>
        <w:tab w:val="center" w:pos="4320"/>
        <w:tab w:val="right" w:pos="8640"/>
      </w:tabs>
    </w:pPr>
  </w:style>
  <w:style w:type="paragraph" w:styleId="Footer">
    <w:name w:val="footer"/>
    <w:basedOn w:val="Normal"/>
    <w:link w:val="FooterChar"/>
    <w:uiPriority w:val="99"/>
    <w:rsid w:val="006B78BD"/>
    <w:pPr>
      <w:tabs>
        <w:tab w:val="center" w:pos="4320"/>
        <w:tab w:val="right" w:pos="8640"/>
      </w:tabs>
    </w:pPr>
  </w:style>
  <w:style w:type="character" w:customStyle="1" w:styleId="zzmpTrailerItem">
    <w:name w:val="zzmpTrailerItem"/>
    <w:basedOn w:val="DefaultParagraphFont"/>
    <w:rsid w:val="006B78BD"/>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PageNumber">
    <w:name w:val="page number"/>
    <w:basedOn w:val="DefaultParagraphFont"/>
    <w:rsid w:val="006B78BD"/>
  </w:style>
  <w:style w:type="paragraph" w:styleId="BalloonText">
    <w:name w:val="Balloon Text"/>
    <w:basedOn w:val="Normal"/>
    <w:semiHidden/>
    <w:rsid w:val="00066FFE"/>
    <w:rPr>
      <w:rFonts w:ascii="Tahoma" w:hAnsi="Tahoma" w:cs="Tahoma"/>
      <w:sz w:val="16"/>
      <w:szCs w:val="16"/>
    </w:rPr>
  </w:style>
  <w:style w:type="paragraph" w:styleId="FootnoteText">
    <w:name w:val="footnote text"/>
    <w:basedOn w:val="Normal"/>
    <w:semiHidden/>
    <w:rsid w:val="002006E7"/>
    <w:rPr>
      <w:sz w:val="20"/>
    </w:rPr>
  </w:style>
  <w:style w:type="character" w:styleId="FootnoteReference">
    <w:name w:val="footnote reference"/>
    <w:basedOn w:val="DefaultParagraphFont"/>
    <w:semiHidden/>
    <w:rsid w:val="002006E7"/>
    <w:rPr>
      <w:vertAlign w:val="superscript"/>
    </w:rPr>
  </w:style>
  <w:style w:type="paragraph" w:customStyle="1" w:styleId="CharChar1">
    <w:name w:val="Char Char1"/>
    <w:basedOn w:val="Normal"/>
    <w:rsid w:val="002B7796"/>
    <w:pPr>
      <w:spacing w:after="160" w:line="240" w:lineRule="exact"/>
    </w:pPr>
    <w:rPr>
      <w:rFonts w:ascii="Verdana" w:hAnsi="Verdana"/>
      <w:sz w:val="20"/>
    </w:rPr>
  </w:style>
  <w:style w:type="character" w:styleId="CommentReference">
    <w:name w:val="annotation reference"/>
    <w:basedOn w:val="DefaultParagraphFont"/>
    <w:uiPriority w:val="99"/>
    <w:semiHidden/>
    <w:unhideWhenUsed/>
    <w:rsid w:val="0039490C"/>
    <w:rPr>
      <w:sz w:val="16"/>
      <w:szCs w:val="16"/>
    </w:rPr>
  </w:style>
  <w:style w:type="paragraph" w:styleId="CommentText">
    <w:name w:val="annotation text"/>
    <w:basedOn w:val="Normal"/>
    <w:link w:val="CommentTextChar"/>
    <w:uiPriority w:val="99"/>
    <w:semiHidden/>
    <w:unhideWhenUsed/>
    <w:rsid w:val="0039490C"/>
    <w:rPr>
      <w:sz w:val="20"/>
    </w:rPr>
  </w:style>
  <w:style w:type="character" w:customStyle="1" w:styleId="CommentTextChar">
    <w:name w:val="Comment Text Char"/>
    <w:basedOn w:val="DefaultParagraphFont"/>
    <w:link w:val="CommentText"/>
    <w:uiPriority w:val="99"/>
    <w:semiHidden/>
    <w:rsid w:val="0039490C"/>
  </w:style>
  <w:style w:type="paragraph" w:styleId="CommentSubject">
    <w:name w:val="annotation subject"/>
    <w:basedOn w:val="CommentText"/>
    <w:next w:val="CommentText"/>
    <w:link w:val="CommentSubjectChar"/>
    <w:uiPriority w:val="99"/>
    <w:semiHidden/>
    <w:unhideWhenUsed/>
    <w:rsid w:val="0039490C"/>
    <w:rPr>
      <w:b/>
      <w:bCs/>
    </w:rPr>
  </w:style>
  <w:style w:type="character" w:customStyle="1" w:styleId="CommentSubjectChar">
    <w:name w:val="Comment Subject Char"/>
    <w:basedOn w:val="CommentTextChar"/>
    <w:link w:val="CommentSubject"/>
    <w:uiPriority w:val="99"/>
    <w:semiHidden/>
    <w:rsid w:val="0039490C"/>
    <w:rPr>
      <w:b/>
      <w:bCs/>
    </w:rPr>
  </w:style>
  <w:style w:type="paragraph" w:styleId="ListParagraph">
    <w:name w:val="List Paragraph"/>
    <w:basedOn w:val="Normal"/>
    <w:uiPriority w:val="34"/>
    <w:qFormat/>
    <w:rsid w:val="00C76F1B"/>
    <w:pPr>
      <w:ind w:left="720"/>
      <w:contextualSpacing/>
    </w:pPr>
  </w:style>
  <w:style w:type="character" w:customStyle="1" w:styleId="FooterChar">
    <w:name w:val="Footer Char"/>
    <w:basedOn w:val="DefaultParagraphFont"/>
    <w:link w:val="Footer"/>
    <w:uiPriority w:val="99"/>
    <w:rsid w:val="0067527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2014-12-29T08:00:00+00:00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CA2FEA4-CC9A-41A7-8933-C322962E0AFB}"/>
</file>

<file path=customXml/itemProps2.xml><?xml version="1.0" encoding="utf-8"?>
<ds:datastoreItem xmlns:ds="http://schemas.openxmlformats.org/officeDocument/2006/customXml" ds:itemID="{292C00D9-E5FC-4FD4-BF99-088AFE174794}"/>
</file>

<file path=customXml/itemProps3.xml><?xml version="1.0" encoding="utf-8"?>
<ds:datastoreItem xmlns:ds="http://schemas.openxmlformats.org/officeDocument/2006/customXml" ds:itemID="{AC3B15DE-4302-403A-B6D6-DE64E7A221E2}"/>
</file>

<file path=customXml/itemProps4.xml><?xml version="1.0" encoding="utf-8"?>
<ds:datastoreItem xmlns:ds="http://schemas.openxmlformats.org/officeDocument/2006/customXml" ds:itemID="{F9FE76F8-A6AA-421E-A3D2-4DBF92CBBA70}"/>
</file>

<file path=docProps/app.xml><?xml version="1.0" encoding="utf-8"?>
<Properties xmlns="http://schemas.openxmlformats.org/officeDocument/2006/extended-properties" xmlns:vt="http://schemas.openxmlformats.org/officeDocument/2006/docPropsVTypes">
  <Template>Normal</Template>
  <TotalTime>0</TotalTime>
  <Pages>5</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2015-11-25T22:23:00Z</dcterms:created>
  <dcterms:modified xsi:type="dcterms:W3CDTF">2015-11-25T22:23:00Z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0x0101006E56B4D1795A2E4DB2F0B01679ED314A00F0A92E28D1EC4D42B4C180CD69469D63</vt:lpwstr>
  </property>
  <property fmtid="{D5CDD505-2E9C-101B-9397-08002B2CF9AE}" pid="4" name="_docset_NoMedatataSyncRequired">
    <vt:lpwstr>False</vt:lpwstr>
  </property>
</Properties>
</file>