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A63" w:rsidRPr="002E2443" w:rsidRDefault="002E2443" w:rsidP="002E2443">
      <w:pPr>
        <w:spacing w:after="0"/>
        <w:jc w:val="center"/>
        <w:rPr>
          <w:rFonts w:ascii="Times New Roman" w:hAnsi="Times New Roman"/>
          <w:b/>
          <w:sz w:val="24"/>
          <w:szCs w:val="24"/>
        </w:rPr>
      </w:pPr>
      <w:r w:rsidRPr="002E2443">
        <w:rPr>
          <w:rFonts w:ascii="Times New Roman" w:hAnsi="Times New Roman"/>
          <w:b/>
          <w:sz w:val="24"/>
          <w:szCs w:val="24"/>
        </w:rPr>
        <w:t>BEFORE THE WASHINGTON STATE</w:t>
      </w:r>
    </w:p>
    <w:p w:rsidR="002E2443" w:rsidRPr="002E2443" w:rsidRDefault="002E2443" w:rsidP="002E2443">
      <w:pPr>
        <w:spacing w:after="0"/>
        <w:jc w:val="center"/>
        <w:rPr>
          <w:rFonts w:ascii="Times New Roman" w:hAnsi="Times New Roman"/>
          <w:b/>
          <w:sz w:val="24"/>
          <w:szCs w:val="24"/>
        </w:rPr>
      </w:pPr>
      <w:r w:rsidRPr="002E2443">
        <w:rPr>
          <w:rFonts w:ascii="Times New Roman" w:hAnsi="Times New Roman"/>
          <w:b/>
          <w:sz w:val="24"/>
          <w:szCs w:val="24"/>
        </w:rPr>
        <w:t>UTILITIES AND TRANSPORTATION COMMISSION</w:t>
      </w:r>
    </w:p>
    <w:p w:rsidR="002E2443" w:rsidRPr="002E2443" w:rsidRDefault="002E2443" w:rsidP="002E2443">
      <w:pPr>
        <w:spacing w:after="0"/>
        <w:rPr>
          <w:rFonts w:ascii="Times New Roman" w:hAnsi="Times New Roman"/>
          <w:sz w:val="24"/>
          <w:szCs w:val="24"/>
        </w:rPr>
      </w:pPr>
    </w:p>
    <w:p w:rsidR="002E2443" w:rsidRDefault="002E2443" w:rsidP="002E2443">
      <w:pPr>
        <w:spacing w:after="0"/>
        <w:rPr>
          <w:rFonts w:ascii="Times New Roman" w:hAnsi="Times New Roman"/>
          <w:sz w:val="24"/>
          <w:szCs w:val="24"/>
        </w:rPr>
      </w:pPr>
      <w:r w:rsidRPr="002E2443">
        <w:rPr>
          <w:rFonts w:ascii="Times New Roman" w:hAnsi="Times New Roman"/>
          <w:sz w:val="24"/>
          <w:szCs w:val="24"/>
        </w:rPr>
        <w:t>In the Matter of the Joint Application of</w:t>
      </w:r>
      <w:r>
        <w:rPr>
          <w:rFonts w:ascii="Times New Roman" w:hAnsi="Times New Roman"/>
          <w:sz w:val="24"/>
          <w:szCs w:val="24"/>
        </w:rPr>
        <w:tab/>
        <w:t>)</w:t>
      </w:r>
    </w:p>
    <w:p w:rsidR="002E2443" w:rsidRPr="002E2443" w:rsidRDefault="002E2443" w:rsidP="002E244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2E2443" w:rsidRPr="002E2443" w:rsidRDefault="002E2443" w:rsidP="002E2443">
      <w:pPr>
        <w:spacing w:after="0"/>
        <w:rPr>
          <w:rFonts w:ascii="Times New Roman" w:hAnsi="Times New Roman"/>
          <w:sz w:val="24"/>
          <w:szCs w:val="24"/>
        </w:rPr>
      </w:pPr>
      <w:r w:rsidRPr="002E2443">
        <w:rPr>
          <w:rFonts w:ascii="Times New Roman" w:hAnsi="Times New Roman"/>
          <w:sz w:val="24"/>
          <w:szCs w:val="24"/>
        </w:rPr>
        <w:t xml:space="preserve">QWEST COMMUNICATIONS </w:t>
      </w:r>
      <w:r w:rsidR="00B7491B">
        <w:rPr>
          <w:rFonts w:ascii="Times New Roman" w:hAnsi="Times New Roman"/>
          <w:sz w:val="24"/>
          <w:szCs w:val="24"/>
        </w:rPr>
        <w:tab/>
      </w:r>
      <w:r w:rsidR="00B7491B">
        <w:rPr>
          <w:rFonts w:ascii="Times New Roman" w:hAnsi="Times New Roman"/>
          <w:sz w:val="24"/>
          <w:szCs w:val="24"/>
        </w:rPr>
        <w:tab/>
        <w:t>)</w:t>
      </w:r>
    </w:p>
    <w:p w:rsidR="002E2443" w:rsidRPr="002E2443" w:rsidRDefault="002E2443" w:rsidP="002E2443">
      <w:pPr>
        <w:spacing w:after="0"/>
        <w:rPr>
          <w:rFonts w:ascii="Times New Roman" w:hAnsi="Times New Roman"/>
          <w:sz w:val="24"/>
          <w:szCs w:val="24"/>
        </w:rPr>
      </w:pPr>
      <w:r>
        <w:rPr>
          <w:rFonts w:ascii="Times New Roman" w:hAnsi="Times New Roman"/>
          <w:sz w:val="24"/>
          <w:szCs w:val="24"/>
        </w:rPr>
        <w:t>IN</w:t>
      </w:r>
      <w:r w:rsidR="007E19D4">
        <w:rPr>
          <w:rFonts w:ascii="Times New Roman" w:hAnsi="Times New Roman"/>
          <w:sz w:val="24"/>
          <w:szCs w:val="24"/>
        </w:rPr>
        <w:t>TERNATIONAL</w:t>
      </w:r>
      <w:r w:rsidRPr="002E2443">
        <w:rPr>
          <w:rFonts w:ascii="Times New Roman" w:hAnsi="Times New Roman"/>
          <w:sz w:val="24"/>
          <w:szCs w:val="24"/>
        </w:rPr>
        <w:t xml:space="preserve"> INC AND</w:t>
      </w:r>
      <w:r w:rsidR="00B7491B">
        <w:rPr>
          <w:rFonts w:ascii="Times New Roman" w:hAnsi="Times New Roman"/>
          <w:sz w:val="24"/>
          <w:szCs w:val="24"/>
        </w:rPr>
        <w:tab/>
      </w:r>
      <w:r w:rsidR="00B7491B">
        <w:rPr>
          <w:rFonts w:ascii="Times New Roman" w:hAnsi="Times New Roman"/>
          <w:sz w:val="24"/>
          <w:szCs w:val="24"/>
        </w:rPr>
        <w:tab/>
        <w:t>)</w:t>
      </w:r>
    </w:p>
    <w:p w:rsidR="002E2443" w:rsidRPr="002E2443" w:rsidRDefault="002E2443" w:rsidP="002E2443">
      <w:pPr>
        <w:spacing w:after="0"/>
        <w:rPr>
          <w:rFonts w:ascii="Times New Roman" w:hAnsi="Times New Roman"/>
          <w:sz w:val="24"/>
          <w:szCs w:val="24"/>
        </w:rPr>
      </w:pPr>
      <w:r w:rsidRPr="002E2443">
        <w:rPr>
          <w:rFonts w:ascii="Times New Roman" w:hAnsi="Times New Roman"/>
          <w:sz w:val="24"/>
          <w:szCs w:val="24"/>
        </w:rPr>
        <w:t>CENTURYTEL, INC.</w:t>
      </w:r>
      <w:r w:rsidR="00B7491B">
        <w:rPr>
          <w:rFonts w:ascii="Times New Roman" w:hAnsi="Times New Roman"/>
          <w:sz w:val="24"/>
          <w:szCs w:val="24"/>
        </w:rPr>
        <w:tab/>
      </w:r>
      <w:r w:rsidR="00B7491B">
        <w:rPr>
          <w:rFonts w:ascii="Times New Roman" w:hAnsi="Times New Roman"/>
          <w:sz w:val="24"/>
          <w:szCs w:val="24"/>
        </w:rPr>
        <w:tab/>
      </w:r>
      <w:r w:rsidR="00B7491B">
        <w:rPr>
          <w:rFonts w:ascii="Times New Roman" w:hAnsi="Times New Roman"/>
          <w:sz w:val="24"/>
          <w:szCs w:val="24"/>
        </w:rPr>
        <w:tab/>
        <w:t>)</w:t>
      </w:r>
      <w:r w:rsidR="00B7491B">
        <w:rPr>
          <w:rFonts w:ascii="Times New Roman" w:hAnsi="Times New Roman"/>
          <w:sz w:val="24"/>
          <w:szCs w:val="24"/>
        </w:rPr>
        <w:tab/>
        <w:t>DOCKET NO. UT-100820</w:t>
      </w:r>
    </w:p>
    <w:p w:rsidR="002E2443" w:rsidRPr="002E2443" w:rsidRDefault="00B7491B" w:rsidP="002E244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2E2443" w:rsidRPr="002E2443" w:rsidRDefault="002E2443" w:rsidP="002E2443">
      <w:pPr>
        <w:spacing w:after="0"/>
        <w:rPr>
          <w:rFonts w:ascii="Times New Roman" w:hAnsi="Times New Roman"/>
          <w:sz w:val="24"/>
          <w:szCs w:val="24"/>
        </w:rPr>
      </w:pPr>
      <w:r w:rsidRPr="002E2443">
        <w:rPr>
          <w:rFonts w:ascii="Times New Roman" w:hAnsi="Times New Roman"/>
          <w:sz w:val="24"/>
          <w:szCs w:val="24"/>
        </w:rPr>
        <w:t xml:space="preserve">For Approval of Indirect </w:t>
      </w:r>
      <w:r>
        <w:rPr>
          <w:rFonts w:ascii="Times New Roman" w:hAnsi="Times New Roman"/>
          <w:sz w:val="24"/>
          <w:szCs w:val="24"/>
        </w:rPr>
        <w:t>T</w:t>
      </w:r>
      <w:r w:rsidRPr="002E2443">
        <w:rPr>
          <w:rFonts w:ascii="Times New Roman" w:hAnsi="Times New Roman"/>
          <w:sz w:val="24"/>
          <w:szCs w:val="24"/>
        </w:rPr>
        <w:t>ransfer of</w:t>
      </w:r>
      <w:r w:rsidR="00B7491B">
        <w:rPr>
          <w:rFonts w:ascii="Times New Roman" w:hAnsi="Times New Roman"/>
          <w:sz w:val="24"/>
          <w:szCs w:val="24"/>
        </w:rPr>
        <w:tab/>
      </w:r>
      <w:r w:rsidR="00B7491B">
        <w:rPr>
          <w:rFonts w:ascii="Times New Roman" w:hAnsi="Times New Roman"/>
          <w:sz w:val="24"/>
          <w:szCs w:val="24"/>
        </w:rPr>
        <w:tab/>
        <w:t>)</w:t>
      </w:r>
      <w:r w:rsidR="00A85B8D">
        <w:rPr>
          <w:rFonts w:ascii="Times New Roman" w:hAnsi="Times New Roman"/>
          <w:sz w:val="24"/>
          <w:szCs w:val="24"/>
        </w:rPr>
        <w:tab/>
        <w:t>THE UNITED STATES DEPARTMENT</w:t>
      </w:r>
    </w:p>
    <w:p w:rsidR="002E2443" w:rsidRPr="002E2443" w:rsidRDefault="002E2443" w:rsidP="002E2443">
      <w:pPr>
        <w:spacing w:after="0"/>
        <w:rPr>
          <w:rFonts w:ascii="Times New Roman" w:hAnsi="Times New Roman"/>
          <w:sz w:val="24"/>
          <w:szCs w:val="24"/>
        </w:rPr>
      </w:pPr>
      <w:r w:rsidRPr="002E2443">
        <w:rPr>
          <w:rFonts w:ascii="Times New Roman" w:hAnsi="Times New Roman"/>
          <w:sz w:val="24"/>
          <w:szCs w:val="24"/>
        </w:rPr>
        <w:t xml:space="preserve">Control of Qwest Corporation, Qwest </w:t>
      </w:r>
      <w:r w:rsidR="00B7491B">
        <w:rPr>
          <w:rFonts w:ascii="Times New Roman" w:hAnsi="Times New Roman"/>
          <w:sz w:val="24"/>
          <w:szCs w:val="24"/>
        </w:rPr>
        <w:tab/>
        <w:t>)</w:t>
      </w:r>
      <w:r w:rsidR="00A85B8D">
        <w:rPr>
          <w:rFonts w:ascii="Times New Roman" w:hAnsi="Times New Roman"/>
          <w:sz w:val="24"/>
          <w:szCs w:val="24"/>
        </w:rPr>
        <w:tab/>
        <w:t xml:space="preserve">OF DEFENSE AND ALL OTHER </w:t>
      </w:r>
    </w:p>
    <w:p w:rsidR="002E2443" w:rsidRPr="002E2443" w:rsidRDefault="002E2443" w:rsidP="002E2443">
      <w:pPr>
        <w:spacing w:after="0"/>
        <w:rPr>
          <w:rFonts w:ascii="Times New Roman" w:hAnsi="Times New Roman"/>
          <w:sz w:val="24"/>
          <w:szCs w:val="24"/>
        </w:rPr>
      </w:pPr>
      <w:r w:rsidRPr="002E2443">
        <w:rPr>
          <w:rFonts w:ascii="Times New Roman" w:hAnsi="Times New Roman"/>
          <w:sz w:val="24"/>
          <w:szCs w:val="24"/>
        </w:rPr>
        <w:t xml:space="preserve">Communications Company LLC, and </w:t>
      </w:r>
      <w:r w:rsidR="00B7491B">
        <w:rPr>
          <w:rFonts w:ascii="Times New Roman" w:hAnsi="Times New Roman"/>
          <w:sz w:val="24"/>
          <w:szCs w:val="24"/>
        </w:rPr>
        <w:tab/>
        <w:t>)</w:t>
      </w:r>
      <w:r w:rsidR="00A85B8D">
        <w:rPr>
          <w:rFonts w:ascii="Times New Roman" w:hAnsi="Times New Roman"/>
          <w:sz w:val="24"/>
          <w:szCs w:val="24"/>
        </w:rPr>
        <w:tab/>
        <w:t>FEDERAL EXECUTIVE AGENCIES’</w:t>
      </w:r>
    </w:p>
    <w:p w:rsidR="002E2443" w:rsidRDefault="002E2443" w:rsidP="002E2443">
      <w:pPr>
        <w:spacing w:after="0"/>
        <w:rPr>
          <w:rFonts w:ascii="Times New Roman" w:hAnsi="Times New Roman"/>
          <w:sz w:val="24"/>
          <w:szCs w:val="24"/>
        </w:rPr>
      </w:pPr>
      <w:r w:rsidRPr="002E2443">
        <w:rPr>
          <w:rFonts w:ascii="Times New Roman" w:hAnsi="Times New Roman"/>
          <w:sz w:val="24"/>
          <w:szCs w:val="24"/>
        </w:rPr>
        <w:t>Qwest LD Corp.</w:t>
      </w:r>
      <w:r w:rsidR="00B7491B">
        <w:rPr>
          <w:rFonts w:ascii="Times New Roman" w:hAnsi="Times New Roman"/>
          <w:sz w:val="24"/>
          <w:szCs w:val="24"/>
        </w:rPr>
        <w:tab/>
      </w:r>
      <w:r w:rsidR="00B7491B">
        <w:rPr>
          <w:rFonts w:ascii="Times New Roman" w:hAnsi="Times New Roman"/>
          <w:sz w:val="24"/>
          <w:szCs w:val="24"/>
        </w:rPr>
        <w:tab/>
      </w:r>
      <w:r w:rsidR="00B7491B">
        <w:rPr>
          <w:rFonts w:ascii="Times New Roman" w:hAnsi="Times New Roman"/>
          <w:sz w:val="24"/>
          <w:szCs w:val="24"/>
        </w:rPr>
        <w:tab/>
      </w:r>
      <w:r w:rsidR="00B7491B">
        <w:rPr>
          <w:rFonts w:ascii="Times New Roman" w:hAnsi="Times New Roman"/>
          <w:sz w:val="24"/>
          <w:szCs w:val="24"/>
        </w:rPr>
        <w:tab/>
        <w:t>)</w:t>
      </w:r>
      <w:r w:rsidR="00A85B8D">
        <w:rPr>
          <w:rFonts w:ascii="Times New Roman" w:hAnsi="Times New Roman"/>
          <w:sz w:val="24"/>
          <w:szCs w:val="24"/>
        </w:rPr>
        <w:tab/>
      </w:r>
      <w:r w:rsidR="00781E8A">
        <w:rPr>
          <w:rFonts w:ascii="Times New Roman" w:hAnsi="Times New Roman"/>
          <w:sz w:val="24"/>
          <w:szCs w:val="24"/>
        </w:rPr>
        <w:t xml:space="preserve">GENERAL </w:t>
      </w:r>
      <w:r w:rsidR="00A85B8D">
        <w:rPr>
          <w:rFonts w:ascii="Times New Roman" w:hAnsi="Times New Roman"/>
          <w:sz w:val="24"/>
          <w:szCs w:val="24"/>
        </w:rPr>
        <w:t>POST-HEARING BRIEF</w:t>
      </w:r>
    </w:p>
    <w:p w:rsidR="00B7491B" w:rsidRPr="002E2443" w:rsidRDefault="00B7491B" w:rsidP="002E2443">
      <w:pPr>
        <w:spacing w:after="0"/>
        <w:rPr>
          <w:rFonts w:ascii="Times New Roman" w:hAnsi="Times New Roman"/>
          <w:sz w:val="24"/>
          <w:szCs w:val="24"/>
        </w:rPr>
      </w:pPr>
      <w:r>
        <w:rPr>
          <w:rFonts w:ascii="Times New Roman" w:hAnsi="Times New Roman"/>
          <w:sz w:val="24"/>
          <w:szCs w:val="24"/>
        </w:rPr>
        <w:t>____________________________________)</w:t>
      </w:r>
    </w:p>
    <w:p w:rsidR="002E2443" w:rsidRDefault="002E2443" w:rsidP="002E2443">
      <w:pPr>
        <w:spacing w:after="0"/>
      </w:pPr>
    </w:p>
    <w:p w:rsidR="00B7491B" w:rsidRPr="00B7491B" w:rsidRDefault="00781E8A" w:rsidP="00B7491B">
      <w:pPr>
        <w:spacing w:after="0"/>
        <w:jc w:val="center"/>
        <w:rPr>
          <w:rFonts w:ascii="Times New Roman" w:hAnsi="Times New Roman"/>
          <w:b/>
          <w:sz w:val="24"/>
          <w:szCs w:val="24"/>
        </w:rPr>
      </w:pPr>
      <w:r>
        <w:rPr>
          <w:rFonts w:ascii="Times New Roman" w:hAnsi="Times New Roman"/>
          <w:b/>
          <w:sz w:val="24"/>
          <w:szCs w:val="24"/>
        </w:rPr>
        <w:t xml:space="preserve">GENERAL </w:t>
      </w:r>
      <w:r w:rsidR="00B7491B" w:rsidRPr="00B7491B">
        <w:rPr>
          <w:rFonts w:ascii="Times New Roman" w:hAnsi="Times New Roman"/>
          <w:b/>
          <w:sz w:val="24"/>
          <w:szCs w:val="24"/>
        </w:rPr>
        <w:t>POST-HEARING BRIEF OF</w:t>
      </w:r>
    </w:p>
    <w:p w:rsidR="00B7491B" w:rsidRPr="00B7491B" w:rsidRDefault="00B7491B" w:rsidP="00B7491B">
      <w:pPr>
        <w:spacing w:after="0"/>
        <w:jc w:val="center"/>
        <w:rPr>
          <w:rFonts w:ascii="Times New Roman" w:hAnsi="Times New Roman"/>
          <w:b/>
          <w:sz w:val="24"/>
          <w:szCs w:val="24"/>
        </w:rPr>
      </w:pPr>
      <w:r w:rsidRPr="00B7491B">
        <w:rPr>
          <w:rFonts w:ascii="Times New Roman" w:hAnsi="Times New Roman"/>
          <w:b/>
          <w:sz w:val="24"/>
          <w:szCs w:val="24"/>
        </w:rPr>
        <w:t>THE UNITED STATES DEPARTMENT OF DEFENSE AND</w:t>
      </w:r>
    </w:p>
    <w:p w:rsidR="00B7491B" w:rsidRDefault="00B7491B" w:rsidP="00B7491B">
      <w:pPr>
        <w:spacing w:after="0"/>
        <w:jc w:val="center"/>
        <w:rPr>
          <w:rFonts w:ascii="Times New Roman" w:hAnsi="Times New Roman"/>
          <w:b/>
          <w:sz w:val="24"/>
          <w:szCs w:val="24"/>
        </w:rPr>
      </w:pPr>
      <w:r w:rsidRPr="00B7491B">
        <w:rPr>
          <w:rFonts w:ascii="Times New Roman" w:hAnsi="Times New Roman"/>
          <w:b/>
          <w:sz w:val="24"/>
          <w:szCs w:val="24"/>
        </w:rPr>
        <w:t>ALL OTHER FEDERAL EXECUTIVE AGENCIES</w:t>
      </w:r>
    </w:p>
    <w:p w:rsidR="00825647" w:rsidRDefault="00825647" w:rsidP="00B7491B">
      <w:pPr>
        <w:spacing w:after="0"/>
        <w:jc w:val="center"/>
        <w:rPr>
          <w:rFonts w:ascii="Times New Roman" w:hAnsi="Times New Roman"/>
          <w:b/>
          <w:sz w:val="24"/>
          <w:szCs w:val="24"/>
        </w:rPr>
      </w:pPr>
    </w:p>
    <w:p w:rsidR="00825647" w:rsidRDefault="00825647" w:rsidP="00825647">
      <w:pPr>
        <w:pStyle w:val="BodyText"/>
        <w:tabs>
          <w:tab w:val="left" w:pos="4140"/>
        </w:tabs>
        <w:jc w:val="left"/>
        <w:rPr>
          <w:b w:val="0"/>
          <w:szCs w:val="24"/>
        </w:rPr>
      </w:pPr>
    </w:p>
    <w:p w:rsidR="00825647" w:rsidRDefault="00825647" w:rsidP="00825647">
      <w:pPr>
        <w:pStyle w:val="BodyText"/>
        <w:tabs>
          <w:tab w:val="left" w:pos="4140"/>
        </w:tabs>
        <w:rPr>
          <w:b w:val="0"/>
          <w:szCs w:val="24"/>
        </w:rPr>
      </w:pPr>
      <w:r>
        <w:rPr>
          <w:b w:val="0"/>
          <w:szCs w:val="24"/>
        </w:rPr>
        <w:t>TERRANCE A. SPANN</w:t>
      </w:r>
    </w:p>
    <w:p w:rsidR="00825647" w:rsidRDefault="00825647" w:rsidP="00825647">
      <w:pPr>
        <w:pStyle w:val="BodyText"/>
        <w:tabs>
          <w:tab w:val="left" w:pos="4140"/>
        </w:tabs>
        <w:rPr>
          <w:b w:val="0"/>
          <w:szCs w:val="24"/>
        </w:rPr>
      </w:pPr>
      <w:r>
        <w:rPr>
          <w:b w:val="0"/>
          <w:szCs w:val="24"/>
        </w:rPr>
        <w:t>Chief</w:t>
      </w:r>
    </w:p>
    <w:p w:rsidR="00825647" w:rsidRDefault="00825647" w:rsidP="00825647">
      <w:pPr>
        <w:pStyle w:val="BodyText"/>
        <w:tabs>
          <w:tab w:val="left" w:pos="4140"/>
        </w:tabs>
        <w:rPr>
          <w:b w:val="0"/>
          <w:szCs w:val="24"/>
        </w:rPr>
      </w:pPr>
    </w:p>
    <w:p w:rsidR="00825647" w:rsidRDefault="00825647" w:rsidP="00825647">
      <w:pPr>
        <w:pStyle w:val="BodyText"/>
        <w:tabs>
          <w:tab w:val="left" w:pos="4140"/>
        </w:tabs>
        <w:rPr>
          <w:b w:val="0"/>
          <w:szCs w:val="24"/>
        </w:rPr>
      </w:pPr>
      <w:r>
        <w:rPr>
          <w:b w:val="0"/>
          <w:szCs w:val="24"/>
        </w:rPr>
        <w:t>Regulatory Law Office</w:t>
      </w:r>
    </w:p>
    <w:p w:rsidR="00825647" w:rsidRDefault="00825647" w:rsidP="00825647">
      <w:pPr>
        <w:pStyle w:val="BodyText"/>
        <w:tabs>
          <w:tab w:val="left" w:pos="4140"/>
        </w:tabs>
        <w:rPr>
          <w:b w:val="0"/>
          <w:szCs w:val="24"/>
        </w:rPr>
      </w:pPr>
      <w:r>
        <w:rPr>
          <w:b w:val="0"/>
          <w:szCs w:val="24"/>
        </w:rPr>
        <w:t>Office of the Judge Advocate General</w:t>
      </w:r>
    </w:p>
    <w:p w:rsidR="00825647" w:rsidRDefault="00825647" w:rsidP="00825647">
      <w:pPr>
        <w:pStyle w:val="BodyText"/>
        <w:tabs>
          <w:tab w:val="left" w:pos="4140"/>
        </w:tabs>
        <w:rPr>
          <w:b w:val="0"/>
          <w:szCs w:val="24"/>
        </w:rPr>
      </w:pPr>
      <w:r>
        <w:rPr>
          <w:b w:val="0"/>
          <w:szCs w:val="24"/>
        </w:rPr>
        <w:t>U.S. Army Litigation Center</w:t>
      </w:r>
    </w:p>
    <w:p w:rsidR="00825647" w:rsidRDefault="00825647" w:rsidP="00825647">
      <w:pPr>
        <w:pStyle w:val="BodyText"/>
        <w:tabs>
          <w:tab w:val="left" w:pos="4140"/>
        </w:tabs>
        <w:rPr>
          <w:b w:val="0"/>
          <w:szCs w:val="24"/>
        </w:rPr>
      </w:pPr>
      <w:r>
        <w:rPr>
          <w:b w:val="0"/>
          <w:szCs w:val="24"/>
        </w:rPr>
        <w:t>901 N. Stuart Street, Suite 700</w:t>
      </w:r>
    </w:p>
    <w:p w:rsidR="00825647" w:rsidRDefault="00825647" w:rsidP="00825647">
      <w:pPr>
        <w:pStyle w:val="BodyText"/>
        <w:tabs>
          <w:tab w:val="left" w:pos="4140"/>
        </w:tabs>
        <w:rPr>
          <w:b w:val="0"/>
          <w:szCs w:val="24"/>
        </w:rPr>
      </w:pPr>
      <w:r>
        <w:rPr>
          <w:b w:val="0"/>
          <w:szCs w:val="24"/>
        </w:rPr>
        <w:t>Arlington, Virginia  22203-1837</w:t>
      </w:r>
    </w:p>
    <w:p w:rsidR="00825647" w:rsidRDefault="00825647" w:rsidP="00825647">
      <w:pPr>
        <w:pStyle w:val="BodyText"/>
        <w:tabs>
          <w:tab w:val="left" w:pos="4140"/>
        </w:tabs>
        <w:rPr>
          <w:b w:val="0"/>
          <w:szCs w:val="24"/>
        </w:rPr>
      </w:pPr>
    </w:p>
    <w:p w:rsidR="00825647" w:rsidRDefault="00825647" w:rsidP="00825647">
      <w:pPr>
        <w:pStyle w:val="BodyText"/>
        <w:tabs>
          <w:tab w:val="left" w:pos="4140"/>
        </w:tabs>
        <w:rPr>
          <w:b w:val="0"/>
          <w:szCs w:val="24"/>
        </w:rPr>
      </w:pPr>
      <w:r>
        <w:rPr>
          <w:b w:val="0"/>
          <w:szCs w:val="24"/>
        </w:rPr>
        <w:t>By</w:t>
      </w:r>
    </w:p>
    <w:p w:rsidR="00825647" w:rsidRDefault="00825647" w:rsidP="00825647">
      <w:pPr>
        <w:pStyle w:val="BodyText"/>
        <w:tabs>
          <w:tab w:val="left" w:pos="4140"/>
        </w:tabs>
        <w:rPr>
          <w:b w:val="0"/>
          <w:szCs w:val="24"/>
        </w:rPr>
      </w:pPr>
    </w:p>
    <w:p w:rsidR="00825647" w:rsidRDefault="00825647" w:rsidP="00825647">
      <w:pPr>
        <w:pStyle w:val="BodyText"/>
        <w:tabs>
          <w:tab w:val="left" w:pos="4140"/>
        </w:tabs>
        <w:rPr>
          <w:b w:val="0"/>
          <w:szCs w:val="24"/>
        </w:rPr>
      </w:pPr>
      <w:r>
        <w:rPr>
          <w:b w:val="0"/>
          <w:szCs w:val="24"/>
        </w:rPr>
        <w:t>STEPHEN S. MELNIKOFF</w:t>
      </w:r>
    </w:p>
    <w:p w:rsidR="00825647" w:rsidRDefault="00825647" w:rsidP="00825647">
      <w:pPr>
        <w:pStyle w:val="BodyText"/>
        <w:tabs>
          <w:tab w:val="left" w:pos="4140"/>
        </w:tabs>
        <w:rPr>
          <w:b w:val="0"/>
          <w:szCs w:val="24"/>
        </w:rPr>
      </w:pPr>
      <w:r>
        <w:rPr>
          <w:b w:val="0"/>
          <w:szCs w:val="24"/>
        </w:rPr>
        <w:t>General Attorney</w:t>
      </w:r>
    </w:p>
    <w:p w:rsidR="00825647" w:rsidRDefault="00825647" w:rsidP="00825647">
      <w:pPr>
        <w:pStyle w:val="BodyText"/>
        <w:tabs>
          <w:tab w:val="left" w:pos="4140"/>
        </w:tabs>
        <w:rPr>
          <w:b w:val="0"/>
          <w:szCs w:val="24"/>
        </w:rPr>
      </w:pPr>
    </w:p>
    <w:p w:rsidR="00825647" w:rsidRDefault="00825647" w:rsidP="00825647">
      <w:pPr>
        <w:pStyle w:val="BodyText"/>
        <w:tabs>
          <w:tab w:val="left" w:pos="4140"/>
        </w:tabs>
        <w:rPr>
          <w:b w:val="0"/>
          <w:szCs w:val="24"/>
        </w:rPr>
      </w:pPr>
      <w:r>
        <w:rPr>
          <w:b w:val="0"/>
          <w:szCs w:val="24"/>
        </w:rPr>
        <w:t>January 21, 2011</w:t>
      </w:r>
    </w:p>
    <w:p w:rsidR="00825647" w:rsidRPr="002E2443" w:rsidRDefault="00825647" w:rsidP="00825647">
      <w:pPr>
        <w:spacing w:after="0"/>
        <w:jc w:val="center"/>
        <w:rPr>
          <w:rFonts w:ascii="Times New Roman" w:hAnsi="Times New Roman"/>
          <w:b/>
          <w:sz w:val="24"/>
          <w:szCs w:val="24"/>
        </w:rPr>
      </w:pPr>
      <w:r>
        <w:rPr>
          <w:b/>
          <w:szCs w:val="24"/>
        </w:rPr>
        <w:br w:type="page"/>
      </w:r>
      <w:r w:rsidRPr="002E2443">
        <w:rPr>
          <w:rFonts w:ascii="Times New Roman" w:hAnsi="Times New Roman"/>
          <w:b/>
          <w:sz w:val="24"/>
          <w:szCs w:val="24"/>
        </w:rPr>
        <w:lastRenderedPageBreak/>
        <w:t>BEFORE THE WASHINGTON STATE</w:t>
      </w:r>
    </w:p>
    <w:p w:rsidR="00825647" w:rsidRPr="002E2443" w:rsidRDefault="00825647" w:rsidP="00825647">
      <w:pPr>
        <w:spacing w:after="0"/>
        <w:jc w:val="center"/>
        <w:rPr>
          <w:rFonts w:ascii="Times New Roman" w:hAnsi="Times New Roman"/>
          <w:b/>
          <w:sz w:val="24"/>
          <w:szCs w:val="24"/>
        </w:rPr>
      </w:pPr>
      <w:r w:rsidRPr="002E2443">
        <w:rPr>
          <w:rFonts w:ascii="Times New Roman" w:hAnsi="Times New Roman"/>
          <w:b/>
          <w:sz w:val="24"/>
          <w:szCs w:val="24"/>
        </w:rPr>
        <w:t>UTILITIES AND TRANSPORTATION COMMISSION</w:t>
      </w:r>
    </w:p>
    <w:p w:rsidR="00825647" w:rsidRPr="002E2443" w:rsidRDefault="00825647" w:rsidP="00825647">
      <w:pPr>
        <w:spacing w:after="0"/>
        <w:rPr>
          <w:rFonts w:ascii="Times New Roman" w:hAnsi="Times New Roman"/>
          <w:sz w:val="24"/>
          <w:szCs w:val="24"/>
        </w:rPr>
      </w:pPr>
    </w:p>
    <w:p w:rsidR="00825647" w:rsidRDefault="00825647" w:rsidP="00825647">
      <w:pPr>
        <w:spacing w:after="0"/>
        <w:rPr>
          <w:rFonts w:ascii="Times New Roman" w:hAnsi="Times New Roman"/>
          <w:sz w:val="24"/>
          <w:szCs w:val="24"/>
        </w:rPr>
      </w:pPr>
      <w:r w:rsidRPr="002E2443">
        <w:rPr>
          <w:rFonts w:ascii="Times New Roman" w:hAnsi="Times New Roman"/>
          <w:sz w:val="24"/>
          <w:szCs w:val="24"/>
        </w:rPr>
        <w:t>In the Matter of the Joint Application of</w:t>
      </w:r>
      <w:r>
        <w:rPr>
          <w:rFonts w:ascii="Times New Roman" w:hAnsi="Times New Roman"/>
          <w:sz w:val="24"/>
          <w:szCs w:val="24"/>
        </w:rPr>
        <w:tab/>
        <w:t>)</w:t>
      </w:r>
    </w:p>
    <w:p w:rsidR="00825647" w:rsidRPr="002E2443" w:rsidRDefault="00825647" w:rsidP="0082564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825647" w:rsidRPr="002E2443" w:rsidRDefault="00825647" w:rsidP="00825647">
      <w:pPr>
        <w:spacing w:after="0"/>
        <w:rPr>
          <w:rFonts w:ascii="Times New Roman" w:hAnsi="Times New Roman"/>
          <w:sz w:val="24"/>
          <w:szCs w:val="24"/>
        </w:rPr>
      </w:pPr>
      <w:r w:rsidRPr="002E2443">
        <w:rPr>
          <w:rFonts w:ascii="Times New Roman" w:hAnsi="Times New Roman"/>
          <w:sz w:val="24"/>
          <w:szCs w:val="24"/>
        </w:rPr>
        <w:t xml:space="preserve">QWEST COMMUNICATIONS </w:t>
      </w:r>
      <w:r>
        <w:rPr>
          <w:rFonts w:ascii="Times New Roman" w:hAnsi="Times New Roman"/>
          <w:sz w:val="24"/>
          <w:szCs w:val="24"/>
        </w:rPr>
        <w:tab/>
      </w:r>
      <w:r>
        <w:rPr>
          <w:rFonts w:ascii="Times New Roman" w:hAnsi="Times New Roman"/>
          <w:sz w:val="24"/>
          <w:szCs w:val="24"/>
        </w:rPr>
        <w:tab/>
        <w:t>)</w:t>
      </w:r>
    </w:p>
    <w:p w:rsidR="00825647" w:rsidRPr="002E2443" w:rsidRDefault="00825647" w:rsidP="00825647">
      <w:pPr>
        <w:spacing w:after="0"/>
        <w:rPr>
          <w:rFonts w:ascii="Times New Roman" w:hAnsi="Times New Roman"/>
          <w:sz w:val="24"/>
          <w:szCs w:val="24"/>
        </w:rPr>
      </w:pPr>
      <w:r>
        <w:rPr>
          <w:rFonts w:ascii="Times New Roman" w:hAnsi="Times New Roman"/>
          <w:sz w:val="24"/>
          <w:szCs w:val="24"/>
        </w:rPr>
        <w:t>IN</w:t>
      </w:r>
      <w:r w:rsidR="0049296E">
        <w:rPr>
          <w:rFonts w:ascii="Times New Roman" w:hAnsi="Times New Roman"/>
          <w:sz w:val="24"/>
          <w:szCs w:val="24"/>
        </w:rPr>
        <w:t>TERNATIONAL</w:t>
      </w:r>
      <w:r w:rsidRPr="002E2443">
        <w:rPr>
          <w:rFonts w:ascii="Times New Roman" w:hAnsi="Times New Roman"/>
          <w:sz w:val="24"/>
          <w:szCs w:val="24"/>
        </w:rPr>
        <w:t xml:space="preserve"> INC AND</w:t>
      </w:r>
      <w:r>
        <w:rPr>
          <w:rFonts w:ascii="Times New Roman" w:hAnsi="Times New Roman"/>
          <w:sz w:val="24"/>
          <w:szCs w:val="24"/>
        </w:rPr>
        <w:tab/>
      </w:r>
      <w:r>
        <w:rPr>
          <w:rFonts w:ascii="Times New Roman" w:hAnsi="Times New Roman"/>
          <w:sz w:val="24"/>
          <w:szCs w:val="24"/>
        </w:rPr>
        <w:tab/>
        <w:t>)</w:t>
      </w:r>
    </w:p>
    <w:p w:rsidR="00825647" w:rsidRPr="002E2443" w:rsidRDefault="00825647" w:rsidP="00825647">
      <w:pPr>
        <w:spacing w:after="0"/>
        <w:rPr>
          <w:rFonts w:ascii="Times New Roman" w:hAnsi="Times New Roman"/>
          <w:sz w:val="24"/>
          <w:szCs w:val="24"/>
        </w:rPr>
      </w:pPr>
      <w:r w:rsidRPr="002E2443">
        <w:rPr>
          <w:rFonts w:ascii="Times New Roman" w:hAnsi="Times New Roman"/>
          <w:sz w:val="24"/>
          <w:szCs w:val="24"/>
        </w:rPr>
        <w:t>CENTURYTEL, INC.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DOCKET NO. UT-100820</w:t>
      </w:r>
    </w:p>
    <w:p w:rsidR="00825647" w:rsidRPr="002E2443" w:rsidRDefault="00825647" w:rsidP="0082564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825647" w:rsidRPr="002E2443" w:rsidRDefault="00825647" w:rsidP="00825647">
      <w:pPr>
        <w:spacing w:after="0"/>
        <w:rPr>
          <w:rFonts w:ascii="Times New Roman" w:hAnsi="Times New Roman"/>
          <w:sz w:val="24"/>
          <w:szCs w:val="24"/>
        </w:rPr>
      </w:pPr>
      <w:r w:rsidRPr="002E2443">
        <w:rPr>
          <w:rFonts w:ascii="Times New Roman" w:hAnsi="Times New Roman"/>
          <w:sz w:val="24"/>
          <w:szCs w:val="24"/>
        </w:rPr>
        <w:t xml:space="preserve">For Approval of Indirect </w:t>
      </w:r>
      <w:r>
        <w:rPr>
          <w:rFonts w:ascii="Times New Roman" w:hAnsi="Times New Roman"/>
          <w:sz w:val="24"/>
          <w:szCs w:val="24"/>
        </w:rPr>
        <w:t>T</w:t>
      </w:r>
      <w:r w:rsidRPr="002E2443">
        <w:rPr>
          <w:rFonts w:ascii="Times New Roman" w:hAnsi="Times New Roman"/>
          <w:sz w:val="24"/>
          <w:szCs w:val="24"/>
        </w:rPr>
        <w:t>ransfer of</w:t>
      </w:r>
      <w:r>
        <w:rPr>
          <w:rFonts w:ascii="Times New Roman" w:hAnsi="Times New Roman"/>
          <w:sz w:val="24"/>
          <w:szCs w:val="24"/>
        </w:rPr>
        <w:tab/>
      </w:r>
      <w:r>
        <w:rPr>
          <w:rFonts w:ascii="Times New Roman" w:hAnsi="Times New Roman"/>
          <w:sz w:val="24"/>
          <w:szCs w:val="24"/>
        </w:rPr>
        <w:tab/>
        <w:t>)</w:t>
      </w:r>
    </w:p>
    <w:p w:rsidR="00825647" w:rsidRPr="002E2443" w:rsidRDefault="00825647" w:rsidP="00825647">
      <w:pPr>
        <w:spacing w:after="0"/>
        <w:rPr>
          <w:rFonts w:ascii="Times New Roman" w:hAnsi="Times New Roman"/>
          <w:sz w:val="24"/>
          <w:szCs w:val="24"/>
        </w:rPr>
      </w:pPr>
      <w:r w:rsidRPr="002E2443">
        <w:rPr>
          <w:rFonts w:ascii="Times New Roman" w:hAnsi="Times New Roman"/>
          <w:sz w:val="24"/>
          <w:szCs w:val="24"/>
        </w:rPr>
        <w:t xml:space="preserve">Control of Qwest Corporation, Qwest </w:t>
      </w:r>
      <w:r>
        <w:rPr>
          <w:rFonts w:ascii="Times New Roman" w:hAnsi="Times New Roman"/>
          <w:sz w:val="24"/>
          <w:szCs w:val="24"/>
        </w:rPr>
        <w:tab/>
        <w:t>)</w:t>
      </w:r>
    </w:p>
    <w:p w:rsidR="00825647" w:rsidRPr="002E2443" w:rsidRDefault="00825647" w:rsidP="00825647">
      <w:pPr>
        <w:spacing w:after="0"/>
        <w:rPr>
          <w:rFonts w:ascii="Times New Roman" w:hAnsi="Times New Roman"/>
          <w:sz w:val="24"/>
          <w:szCs w:val="24"/>
        </w:rPr>
      </w:pPr>
      <w:r w:rsidRPr="002E2443">
        <w:rPr>
          <w:rFonts w:ascii="Times New Roman" w:hAnsi="Times New Roman"/>
          <w:sz w:val="24"/>
          <w:szCs w:val="24"/>
        </w:rPr>
        <w:t xml:space="preserve">Communications Company LLC, and </w:t>
      </w:r>
      <w:r>
        <w:rPr>
          <w:rFonts w:ascii="Times New Roman" w:hAnsi="Times New Roman"/>
          <w:sz w:val="24"/>
          <w:szCs w:val="24"/>
        </w:rPr>
        <w:tab/>
        <w:t>)</w:t>
      </w:r>
    </w:p>
    <w:p w:rsidR="00825647" w:rsidRDefault="00825647" w:rsidP="00825647">
      <w:pPr>
        <w:spacing w:after="0"/>
        <w:rPr>
          <w:rFonts w:ascii="Times New Roman" w:hAnsi="Times New Roman"/>
          <w:sz w:val="24"/>
          <w:szCs w:val="24"/>
        </w:rPr>
      </w:pPr>
      <w:r w:rsidRPr="002E2443">
        <w:rPr>
          <w:rFonts w:ascii="Times New Roman" w:hAnsi="Times New Roman"/>
          <w:sz w:val="24"/>
          <w:szCs w:val="24"/>
        </w:rPr>
        <w:t>Qwest LD Corp.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825647" w:rsidRPr="002E2443" w:rsidRDefault="00825647" w:rsidP="00825647">
      <w:pPr>
        <w:spacing w:after="0"/>
        <w:rPr>
          <w:rFonts w:ascii="Times New Roman" w:hAnsi="Times New Roman"/>
          <w:sz w:val="24"/>
          <w:szCs w:val="24"/>
        </w:rPr>
      </w:pPr>
      <w:r>
        <w:rPr>
          <w:rFonts w:ascii="Times New Roman" w:hAnsi="Times New Roman"/>
          <w:sz w:val="24"/>
          <w:szCs w:val="24"/>
        </w:rPr>
        <w:t>____________________________________)</w:t>
      </w:r>
    </w:p>
    <w:p w:rsidR="00825647" w:rsidRDefault="00825647" w:rsidP="00825647">
      <w:pPr>
        <w:spacing w:after="0"/>
      </w:pPr>
    </w:p>
    <w:p w:rsidR="00E23AAB" w:rsidRDefault="00E23AAB" w:rsidP="00825647">
      <w:pPr>
        <w:spacing w:after="0"/>
      </w:pPr>
    </w:p>
    <w:p w:rsidR="00825647" w:rsidRPr="00B7491B" w:rsidRDefault="00781E8A" w:rsidP="00825647">
      <w:pPr>
        <w:spacing w:after="0"/>
        <w:jc w:val="center"/>
        <w:rPr>
          <w:rFonts w:ascii="Times New Roman" w:hAnsi="Times New Roman"/>
          <w:b/>
          <w:sz w:val="24"/>
          <w:szCs w:val="24"/>
        </w:rPr>
      </w:pPr>
      <w:r>
        <w:rPr>
          <w:rFonts w:ascii="Times New Roman" w:hAnsi="Times New Roman"/>
          <w:b/>
          <w:sz w:val="24"/>
          <w:szCs w:val="24"/>
        </w:rPr>
        <w:t xml:space="preserve">GENERAL </w:t>
      </w:r>
      <w:r w:rsidR="00825647" w:rsidRPr="00B7491B">
        <w:rPr>
          <w:rFonts w:ascii="Times New Roman" w:hAnsi="Times New Roman"/>
          <w:b/>
          <w:sz w:val="24"/>
          <w:szCs w:val="24"/>
        </w:rPr>
        <w:t>POST-HEARING BRIEF OF</w:t>
      </w:r>
    </w:p>
    <w:p w:rsidR="00825647" w:rsidRPr="00B7491B" w:rsidRDefault="00825647" w:rsidP="00825647">
      <w:pPr>
        <w:spacing w:after="0"/>
        <w:jc w:val="center"/>
        <w:rPr>
          <w:rFonts w:ascii="Times New Roman" w:hAnsi="Times New Roman"/>
          <w:b/>
          <w:sz w:val="24"/>
          <w:szCs w:val="24"/>
        </w:rPr>
      </w:pPr>
      <w:r w:rsidRPr="00B7491B">
        <w:rPr>
          <w:rFonts w:ascii="Times New Roman" w:hAnsi="Times New Roman"/>
          <w:b/>
          <w:sz w:val="24"/>
          <w:szCs w:val="24"/>
        </w:rPr>
        <w:t>THE UNITED STATES DEPARTMENT OF DEFENSE AND</w:t>
      </w:r>
    </w:p>
    <w:p w:rsidR="00825647" w:rsidRDefault="00825647" w:rsidP="00825647">
      <w:pPr>
        <w:spacing w:after="0"/>
        <w:jc w:val="center"/>
        <w:rPr>
          <w:rFonts w:ascii="Times New Roman" w:hAnsi="Times New Roman"/>
          <w:b/>
          <w:sz w:val="24"/>
          <w:szCs w:val="24"/>
        </w:rPr>
      </w:pPr>
      <w:r w:rsidRPr="00B7491B">
        <w:rPr>
          <w:rFonts w:ascii="Times New Roman" w:hAnsi="Times New Roman"/>
          <w:b/>
          <w:sz w:val="24"/>
          <w:szCs w:val="24"/>
        </w:rPr>
        <w:t>ALL OTHER FEDERAL EXECUTIVE AGENCIES</w:t>
      </w:r>
    </w:p>
    <w:p w:rsidR="00825647" w:rsidRDefault="00825647" w:rsidP="00825647">
      <w:pPr>
        <w:pStyle w:val="BodyText"/>
        <w:tabs>
          <w:tab w:val="left" w:pos="4140"/>
        </w:tabs>
        <w:rPr>
          <w:b w:val="0"/>
          <w:szCs w:val="24"/>
        </w:rPr>
      </w:pPr>
    </w:p>
    <w:p w:rsidR="00E23AAB" w:rsidRPr="008B5EBE" w:rsidRDefault="00E23AAB" w:rsidP="00825647">
      <w:pPr>
        <w:pStyle w:val="BodyText"/>
        <w:tabs>
          <w:tab w:val="left" w:pos="4140"/>
        </w:tabs>
        <w:rPr>
          <w:b w:val="0"/>
          <w:szCs w:val="24"/>
        </w:rPr>
      </w:pPr>
    </w:p>
    <w:p w:rsidR="008B5EBE" w:rsidRDefault="008B5EBE" w:rsidP="00D73792">
      <w:pPr>
        <w:spacing w:line="480" w:lineRule="auto"/>
        <w:ind w:firstLine="720"/>
        <w:rPr>
          <w:rFonts w:ascii="Times New Roman" w:hAnsi="Times New Roman"/>
          <w:sz w:val="24"/>
          <w:szCs w:val="24"/>
        </w:rPr>
      </w:pPr>
      <w:r w:rsidRPr="008B5EBE">
        <w:rPr>
          <w:rFonts w:ascii="Times New Roman" w:hAnsi="Times New Roman"/>
          <w:sz w:val="24"/>
          <w:szCs w:val="24"/>
        </w:rPr>
        <w:t xml:space="preserve">The Secretary of Defense, through duly authorized counsel, on behalf of the consumer interests of the United States Department of Defense and all other Federal Executive Agencies (hereafter, “DoD/FEA” or “Federal Agencies”), hereby files this </w:t>
      </w:r>
      <w:r w:rsidR="00781E8A">
        <w:rPr>
          <w:rFonts w:ascii="Times New Roman" w:hAnsi="Times New Roman"/>
          <w:sz w:val="24"/>
          <w:szCs w:val="24"/>
        </w:rPr>
        <w:t xml:space="preserve">General </w:t>
      </w:r>
      <w:r w:rsidRPr="008B5EBE">
        <w:rPr>
          <w:rFonts w:ascii="Times New Roman" w:hAnsi="Times New Roman"/>
          <w:sz w:val="24"/>
          <w:szCs w:val="24"/>
        </w:rPr>
        <w:t>Post-Hearing Brief in the above-captioned proceeding.  This filing is made pursuant to the schedule promulgated by the Presiding Administrative Law Judge (hereafter, “ALJ”</w:t>
      </w:r>
      <w:r w:rsidR="00D73792">
        <w:rPr>
          <w:rFonts w:ascii="Times New Roman" w:hAnsi="Times New Roman"/>
          <w:sz w:val="24"/>
          <w:szCs w:val="24"/>
        </w:rPr>
        <w:t>) in Order 13 issued January 7, 2011</w:t>
      </w:r>
      <w:r w:rsidRPr="008B5EBE">
        <w:rPr>
          <w:rFonts w:ascii="Times New Roman" w:hAnsi="Times New Roman"/>
          <w:sz w:val="24"/>
          <w:szCs w:val="24"/>
        </w:rPr>
        <w:t>.  This brief addresses the unopposed</w:t>
      </w:r>
      <w:r w:rsidR="00391CE9">
        <w:rPr>
          <w:rStyle w:val="FootnoteReference"/>
          <w:rFonts w:ascii="Times New Roman" w:hAnsi="Times New Roman"/>
          <w:sz w:val="24"/>
          <w:szCs w:val="24"/>
        </w:rPr>
        <w:footnoteReference w:id="1"/>
      </w:r>
      <w:r w:rsidRPr="008B5EBE">
        <w:rPr>
          <w:rFonts w:ascii="Times New Roman" w:hAnsi="Times New Roman"/>
          <w:sz w:val="24"/>
          <w:szCs w:val="24"/>
        </w:rPr>
        <w:t xml:space="preserve"> Sett</w:t>
      </w:r>
      <w:r w:rsidR="00D73792">
        <w:rPr>
          <w:rFonts w:ascii="Times New Roman" w:hAnsi="Times New Roman"/>
          <w:sz w:val="24"/>
          <w:szCs w:val="24"/>
        </w:rPr>
        <w:t>lement Agreement and Stipulation</w:t>
      </w:r>
      <w:r w:rsidRPr="008B5EBE">
        <w:rPr>
          <w:rFonts w:ascii="Times New Roman" w:hAnsi="Times New Roman"/>
          <w:sz w:val="24"/>
          <w:szCs w:val="24"/>
        </w:rPr>
        <w:t xml:space="preserve"> between the Joint </w:t>
      </w:r>
      <w:r w:rsidRPr="008B5EBE">
        <w:rPr>
          <w:rFonts w:ascii="Times New Roman" w:hAnsi="Times New Roman"/>
          <w:sz w:val="24"/>
          <w:szCs w:val="24"/>
        </w:rPr>
        <w:lastRenderedPageBreak/>
        <w:t>Applicants and DoD/FEA (hereafter, “DoD/FEA</w:t>
      </w:r>
      <w:r w:rsidR="00D73792">
        <w:rPr>
          <w:rFonts w:ascii="Times New Roman" w:hAnsi="Times New Roman"/>
          <w:sz w:val="24"/>
          <w:szCs w:val="24"/>
        </w:rPr>
        <w:t xml:space="preserve"> </w:t>
      </w:r>
      <w:r w:rsidR="0049296E">
        <w:rPr>
          <w:rFonts w:ascii="Times New Roman" w:hAnsi="Times New Roman"/>
          <w:sz w:val="24"/>
          <w:szCs w:val="24"/>
        </w:rPr>
        <w:t>Agreement”) filed on December 30</w:t>
      </w:r>
      <w:r w:rsidRPr="008B5EBE">
        <w:rPr>
          <w:rFonts w:ascii="Times New Roman" w:hAnsi="Times New Roman"/>
          <w:sz w:val="24"/>
          <w:szCs w:val="24"/>
        </w:rPr>
        <w:t>, 2</w:t>
      </w:r>
      <w:r w:rsidR="0049296E">
        <w:rPr>
          <w:rFonts w:ascii="Times New Roman" w:hAnsi="Times New Roman"/>
          <w:sz w:val="24"/>
          <w:szCs w:val="24"/>
        </w:rPr>
        <w:t>010, as Joint Applicants and DoD/FEA Exhibit 8</w:t>
      </w:r>
      <w:r w:rsidRPr="008B5EBE">
        <w:rPr>
          <w:rFonts w:ascii="Times New Roman" w:hAnsi="Times New Roman"/>
          <w:sz w:val="24"/>
          <w:szCs w:val="24"/>
        </w:rPr>
        <w:t xml:space="preserve">. For the reasons set forth below, </w:t>
      </w:r>
      <w:r w:rsidR="00781E8A">
        <w:rPr>
          <w:rFonts w:ascii="Times New Roman" w:hAnsi="Times New Roman"/>
          <w:sz w:val="24"/>
          <w:szCs w:val="24"/>
        </w:rPr>
        <w:t>DoD/FEA urges that the merger</w:t>
      </w:r>
      <w:r w:rsidRPr="008B5EBE">
        <w:rPr>
          <w:rFonts w:ascii="Times New Roman" w:hAnsi="Times New Roman"/>
          <w:sz w:val="24"/>
          <w:szCs w:val="24"/>
        </w:rPr>
        <w:t xml:space="preserve"> application</w:t>
      </w:r>
      <w:r w:rsidR="00781E8A">
        <w:rPr>
          <w:rFonts w:ascii="Times New Roman" w:hAnsi="Times New Roman"/>
          <w:sz w:val="24"/>
          <w:szCs w:val="24"/>
        </w:rPr>
        <w:t xml:space="preserve"> under investigation herein</w:t>
      </w:r>
      <w:r w:rsidRPr="008B5EBE">
        <w:rPr>
          <w:rFonts w:ascii="Times New Roman" w:hAnsi="Times New Roman"/>
          <w:sz w:val="24"/>
          <w:szCs w:val="24"/>
        </w:rPr>
        <w:t xml:space="preserve"> be approved subject to the terms and conditions of the DoD/FEA Agreement.</w:t>
      </w:r>
    </w:p>
    <w:p w:rsidR="008B5EBE" w:rsidRPr="00D73792" w:rsidRDefault="008B5EBE" w:rsidP="008B5EBE">
      <w:pPr>
        <w:pStyle w:val="BodyText"/>
        <w:tabs>
          <w:tab w:val="left" w:pos="4140"/>
        </w:tabs>
        <w:spacing w:line="480" w:lineRule="auto"/>
        <w:ind w:left="1080"/>
        <w:rPr>
          <w:szCs w:val="24"/>
        </w:rPr>
      </w:pPr>
      <w:r w:rsidRPr="00D73792">
        <w:rPr>
          <w:szCs w:val="24"/>
        </w:rPr>
        <w:t>I.  INTRODUCTION AND BACKGROUND</w:t>
      </w:r>
    </w:p>
    <w:p w:rsidR="008B5EBE" w:rsidRPr="008B5EBE" w:rsidRDefault="008B5EBE" w:rsidP="008B5EBE">
      <w:pPr>
        <w:spacing w:line="480" w:lineRule="auto"/>
        <w:rPr>
          <w:rFonts w:ascii="Times New Roman" w:hAnsi="Times New Roman"/>
          <w:sz w:val="24"/>
          <w:szCs w:val="24"/>
        </w:rPr>
      </w:pPr>
      <w:r w:rsidRPr="008B5EBE">
        <w:rPr>
          <w:rFonts w:ascii="Times New Roman" w:hAnsi="Times New Roman"/>
          <w:sz w:val="24"/>
          <w:szCs w:val="24"/>
        </w:rPr>
        <w:tab/>
        <w:t>On M</w:t>
      </w:r>
      <w:r w:rsidR="00D73792">
        <w:rPr>
          <w:rFonts w:ascii="Times New Roman" w:hAnsi="Times New Roman"/>
          <w:sz w:val="24"/>
          <w:szCs w:val="24"/>
        </w:rPr>
        <w:t xml:space="preserve">ay 13, 2010, Qwest Communications International Inc. (hereafter, “QCII”) and CenturyTel, Inc </w:t>
      </w:r>
      <w:r w:rsidRPr="008B5EBE">
        <w:rPr>
          <w:rFonts w:ascii="Times New Roman" w:hAnsi="Times New Roman"/>
          <w:sz w:val="24"/>
          <w:szCs w:val="24"/>
        </w:rPr>
        <w:t>(hereafter referred to j</w:t>
      </w:r>
      <w:r w:rsidR="00D73792">
        <w:rPr>
          <w:rFonts w:ascii="Times New Roman" w:hAnsi="Times New Roman"/>
          <w:sz w:val="24"/>
          <w:szCs w:val="24"/>
        </w:rPr>
        <w:t>ointly as “Applicants”) filed a joint</w:t>
      </w:r>
      <w:r w:rsidRPr="008B5EBE">
        <w:rPr>
          <w:rFonts w:ascii="Times New Roman" w:hAnsi="Times New Roman"/>
          <w:sz w:val="24"/>
          <w:szCs w:val="24"/>
        </w:rPr>
        <w:t xml:space="preserve"> application with the </w:t>
      </w:r>
      <w:r w:rsidR="00D73792">
        <w:rPr>
          <w:rFonts w:ascii="Times New Roman" w:hAnsi="Times New Roman"/>
          <w:sz w:val="24"/>
          <w:szCs w:val="24"/>
        </w:rPr>
        <w:t xml:space="preserve">Washington Utilities and Transportation </w:t>
      </w:r>
      <w:r w:rsidRPr="008B5EBE">
        <w:rPr>
          <w:rFonts w:ascii="Times New Roman" w:hAnsi="Times New Roman"/>
          <w:sz w:val="24"/>
          <w:szCs w:val="24"/>
        </w:rPr>
        <w:t xml:space="preserve">Commission (hereafter, “the Commission”) seeking </w:t>
      </w:r>
      <w:r w:rsidR="00D73792">
        <w:rPr>
          <w:rFonts w:ascii="Times New Roman" w:hAnsi="Times New Roman"/>
          <w:sz w:val="24"/>
          <w:szCs w:val="24"/>
        </w:rPr>
        <w:t xml:space="preserve">expedited </w:t>
      </w:r>
      <w:r w:rsidRPr="008B5EBE">
        <w:rPr>
          <w:rFonts w:ascii="Times New Roman" w:hAnsi="Times New Roman"/>
          <w:sz w:val="24"/>
          <w:szCs w:val="24"/>
        </w:rPr>
        <w:t>approval of the transfer of con</w:t>
      </w:r>
      <w:r w:rsidR="00D73792">
        <w:rPr>
          <w:rFonts w:ascii="Times New Roman" w:hAnsi="Times New Roman"/>
          <w:sz w:val="24"/>
          <w:szCs w:val="24"/>
        </w:rPr>
        <w:t>trol of all the regulated QCII</w:t>
      </w:r>
      <w:r w:rsidRPr="008B5EBE">
        <w:rPr>
          <w:rFonts w:ascii="Times New Roman" w:hAnsi="Times New Roman"/>
          <w:sz w:val="24"/>
          <w:szCs w:val="24"/>
        </w:rPr>
        <w:t xml:space="preserve"> operating subsidiaries</w:t>
      </w:r>
      <w:r w:rsidR="00D73792">
        <w:rPr>
          <w:rFonts w:ascii="Times New Roman" w:hAnsi="Times New Roman"/>
          <w:sz w:val="24"/>
          <w:szCs w:val="24"/>
        </w:rPr>
        <w:t xml:space="preserve"> (hereafter, “Qwest”) in Washington</w:t>
      </w:r>
      <w:r w:rsidRPr="008B5EBE">
        <w:rPr>
          <w:rFonts w:ascii="Times New Roman" w:hAnsi="Times New Roman"/>
          <w:sz w:val="24"/>
          <w:szCs w:val="24"/>
        </w:rPr>
        <w:t xml:space="preserve"> to CenturyLink, Inc. (hereafter, “CenturyLink”) (hereafter, the “transaction” or “merger”).  A</w:t>
      </w:r>
      <w:r w:rsidR="00D73792">
        <w:rPr>
          <w:rFonts w:ascii="Times New Roman" w:hAnsi="Times New Roman"/>
          <w:sz w:val="24"/>
          <w:szCs w:val="24"/>
        </w:rPr>
        <w:t>ppl</w:t>
      </w:r>
      <w:r w:rsidR="00C3251C">
        <w:rPr>
          <w:rFonts w:ascii="Times New Roman" w:hAnsi="Times New Roman"/>
          <w:sz w:val="24"/>
          <w:szCs w:val="24"/>
        </w:rPr>
        <w:t>icants thereafter filed, on May 21, 2010</w:t>
      </w:r>
      <w:r w:rsidRPr="008B5EBE">
        <w:rPr>
          <w:rFonts w:ascii="Times New Roman" w:hAnsi="Times New Roman"/>
          <w:sz w:val="24"/>
          <w:szCs w:val="24"/>
        </w:rPr>
        <w:t xml:space="preserve">, testimony of four witnesses in support of the transaction. </w:t>
      </w:r>
    </w:p>
    <w:p w:rsidR="00A20A98" w:rsidRDefault="00D73792" w:rsidP="008B5EBE">
      <w:pPr>
        <w:spacing w:line="480" w:lineRule="auto"/>
        <w:ind w:firstLine="720"/>
        <w:rPr>
          <w:rFonts w:ascii="Times New Roman" w:hAnsi="Times New Roman"/>
          <w:sz w:val="24"/>
          <w:szCs w:val="24"/>
        </w:rPr>
      </w:pPr>
      <w:r>
        <w:rPr>
          <w:rFonts w:ascii="Times New Roman" w:hAnsi="Times New Roman"/>
          <w:sz w:val="24"/>
          <w:szCs w:val="24"/>
        </w:rPr>
        <w:t>DoD/FEA filed its Petition to Intervene on May 24</w:t>
      </w:r>
      <w:r w:rsidR="008B5EBE" w:rsidRPr="008B5EBE">
        <w:rPr>
          <w:rFonts w:ascii="Times New Roman" w:hAnsi="Times New Roman"/>
          <w:sz w:val="24"/>
          <w:szCs w:val="24"/>
        </w:rPr>
        <w:t>, 2010.</w:t>
      </w:r>
      <w:r w:rsidR="008B5EBE" w:rsidRPr="008B5EBE">
        <w:rPr>
          <w:rStyle w:val="FootnoteReference"/>
          <w:rFonts w:ascii="Times New Roman" w:hAnsi="Times New Roman"/>
          <w:sz w:val="24"/>
          <w:szCs w:val="24"/>
        </w:rPr>
        <w:footnoteReference w:id="2"/>
      </w:r>
      <w:r w:rsidR="008B5EBE" w:rsidRPr="008B5EBE">
        <w:rPr>
          <w:rFonts w:ascii="Times New Roman" w:hAnsi="Times New Roman"/>
          <w:sz w:val="24"/>
          <w:szCs w:val="24"/>
        </w:rPr>
        <w:t xml:space="preserve">  The Commissio</w:t>
      </w:r>
      <w:r w:rsidR="00391CE9">
        <w:rPr>
          <w:rFonts w:ascii="Times New Roman" w:hAnsi="Times New Roman"/>
          <w:sz w:val="24"/>
          <w:szCs w:val="24"/>
        </w:rPr>
        <w:t>n granted DoD/FEA’s Application</w:t>
      </w:r>
      <w:r w:rsidR="008B5EBE" w:rsidRPr="008B5EBE">
        <w:rPr>
          <w:rFonts w:ascii="Times New Roman" w:hAnsi="Times New Roman"/>
          <w:sz w:val="24"/>
          <w:szCs w:val="24"/>
        </w:rPr>
        <w:t xml:space="preserve"> and those filed by other parties, and </w:t>
      </w:r>
      <w:r w:rsidR="00391CE9">
        <w:rPr>
          <w:rFonts w:ascii="Times New Roman" w:hAnsi="Times New Roman"/>
          <w:sz w:val="24"/>
          <w:szCs w:val="24"/>
        </w:rPr>
        <w:t xml:space="preserve">it </w:t>
      </w:r>
      <w:r w:rsidR="008B5EBE" w:rsidRPr="008B5EBE">
        <w:rPr>
          <w:rFonts w:ascii="Times New Roman" w:hAnsi="Times New Roman"/>
          <w:sz w:val="24"/>
          <w:szCs w:val="24"/>
        </w:rPr>
        <w:t>set dates for a prehearing conference and evidentiar</w:t>
      </w:r>
      <w:r w:rsidR="008542FA">
        <w:rPr>
          <w:rFonts w:ascii="Times New Roman" w:hAnsi="Times New Roman"/>
          <w:sz w:val="24"/>
          <w:szCs w:val="24"/>
        </w:rPr>
        <w:t>y hearings in Order 02 issued by the ALJ on June 10</w:t>
      </w:r>
      <w:r w:rsidR="008B5EBE" w:rsidRPr="008B5EBE">
        <w:rPr>
          <w:rFonts w:ascii="Times New Roman" w:hAnsi="Times New Roman"/>
          <w:sz w:val="24"/>
          <w:szCs w:val="24"/>
        </w:rPr>
        <w:t>, 2010.  Pursuant to the schedule set forth in that order, DoD/FEA, the Commission’s Staff an</w:t>
      </w:r>
      <w:r w:rsidR="007C06F4">
        <w:rPr>
          <w:rFonts w:ascii="Times New Roman" w:hAnsi="Times New Roman"/>
          <w:sz w:val="24"/>
          <w:szCs w:val="24"/>
        </w:rPr>
        <w:t>d other intervenors filed responsive</w:t>
      </w:r>
      <w:r w:rsidR="008B5EBE" w:rsidRPr="008B5EBE">
        <w:rPr>
          <w:rFonts w:ascii="Times New Roman" w:hAnsi="Times New Roman"/>
          <w:sz w:val="24"/>
          <w:szCs w:val="24"/>
        </w:rPr>
        <w:t xml:space="preserve"> testimony on September 27, 2010.   Applicants filed </w:t>
      </w:r>
      <w:r w:rsidR="00A20A98">
        <w:rPr>
          <w:rFonts w:ascii="Times New Roman" w:hAnsi="Times New Roman"/>
          <w:sz w:val="24"/>
          <w:szCs w:val="24"/>
        </w:rPr>
        <w:t>rebuttal testimony</w:t>
      </w:r>
      <w:r w:rsidR="007C06F4">
        <w:rPr>
          <w:rFonts w:ascii="Times New Roman" w:hAnsi="Times New Roman"/>
          <w:sz w:val="24"/>
          <w:szCs w:val="24"/>
        </w:rPr>
        <w:t>, and certain parties filed cross-answering and supplemental responsive testimony, on November 1</w:t>
      </w:r>
      <w:r w:rsidR="008B5EBE" w:rsidRPr="008B5EBE">
        <w:rPr>
          <w:rFonts w:ascii="Times New Roman" w:hAnsi="Times New Roman"/>
          <w:sz w:val="24"/>
          <w:szCs w:val="24"/>
        </w:rPr>
        <w:t xml:space="preserve">, 2010.  </w:t>
      </w:r>
    </w:p>
    <w:p w:rsidR="008B5EBE" w:rsidRPr="008B5EBE" w:rsidRDefault="008B5EBE" w:rsidP="008B5EBE">
      <w:pPr>
        <w:spacing w:line="480" w:lineRule="auto"/>
        <w:ind w:firstLine="720"/>
        <w:rPr>
          <w:rFonts w:ascii="Times New Roman" w:hAnsi="Times New Roman"/>
          <w:sz w:val="24"/>
          <w:szCs w:val="24"/>
        </w:rPr>
      </w:pPr>
      <w:r w:rsidRPr="008B5EBE">
        <w:rPr>
          <w:rFonts w:ascii="Times New Roman" w:hAnsi="Times New Roman"/>
          <w:sz w:val="24"/>
          <w:szCs w:val="24"/>
        </w:rPr>
        <w:t>Hearings on the transaction application co</w:t>
      </w:r>
      <w:r w:rsidR="00A20A98">
        <w:rPr>
          <w:rFonts w:ascii="Times New Roman" w:hAnsi="Times New Roman"/>
          <w:sz w:val="24"/>
          <w:szCs w:val="24"/>
        </w:rPr>
        <w:t>mmenced on January 5, 2011</w:t>
      </w:r>
      <w:r w:rsidRPr="008B5EBE">
        <w:rPr>
          <w:rFonts w:ascii="Times New Roman" w:hAnsi="Times New Roman"/>
          <w:sz w:val="24"/>
          <w:szCs w:val="24"/>
        </w:rPr>
        <w:t>.  Pre-filed testimony, including that of DoD/FEA expert witness Charles W. King, was received into the record.  Prior to the hearings, however, certain parties herein filed agreements with the Commission that settled the issues that they raised in their testimony.</w:t>
      </w:r>
      <w:r w:rsidRPr="008B5EBE">
        <w:rPr>
          <w:rStyle w:val="FootnoteReference"/>
          <w:rFonts w:ascii="Times New Roman" w:hAnsi="Times New Roman"/>
          <w:sz w:val="24"/>
          <w:szCs w:val="24"/>
        </w:rPr>
        <w:footnoteReference w:id="3"/>
      </w:r>
      <w:r w:rsidRPr="008B5EBE">
        <w:rPr>
          <w:rFonts w:ascii="Times New Roman" w:hAnsi="Times New Roman"/>
          <w:sz w:val="24"/>
          <w:szCs w:val="24"/>
        </w:rPr>
        <w:t xml:space="preserve">  As noted above, DoD/FEA and Applicants jointly filed their Settlement Agreement and</w:t>
      </w:r>
      <w:r w:rsidR="00302481">
        <w:rPr>
          <w:rFonts w:ascii="Times New Roman" w:hAnsi="Times New Roman"/>
          <w:sz w:val="24"/>
          <w:szCs w:val="24"/>
        </w:rPr>
        <w:t xml:space="preserve"> Stipulation on December 30</w:t>
      </w:r>
      <w:r w:rsidR="00A20A98">
        <w:rPr>
          <w:rFonts w:ascii="Times New Roman" w:hAnsi="Times New Roman"/>
          <w:sz w:val="24"/>
          <w:szCs w:val="24"/>
        </w:rPr>
        <w:t>, 2010</w:t>
      </w:r>
      <w:r w:rsidRPr="008B5EBE">
        <w:rPr>
          <w:rFonts w:ascii="Times New Roman" w:hAnsi="Times New Roman"/>
          <w:sz w:val="24"/>
          <w:szCs w:val="24"/>
        </w:rPr>
        <w:t xml:space="preserve">.  The substantive terms of the DoD/FEA Agreement are set forth in Attachment 1 to this </w:t>
      </w:r>
      <w:r w:rsidR="00302481">
        <w:rPr>
          <w:rFonts w:ascii="Times New Roman" w:hAnsi="Times New Roman"/>
          <w:sz w:val="24"/>
          <w:szCs w:val="24"/>
        </w:rPr>
        <w:t xml:space="preserve">Post-Hearing </w:t>
      </w:r>
      <w:r w:rsidRPr="008B5EBE">
        <w:rPr>
          <w:rFonts w:ascii="Times New Roman" w:hAnsi="Times New Roman"/>
          <w:sz w:val="24"/>
          <w:szCs w:val="24"/>
        </w:rPr>
        <w:t>Brief.  Because the unopposed DoD/FEA Agreement resolves the concerns that D</w:t>
      </w:r>
      <w:r w:rsidR="00A20A98">
        <w:rPr>
          <w:rFonts w:ascii="Times New Roman" w:hAnsi="Times New Roman"/>
          <w:sz w:val="24"/>
          <w:szCs w:val="24"/>
        </w:rPr>
        <w:t>oD/FEA raised in its Petition</w:t>
      </w:r>
      <w:r w:rsidRPr="008B5EBE">
        <w:rPr>
          <w:rFonts w:ascii="Times New Roman" w:hAnsi="Times New Roman"/>
          <w:sz w:val="24"/>
          <w:szCs w:val="24"/>
        </w:rPr>
        <w:t xml:space="preserve"> to Intervene and testimony, we will not comment extensively in this </w:t>
      </w:r>
      <w:r w:rsidR="00302481">
        <w:rPr>
          <w:rFonts w:ascii="Times New Roman" w:hAnsi="Times New Roman"/>
          <w:sz w:val="24"/>
          <w:szCs w:val="24"/>
        </w:rPr>
        <w:t>Post-Hearing B</w:t>
      </w:r>
      <w:r w:rsidRPr="008B5EBE">
        <w:rPr>
          <w:rFonts w:ascii="Times New Roman" w:hAnsi="Times New Roman"/>
          <w:sz w:val="24"/>
          <w:szCs w:val="24"/>
        </w:rPr>
        <w:t>rief on the testimonies and exhibits of other parties in this proceeding.  None of the other parties in this proceeding either opposed or addressed the DoD/FEA Agreement.</w:t>
      </w:r>
      <w:r w:rsidR="00391CE9">
        <w:rPr>
          <w:rStyle w:val="FootnoteReference"/>
          <w:rFonts w:ascii="Times New Roman" w:hAnsi="Times New Roman"/>
          <w:sz w:val="24"/>
          <w:szCs w:val="24"/>
        </w:rPr>
        <w:footnoteReference w:id="4"/>
      </w:r>
      <w:r w:rsidRPr="008B5EBE">
        <w:rPr>
          <w:rFonts w:ascii="Times New Roman" w:hAnsi="Times New Roman"/>
          <w:sz w:val="24"/>
          <w:szCs w:val="24"/>
        </w:rPr>
        <w:t xml:space="preserve">  Rather, we explain herein that the DoD/FEA Agreement is necessary to prevent potential transaction-related harm to DoD/FEA and accordingly should be approved by the Commission concurrently with approval of the transaction application, which so conditioned, is in the public interest.</w:t>
      </w:r>
    </w:p>
    <w:p w:rsidR="008B5EBE" w:rsidRPr="008B5EBE" w:rsidRDefault="008B5EBE" w:rsidP="008B5EBE">
      <w:pPr>
        <w:spacing w:line="480" w:lineRule="auto"/>
        <w:jc w:val="center"/>
        <w:rPr>
          <w:rFonts w:ascii="Times New Roman" w:hAnsi="Times New Roman"/>
          <w:b/>
          <w:sz w:val="24"/>
          <w:szCs w:val="24"/>
        </w:rPr>
      </w:pPr>
      <w:r w:rsidRPr="008B5EBE">
        <w:rPr>
          <w:rFonts w:ascii="Times New Roman" w:hAnsi="Times New Roman"/>
          <w:b/>
          <w:sz w:val="24"/>
          <w:szCs w:val="24"/>
        </w:rPr>
        <w:t>II. DoD/FEA’S PRE-FILED TESTIMONY</w:t>
      </w:r>
    </w:p>
    <w:p w:rsidR="008B5EBE" w:rsidRPr="008B5EBE" w:rsidRDefault="008B5EBE" w:rsidP="008B5EBE">
      <w:pPr>
        <w:spacing w:line="480" w:lineRule="auto"/>
        <w:ind w:firstLine="720"/>
        <w:rPr>
          <w:rFonts w:ascii="Times New Roman" w:hAnsi="Times New Roman"/>
          <w:sz w:val="24"/>
          <w:szCs w:val="24"/>
        </w:rPr>
      </w:pPr>
      <w:r w:rsidRPr="008B5EBE">
        <w:rPr>
          <w:rFonts w:ascii="Times New Roman" w:hAnsi="Times New Roman"/>
          <w:sz w:val="24"/>
          <w:szCs w:val="24"/>
        </w:rPr>
        <w:t>As noted above, upon Commission approval all contested issues between DoD/FEA and Applicants about the transaction would be resolved by the DoD/FEA Agreement.  We will, however, note below the DoD/FEA testimony that was filed prior to execution of the DoD/FEA Agreement and hearings herein, because if the DoD/FEA Agreement is not approved substantially unaltered, we respectfully request that the Commission issue a decision on the contested issues raised in the testimony.</w:t>
      </w:r>
    </w:p>
    <w:p w:rsidR="008B5EBE" w:rsidRPr="008B5EBE" w:rsidRDefault="008B5EBE" w:rsidP="008B5EBE">
      <w:pPr>
        <w:spacing w:line="480" w:lineRule="auto"/>
        <w:ind w:firstLine="720"/>
        <w:rPr>
          <w:rFonts w:ascii="Times New Roman" w:hAnsi="Times New Roman"/>
          <w:sz w:val="24"/>
          <w:szCs w:val="24"/>
        </w:rPr>
      </w:pPr>
      <w:r w:rsidRPr="008B5EBE">
        <w:rPr>
          <w:rFonts w:ascii="Times New Roman" w:hAnsi="Times New Roman"/>
          <w:sz w:val="24"/>
          <w:szCs w:val="24"/>
        </w:rPr>
        <w:t>In his Se</w:t>
      </w:r>
      <w:r w:rsidR="00D13C02">
        <w:rPr>
          <w:rFonts w:ascii="Times New Roman" w:hAnsi="Times New Roman"/>
          <w:sz w:val="24"/>
          <w:szCs w:val="24"/>
        </w:rPr>
        <w:t>ptember 27, 2010 Responsive</w:t>
      </w:r>
      <w:r w:rsidR="0049296E">
        <w:rPr>
          <w:rFonts w:ascii="Times New Roman" w:hAnsi="Times New Roman"/>
          <w:sz w:val="24"/>
          <w:szCs w:val="24"/>
        </w:rPr>
        <w:t xml:space="preserve"> Testimony (</w:t>
      </w:r>
      <w:r w:rsidRPr="008B5EBE">
        <w:rPr>
          <w:rFonts w:ascii="Times New Roman" w:hAnsi="Times New Roman"/>
          <w:sz w:val="24"/>
          <w:szCs w:val="24"/>
        </w:rPr>
        <w:t xml:space="preserve">Exhibit </w:t>
      </w:r>
      <w:r w:rsidR="00D13C02">
        <w:rPr>
          <w:rFonts w:ascii="Times New Roman" w:hAnsi="Times New Roman"/>
          <w:sz w:val="24"/>
          <w:szCs w:val="24"/>
        </w:rPr>
        <w:t>CWK-</w:t>
      </w:r>
      <w:r w:rsidRPr="008B5EBE">
        <w:rPr>
          <w:rFonts w:ascii="Times New Roman" w:hAnsi="Times New Roman"/>
          <w:sz w:val="24"/>
          <w:szCs w:val="24"/>
        </w:rPr>
        <w:t>1</w:t>
      </w:r>
      <w:r w:rsidR="00D13C02">
        <w:rPr>
          <w:rFonts w:ascii="Times New Roman" w:hAnsi="Times New Roman"/>
          <w:sz w:val="24"/>
          <w:szCs w:val="24"/>
        </w:rPr>
        <w:t>T</w:t>
      </w:r>
      <w:r w:rsidRPr="008B5EBE">
        <w:rPr>
          <w:rFonts w:ascii="Times New Roman" w:hAnsi="Times New Roman"/>
          <w:sz w:val="24"/>
          <w:szCs w:val="24"/>
        </w:rPr>
        <w:t>), DoD/FEA expert witness Charles W. King, President of the economic consulting firm of Snavely King Majoros &amp; O’Connor, Inc., discussed DoD/FEA’s concerns and recommendations related to 1) the handling of merger-related transaction and transition/integration costs</w:t>
      </w:r>
      <w:r w:rsidRPr="008B5EBE">
        <w:rPr>
          <w:rStyle w:val="FootnoteReference"/>
          <w:rFonts w:ascii="Times New Roman" w:hAnsi="Times New Roman"/>
          <w:sz w:val="24"/>
          <w:szCs w:val="24"/>
        </w:rPr>
        <w:footnoteReference w:id="5"/>
      </w:r>
      <w:r w:rsidRPr="008B5EBE">
        <w:rPr>
          <w:rFonts w:ascii="Times New Roman" w:hAnsi="Times New Roman"/>
          <w:sz w:val="24"/>
          <w:szCs w:val="24"/>
        </w:rPr>
        <w:t>; 2) necessary service quality enhancements</w:t>
      </w:r>
      <w:r w:rsidRPr="008B5EBE">
        <w:rPr>
          <w:rStyle w:val="FootnoteReference"/>
          <w:rFonts w:ascii="Times New Roman" w:hAnsi="Times New Roman"/>
          <w:sz w:val="24"/>
          <w:szCs w:val="24"/>
        </w:rPr>
        <w:footnoteReference w:id="6"/>
      </w:r>
      <w:r w:rsidRPr="008B5EBE">
        <w:rPr>
          <w:rFonts w:ascii="Times New Roman" w:hAnsi="Times New Roman"/>
          <w:sz w:val="24"/>
          <w:szCs w:val="24"/>
        </w:rPr>
        <w:t>; and 3) ensuring the sufficiency of personnel with security clearances for the performance of government contracts</w:t>
      </w:r>
      <w:r w:rsidRPr="008B5EBE">
        <w:rPr>
          <w:rStyle w:val="FootnoteReference"/>
          <w:rFonts w:ascii="Times New Roman" w:hAnsi="Times New Roman"/>
          <w:sz w:val="24"/>
          <w:szCs w:val="24"/>
        </w:rPr>
        <w:footnoteReference w:id="7"/>
      </w:r>
      <w:r w:rsidRPr="008B5EBE">
        <w:rPr>
          <w:rFonts w:ascii="Times New Roman" w:hAnsi="Times New Roman"/>
          <w:sz w:val="24"/>
          <w:szCs w:val="24"/>
        </w:rPr>
        <w:t>.  As noted above and discussed below, each of these areas of contested issues has been resolved with the Applicants in the DoD/FEA Agreement subject to Commission approval.</w:t>
      </w:r>
    </w:p>
    <w:p w:rsidR="008B5EBE" w:rsidRPr="008B5EBE" w:rsidRDefault="008B5EBE" w:rsidP="008B5EBE">
      <w:pPr>
        <w:spacing w:line="480" w:lineRule="auto"/>
        <w:ind w:firstLine="720"/>
        <w:jc w:val="center"/>
        <w:rPr>
          <w:rFonts w:ascii="Times New Roman" w:hAnsi="Times New Roman"/>
          <w:b/>
          <w:sz w:val="24"/>
          <w:szCs w:val="24"/>
        </w:rPr>
      </w:pPr>
      <w:r w:rsidRPr="008B5EBE">
        <w:rPr>
          <w:rFonts w:ascii="Times New Roman" w:hAnsi="Times New Roman"/>
          <w:b/>
          <w:sz w:val="24"/>
          <w:szCs w:val="24"/>
        </w:rPr>
        <w:t>III. THE DoD/FEA AGREEMENT</w:t>
      </w:r>
    </w:p>
    <w:p w:rsidR="00C7330B" w:rsidRPr="004579EE" w:rsidRDefault="00C7330B" w:rsidP="00C7330B">
      <w:pPr>
        <w:spacing w:line="480" w:lineRule="auto"/>
        <w:ind w:firstLine="720"/>
        <w:rPr>
          <w:rFonts w:ascii="Times New Roman" w:hAnsi="Times New Roman"/>
          <w:sz w:val="24"/>
          <w:szCs w:val="24"/>
        </w:rPr>
      </w:pPr>
      <w:r w:rsidRPr="004579EE">
        <w:rPr>
          <w:rFonts w:ascii="Times New Roman" w:hAnsi="Times New Roman"/>
          <w:sz w:val="24"/>
          <w:szCs w:val="24"/>
        </w:rPr>
        <w:t>Subsequent to filing Mr. King’s testimony, DoD/FEA participated in discussions that le</w:t>
      </w:r>
      <w:r>
        <w:rPr>
          <w:rFonts w:ascii="Times New Roman" w:hAnsi="Times New Roman"/>
          <w:sz w:val="24"/>
          <w:szCs w:val="24"/>
        </w:rPr>
        <w:t xml:space="preserve">d to the Staff/Public Counsel </w:t>
      </w:r>
      <w:r w:rsidRPr="004579EE">
        <w:rPr>
          <w:rFonts w:ascii="Times New Roman" w:hAnsi="Times New Roman"/>
          <w:sz w:val="24"/>
          <w:szCs w:val="24"/>
        </w:rPr>
        <w:t>Agreement</w:t>
      </w:r>
      <w:r>
        <w:rPr>
          <w:rFonts w:ascii="Times New Roman" w:hAnsi="Times New Roman"/>
          <w:sz w:val="24"/>
          <w:szCs w:val="24"/>
        </w:rPr>
        <w:t xml:space="preserve"> which resolved many of DoD/FEA’s issues in this proceeding</w:t>
      </w:r>
      <w:r w:rsidRPr="004579EE">
        <w:rPr>
          <w:rFonts w:ascii="Times New Roman" w:hAnsi="Times New Roman"/>
          <w:sz w:val="24"/>
          <w:szCs w:val="24"/>
        </w:rPr>
        <w:t>.</w:t>
      </w:r>
      <w:r>
        <w:rPr>
          <w:rStyle w:val="FootnoteReference"/>
          <w:rFonts w:ascii="Times New Roman" w:hAnsi="Times New Roman"/>
          <w:sz w:val="24"/>
          <w:szCs w:val="24"/>
        </w:rPr>
        <w:footnoteReference w:id="8"/>
      </w:r>
      <w:r w:rsidRPr="004579EE">
        <w:rPr>
          <w:rFonts w:ascii="Times New Roman" w:hAnsi="Times New Roman"/>
          <w:sz w:val="24"/>
          <w:szCs w:val="24"/>
        </w:rPr>
        <w:t xml:space="preserve">  In an effort to address the </w:t>
      </w:r>
      <w:r>
        <w:rPr>
          <w:rFonts w:ascii="Times New Roman" w:hAnsi="Times New Roman"/>
          <w:sz w:val="24"/>
          <w:szCs w:val="24"/>
        </w:rPr>
        <w:t xml:space="preserve">remaining </w:t>
      </w:r>
      <w:r w:rsidRPr="004579EE">
        <w:rPr>
          <w:rFonts w:ascii="Times New Roman" w:hAnsi="Times New Roman"/>
          <w:sz w:val="24"/>
          <w:szCs w:val="24"/>
        </w:rPr>
        <w:t xml:space="preserve">specific issues that Mr. King raised in his testimony, DoD/FEA and Applicants also met individually to discuss whether those concerns could be resolved by a settlement herein.  The product of those </w:t>
      </w:r>
      <w:r>
        <w:rPr>
          <w:rFonts w:ascii="Times New Roman" w:hAnsi="Times New Roman"/>
          <w:sz w:val="24"/>
          <w:szCs w:val="24"/>
        </w:rPr>
        <w:t xml:space="preserve">latter </w:t>
      </w:r>
      <w:r w:rsidRPr="004579EE">
        <w:rPr>
          <w:rFonts w:ascii="Times New Roman" w:hAnsi="Times New Roman"/>
          <w:sz w:val="24"/>
          <w:szCs w:val="24"/>
        </w:rPr>
        <w:t>negotiations is the DoD/FEA Agreement.</w:t>
      </w:r>
      <w:r>
        <w:rPr>
          <w:rFonts w:ascii="Times New Roman" w:hAnsi="Times New Roman"/>
          <w:sz w:val="24"/>
          <w:szCs w:val="24"/>
        </w:rPr>
        <w:t xml:space="preserve">  As a result of the settlement</w:t>
      </w:r>
      <w:r w:rsidRPr="004579EE">
        <w:rPr>
          <w:rFonts w:ascii="Times New Roman" w:hAnsi="Times New Roman"/>
          <w:sz w:val="24"/>
          <w:szCs w:val="24"/>
        </w:rPr>
        <w:t xml:space="preserve"> meetings and the agreements </w:t>
      </w:r>
      <w:r>
        <w:rPr>
          <w:rFonts w:ascii="Times New Roman" w:hAnsi="Times New Roman"/>
          <w:sz w:val="24"/>
          <w:szCs w:val="24"/>
        </w:rPr>
        <w:t>t</w:t>
      </w:r>
      <w:r w:rsidRPr="004579EE">
        <w:rPr>
          <w:rFonts w:ascii="Times New Roman" w:hAnsi="Times New Roman"/>
          <w:sz w:val="24"/>
          <w:szCs w:val="24"/>
        </w:rPr>
        <w:t xml:space="preserve">hat resulted therefrom, </w:t>
      </w:r>
      <w:r>
        <w:rPr>
          <w:rFonts w:ascii="Times New Roman" w:hAnsi="Times New Roman"/>
          <w:sz w:val="24"/>
          <w:szCs w:val="24"/>
        </w:rPr>
        <w:t xml:space="preserve">and for the reasons that follow, </w:t>
      </w:r>
      <w:r w:rsidRPr="004579EE">
        <w:rPr>
          <w:rFonts w:ascii="Times New Roman" w:hAnsi="Times New Roman"/>
          <w:sz w:val="24"/>
          <w:szCs w:val="24"/>
        </w:rPr>
        <w:t xml:space="preserve">we now believe </w:t>
      </w:r>
      <w:r>
        <w:rPr>
          <w:rFonts w:ascii="Times New Roman" w:hAnsi="Times New Roman"/>
          <w:sz w:val="24"/>
          <w:szCs w:val="24"/>
        </w:rPr>
        <w:t>that a grant of the Appli</w:t>
      </w:r>
      <w:r w:rsidRPr="004579EE">
        <w:rPr>
          <w:rFonts w:ascii="Times New Roman" w:hAnsi="Times New Roman"/>
          <w:sz w:val="24"/>
          <w:szCs w:val="24"/>
        </w:rPr>
        <w:t xml:space="preserve">cation with the </w:t>
      </w:r>
      <w:r>
        <w:rPr>
          <w:rFonts w:ascii="Times New Roman" w:hAnsi="Times New Roman"/>
          <w:sz w:val="24"/>
          <w:szCs w:val="24"/>
        </w:rPr>
        <w:t xml:space="preserve">conditions and terms of the </w:t>
      </w:r>
      <w:r w:rsidRPr="004579EE">
        <w:rPr>
          <w:rFonts w:ascii="Times New Roman" w:hAnsi="Times New Roman"/>
          <w:sz w:val="24"/>
          <w:szCs w:val="24"/>
        </w:rPr>
        <w:t xml:space="preserve">associated agreements is in the public interest.  </w:t>
      </w:r>
    </w:p>
    <w:p w:rsidR="00C7330B" w:rsidRDefault="00C7330B" w:rsidP="00C7330B">
      <w:pPr>
        <w:spacing w:line="480" w:lineRule="auto"/>
        <w:ind w:firstLine="720"/>
        <w:rPr>
          <w:rFonts w:ascii="Times New Roman" w:hAnsi="Times New Roman"/>
          <w:sz w:val="24"/>
          <w:szCs w:val="24"/>
        </w:rPr>
      </w:pPr>
      <w:r w:rsidRPr="008B5EBE">
        <w:rPr>
          <w:rFonts w:ascii="Times New Roman" w:hAnsi="Times New Roman"/>
          <w:sz w:val="24"/>
          <w:szCs w:val="24"/>
        </w:rPr>
        <w:t>The DoD/FEA Agreement has a term of three years with extension upon mutual consent of the parties and is applicable to service provided to Federal Agencies in</w:t>
      </w:r>
      <w:r>
        <w:rPr>
          <w:rFonts w:ascii="Times New Roman" w:hAnsi="Times New Roman"/>
          <w:sz w:val="24"/>
          <w:szCs w:val="24"/>
        </w:rPr>
        <w:t xml:space="preserve"> </w:t>
      </w:r>
      <w:smartTag w:uri="urn:schemas-microsoft-com:office:smarttags" w:element="State">
        <w:smartTag w:uri="urn:schemas-microsoft-com:office:smarttags" w:element="place">
          <w:r>
            <w:rPr>
              <w:rFonts w:ascii="Times New Roman" w:hAnsi="Times New Roman"/>
              <w:sz w:val="24"/>
              <w:szCs w:val="24"/>
            </w:rPr>
            <w:t>Washington</w:t>
          </w:r>
        </w:smartTag>
      </w:smartTag>
      <w:r>
        <w:rPr>
          <w:rFonts w:ascii="Times New Roman" w:hAnsi="Times New Roman"/>
          <w:sz w:val="24"/>
          <w:szCs w:val="24"/>
        </w:rPr>
        <w:t>.</w:t>
      </w:r>
      <w:r w:rsidRPr="008B5EBE">
        <w:rPr>
          <w:rFonts w:ascii="Times New Roman" w:hAnsi="Times New Roman"/>
          <w:sz w:val="24"/>
          <w:szCs w:val="24"/>
        </w:rPr>
        <w:t xml:space="preserve">  (Both the Colorado</w:t>
      </w:r>
      <w:r>
        <w:rPr>
          <w:rStyle w:val="FootnoteReference"/>
          <w:rFonts w:ascii="Times New Roman" w:hAnsi="Times New Roman"/>
          <w:sz w:val="24"/>
          <w:szCs w:val="24"/>
        </w:rPr>
        <w:footnoteReference w:id="9"/>
      </w:r>
      <w:r w:rsidRPr="008B5EBE">
        <w:rPr>
          <w:rFonts w:ascii="Times New Roman" w:hAnsi="Times New Roman"/>
          <w:sz w:val="24"/>
          <w:szCs w:val="24"/>
        </w:rPr>
        <w:t xml:space="preserve"> and Ut</w:t>
      </w:r>
      <w:r>
        <w:rPr>
          <w:rFonts w:ascii="Times New Roman" w:hAnsi="Times New Roman"/>
          <w:sz w:val="24"/>
          <w:szCs w:val="24"/>
        </w:rPr>
        <w:t>ah</w:t>
      </w:r>
      <w:r>
        <w:rPr>
          <w:rStyle w:val="FootnoteReference"/>
          <w:rFonts w:ascii="Times New Roman" w:hAnsi="Times New Roman"/>
          <w:sz w:val="24"/>
          <w:szCs w:val="24"/>
        </w:rPr>
        <w:footnoteReference w:id="10"/>
      </w:r>
      <w:r>
        <w:rPr>
          <w:rFonts w:ascii="Times New Roman" w:hAnsi="Times New Roman"/>
          <w:sz w:val="24"/>
          <w:szCs w:val="24"/>
        </w:rPr>
        <w:t xml:space="preserve"> commissions have approved an agreement between DoD/FEA and Applicants that is substantively identical to the</w:t>
      </w:r>
      <w:r w:rsidRPr="008B5EBE">
        <w:rPr>
          <w:rFonts w:ascii="Times New Roman" w:hAnsi="Times New Roman"/>
          <w:sz w:val="24"/>
          <w:szCs w:val="24"/>
        </w:rPr>
        <w:t xml:space="preserve"> DoD/FEA Agreement.)  The DoD/FEA Agreement addresses the three areas noted above</w:t>
      </w:r>
      <w:r>
        <w:rPr>
          <w:rFonts w:ascii="Times New Roman" w:hAnsi="Times New Roman"/>
          <w:sz w:val="24"/>
          <w:szCs w:val="24"/>
        </w:rPr>
        <w:t xml:space="preserve"> </w:t>
      </w:r>
      <w:r w:rsidRPr="008B5EBE">
        <w:rPr>
          <w:rFonts w:ascii="Times New Roman" w:hAnsi="Times New Roman"/>
          <w:sz w:val="24"/>
          <w:szCs w:val="24"/>
        </w:rPr>
        <w:t xml:space="preserve">that led to our intervention herein and </w:t>
      </w:r>
      <w:r>
        <w:rPr>
          <w:rFonts w:ascii="Times New Roman" w:hAnsi="Times New Roman"/>
          <w:sz w:val="24"/>
          <w:szCs w:val="24"/>
        </w:rPr>
        <w:t xml:space="preserve">are </w:t>
      </w:r>
      <w:r w:rsidRPr="008B5EBE">
        <w:rPr>
          <w:rFonts w:ascii="Times New Roman" w:hAnsi="Times New Roman"/>
          <w:sz w:val="24"/>
          <w:szCs w:val="24"/>
        </w:rPr>
        <w:t>explained by Mr. King in his testimony</w:t>
      </w:r>
      <w:r>
        <w:rPr>
          <w:rFonts w:ascii="Times New Roman" w:hAnsi="Times New Roman"/>
          <w:sz w:val="24"/>
          <w:szCs w:val="24"/>
        </w:rPr>
        <w:t>.</w:t>
      </w:r>
      <w:r w:rsidRPr="008B5EBE">
        <w:rPr>
          <w:rFonts w:ascii="Times New Roman" w:hAnsi="Times New Roman"/>
          <w:sz w:val="24"/>
          <w:szCs w:val="24"/>
        </w:rPr>
        <w:t xml:space="preserve"> </w:t>
      </w:r>
    </w:p>
    <w:p w:rsidR="00C7330B" w:rsidRDefault="00C7330B" w:rsidP="00C7330B">
      <w:pPr>
        <w:spacing w:line="480" w:lineRule="auto"/>
        <w:ind w:firstLine="720"/>
        <w:rPr>
          <w:rFonts w:ascii="Times New Roman" w:hAnsi="Times New Roman"/>
          <w:sz w:val="24"/>
          <w:szCs w:val="24"/>
        </w:rPr>
      </w:pPr>
      <w:r w:rsidRPr="008B5EBE">
        <w:rPr>
          <w:rFonts w:ascii="Times New Roman" w:hAnsi="Times New Roman"/>
          <w:sz w:val="24"/>
          <w:szCs w:val="24"/>
        </w:rPr>
        <w:t xml:space="preserve">First, the DoD/FEA Agreement requires Applicants to make a Volume and Term Individual Case Basis (ICB) filing with the Commission after the transaction is approved and closed that includes a </w:t>
      </w:r>
      <w:r w:rsidRPr="00D75791">
        <w:rPr>
          <w:rFonts w:ascii="Times New Roman" w:hAnsi="Times New Roman"/>
          <w:b/>
          <w:sz w:val="24"/>
          <w:szCs w:val="24"/>
          <w:u w:val="single"/>
        </w:rPr>
        <w:t>three-year rate cap for certain basic business services</w:t>
      </w:r>
      <w:r w:rsidRPr="008B5EBE">
        <w:rPr>
          <w:rFonts w:ascii="Times New Roman" w:hAnsi="Times New Roman"/>
          <w:sz w:val="24"/>
          <w:szCs w:val="24"/>
        </w:rPr>
        <w:t xml:space="preserve"> utilized by the Federal Agencies.  This provision directly alleviates DoD/FEA’s concern that the Federal Agencies may be adversely impacted by potential rate increases that might be based in whole or in part on Applicants’ efforts to recover their merger transaction and integration costs.  This rate stability assurance, however, is based on a corresponding revenue assurance commitment by the Federal Agencies to ma</w:t>
      </w:r>
      <w:r>
        <w:rPr>
          <w:rFonts w:ascii="Times New Roman" w:hAnsi="Times New Roman"/>
          <w:sz w:val="24"/>
          <w:szCs w:val="24"/>
        </w:rPr>
        <w:t xml:space="preserve">intain their billings in </w:t>
      </w:r>
      <w:smartTag w:uri="urn:schemas-microsoft-com:office:smarttags" w:element="State">
        <w:smartTag w:uri="urn:schemas-microsoft-com:office:smarttags" w:element="place">
          <w:r>
            <w:rPr>
              <w:rFonts w:ascii="Times New Roman" w:hAnsi="Times New Roman"/>
              <w:sz w:val="24"/>
              <w:szCs w:val="24"/>
            </w:rPr>
            <w:t>Washington</w:t>
          </w:r>
        </w:smartTag>
      </w:smartTag>
      <w:r w:rsidRPr="008B5EBE">
        <w:rPr>
          <w:rFonts w:ascii="Times New Roman" w:hAnsi="Times New Roman"/>
          <w:sz w:val="24"/>
          <w:szCs w:val="24"/>
        </w:rPr>
        <w:t xml:space="preserve"> at a minimum of 90 percent of the average quarterly billings for the four quarters preceding the date of the DoD/FEA Agreement.</w:t>
      </w:r>
      <w:r w:rsidRPr="008B5EBE">
        <w:rPr>
          <w:rStyle w:val="FootnoteReference"/>
          <w:rFonts w:ascii="Times New Roman" w:hAnsi="Times New Roman"/>
          <w:sz w:val="24"/>
          <w:szCs w:val="24"/>
        </w:rPr>
        <w:footnoteReference w:id="11"/>
      </w:r>
      <w:r w:rsidRPr="008B5EBE">
        <w:rPr>
          <w:rFonts w:ascii="Times New Roman" w:hAnsi="Times New Roman"/>
          <w:sz w:val="24"/>
          <w:szCs w:val="24"/>
        </w:rPr>
        <w:t xml:space="preserve">  </w:t>
      </w:r>
    </w:p>
    <w:p w:rsidR="00C7330B" w:rsidRDefault="00C7330B" w:rsidP="00C7330B">
      <w:pPr>
        <w:spacing w:line="480" w:lineRule="auto"/>
        <w:ind w:firstLine="720"/>
        <w:rPr>
          <w:rFonts w:ascii="Times New Roman" w:hAnsi="Times New Roman"/>
          <w:sz w:val="24"/>
          <w:szCs w:val="24"/>
        </w:rPr>
      </w:pPr>
      <w:r w:rsidRPr="008B5EBE">
        <w:rPr>
          <w:rFonts w:ascii="Times New Roman" w:hAnsi="Times New Roman"/>
          <w:sz w:val="24"/>
          <w:szCs w:val="24"/>
        </w:rPr>
        <w:t xml:space="preserve">The rate stability assurance provision benefits Federal Agencies by ensuring that they do not inappropriately bear any of the merger transaction and integration costs, which Applicants presumably will experience during the rate cap period.  The revenue assurance commitment provision </w:t>
      </w:r>
      <w:r>
        <w:rPr>
          <w:rFonts w:ascii="Times New Roman" w:hAnsi="Times New Roman"/>
          <w:sz w:val="24"/>
          <w:szCs w:val="24"/>
        </w:rPr>
        <w:t xml:space="preserve">in turn </w:t>
      </w:r>
      <w:r w:rsidRPr="008B5EBE">
        <w:rPr>
          <w:rFonts w:ascii="Times New Roman" w:hAnsi="Times New Roman"/>
          <w:sz w:val="24"/>
          <w:szCs w:val="24"/>
        </w:rPr>
        <w:t xml:space="preserve">benefits the Applicants by providing a guaranteed stream of revenue from a major customer during the applicable period.  </w:t>
      </w:r>
    </w:p>
    <w:p w:rsidR="00C7330B" w:rsidRDefault="00C7330B" w:rsidP="00C7330B">
      <w:pPr>
        <w:spacing w:line="480" w:lineRule="auto"/>
        <w:ind w:firstLine="720"/>
        <w:rPr>
          <w:rFonts w:ascii="Times New Roman" w:hAnsi="Times New Roman"/>
          <w:sz w:val="24"/>
          <w:szCs w:val="24"/>
        </w:rPr>
      </w:pPr>
      <w:r>
        <w:rPr>
          <w:rFonts w:ascii="Times New Roman" w:hAnsi="Times New Roman"/>
          <w:sz w:val="24"/>
          <w:szCs w:val="24"/>
        </w:rPr>
        <w:t xml:space="preserve">The DoD/FEA Agreement builds upon provisions in the Staff/Public Counsel Agreement that directly ensure that other ratepayers also do not inappropriately bear the transaction and integration costs.  Thus the DoD/FEA Agreement is an essential element of a comprehensive set of rate cap safeguards that directly protects Applicants’ customers (residential as well as a wide range of different-sized business customer segments) from potential harmful effects during the transition period.  These rate cap safeguards, described below, acting  as direct absolute barriers, go further than the Applicants’ commitments not to seek to recover from retail or wholesale customers their transition, integration, branding or transaction costs in Washington (Staff/Public Counsel condition 6) or increased management costs (condition 5).  For </w:t>
      </w:r>
      <w:r w:rsidRPr="00F90DAB">
        <w:rPr>
          <w:rFonts w:ascii="Times New Roman" w:hAnsi="Times New Roman"/>
          <w:sz w:val="24"/>
          <w:szCs w:val="24"/>
          <w:u w:val="single"/>
        </w:rPr>
        <w:t>residential customers</w:t>
      </w:r>
      <w:r>
        <w:rPr>
          <w:rFonts w:ascii="Times New Roman" w:hAnsi="Times New Roman"/>
          <w:sz w:val="24"/>
          <w:szCs w:val="24"/>
        </w:rPr>
        <w:t xml:space="preserve"> the rate cap provisions (Staff/Public Counsel condition 20) provide assurance that they do not bear these costs.  For </w:t>
      </w:r>
      <w:r w:rsidRPr="00F90DAB">
        <w:rPr>
          <w:rFonts w:ascii="Times New Roman" w:hAnsi="Times New Roman"/>
          <w:sz w:val="24"/>
          <w:szCs w:val="24"/>
          <w:u w:val="single"/>
        </w:rPr>
        <w:t>small businesses</w:t>
      </w:r>
      <w:r>
        <w:rPr>
          <w:rFonts w:ascii="Times New Roman" w:hAnsi="Times New Roman"/>
          <w:sz w:val="24"/>
          <w:szCs w:val="24"/>
        </w:rPr>
        <w:t xml:space="preserve"> using basic service, the provisions of condition 20 cap the CenturyLink 1FB rates and allow only an increase of $1.00 per month in the Qwest 1FB rate.  Other CenturyLink services, such as those used by </w:t>
      </w:r>
      <w:r w:rsidRPr="00016F94">
        <w:rPr>
          <w:rFonts w:ascii="Times New Roman" w:hAnsi="Times New Roman"/>
          <w:sz w:val="24"/>
          <w:szCs w:val="24"/>
          <w:u w:val="single"/>
        </w:rPr>
        <w:t>small and medium-sized business</w:t>
      </w:r>
      <w:r>
        <w:rPr>
          <w:rFonts w:ascii="Times New Roman" w:hAnsi="Times New Roman"/>
          <w:sz w:val="24"/>
          <w:szCs w:val="24"/>
        </w:rPr>
        <w:t>, are subject to regulatory oversight and</w:t>
      </w:r>
      <w:r w:rsidRPr="00DA4CF3">
        <w:rPr>
          <w:rFonts w:ascii="Times New Roman" w:hAnsi="Times New Roman"/>
          <w:sz w:val="24"/>
          <w:szCs w:val="24"/>
        </w:rPr>
        <w:t xml:space="preserve"> </w:t>
      </w:r>
      <w:r>
        <w:rPr>
          <w:rFonts w:ascii="Times New Roman" w:hAnsi="Times New Roman"/>
          <w:sz w:val="24"/>
          <w:szCs w:val="24"/>
        </w:rPr>
        <w:t xml:space="preserve">tariff terms which may not be changed absent Commission approval.  Moreover, also pursuant to condition 20, customers (including </w:t>
      </w:r>
      <w:r w:rsidRPr="00016F94">
        <w:rPr>
          <w:rFonts w:ascii="Times New Roman" w:hAnsi="Times New Roman"/>
          <w:sz w:val="24"/>
          <w:szCs w:val="24"/>
          <w:u w:val="single"/>
        </w:rPr>
        <w:t>medium-sized business</w:t>
      </w:r>
      <w:r>
        <w:rPr>
          <w:rFonts w:ascii="Times New Roman" w:hAnsi="Times New Roman"/>
          <w:sz w:val="24"/>
          <w:szCs w:val="24"/>
        </w:rPr>
        <w:t>) of Qwest business exchange services will have available the continuation of rate stabilization provisions until an AFOR proceeding has been concluded, thus assuring them that they do not bear transaction-related costs.</w:t>
      </w:r>
    </w:p>
    <w:p w:rsidR="00C7330B" w:rsidRDefault="00C7330B" w:rsidP="00C7330B">
      <w:pPr>
        <w:spacing w:line="480" w:lineRule="auto"/>
        <w:ind w:firstLine="720"/>
        <w:rPr>
          <w:rFonts w:ascii="Times New Roman" w:hAnsi="Times New Roman"/>
          <w:sz w:val="24"/>
          <w:szCs w:val="24"/>
        </w:rPr>
      </w:pPr>
      <w:r>
        <w:rPr>
          <w:rFonts w:ascii="Times New Roman" w:hAnsi="Times New Roman"/>
          <w:sz w:val="24"/>
          <w:szCs w:val="24"/>
        </w:rPr>
        <w:t xml:space="preserve">The DoD/FEA Agreement builds upon these protections and further benefits </w:t>
      </w:r>
      <w:r w:rsidRPr="00525CAF">
        <w:rPr>
          <w:rFonts w:ascii="Times New Roman" w:hAnsi="Times New Roman"/>
          <w:sz w:val="24"/>
          <w:szCs w:val="24"/>
          <w:u w:val="single"/>
        </w:rPr>
        <w:t>larger business customers</w:t>
      </w:r>
      <w:r>
        <w:rPr>
          <w:rFonts w:ascii="Times New Roman" w:hAnsi="Times New Roman"/>
          <w:sz w:val="24"/>
          <w:szCs w:val="24"/>
        </w:rPr>
        <w:t xml:space="preserve"> by virtue of the provision that Applicants offer the rate cap/revenue assurance provision as an ICB filing.  B</w:t>
      </w:r>
      <w:r w:rsidRPr="008B5EBE">
        <w:rPr>
          <w:rFonts w:ascii="Times New Roman" w:hAnsi="Times New Roman"/>
          <w:sz w:val="24"/>
          <w:szCs w:val="24"/>
        </w:rPr>
        <w:t>ecause these</w:t>
      </w:r>
      <w:r>
        <w:rPr>
          <w:rFonts w:ascii="Times New Roman" w:hAnsi="Times New Roman"/>
          <w:sz w:val="24"/>
          <w:szCs w:val="24"/>
        </w:rPr>
        <w:t xml:space="preserve"> provisions are filed as an ICB,</w:t>
      </w:r>
      <w:r w:rsidRPr="008B5EBE">
        <w:rPr>
          <w:rFonts w:ascii="Times New Roman" w:hAnsi="Times New Roman"/>
          <w:sz w:val="24"/>
          <w:szCs w:val="24"/>
        </w:rPr>
        <w:t xml:space="preserve"> they will apply as well to </w:t>
      </w:r>
      <w:r w:rsidRPr="008B5EBE">
        <w:rPr>
          <w:rFonts w:ascii="Times New Roman" w:hAnsi="Times New Roman"/>
          <w:sz w:val="24"/>
          <w:szCs w:val="24"/>
          <w:u w:val="single"/>
        </w:rPr>
        <w:t>other</w:t>
      </w:r>
      <w:r w:rsidRPr="00525CAF">
        <w:rPr>
          <w:rFonts w:ascii="Times New Roman" w:hAnsi="Times New Roman"/>
          <w:sz w:val="24"/>
          <w:szCs w:val="24"/>
          <w:u w:val="single"/>
        </w:rPr>
        <w:t xml:space="preserve"> </w:t>
      </w:r>
      <w:r w:rsidRPr="008B5EBE">
        <w:rPr>
          <w:rFonts w:ascii="Times New Roman" w:hAnsi="Times New Roman"/>
          <w:sz w:val="24"/>
          <w:szCs w:val="24"/>
          <w:u w:val="single"/>
        </w:rPr>
        <w:t>similarly-situated customers</w:t>
      </w:r>
      <w:r w:rsidRPr="00F729E1">
        <w:rPr>
          <w:rFonts w:ascii="Times New Roman" w:hAnsi="Times New Roman"/>
          <w:sz w:val="24"/>
          <w:szCs w:val="24"/>
        </w:rPr>
        <w:t xml:space="preserve">, </w:t>
      </w:r>
      <w:r>
        <w:rPr>
          <w:rFonts w:ascii="Times New Roman" w:hAnsi="Times New Roman"/>
          <w:sz w:val="24"/>
          <w:szCs w:val="24"/>
        </w:rPr>
        <w:t xml:space="preserve">who are willing to make overall revenue assurances, </w:t>
      </w:r>
      <w:r w:rsidRPr="008B5EBE">
        <w:rPr>
          <w:rFonts w:ascii="Times New Roman" w:hAnsi="Times New Roman"/>
          <w:sz w:val="24"/>
          <w:szCs w:val="24"/>
        </w:rPr>
        <w:t>under the Com</w:t>
      </w:r>
      <w:r>
        <w:rPr>
          <w:rFonts w:ascii="Times New Roman" w:hAnsi="Times New Roman"/>
          <w:sz w:val="24"/>
          <w:szCs w:val="24"/>
        </w:rPr>
        <w:t>mission’s rules and policies</w:t>
      </w:r>
      <w:r w:rsidRPr="008B5EBE">
        <w:rPr>
          <w:rFonts w:ascii="Times New Roman" w:hAnsi="Times New Roman"/>
          <w:sz w:val="24"/>
          <w:szCs w:val="24"/>
        </w:rPr>
        <w:t xml:space="preserve"> related thereto</w:t>
      </w:r>
      <w:r>
        <w:rPr>
          <w:rFonts w:ascii="Times New Roman" w:hAnsi="Times New Roman"/>
          <w:sz w:val="24"/>
          <w:szCs w:val="24"/>
        </w:rPr>
        <w:t xml:space="preserve">. </w:t>
      </w:r>
      <w:r w:rsidRPr="008B5EBE">
        <w:rPr>
          <w:rFonts w:ascii="Times New Roman" w:hAnsi="Times New Roman"/>
          <w:sz w:val="24"/>
          <w:szCs w:val="24"/>
        </w:rPr>
        <w:t xml:space="preserve"> </w:t>
      </w:r>
      <w:r>
        <w:rPr>
          <w:rFonts w:ascii="Times New Roman" w:hAnsi="Times New Roman"/>
          <w:sz w:val="24"/>
          <w:szCs w:val="24"/>
        </w:rPr>
        <w:t>The rate cap/rate stabilization provisions as well as the commitment not to seek recovery of transaction-related costs as set forth in the Staff/Public Counsel Agreement have essentially the same effect as the ICB filing in the DoD/FEA Agreement.  But for a business customer with large numbers of diverse and complex billings, the ICB approach is more efficient and administratively easier to implement as a direct shield against the assumption of transaction-related costs.</w:t>
      </w:r>
      <w:r>
        <w:rPr>
          <w:rStyle w:val="FootnoteReference"/>
          <w:rFonts w:ascii="Times New Roman" w:hAnsi="Times New Roman"/>
          <w:sz w:val="24"/>
          <w:szCs w:val="24"/>
        </w:rPr>
        <w:footnoteReference w:id="12"/>
      </w:r>
      <w:r>
        <w:rPr>
          <w:rFonts w:ascii="Times New Roman" w:hAnsi="Times New Roman"/>
          <w:sz w:val="24"/>
          <w:szCs w:val="24"/>
        </w:rPr>
        <w:t xml:space="preserve">  To DoD/FEA and some others this efficiency and administrative ease is worth the added “cost” of a revenue assurance commitment by them.  Thus, the DoD/FEA Agreement furthers the public interest by ensuring that similarly-situated business customers are not harmed by the transaction.</w:t>
      </w:r>
    </w:p>
    <w:p w:rsidR="008B5EBE" w:rsidRPr="008B5EBE" w:rsidRDefault="0097775D" w:rsidP="008B5EBE">
      <w:pPr>
        <w:spacing w:line="480" w:lineRule="auto"/>
        <w:ind w:firstLine="720"/>
        <w:rPr>
          <w:rFonts w:ascii="Times New Roman" w:hAnsi="Times New Roman"/>
          <w:sz w:val="24"/>
          <w:szCs w:val="24"/>
        </w:rPr>
      </w:pPr>
      <w:r>
        <w:rPr>
          <w:rFonts w:ascii="Times New Roman" w:hAnsi="Times New Roman"/>
          <w:sz w:val="24"/>
          <w:szCs w:val="24"/>
        </w:rPr>
        <w:t>Secondly, t</w:t>
      </w:r>
      <w:r w:rsidR="008B5EBE" w:rsidRPr="008B5EBE">
        <w:rPr>
          <w:rFonts w:ascii="Times New Roman" w:hAnsi="Times New Roman"/>
          <w:sz w:val="24"/>
          <w:szCs w:val="24"/>
        </w:rPr>
        <w:t xml:space="preserve">he DoD/FEA Agreement also addresses certain </w:t>
      </w:r>
      <w:r w:rsidR="008B5EBE" w:rsidRPr="0097775D">
        <w:rPr>
          <w:rFonts w:ascii="Times New Roman" w:hAnsi="Times New Roman"/>
          <w:b/>
          <w:sz w:val="24"/>
          <w:szCs w:val="24"/>
          <w:u w:val="single"/>
        </w:rPr>
        <w:t>service quality</w:t>
      </w:r>
      <w:r w:rsidR="008B5EBE" w:rsidRPr="008B5EBE">
        <w:rPr>
          <w:rFonts w:ascii="Times New Roman" w:hAnsi="Times New Roman"/>
          <w:sz w:val="24"/>
          <w:szCs w:val="24"/>
        </w:rPr>
        <w:t xml:space="preserve"> issues that led to DoD/FEA’s intervention and testimony.  The applicable provision states:</w:t>
      </w:r>
    </w:p>
    <w:p w:rsidR="008B5EBE" w:rsidRPr="008B5EBE" w:rsidRDefault="008B5EBE" w:rsidP="008B5EBE">
      <w:pPr>
        <w:ind w:left="720"/>
        <w:rPr>
          <w:rFonts w:ascii="Times New Roman" w:hAnsi="Times New Roman"/>
          <w:sz w:val="24"/>
          <w:szCs w:val="24"/>
        </w:rPr>
      </w:pPr>
      <w:r w:rsidRPr="008B5EBE">
        <w:rPr>
          <w:rFonts w:ascii="Times New Roman" w:hAnsi="Times New Roman"/>
          <w:sz w:val="24"/>
          <w:szCs w:val="24"/>
        </w:rPr>
        <w:t xml:space="preserve">CenturyLink and Qwest commit that all service quality requirements that are part of any </w:t>
      </w:r>
      <w:r w:rsidR="00C961B3">
        <w:rPr>
          <w:rFonts w:ascii="Times New Roman" w:hAnsi="Times New Roman"/>
          <w:sz w:val="24"/>
          <w:szCs w:val="24"/>
        </w:rPr>
        <w:t>WUTC</w:t>
      </w:r>
      <w:r w:rsidRPr="008B5EBE">
        <w:rPr>
          <w:rFonts w:ascii="Times New Roman" w:hAnsi="Times New Roman"/>
          <w:sz w:val="24"/>
          <w:szCs w:val="24"/>
        </w:rPr>
        <w:t xml:space="preserve"> order relating to the proposed merger, as well as any other service qua</w:t>
      </w:r>
      <w:r w:rsidR="00C961B3">
        <w:rPr>
          <w:rFonts w:ascii="Times New Roman" w:hAnsi="Times New Roman"/>
          <w:sz w:val="24"/>
          <w:szCs w:val="24"/>
        </w:rPr>
        <w:t>lity requirements ordered by the</w:t>
      </w:r>
      <w:r w:rsidRPr="008B5EBE">
        <w:rPr>
          <w:rFonts w:ascii="Times New Roman" w:hAnsi="Times New Roman"/>
          <w:sz w:val="24"/>
          <w:szCs w:val="24"/>
        </w:rPr>
        <w:t xml:space="preserve"> </w:t>
      </w:r>
      <w:r w:rsidR="00C961B3">
        <w:rPr>
          <w:rFonts w:ascii="Times New Roman" w:hAnsi="Times New Roman"/>
          <w:sz w:val="24"/>
          <w:szCs w:val="24"/>
        </w:rPr>
        <w:t>C</w:t>
      </w:r>
      <w:r w:rsidRPr="008B5EBE">
        <w:rPr>
          <w:rFonts w:ascii="Times New Roman" w:hAnsi="Times New Roman"/>
          <w:sz w:val="24"/>
          <w:szCs w:val="24"/>
        </w:rPr>
        <w:t>ommission shall be applicable to service provided to the U.S. Government and its agencies under this Agreement.</w:t>
      </w:r>
    </w:p>
    <w:p w:rsidR="00AE0405" w:rsidRDefault="008B5EBE" w:rsidP="008B5EBE">
      <w:pPr>
        <w:spacing w:line="480" w:lineRule="auto"/>
        <w:rPr>
          <w:rFonts w:ascii="Times New Roman" w:hAnsi="Times New Roman"/>
          <w:sz w:val="24"/>
          <w:szCs w:val="24"/>
        </w:rPr>
      </w:pPr>
      <w:r w:rsidRPr="008B5EBE">
        <w:rPr>
          <w:rFonts w:ascii="Times New Roman" w:hAnsi="Times New Roman"/>
          <w:sz w:val="24"/>
          <w:szCs w:val="24"/>
        </w:rPr>
        <w:t>This provision ensures that the Federal Agencies will “share” in the benefits of the service quality and performance reporting and enforcement re</w:t>
      </w:r>
      <w:r w:rsidR="00AE0405">
        <w:rPr>
          <w:rFonts w:ascii="Times New Roman" w:hAnsi="Times New Roman"/>
          <w:sz w:val="24"/>
          <w:szCs w:val="24"/>
        </w:rPr>
        <w:t>quirements applicable in Washington</w:t>
      </w:r>
      <w:r w:rsidRPr="008B5EBE">
        <w:rPr>
          <w:rFonts w:ascii="Times New Roman" w:hAnsi="Times New Roman"/>
          <w:sz w:val="24"/>
          <w:szCs w:val="24"/>
        </w:rPr>
        <w:t>.  We favorably no</w:t>
      </w:r>
      <w:r w:rsidR="00977195">
        <w:rPr>
          <w:rFonts w:ascii="Times New Roman" w:hAnsi="Times New Roman"/>
          <w:sz w:val="24"/>
          <w:szCs w:val="24"/>
        </w:rPr>
        <w:t>te that Applican</w:t>
      </w:r>
      <w:r w:rsidR="00B605EB">
        <w:rPr>
          <w:rFonts w:ascii="Times New Roman" w:hAnsi="Times New Roman"/>
          <w:sz w:val="24"/>
          <w:szCs w:val="24"/>
        </w:rPr>
        <w:t>ts agree</w:t>
      </w:r>
      <w:r w:rsidR="00977195">
        <w:rPr>
          <w:rFonts w:ascii="Times New Roman" w:hAnsi="Times New Roman"/>
          <w:sz w:val="24"/>
          <w:szCs w:val="24"/>
        </w:rPr>
        <w:t xml:space="preserve"> in </w:t>
      </w:r>
      <w:r w:rsidR="0089475A">
        <w:rPr>
          <w:rFonts w:ascii="Times New Roman" w:hAnsi="Times New Roman"/>
          <w:sz w:val="24"/>
          <w:szCs w:val="24"/>
        </w:rPr>
        <w:t>condition</w:t>
      </w:r>
      <w:r w:rsidR="00977195">
        <w:rPr>
          <w:rFonts w:ascii="Times New Roman" w:hAnsi="Times New Roman"/>
          <w:sz w:val="24"/>
          <w:szCs w:val="24"/>
        </w:rPr>
        <w:t>16 of the Staff/Public Counsel Agreement to expand the Service Performance Guarantee program ap</w:t>
      </w:r>
      <w:r w:rsidR="0089475A">
        <w:rPr>
          <w:rFonts w:ascii="Times New Roman" w:hAnsi="Times New Roman"/>
          <w:sz w:val="24"/>
          <w:szCs w:val="24"/>
        </w:rPr>
        <w:t>plicable to CenturyLink and in condition</w:t>
      </w:r>
      <w:r w:rsidR="00977195">
        <w:rPr>
          <w:rFonts w:ascii="Times New Roman" w:hAnsi="Times New Roman"/>
          <w:sz w:val="24"/>
          <w:szCs w:val="24"/>
        </w:rPr>
        <w:t xml:space="preserve"> 17 to expanded service quality reporting.  </w:t>
      </w:r>
      <w:r w:rsidR="002B455E">
        <w:rPr>
          <w:rFonts w:ascii="Times New Roman" w:hAnsi="Times New Roman"/>
          <w:sz w:val="24"/>
          <w:szCs w:val="24"/>
        </w:rPr>
        <w:t>Furthermore</w:t>
      </w:r>
      <w:r w:rsidR="005F2D1C">
        <w:rPr>
          <w:rFonts w:ascii="Times New Roman" w:hAnsi="Times New Roman"/>
          <w:sz w:val="24"/>
          <w:szCs w:val="24"/>
        </w:rPr>
        <w:t>,</w:t>
      </w:r>
      <w:r w:rsidR="002B455E">
        <w:rPr>
          <w:rFonts w:ascii="Times New Roman" w:hAnsi="Times New Roman"/>
          <w:sz w:val="24"/>
          <w:szCs w:val="24"/>
        </w:rPr>
        <w:t xml:space="preserve"> condition 18 recognizes</w:t>
      </w:r>
      <w:r w:rsidR="0089475A">
        <w:rPr>
          <w:rFonts w:ascii="Times New Roman" w:hAnsi="Times New Roman"/>
          <w:sz w:val="24"/>
          <w:szCs w:val="24"/>
        </w:rPr>
        <w:t xml:space="preserve"> </w:t>
      </w:r>
      <w:r w:rsidR="002B455E">
        <w:rPr>
          <w:rFonts w:ascii="Times New Roman" w:hAnsi="Times New Roman"/>
          <w:sz w:val="24"/>
          <w:szCs w:val="24"/>
        </w:rPr>
        <w:t>that if</w:t>
      </w:r>
      <w:r w:rsidR="0049340B">
        <w:rPr>
          <w:rFonts w:ascii="Times New Roman" w:hAnsi="Times New Roman"/>
          <w:sz w:val="24"/>
          <w:szCs w:val="24"/>
        </w:rPr>
        <w:t xml:space="preserve"> service quality deteriorates </w:t>
      </w:r>
      <w:r w:rsidR="002B455E">
        <w:rPr>
          <w:rFonts w:ascii="Times New Roman" w:hAnsi="Times New Roman"/>
          <w:sz w:val="24"/>
          <w:szCs w:val="24"/>
        </w:rPr>
        <w:t>an</w:t>
      </w:r>
      <w:r w:rsidR="00174CE6">
        <w:rPr>
          <w:rFonts w:ascii="Times New Roman" w:hAnsi="Times New Roman"/>
          <w:sz w:val="24"/>
          <w:szCs w:val="24"/>
        </w:rPr>
        <w:t xml:space="preserve"> investigation </w:t>
      </w:r>
      <w:r w:rsidR="002B455E">
        <w:rPr>
          <w:rFonts w:ascii="Times New Roman" w:hAnsi="Times New Roman"/>
          <w:sz w:val="24"/>
          <w:szCs w:val="24"/>
        </w:rPr>
        <w:t xml:space="preserve">could be </w:t>
      </w:r>
      <w:r w:rsidR="005F5AD8">
        <w:rPr>
          <w:rFonts w:ascii="Times New Roman" w:hAnsi="Times New Roman"/>
          <w:sz w:val="24"/>
          <w:szCs w:val="24"/>
        </w:rPr>
        <w:t>instituted in</w:t>
      </w:r>
      <w:r w:rsidR="002B455E">
        <w:rPr>
          <w:rFonts w:ascii="Times New Roman" w:hAnsi="Times New Roman"/>
          <w:sz w:val="24"/>
          <w:szCs w:val="24"/>
        </w:rPr>
        <w:t xml:space="preserve"> </w:t>
      </w:r>
      <w:r w:rsidR="00174CE6">
        <w:rPr>
          <w:rFonts w:ascii="Times New Roman" w:hAnsi="Times New Roman"/>
          <w:sz w:val="24"/>
          <w:szCs w:val="24"/>
        </w:rPr>
        <w:t xml:space="preserve">which </w:t>
      </w:r>
      <w:r w:rsidR="0049340B" w:rsidRPr="0049340B">
        <w:rPr>
          <w:rFonts w:ascii="Times New Roman" w:hAnsi="Times New Roman"/>
          <w:sz w:val="24"/>
          <w:szCs w:val="24"/>
        </w:rPr>
        <w:t xml:space="preserve">direct sanctions and penalties </w:t>
      </w:r>
      <w:r w:rsidR="002B455E">
        <w:rPr>
          <w:rFonts w:ascii="Times New Roman" w:hAnsi="Times New Roman"/>
          <w:sz w:val="24"/>
          <w:szCs w:val="24"/>
        </w:rPr>
        <w:t xml:space="preserve">might be developed, </w:t>
      </w:r>
      <w:r w:rsidR="0049340B" w:rsidRPr="0049340B">
        <w:rPr>
          <w:rFonts w:ascii="Times New Roman" w:hAnsi="Times New Roman"/>
          <w:sz w:val="24"/>
          <w:szCs w:val="24"/>
        </w:rPr>
        <w:t>if needed</w:t>
      </w:r>
      <w:r w:rsidR="00174CE6">
        <w:rPr>
          <w:rFonts w:ascii="Times New Roman" w:hAnsi="Times New Roman"/>
          <w:sz w:val="24"/>
          <w:szCs w:val="24"/>
        </w:rPr>
        <w:t>.</w:t>
      </w:r>
      <w:r w:rsidR="0089475A">
        <w:rPr>
          <w:rFonts w:ascii="Times New Roman" w:hAnsi="Times New Roman"/>
          <w:sz w:val="24"/>
          <w:szCs w:val="24"/>
        </w:rPr>
        <w:t xml:space="preserve"> </w:t>
      </w:r>
      <w:r w:rsidR="00174CE6">
        <w:rPr>
          <w:rFonts w:ascii="Times New Roman" w:hAnsi="Times New Roman"/>
          <w:sz w:val="24"/>
          <w:szCs w:val="24"/>
        </w:rPr>
        <w:t xml:space="preserve"> </w:t>
      </w:r>
      <w:r w:rsidR="00977195">
        <w:rPr>
          <w:rFonts w:ascii="Times New Roman" w:hAnsi="Times New Roman"/>
          <w:sz w:val="24"/>
          <w:szCs w:val="24"/>
        </w:rPr>
        <w:t>These provisions thus provide</w:t>
      </w:r>
      <w:r w:rsidRPr="008B5EBE">
        <w:rPr>
          <w:rFonts w:ascii="Times New Roman" w:hAnsi="Times New Roman"/>
          <w:sz w:val="24"/>
          <w:szCs w:val="24"/>
        </w:rPr>
        <w:t xml:space="preserve"> further protection to DoD/FEA and other retail customer</w:t>
      </w:r>
      <w:r w:rsidR="00977195">
        <w:rPr>
          <w:rFonts w:ascii="Times New Roman" w:hAnsi="Times New Roman"/>
          <w:sz w:val="24"/>
          <w:szCs w:val="24"/>
        </w:rPr>
        <w:t xml:space="preserve">s in this regard.  </w:t>
      </w:r>
    </w:p>
    <w:p w:rsidR="008B5EBE" w:rsidRPr="008B5EBE" w:rsidRDefault="008B5EBE" w:rsidP="008B5EBE">
      <w:pPr>
        <w:spacing w:line="480" w:lineRule="auto"/>
        <w:rPr>
          <w:rFonts w:ascii="Times New Roman" w:hAnsi="Times New Roman"/>
          <w:sz w:val="24"/>
          <w:szCs w:val="24"/>
        </w:rPr>
      </w:pPr>
      <w:r w:rsidRPr="008B5EBE">
        <w:rPr>
          <w:rFonts w:ascii="Times New Roman" w:hAnsi="Times New Roman"/>
          <w:sz w:val="24"/>
          <w:szCs w:val="24"/>
        </w:rPr>
        <w:tab/>
      </w:r>
      <w:r w:rsidR="0097775D">
        <w:rPr>
          <w:rFonts w:ascii="Times New Roman" w:hAnsi="Times New Roman"/>
          <w:sz w:val="24"/>
          <w:szCs w:val="24"/>
        </w:rPr>
        <w:t xml:space="preserve">Third and finally, </w:t>
      </w:r>
      <w:r w:rsidRPr="008B5EBE">
        <w:rPr>
          <w:rFonts w:ascii="Times New Roman" w:hAnsi="Times New Roman"/>
          <w:sz w:val="24"/>
          <w:szCs w:val="24"/>
        </w:rPr>
        <w:t xml:space="preserve">DoD/FEA’s concern about the effect of the transaction on </w:t>
      </w:r>
      <w:r w:rsidRPr="0097775D">
        <w:rPr>
          <w:rFonts w:ascii="Times New Roman" w:hAnsi="Times New Roman"/>
          <w:b/>
          <w:sz w:val="24"/>
          <w:szCs w:val="24"/>
          <w:u w:val="single"/>
        </w:rPr>
        <w:t>security clearances for Applicants’ personnel</w:t>
      </w:r>
      <w:r w:rsidRPr="008B5EBE">
        <w:rPr>
          <w:rFonts w:ascii="Times New Roman" w:hAnsi="Times New Roman"/>
          <w:sz w:val="24"/>
          <w:szCs w:val="24"/>
        </w:rPr>
        <w:t xml:space="preserve"> working on contracted service provided to the Federal Agencies is based on a statement in CenturyLink’s second quarter 2010 SEC Form 10-Q.  There, CenturyLink, in the “risks” section, stated that it may be unable to obtain security clearances so that it can perform certain government contracts to which Qwest is a party.  This would be the unsatisfactory outcome if CenturyLink personnel replaced Qwest personnel but then were unable to obtain the required clearances.</w:t>
      </w:r>
    </w:p>
    <w:p w:rsidR="008B5EBE" w:rsidRPr="008B5EBE" w:rsidRDefault="008B5EBE" w:rsidP="008B5EBE">
      <w:pPr>
        <w:spacing w:line="480" w:lineRule="auto"/>
        <w:ind w:firstLine="720"/>
        <w:rPr>
          <w:rFonts w:ascii="Times New Roman" w:hAnsi="Times New Roman"/>
          <w:sz w:val="24"/>
          <w:szCs w:val="24"/>
        </w:rPr>
      </w:pPr>
      <w:r w:rsidRPr="008B5EBE">
        <w:rPr>
          <w:rFonts w:ascii="Times New Roman" w:hAnsi="Times New Roman"/>
          <w:sz w:val="24"/>
          <w:szCs w:val="24"/>
        </w:rPr>
        <w:t>The DoD/FEA Agreement ensures that government contracts are not jeopardized by the absence of employees holding the requisite security clearances.  The applicable provision states in part:</w:t>
      </w:r>
    </w:p>
    <w:p w:rsidR="008B5EBE" w:rsidRPr="008B5EBE" w:rsidRDefault="008B5EBE" w:rsidP="008B5EBE">
      <w:pPr>
        <w:ind w:left="720"/>
        <w:rPr>
          <w:rFonts w:ascii="Times New Roman" w:hAnsi="Times New Roman"/>
          <w:sz w:val="24"/>
          <w:szCs w:val="24"/>
        </w:rPr>
      </w:pPr>
      <w:r w:rsidRPr="008B5EBE">
        <w:rPr>
          <w:rFonts w:ascii="Times New Roman" w:hAnsi="Times New Roman"/>
          <w:sz w:val="24"/>
          <w:szCs w:val="24"/>
        </w:rPr>
        <w:t>CenturyLink and Qwest affirm that no organizational or personnel changes will impair either the post-merger company’s ability to perform under existing contracts or its ability to bid on new contracts that require security clearances of company’s personnel.</w:t>
      </w:r>
    </w:p>
    <w:p w:rsidR="008B5EBE" w:rsidRPr="008B5EBE" w:rsidRDefault="008B5EBE" w:rsidP="008B5EBE">
      <w:pPr>
        <w:spacing w:line="480" w:lineRule="auto"/>
        <w:rPr>
          <w:rFonts w:ascii="Times New Roman" w:hAnsi="Times New Roman"/>
          <w:sz w:val="24"/>
          <w:szCs w:val="24"/>
        </w:rPr>
      </w:pPr>
      <w:r w:rsidRPr="008B5EBE">
        <w:rPr>
          <w:rFonts w:ascii="Times New Roman" w:hAnsi="Times New Roman"/>
          <w:sz w:val="24"/>
          <w:szCs w:val="24"/>
        </w:rPr>
        <w:tab/>
        <w:t xml:space="preserve">By recognizing the importance of and committing to maintaining staff with the necessary clearances, Applicants have dealt adequately with DoD/FEA’s concerns and have obviated the need for </w:t>
      </w:r>
      <w:r w:rsidR="000B63FF">
        <w:rPr>
          <w:rFonts w:ascii="Times New Roman" w:hAnsi="Times New Roman"/>
          <w:sz w:val="24"/>
          <w:szCs w:val="24"/>
        </w:rPr>
        <w:t xml:space="preserve">any further </w:t>
      </w:r>
      <w:r w:rsidRPr="008B5EBE">
        <w:rPr>
          <w:rFonts w:ascii="Times New Roman" w:hAnsi="Times New Roman"/>
          <w:sz w:val="24"/>
          <w:szCs w:val="24"/>
        </w:rPr>
        <w:t>Commission action in this regard</w:t>
      </w:r>
      <w:r w:rsidR="000B63FF">
        <w:rPr>
          <w:rFonts w:ascii="Times New Roman" w:hAnsi="Times New Roman"/>
          <w:sz w:val="24"/>
          <w:szCs w:val="24"/>
        </w:rPr>
        <w:t>, other than approval of this condition</w:t>
      </w:r>
      <w:r w:rsidRPr="008B5EBE">
        <w:rPr>
          <w:rFonts w:ascii="Times New Roman" w:hAnsi="Times New Roman"/>
          <w:sz w:val="24"/>
          <w:szCs w:val="24"/>
        </w:rPr>
        <w:t>.</w:t>
      </w:r>
    </w:p>
    <w:p w:rsidR="008B5EBE" w:rsidRPr="008B5EBE" w:rsidRDefault="008B5EBE" w:rsidP="008B5EBE">
      <w:pPr>
        <w:spacing w:line="480" w:lineRule="auto"/>
        <w:jc w:val="center"/>
        <w:rPr>
          <w:rFonts w:ascii="Times New Roman" w:hAnsi="Times New Roman"/>
          <w:b/>
          <w:sz w:val="24"/>
          <w:szCs w:val="24"/>
        </w:rPr>
      </w:pPr>
      <w:r w:rsidRPr="008B5EBE">
        <w:rPr>
          <w:rFonts w:ascii="Times New Roman" w:hAnsi="Times New Roman"/>
          <w:b/>
          <w:sz w:val="24"/>
          <w:szCs w:val="24"/>
        </w:rPr>
        <w:t>IV. CONCLUSION</w:t>
      </w:r>
    </w:p>
    <w:p w:rsidR="008B5EBE" w:rsidRDefault="008B5EBE" w:rsidP="008B5EBE">
      <w:pPr>
        <w:spacing w:line="480" w:lineRule="auto"/>
        <w:ind w:firstLine="720"/>
        <w:rPr>
          <w:rFonts w:ascii="Times New Roman" w:hAnsi="Times New Roman"/>
          <w:sz w:val="24"/>
          <w:szCs w:val="24"/>
        </w:rPr>
      </w:pPr>
      <w:r w:rsidRPr="008B5EBE">
        <w:rPr>
          <w:rFonts w:ascii="Times New Roman" w:hAnsi="Times New Roman"/>
          <w:sz w:val="24"/>
          <w:szCs w:val="24"/>
        </w:rPr>
        <w:t xml:space="preserve">The unopposed DoD/FEA Agreement, while the product of “gives” and “takes” of the negotiation process,  provides </w:t>
      </w:r>
      <w:r w:rsidR="00C961B3">
        <w:rPr>
          <w:rFonts w:ascii="Times New Roman" w:hAnsi="Times New Roman"/>
          <w:sz w:val="24"/>
          <w:szCs w:val="24"/>
        </w:rPr>
        <w:t xml:space="preserve">benefits </w:t>
      </w:r>
      <w:r w:rsidRPr="008B5EBE">
        <w:rPr>
          <w:rFonts w:ascii="Times New Roman" w:hAnsi="Times New Roman"/>
          <w:sz w:val="24"/>
          <w:szCs w:val="24"/>
        </w:rPr>
        <w:t>to Applicants, the Commission and</w:t>
      </w:r>
      <w:r w:rsidR="00C961B3">
        <w:rPr>
          <w:rFonts w:ascii="Times New Roman" w:hAnsi="Times New Roman"/>
          <w:sz w:val="24"/>
          <w:szCs w:val="24"/>
        </w:rPr>
        <w:t xml:space="preserve"> ratepayers in general </w:t>
      </w:r>
      <w:r w:rsidRPr="008B5EBE">
        <w:rPr>
          <w:rFonts w:ascii="Times New Roman" w:hAnsi="Times New Roman"/>
          <w:sz w:val="24"/>
          <w:szCs w:val="24"/>
        </w:rPr>
        <w:t>that will enhance the merger of the Applicants</w:t>
      </w:r>
      <w:r w:rsidR="000B63FF">
        <w:rPr>
          <w:rFonts w:ascii="Times New Roman" w:hAnsi="Times New Roman"/>
          <w:sz w:val="24"/>
          <w:szCs w:val="24"/>
        </w:rPr>
        <w:t>,</w:t>
      </w:r>
      <w:r w:rsidRPr="008B5EBE">
        <w:rPr>
          <w:rFonts w:ascii="Times New Roman" w:hAnsi="Times New Roman"/>
          <w:sz w:val="24"/>
          <w:szCs w:val="24"/>
        </w:rPr>
        <w:t xml:space="preserve"> and </w:t>
      </w:r>
      <w:r w:rsidR="000B63FF">
        <w:rPr>
          <w:rFonts w:ascii="Times New Roman" w:hAnsi="Times New Roman"/>
          <w:sz w:val="24"/>
          <w:szCs w:val="24"/>
        </w:rPr>
        <w:t xml:space="preserve">it </w:t>
      </w:r>
      <w:r w:rsidRPr="008B5EBE">
        <w:rPr>
          <w:rFonts w:ascii="Times New Roman" w:hAnsi="Times New Roman"/>
          <w:sz w:val="24"/>
          <w:szCs w:val="24"/>
        </w:rPr>
        <w:t xml:space="preserve">provides safeguards helping to address specific potential harms.  Given those benefits, DoD/FEA can now urge the Commission to approve the application and the accompanying DoD/FEA Agreement.  From the examples indicated above, other provisions and commitments that Applicants have assumed since the application was filed also lead to the conclusion that approval of the application thus conditioned is in the public interest and should be approved by the Commission.  </w:t>
      </w:r>
    </w:p>
    <w:p w:rsidR="008B5EBE" w:rsidRPr="008B5EBE" w:rsidRDefault="008B5EBE" w:rsidP="008B5EBE">
      <w:pPr>
        <w:spacing w:line="480" w:lineRule="auto"/>
        <w:ind w:firstLine="720"/>
        <w:rPr>
          <w:rFonts w:ascii="Times New Roman" w:hAnsi="Times New Roman"/>
          <w:sz w:val="24"/>
          <w:szCs w:val="24"/>
        </w:rPr>
      </w:pPr>
      <w:r w:rsidRPr="008B5EBE">
        <w:rPr>
          <w:rFonts w:ascii="Times New Roman" w:hAnsi="Times New Roman"/>
          <w:sz w:val="24"/>
          <w:szCs w:val="24"/>
        </w:rPr>
        <w:t>WHEREFORE, the U.S. Department of Defense and all other Federal Executive Agencies urge the Commission to grant the Application, subject to the conditions set forth in the unopposed DoD/FEA Agreement, as being in the public interest.</w:t>
      </w:r>
    </w:p>
    <w:p w:rsidR="008B5EBE" w:rsidRPr="008B5EBE" w:rsidRDefault="008B5EBE" w:rsidP="008B5EBE">
      <w:pPr>
        <w:pStyle w:val="BodyText"/>
        <w:tabs>
          <w:tab w:val="left" w:pos="4140"/>
        </w:tabs>
        <w:rPr>
          <w:b w:val="0"/>
          <w:szCs w:val="24"/>
        </w:rPr>
      </w:pPr>
    </w:p>
    <w:p w:rsidR="008B5EBE" w:rsidRDefault="008B5EBE" w:rsidP="008B5EBE">
      <w:pPr>
        <w:spacing w:line="480" w:lineRule="auto"/>
        <w:rPr>
          <w:rFonts w:ascii="Times New Roman" w:hAnsi="Times New Roman"/>
          <w:sz w:val="24"/>
          <w:szCs w:val="24"/>
        </w:rPr>
      </w:pP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t>Respectfully submitted,</w:t>
      </w:r>
    </w:p>
    <w:p w:rsidR="00B12DFA" w:rsidRPr="008B5EBE" w:rsidRDefault="00B12DFA" w:rsidP="008B5EBE">
      <w:pPr>
        <w:spacing w:line="480" w:lineRule="auto"/>
        <w:rPr>
          <w:rFonts w:ascii="Times New Roman" w:hAnsi="Times New Roman"/>
          <w:sz w:val="24"/>
          <w:szCs w:val="24"/>
        </w:rPr>
      </w:pPr>
    </w:p>
    <w:p w:rsidR="008B5EBE" w:rsidRPr="008B5EBE" w:rsidRDefault="008B5EBE" w:rsidP="00A85B8D">
      <w:pPr>
        <w:spacing w:after="0" w:line="240" w:lineRule="auto"/>
        <w:rPr>
          <w:rFonts w:ascii="Times New Roman" w:hAnsi="Times New Roman"/>
          <w:sz w:val="24"/>
          <w:szCs w:val="24"/>
        </w:rPr>
      </w:pP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t>Stephen S. Melnikoff</w:t>
      </w:r>
    </w:p>
    <w:p w:rsidR="008B5EBE" w:rsidRPr="008B5EBE" w:rsidRDefault="008B5EBE" w:rsidP="00A85B8D">
      <w:pPr>
        <w:spacing w:after="0" w:line="240" w:lineRule="auto"/>
        <w:rPr>
          <w:rFonts w:ascii="Times New Roman" w:hAnsi="Times New Roman"/>
          <w:sz w:val="24"/>
          <w:szCs w:val="24"/>
        </w:rPr>
      </w:pP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t>General Attorney</w:t>
      </w:r>
    </w:p>
    <w:p w:rsidR="008B5EBE" w:rsidRPr="008B5EBE" w:rsidRDefault="008B5EBE" w:rsidP="00A85B8D">
      <w:pPr>
        <w:spacing w:after="0" w:line="240" w:lineRule="auto"/>
        <w:rPr>
          <w:rFonts w:ascii="Times New Roman" w:hAnsi="Times New Roman"/>
          <w:sz w:val="24"/>
          <w:szCs w:val="24"/>
        </w:rPr>
      </w:pP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t>Regulatory Law Office (JALS-RL)</w:t>
      </w:r>
    </w:p>
    <w:p w:rsidR="008B5EBE" w:rsidRPr="008B5EBE" w:rsidRDefault="008B5EBE" w:rsidP="00A85B8D">
      <w:pPr>
        <w:spacing w:after="0" w:line="240" w:lineRule="auto"/>
        <w:rPr>
          <w:rFonts w:ascii="Times New Roman" w:hAnsi="Times New Roman"/>
          <w:sz w:val="24"/>
          <w:szCs w:val="24"/>
        </w:rPr>
      </w:pP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t>U.S. Army Litigation Center</w:t>
      </w:r>
    </w:p>
    <w:p w:rsidR="008B5EBE" w:rsidRPr="008B5EBE" w:rsidRDefault="008B5EBE" w:rsidP="00A85B8D">
      <w:pPr>
        <w:spacing w:after="0" w:line="240" w:lineRule="auto"/>
        <w:rPr>
          <w:rFonts w:ascii="Times New Roman" w:hAnsi="Times New Roman"/>
          <w:sz w:val="24"/>
          <w:szCs w:val="24"/>
        </w:rPr>
      </w:pP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t>901 North Stuart Street, Suite 700</w:t>
      </w:r>
    </w:p>
    <w:p w:rsidR="008B5EBE" w:rsidRPr="008B5EBE" w:rsidRDefault="008B5EBE" w:rsidP="00A85B8D">
      <w:pPr>
        <w:spacing w:after="0" w:line="240" w:lineRule="auto"/>
        <w:rPr>
          <w:rFonts w:ascii="Times New Roman" w:hAnsi="Times New Roman"/>
          <w:sz w:val="24"/>
          <w:szCs w:val="24"/>
        </w:rPr>
      </w:pP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t>Arlington, Virginia  22203-1837</w:t>
      </w:r>
    </w:p>
    <w:p w:rsidR="008B5EBE" w:rsidRPr="008B5EBE" w:rsidRDefault="008B5EBE" w:rsidP="00A85B8D">
      <w:pPr>
        <w:spacing w:after="0" w:line="240" w:lineRule="auto"/>
        <w:rPr>
          <w:rFonts w:ascii="Times New Roman" w:hAnsi="Times New Roman"/>
          <w:sz w:val="24"/>
          <w:szCs w:val="24"/>
        </w:rPr>
      </w:pPr>
    </w:p>
    <w:p w:rsidR="008B5EBE" w:rsidRPr="008B5EBE" w:rsidRDefault="008B5EBE" w:rsidP="00A85B8D">
      <w:pPr>
        <w:spacing w:after="0" w:line="240" w:lineRule="auto"/>
        <w:rPr>
          <w:rFonts w:ascii="Times New Roman" w:hAnsi="Times New Roman"/>
          <w:sz w:val="24"/>
          <w:szCs w:val="24"/>
        </w:rPr>
      </w:pP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t>For</w:t>
      </w:r>
    </w:p>
    <w:p w:rsidR="008B5EBE" w:rsidRPr="008B5EBE" w:rsidRDefault="008B5EBE" w:rsidP="00A85B8D">
      <w:pPr>
        <w:spacing w:after="0" w:line="240" w:lineRule="auto"/>
        <w:rPr>
          <w:rFonts w:ascii="Times New Roman" w:hAnsi="Times New Roman"/>
          <w:sz w:val="24"/>
          <w:szCs w:val="24"/>
        </w:rPr>
      </w:pP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t>The United States Department of Defense</w:t>
      </w:r>
    </w:p>
    <w:p w:rsidR="008B5EBE" w:rsidRPr="008B5EBE" w:rsidRDefault="008B5EBE" w:rsidP="00A85B8D">
      <w:pPr>
        <w:spacing w:after="0" w:line="240" w:lineRule="auto"/>
        <w:rPr>
          <w:rFonts w:ascii="Times New Roman" w:hAnsi="Times New Roman"/>
          <w:sz w:val="24"/>
          <w:szCs w:val="24"/>
        </w:rPr>
      </w:pP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t>And</w:t>
      </w:r>
    </w:p>
    <w:p w:rsidR="008B5EBE" w:rsidRPr="008B5EBE" w:rsidRDefault="008B5EBE" w:rsidP="00A85B8D">
      <w:pPr>
        <w:spacing w:after="0" w:line="240" w:lineRule="auto"/>
        <w:rPr>
          <w:rFonts w:ascii="Times New Roman" w:hAnsi="Times New Roman"/>
          <w:sz w:val="24"/>
          <w:szCs w:val="24"/>
        </w:rPr>
      </w:pP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r>
      <w:r w:rsidRPr="008B5EBE">
        <w:rPr>
          <w:rFonts w:ascii="Times New Roman" w:hAnsi="Times New Roman"/>
          <w:sz w:val="24"/>
          <w:szCs w:val="24"/>
        </w:rPr>
        <w:tab/>
        <w:t>All Other Federal Executive Agencies</w:t>
      </w:r>
    </w:p>
    <w:p w:rsidR="008B5EBE" w:rsidRPr="008B5EBE" w:rsidRDefault="008B5EBE" w:rsidP="00A85B8D">
      <w:pPr>
        <w:spacing w:after="0" w:line="240" w:lineRule="auto"/>
        <w:rPr>
          <w:rFonts w:ascii="Times New Roman" w:hAnsi="Times New Roman"/>
          <w:sz w:val="24"/>
          <w:szCs w:val="24"/>
        </w:rPr>
      </w:pPr>
    </w:p>
    <w:p w:rsidR="008B5EBE" w:rsidRPr="008B5EBE" w:rsidRDefault="008B5EBE" w:rsidP="00A85B8D">
      <w:pPr>
        <w:spacing w:after="0" w:line="240" w:lineRule="auto"/>
        <w:rPr>
          <w:rFonts w:ascii="Times New Roman" w:hAnsi="Times New Roman"/>
          <w:sz w:val="24"/>
          <w:szCs w:val="24"/>
        </w:rPr>
      </w:pPr>
    </w:p>
    <w:p w:rsidR="008B5EBE" w:rsidRPr="008B5EBE" w:rsidRDefault="008B5EBE" w:rsidP="00A85B8D">
      <w:pPr>
        <w:spacing w:after="0" w:line="240" w:lineRule="auto"/>
        <w:rPr>
          <w:rFonts w:ascii="Times New Roman" w:hAnsi="Times New Roman"/>
          <w:sz w:val="24"/>
          <w:szCs w:val="24"/>
        </w:rPr>
      </w:pPr>
    </w:p>
    <w:p w:rsidR="008B5EBE" w:rsidRPr="008B5EBE" w:rsidRDefault="00A85B8D" w:rsidP="008B5EBE">
      <w:pPr>
        <w:rPr>
          <w:rFonts w:ascii="Times New Roman" w:hAnsi="Times New Roman"/>
          <w:sz w:val="24"/>
          <w:szCs w:val="24"/>
        </w:rPr>
      </w:pPr>
      <w:r>
        <w:rPr>
          <w:rFonts w:ascii="Times New Roman" w:hAnsi="Times New Roman"/>
          <w:sz w:val="24"/>
          <w:szCs w:val="24"/>
        </w:rPr>
        <w:t>Dated:  January 21</w:t>
      </w:r>
      <w:r w:rsidR="008B5EBE" w:rsidRPr="008B5EBE">
        <w:rPr>
          <w:rFonts w:ascii="Times New Roman" w:hAnsi="Times New Roman"/>
          <w:sz w:val="24"/>
          <w:szCs w:val="24"/>
        </w:rPr>
        <w:t>, 2011</w:t>
      </w:r>
    </w:p>
    <w:p w:rsidR="008B5EBE" w:rsidRPr="008B5EBE" w:rsidRDefault="008B5EBE" w:rsidP="008B5EBE">
      <w:pPr>
        <w:rPr>
          <w:rFonts w:ascii="Times New Roman" w:hAnsi="Times New Roman"/>
          <w:sz w:val="24"/>
          <w:szCs w:val="24"/>
        </w:rPr>
      </w:pPr>
    </w:p>
    <w:p w:rsidR="008B5EBE" w:rsidRPr="008B5EBE" w:rsidRDefault="008B5EBE" w:rsidP="008B5EBE">
      <w:pPr>
        <w:rPr>
          <w:rFonts w:ascii="Times New Roman" w:hAnsi="Times New Roman"/>
          <w:sz w:val="24"/>
          <w:szCs w:val="24"/>
        </w:rPr>
      </w:pPr>
    </w:p>
    <w:p w:rsidR="008B5EBE" w:rsidRDefault="008B5EBE" w:rsidP="008B5EBE"/>
    <w:sectPr w:rsidR="008B5EBE" w:rsidSect="00575282">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AD8" w:rsidRDefault="005F5AD8" w:rsidP="008B5EBE">
      <w:pPr>
        <w:spacing w:after="0" w:line="240" w:lineRule="auto"/>
      </w:pPr>
      <w:r>
        <w:separator/>
      </w:r>
    </w:p>
  </w:endnote>
  <w:endnote w:type="continuationSeparator" w:id="0">
    <w:p w:rsidR="005F5AD8" w:rsidRDefault="005F5AD8" w:rsidP="008B5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AD8" w:rsidRDefault="00E44573">
    <w:pPr>
      <w:pStyle w:val="Footer"/>
      <w:jc w:val="center"/>
    </w:pPr>
    <w:fldSimple w:instr=" PAGE   \* MERGEFORMAT ">
      <w:r w:rsidR="005F2D1C">
        <w:rPr>
          <w:noProof/>
        </w:rPr>
        <w:t>9</w:t>
      </w:r>
    </w:fldSimple>
  </w:p>
  <w:p w:rsidR="005F5AD8" w:rsidRDefault="005F5A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AD8" w:rsidRDefault="005F5AD8" w:rsidP="008B5EBE">
      <w:pPr>
        <w:spacing w:after="0" w:line="240" w:lineRule="auto"/>
      </w:pPr>
      <w:r>
        <w:separator/>
      </w:r>
    </w:p>
  </w:footnote>
  <w:footnote w:type="continuationSeparator" w:id="0">
    <w:p w:rsidR="005F5AD8" w:rsidRDefault="005F5AD8" w:rsidP="008B5EBE">
      <w:pPr>
        <w:spacing w:after="0" w:line="240" w:lineRule="auto"/>
      </w:pPr>
      <w:r>
        <w:continuationSeparator/>
      </w:r>
    </w:p>
  </w:footnote>
  <w:footnote w:id="1">
    <w:p w:rsidR="005F5AD8" w:rsidRDefault="005F5AD8" w:rsidP="00FE2434">
      <w:pPr>
        <w:widowControl w:val="0"/>
        <w:autoSpaceDE w:val="0"/>
        <w:autoSpaceDN w:val="0"/>
        <w:adjustRightInd w:val="0"/>
        <w:spacing w:after="0" w:line="240" w:lineRule="auto"/>
      </w:pPr>
      <w:r w:rsidRPr="008712E8">
        <w:rPr>
          <w:rStyle w:val="FootnoteReference"/>
          <w:rFonts w:ascii="Times New Roman" w:hAnsi="Times New Roman"/>
          <w:sz w:val="20"/>
          <w:szCs w:val="20"/>
        </w:rPr>
        <w:footnoteRef/>
      </w:r>
      <w:r w:rsidRPr="008712E8">
        <w:rPr>
          <w:rFonts w:ascii="Times New Roman" w:hAnsi="Times New Roman"/>
          <w:sz w:val="20"/>
          <w:szCs w:val="20"/>
        </w:rPr>
        <w:t xml:space="preserve"> </w:t>
      </w:r>
      <w:r w:rsidRPr="00FE2434">
        <w:rPr>
          <w:rFonts w:ascii="Times New Roman" w:hAnsi="Times New Roman"/>
          <w:sz w:val="20"/>
          <w:szCs w:val="20"/>
        </w:rPr>
        <w:t xml:space="preserve">At the January 5, 2011 hearing counsel for Sprint clarified and reversed his prior statement which had indicated that Sprint opposed the DoD/FEA Agreement.  “So I don't have any specific objection to the DoD settlement.  And Sprint didn't provide any testimony on that.  So I would say we take no position on the DoD settlement.” Tr. 186:24 – Tr. 187:2.  Surprisingly in its January 14, 2010 Post-Hearing Brief on Commission-identified issues (at page 2, paragraph 2) Sprint did another reversal and stated it opposes the settlements (specifically including the DoD/FEA Agreement) unless Sprint’s proposed additional conditions are imposed upon the Merged Firm.  We can only interpret this new position to mean:  “Although Sprint does not oppose/takes no position on the substance of the DoD/FEA Agreement, it attempts to hold the DoD/FEA Agreement ‘hostage’ until Sprint’s proposed conditions are adopted.”  Therefore we will continue to describe the DoD Agreement as “unopposed”.  Neither DoD/FEA nor the DoD/FEA Agreement addressed or impacted Sprint’s issues.  Sprint’s issues are independent from those of DoD/FEA and should rise or fall on the substantive merits of Sprint’s arguments alone. </w:t>
      </w:r>
    </w:p>
  </w:footnote>
  <w:footnote w:id="2">
    <w:p w:rsidR="005F5AD8" w:rsidRDefault="005F5AD8" w:rsidP="008B5EBE">
      <w:pPr>
        <w:pStyle w:val="FootnoteText"/>
      </w:pPr>
      <w:r>
        <w:rPr>
          <w:rStyle w:val="FootnoteReference"/>
        </w:rPr>
        <w:footnoteRef/>
      </w:r>
      <w:r>
        <w:t xml:space="preserve"> In the Petition, DoD/FEA noted the strong presence of the Federal Agencies in Washington and the interest of DoD/FEA in ensuring that the telecommunications services that they receive are not adversely affected by the transaction.   DoD/FEA also stated that it has a unique government end-user perspective on the issues that might arise as a result of this transaction, given the nature and extent of its numerous and varied telecommunications purchases from both the Applicants and competitive carriers that have relied on Qwest for elements of their business offerings.</w:t>
      </w:r>
    </w:p>
  </w:footnote>
  <w:footnote w:id="3">
    <w:p w:rsidR="005F5AD8" w:rsidRDefault="005F5AD8" w:rsidP="008B5EBE">
      <w:pPr>
        <w:pStyle w:val="FootnoteText"/>
      </w:pPr>
      <w:r>
        <w:rPr>
          <w:rStyle w:val="FootnoteReference"/>
        </w:rPr>
        <w:footnoteRef/>
      </w:r>
      <w:r>
        <w:t xml:space="preserve"> The Commission’s Staff, Public Counsel and Applicants filed a comprehensive settlement agreement on December 23, 2010 (hereafter, “Staff/Public Counsel Agreement”).  Prior thereto, Applicants filed settlement agreements that they had entered into with 360networks (USA) inc. and Integra Telecom, Inc.</w:t>
      </w:r>
    </w:p>
  </w:footnote>
  <w:footnote w:id="4">
    <w:p w:rsidR="005F5AD8" w:rsidRDefault="005F5AD8">
      <w:pPr>
        <w:pStyle w:val="FootnoteText"/>
      </w:pPr>
      <w:r>
        <w:rPr>
          <w:rStyle w:val="FootnoteReference"/>
        </w:rPr>
        <w:footnoteRef/>
      </w:r>
      <w:r>
        <w:t xml:space="preserve"> See fn. 1, </w:t>
      </w:r>
      <w:r w:rsidRPr="00391CE9">
        <w:rPr>
          <w:i/>
        </w:rPr>
        <w:t>supra</w:t>
      </w:r>
      <w:r>
        <w:t>.</w:t>
      </w:r>
    </w:p>
  </w:footnote>
  <w:footnote w:id="5">
    <w:p w:rsidR="005F5AD8" w:rsidRDefault="005F5AD8" w:rsidP="008B5EBE">
      <w:pPr>
        <w:pStyle w:val="FootnoteText"/>
      </w:pPr>
      <w:r>
        <w:rPr>
          <w:rStyle w:val="FootnoteReference"/>
        </w:rPr>
        <w:footnoteRef/>
      </w:r>
      <w:r>
        <w:t xml:space="preserve"> Exhibit CWK-1T, pp. 12-19.</w:t>
      </w:r>
    </w:p>
  </w:footnote>
  <w:footnote w:id="6">
    <w:p w:rsidR="005F5AD8" w:rsidRDefault="005F5AD8" w:rsidP="008B5EBE">
      <w:pPr>
        <w:pStyle w:val="FootnoteText"/>
      </w:pPr>
      <w:r>
        <w:rPr>
          <w:rStyle w:val="FootnoteReference"/>
        </w:rPr>
        <w:footnoteRef/>
      </w:r>
      <w:r>
        <w:t xml:space="preserve"> </w:t>
      </w:r>
      <w:r w:rsidRPr="00E505EC">
        <w:rPr>
          <w:i/>
        </w:rPr>
        <w:t>Id.</w:t>
      </w:r>
      <w:r>
        <w:t>, pp. 19-23.</w:t>
      </w:r>
    </w:p>
  </w:footnote>
  <w:footnote w:id="7">
    <w:p w:rsidR="005F5AD8" w:rsidRDefault="005F5AD8" w:rsidP="008B5EBE">
      <w:pPr>
        <w:pStyle w:val="FootnoteText"/>
      </w:pPr>
      <w:r>
        <w:rPr>
          <w:rStyle w:val="FootnoteReference"/>
        </w:rPr>
        <w:footnoteRef/>
      </w:r>
      <w:r>
        <w:t xml:space="preserve"> </w:t>
      </w:r>
      <w:r w:rsidRPr="00E505EC">
        <w:rPr>
          <w:i/>
        </w:rPr>
        <w:t>Id</w:t>
      </w:r>
      <w:r>
        <w:t>., pp. 24-25.</w:t>
      </w:r>
    </w:p>
  </w:footnote>
  <w:footnote w:id="8">
    <w:p w:rsidR="005F5AD8" w:rsidRDefault="005F5AD8" w:rsidP="00C7330B">
      <w:pPr>
        <w:pStyle w:val="FootnoteText"/>
      </w:pPr>
      <w:r>
        <w:rPr>
          <w:rStyle w:val="FootnoteReference"/>
        </w:rPr>
        <w:footnoteRef/>
      </w:r>
      <w:r>
        <w:t xml:space="preserve"> For instance, Staff/Public Counsel Agreement condition 3 (extending the existing Qwest AFOR until synergies have been realized) resolved one of DoD/FEA’s initial concerns.  Other Staff/Public Counsel conditions are specifically referenced in the text of this section of the DoD/FEA brief.</w:t>
      </w:r>
    </w:p>
  </w:footnote>
  <w:footnote w:id="9">
    <w:p w:rsidR="005F5AD8" w:rsidRPr="000F1887" w:rsidRDefault="005F5AD8" w:rsidP="00C7330B">
      <w:pPr>
        <w:spacing w:after="0" w:line="240" w:lineRule="auto"/>
        <w:rPr>
          <w:rFonts w:ascii="Times New Roman" w:hAnsi="Times New Roman"/>
          <w:sz w:val="20"/>
          <w:szCs w:val="20"/>
        </w:rPr>
      </w:pPr>
      <w:r>
        <w:rPr>
          <w:rStyle w:val="FootnoteReference"/>
        </w:rPr>
        <w:footnoteRef/>
      </w:r>
      <w:r>
        <w:t xml:space="preserve"> </w:t>
      </w:r>
      <w:r w:rsidRPr="000F1887">
        <w:rPr>
          <w:rFonts w:ascii="Times New Roman" w:eastAsia="Times New Roman" w:hAnsi="Times New Roman"/>
          <w:color w:val="161000"/>
          <w:sz w:val="20"/>
          <w:szCs w:val="20"/>
        </w:rPr>
        <w:t xml:space="preserve">Public Service Commission of Utah, Docket No. 10-049-16, </w:t>
      </w:r>
      <w:r w:rsidRPr="000F1887">
        <w:rPr>
          <w:rFonts w:ascii="Times New Roman" w:eastAsia="Times New Roman" w:hAnsi="Times New Roman"/>
          <w:color w:val="161000"/>
          <w:sz w:val="20"/>
          <w:szCs w:val="20"/>
          <w:u w:val="single"/>
        </w:rPr>
        <w:t>Report and Order</w:t>
      </w:r>
      <w:r w:rsidRPr="000F1887">
        <w:rPr>
          <w:rFonts w:ascii="Times New Roman" w:eastAsia="Times New Roman" w:hAnsi="Times New Roman"/>
          <w:color w:val="161000"/>
          <w:sz w:val="20"/>
          <w:szCs w:val="20"/>
        </w:rPr>
        <w:t xml:space="preserve">, issued January 4, 2011. </w:t>
      </w:r>
    </w:p>
  </w:footnote>
  <w:footnote w:id="10">
    <w:p w:rsidR="005F5AD8" w:rsidRPr="00174CE6" w:rsidRDefault="005F5AD8" w:rsidP="00174CE6">
      <w:pPr>
        <w:spacing w:after="0" w:line="240" w:lineRule="auto"/>
        <w:rPr>
          <w:rFonts w:ascii="Times New Roman" w:eastAsia="Times New Roman" w:hAnsi="Times New Roman"/>
          <w:color w:val="161000"/>
          <w:sz w:val="20"/>
          <w:szCs w:val="20"/>
        </w:rPr>
      </w:pPr>
      <w:r w:rsidRPr="000F1887">
        <w:rPr>
          <w:rStyle w:val="FootnoteReference"/>
          <w:rFonts w:ascii="Times New Roman" w:hAnsi="Times New Roman"/>
          <w:sz w:val="20"/>
          <w:szCs w:val="20"/>
        </w:rPr>
        <w:footnoteRef/>
      </w:r>
      <w:r w:rsidRPr="000F1887">
        <w:rPr>
          <w:rFonts w:ascii="Times New Roman" w:hAnsi="Times New Roman"/>
          <w:sz w:val="20"/>
          <w:szCs w:val="20"/>
        </w:rPr>
        <w:t xml:space="preserve"> </w:t>
      </w:r>
      <w:r w:rsidRPr="000F1887">
        <w:rPr>
          <w:rFonts w:ascii="Times New Roman" w:eastAsia="Times New Roman" w:hAnsi="Times New Roman"/>
          <w:color w:val="161000"/>
          <w:sz w:val="20"/>
          <w:szCs w:val="20"/>
        </w:rPr>
        <w:t xml:space="preserve">Public Utilities Commission of the State of Colorado, Docket No. 10A-350T, </w:t>
      </w:r>
      <w:r w:rsidRPr="000F1887">
        <w:rPr>
          <w:rFonts w:ascii="Times New Roman" w:eastAsia="Times New Roman" w:hAnsi="Times New Roman"/>
          <w:color w:val="161000"/>
          <w:sz w:val="20"/>
          <w:szCs w:val="20"/>
          <w:u w:val="single"/>
        </w:rPr>
        <w:t>Initial Commission Decision Granting Approval of Indirect Transfer of Control</w:t>
      </w:r>
      <w:r>
        <w:rPr>
          <w:rFonts w:ascii="Times New Roman" w:eastAsia="Times New Roman" w:hAnsi="Times New Roman"/>
          <w:color w:val="161000"/>
          <w:sz w:val="20"/>
          <w:szCs w:val="20"/>
        </w:rPr>
        <w:t>, adopted December 15, 2010.</w:t>
      </w:r>
    </w:p>
  </w:footnote>
  <w:footnote w:id="11">
    <w:p w:rsidR="005F5AD8" w:rsidRDefault="005F5AD8" w:rsidP="00C7330B">
      <w:pPr>
        <w:pStyle w:val="FootnoteText"/>
      </w:pPr>
      <w:r>
        <w:rPr>
          <w:rStyle w:val="FootnoteReference"/>
        </w:rPr>
        <w:footnoteRef/>
      </w:r>
      <w:r>
        <w:t xml:space="preserve"> DoD/FEA Agreement, Attachment 1, p. 1.  The DoD/FEA Agreement provides that if billings are continuously below the prescribed volume level for 180 days, the agreement may be terminated.</w:t>
      </w:r>
    </w:p>
  </w:footnote>
  <w:footnote w:id="12">
    <w:p w:rsidR="005F5AD8" w:rsidRDefault="005F5AD8" w:rsidP="00C7330B">
      <w:pPr>
        <w:pStyle w:val="FootnoteText"/>
      </w:pPr>
      <w:r>
        <w:rPr>
          <w:rStyle w:val="FootnoteReference"/>
        </w:rPr>
        <w:footnoteRef/>
      </w:r>
      <w:r>
        <w:t xml:space="preserve"> </w:t>
      </w:r>
      <w:r>
        <w:rPr>
          <w:u w:val="single"/>
        </w:rPr>
        <w:t>F</w:t>
      </w:r>
      <w:r w:rsidRPr="00285E2A">
        <w:rPr>
          <w:u w:val="single"/>
        </w:rPr>
        <w:t>or example</w:t>
      </w:r>
      <w:r>
        <w:t xml:space="preserve"> in DoD/FEA’s case, the situation would require continuous review by some now-undesignated agency(ies) of numerous Qwest Centrex and PBX service billings of literally hundreds of individual de-centralized military and civilian government sub-entities throughout Washington to see which are currently subject to rate stabilization provisions, and of those not then-covered or have new requirements, to determine which are economically feasible candidates for rate stabilization.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2443"/>
    <w:rsid w:val="000211B3"/>
    <w:rsid w:val="00026AD8"/>
    <w:rsid w:val="000907C5"/>
    <w:rsid w:val="000B63FF"/>
    <w:rsid w:val="00144C8C"/>
    <w:rsid w:val="00174CE6"/>
    <w:rsid w:val="00186918"/>
    <w:rsid w:val="001A20A9"/>
    <w:rsid w:val="00225E77"/>
    <w:rsid w:val="00240585"/>
    <w:rsid w:val="002B455E"/>
    <w:rsid w:val="002C7034"/>
    <w:rsid w:val="002E2443"/>
    <w:rsid w:val="002E3B44"/>
    <w:rsid w:val="00302481"/>
    <w:rsid w:val="0032228C"/>
    <w:rsid w:val="00376CFB"/>
    <w:rsid w:val="00383B86"/>
    <w:rsid w:val="00391CE9"/>
    <w:rsid w:val="00410656"/>
    <w:rsid w:val="00473A82"/>
    <w:rsid w:val="00481A6C"/>
    <w:rsid w:val="00485673"/>
    <w:rsid w:val="0049296E"/>
    <w:rsid w:val="0049340B"/>
    <w:rsid w:val="004B4A63"/>
    <w:rsid w:val="00506B31"/>
    <w:rsid w:val="0057120B"/>
    <w:rsid w:val="00575282"/>
    <w:rsid w:val="005F2D1C"/>
    <w:rsid w:val="005F5AD8"/>
    <w:rsid w:val="00622971"/>
    <w:rsid w:val="007225D8"/>
    <w:rsid w:val="00781E8A"/>
    <w:rsid w:val="007C06F4"/>
    <w:rsid w:val="007E19D4"/>
    <w:rsid w:val="00825647"/>
    <w:rsid w:val="008542FA"/>
    <w:rsid w:val="008712E8"/>
    <w:rsid w:val="0089475A"/>
    <w:rsid w:val="008B5EBE"/>
    <w:rsid w:val="009233A2"/>
    <w:rsid w:val="00954935"/>
    <w:rsid w:val="00977195"/>
    <w:rsid w:val="0097775D"/>
    <w:rsid w:val="009C721F"/>
    <w:rsid w:val="00A20A98"/>
    <w:rsid w:val="00A646FC"/>
    <w:rsid w:val="00A85B8D"/>
    <w:rsid w:val="00AC24B9"/>
    <w:rsid w:val="00AE0405"/>
    <w:rsid w:val="00B12DFA"/>
    <w:rsid w:val="00B605EB"/>
    <w:rsid w:val="00B7491B"/>
    <w:rsid w:val="00B85B8D"/>
    <w:rsid w:val="00C3251C"/>
    <w:rsid w:val="00C520E8"/>
    <w:rsid w:val="00C7330B"/>
    <w:rsid w:val="00C961B3"/>
    <w:rsid w:val="00D04DA5"/>
    <w:rsid w:val="00D13C02"/>
    <w:rsid w:val="00D73792"/>
    <w:rsid w:val="00E23AAB"/>
    <w:rsid w:val="00E44573"/>
    <w:rsid w:val="00E46C7E"/>
    <w:rsid w:val="00E80321"/>
    <w:rsid w:val="00ED45BF"/>
    <w:rsid w:val="00F83B6B"/>
    <w:rsid w:val="00FE2434"/>
    <w:rsid w:val="00FE2C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A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5647"/>
    <w:pPr>
      <w:spacing w:after="0" w:line="240" w:lineRule="auto"/>
      <w:jc w:val="center"/>
    </w:pPr>
    <w:rPr>
      <w:rFonts w:ascii="Times New Roman" w:eastAsia="Times New Roman" w:hAnsi="Times New Roman"/>
      <w:b/>
      <w:sz w:val="24"/>
      <w:szCs w:val="20"/>
    </w:rPr>
  </w:style>
  <w:style w:type="character" w:customStyle="1" w:styleId="BodyTextChar">
    <w:name w:val="Body Text Char"/>
    <w:basedOn w:val="DefaultParagraphFont"/>
    <w:link w:val="BodyText"/>
    <w:rsid w:val="00825647"/>
    <w:rPr>
      <w:rFonts w:ascii="Times New Roman" w:eastAsia="Times New Roman" w:hAnsi="Times New Roman"/>
      <w:b/>
      <w:sz w:val="24"/>
    </w:rPr>
  </w:style>
  <w:style w:type="paragraph" w:styleId="FootnoteText">
    <w:name w:val="footnote text"/>
    <w:basedOn w:val="Normal"/>
    <w:link w:val="FootnoteTextChar"/>
    <w:uiPriority w:val="99"/>
    <w:semiHidden/>
    <w:unhideWhenUsed/>
    <w:rsid w:val="008B5EBE"/>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8B5EBE"/>
    <w:rPr>
      <w:rFonts w:ascii="Times New Roman" w:eastAsia="Times New Roman" w:hAnsi="Times New Roman"/>
    </w:rPr>
  </w:style>
  <w:style w:type="character" w:styleId="FootnoteReference">
    <w:name w:val="footnote reference"/>
    <w:basedOn w:val="DefaultParagraphFont"/>
    <w:uiPriority w:val="99"/>
    <w:semiHidden/>
    <w:unhideWhenUsed/>
    <w:rsid w:val="008B5EBE"/>
    <w:rPr>
      <w:vertAlign w:val="superscript"/>
    </w:rPr>
  </w:style>
  <w:style w:type="paragraph" w:styleId="Header">
    <w:name w:val="header"/>
    <w:basedOn w:val="Normal"/>
    <w:link w:val="HeaderChar"/>
    <w:uiPriority w:val="99"/>
    <w:semiHidden/>
    <w:unhideWhenUsed/>
    <w:rsid w:val="00575282"/>
    <w:pPr>
      <w:tabs>
        <w:tab w:val="center" w:pos="4680"/>
        <w:tab w:val="right" w:pos="9360"/>
      </w:tabs>
    </w:pPr>
  </w:style>
  <w:style w:type="character" w:customStyle="1" w:styleId="HeaderChar">
    <w:name w:val="Header Char"/>
    <w:basedOn w:val="DefaultParagraphFont"/>
    <w:link w:val="Header"/>
    <w:uiPriority w:val="99"/>
    <w:semiHidden/>
    <w:rsid w:val="00575282"/>
    <w:rPr>
      <w:sz w:val="22"/>
      <w:szCs w:val="22"/>
    </w:rPr>
  </w:style>
  <w:style w:type="paragraph" w:styleId="Footer">
    <w:name w:val="footer"/>
    <w:basedOn w:val="Normal"/>
    <w:link w:val="FooterChar"/>
    <w:uiPriority w:val="99"/>
    <w:unhideWhenUsed/>
    <w:rsid w:val="00575282"/>
    <w:pPr>
      <w:tabs>
        <w:tab w:val="center" w:pos="4680"/>
        <w:tab w:val="right" w:pos="9360"/>
      </w:tabs>
    </w:pPr>
  </w:style>
  <w:style w:type="character" w:customStyle="1" w:styleId="FooterChar">
    <w:name w:val="Footer Char"/>
    <w:basedOn w:val="DefaultParagraphFont"/>
    <w:link w:val="Footer"/>
    <w:uiPriority w:val="99"/>
    <w:rsid w:val="00575282"/>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Brief</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2011-01-21T08:00:00+00:00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A53A526-0CBC-4E4E-B75D-64FAB7B66E4A}"/>
</file>

<file path=customXml/itemProps2.xml><?xml version="1.0" encoding="utf-8"?>
<ds:datastoreItem xmlns:ds="http://schemas.openxmlformats.org/officeDocument/2006/customXml" ds:itemID="{51C3455A-78FE-4656-8388-662E62D76EC9}"/>
</file>

<file path=customXml/itemProps3.xml><?xml version="1.0" encoding="utf-8"?>
<ds:datastoreItem xmlns:ds="http://schemas.openxmlformats.org/officeDocument/2006/customXml" ds:itemID="{1D55565D-7FD0-4CBD-9329-E9FD46315D24}"/>
</file>

<file path=customXml/itemProps4.xml><?xml version="1.0" encoding="utf-8"?>
<ds:datastoreItem xmlns:ds="http://schemas.openxmlformats.org/officeDocument/2006/customXml" ds:itemID="{4CBD8985-358E-4FD5-B923-44C994AD4ACD}"/>
</file>

<file path=customXml/itemProps5.xml><?xml version="1.0" encoding="utf-8"?>
<ds:datastoreItem xmlns:ds="http://schemas.openxmlformats.org/officeDocument/2006/customXml" ds:itemID="{EACCE1CE-8BAC-43CA-A76F-101B5A9875DD}"/>
</file>

<file path=docProps/app.xml><?xml version="1.0" encoding="utf-8"?>
<Properties xmlns="http://schemas.openxmlformats.org/officeDocument/2006/extended-properties" xmlns:vt="http://schemas.openxmlformats.org/officeDocument/2006/docPropsVTypes">
  <Template>Normal.dotm</Template>
  <TotalTime>234</TotalTime>
  <Pages>10</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Spangler</dc:creator>
  <cp:lastModifiedBy>Administrator</cp:lastModifiedBy>
  <cp:revision>12</cp:revision>
  <cp:lastPrinted>2011-01-21T23:03:00Z</cp:lastPrinted>
  <dcterms:created xsi:type="dcterms:W3CDTF">2011-01-21T17:54:00Z</dcterms:created>
  <dcterms:modified xsi:type="dcterms:W3CDTF">2011-01-21T23:04:00Z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