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C879A0" w:rsidTr="00B02F68">
        <w:tc>
          <w:tcPr>
            <w:tcW w:w="4328" w:type="dxa"/>
            <w:tcBorders>
              <w:bottom w:val="single" w:sz="4" w:space="0" w:color="auto"/>
            </w:tcBorders>
          </w:tcPr>
          <w:p w:rsidR="000957A5" w:rsidRDefault="000957A5" w:rsidP="000957A5">
            <w:pPr>
              <w:tabs>
                <w:tab w:val="left" w:pos="2168"/>
              </w:tabs>
            </w:pPr>
            <w:bookmarkStart w:id="0" w:name="Parties"/>
            <w:bookmarkEnd w:id="0"/>
            <w:r>
              <w:t xml:space="preserve">WASHINGTON UITILITIES AND </w:t>
            </w:r>
          </w:p>
          <w:p w:rsidR="000957A5" w:rsidRDefault="000957A5" w:rsidP="000957A5">
            <w:pPr>
              <w:tabs>
                <w:tab w:val="left" w:pos="2168"/>
              </w:tabs>
            </w:pPr>
            <w:r>
              <w:t>TRANSPORTATION COMMISSION</w:t>
            </w:r>
          </w:p>
          <w:p w:rsidR="000957A5" w:rsidRDefault="000957A5" w:rsidP="000957A5">
            <w:pPr>
              <w:tabs>
                <w:tab w:val="left" w:pos="2168"/>
              </w:tabs>
            </w:pPr>
          </w:p>
          <w:p w:rsidR="000957A5" w:rsidRDefault="000957A5" w:rsidP="000957A5">
            <w:pPr>
              <w:tabs>
                <w:tab w:val="left" w:pos="1440"/>
                <w:tab w:val="left" w:pos="2168"/>
              </w:tabs>
            </w:pPr>
            <w:r>
              <w:t xml:space="preserve">                        Complainant,</w:t>
            </w:r>
          </w:p>
          <w:p w:rsidR="000957A5" w:rsidRDefault="000957A5" w:rsidP="000957A5">
            <w:pPr>
              <w:tabs>
                <w:tab w:val="left" w:pos="1440"/>
                <w:tab w:val="left" w:pos="2168"/>
              </w:tabs>
            </w:pPr>
          </w:p>
          <w:p w:rsidR="000957A5" w:rsidRDefault="000957A5" w:rsidP="000957A5">
            <w:pPr>
              <w:tabs>
                <w:tab w:val="left" w:pos="1440"/>
                <w:tab w:val="left" w:pos="2168"/>
              </w:tabs>
            </w:pPr>
            <w:r>
              <w:t xml:space="preserve">     </w:t>
            </w:r>
            <w:proofErr w:type="gramStart"/>
            <w:r>
              <w:t>v</w:t>
            </w:r>
            <w:proofErr w:type="gramEnd"/>
            <w:r>
              <w:t>.</w:t>
            </w:r>
          </w:p>
          <w:p w:rsidR="000957A5" w:rsidRDefault="000957A5" w:rsidP="000957A5">
            <w:pPr>
              <w:pStyle w:val="Footer"/>
              <w:widowControl/>
              <w:tabs>
                <w:tab w:val="clear" w:pos="4320"/>
                <w:tab w:val="clear" w:pos="8640"/>
              </w:tabs>
              <w:rPr>
                <w:snapToGrid/>
              </w:rPr>
            </w:pPr>
          </w:p>
          <w:p w:rsidR="000957A5" w:rsidRDefault="000957A5" w:rsidP="000957A5">
            <w:pPr>
              <w:pStyle w:val="Footer"/>
              <w:widowControl/>
              <w:tabs>
                <w:tab w:val="clear" w:pos="4320"/>
                <w:tab w:val="clear" w:pos="8640"/>
                <w:tab w:val="left" w:pos="1452"/>
              </w:tabs>
              <w:rPr>
                <w:snapToGrid/>
              </w:rPr>
            </w:pPr>
            <w:r>
              <w:rPr>
                <w:snapToGrid/>
              </w:rPr>
              <w:t>AVISTA CORPORATION d/b/a</w:t>
            </w:r>
          </w:p>
          <w:p w:rsidR="000957A5" w:rsidRDefault="000957A5" w:rsidP="000957A5">
            <w:pPr>
              <w:pStyle w:val="Footer"/>
              <w:widowControl/>
              <w:tabs>
                <w:tab w:val="clear" w:pos="4320"/>
                <w:tab w:val="clear" w:pos="8640"/>
              </w:tabs>
              <w:rPr>
                <w:snapToGrid/>
              </w:rPr>
            </w:pPr>
            <w:r>
              <w:rPr>
                <w:snapToGrid/>
              </w:rPr>
              <w:t>AVISTA UTILITIES</w:t>
            </w:r>
          </w:p>
          <w:p w:rsidR="000957A5" w:rsidRDefault="000957A5" w:rsidP="000957A5">
            <w:pPr>
              <w:pStyle w:val="Footer"/>
              <w:widowControl/>
              <w:tabs>
                <w:tab w:val="clear" w:pos="4320"/>
                <w:tab w:val="clear" w:pos="8640"/>
              </w:tabs>
              <w:rPr>
                <w:snapToGrid/>
              </w:rPr>
            </w:pPr>
          </w:p>
          <w:p w:rsidR="00C879A0" w:rsidRPr="003D3DCC" w:rsidRDefault="000957A5" w:rsidP="000957A5">
            <w:pPr>
              <w:pStyle w:val="Footer"/>
              <w:widowControl/>
              <w:tabs>
                <w:tab w:val="clear" w:pos="4320"/>
                <w:tab w:val="clear" w:pos="8640"/>
              </w:tabs>
              <w:rPr>
                <w:snapToGrid/>
              </w:rPr>
            </w:pPr>
            <w:r>
              <w:rPr>
                <w:snapToGrid/>
              </w:rPr>
              <w:t xml:space="preserve">                        Respondent.</w:t>
            </w:r>
          </w:p>
        </w:tc>
        <w:tc>
          <w:tcPr>
            <w:tcW w:w="270" w:type="dxa"/>
          </w:tcPr>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C879A0" w:rsidRDefault="00C879A0" w:rsidP="00B02F68">
            <w:pPr>
              <w:pStyle w:val="SingleSpacing"/>
              <w:spacing w:line="240" w:lineRule="auto"/>
            </w:pPr>
            <w:r>
              <w:t>)</w:t>
            </w:r>
          </w:p>
          <w:p w:rsidR="000957A5" w:rsidRDefault="000957A5" w:rsidP="00B02F68">
            <w:pPr>
              <w:pStyle w:val="SingleSpacing"/>
              <w:spacing w:line="240" w:lineRule="auto"/>
            </w:pPr>
            <w:r>
              <w:t>)</w:t>
            </w:r>
          </w:p>
          <w:p w:rsidR="000957A5" w:rsidRDefault="000957A5" w:rsidP="00B02F68">
            <w:pPr>
              <w:pStyle w:val="SingleSpacing"/>
              <w:spacing w:line="240" w:lineRule="auto"/>
            </w:pPr>
            <w:r>
              <w:t>)</w:t>
            </w:r>
          </w:p>
        </w:tc>
        <w:tc>
          <w:tcPr>
            <w:tcW w:w="4050" w:type="dxa"/>
          </w:tcPr>
          <w:p w:rsidR="000957A5" w:rsidRDefault="00301FA0" w:rsidP="000957A5">
            <w:pPr>
              <w:pStyle w:val="SingleSpacing"/>
              <w:spacing w:line="240" w:lineRule="auto"/>
            </w:pPr>
            <w:bookmarkStart w:id="1" w:name="CaseNumber"/>
            <w:bookmarkEnd w:id="1"/>
            <w:r>
              <w:t>DOCKET</w:t>
            </w:r>
            <w:r w:rsidR="003A7219">
              <w:t>S</w:t>
            </w:r>
            <w:r w:rsidR="000957A5">
              <w:t xml:space="preserve"> UE-</w:t>
            </w:r>
            <w:r w:rsidR="00C64BB9">
              <w:t>150204</w:t>
            </w:r>
            <w:r w:rsidR="003A7219">
              <w:t xml:space="preserve"> and    UG</w:t>
            </w:r>
            <w:r w:rsidR="003A7219">
              <w:noBreakHyphen/>
              <w:t>150205 (</w:t>
            </w:r>
            <w:r w:rsidR="003A7219" w:rsidRPr="003A7219">
              <w:rPr>
                <w:i/>
              </w:rPr>
              <w:t>Consolidated</w:t>
            </w:r>
            <w:r w:rsidR="003A7219">
              <w:t>)</w:t>
            </w:r>
          </w:p>
          <w:p w:rsidR="000957A5" w:rsidRDefault="000957A5" w:rsidP="000957A5">
            <w:pPr>
              <w:pStyle w:val="SingleSpacing"/>
              <w:spacing w:line="240" w:lineRule="auto"/>
            </w:pPr>
          </w:p>
          <w:p w:rsidR="000957A5" w:rsidRDefault="000957A5" w:rsidP="000957A5">
            <w:pPr>
              <w:pStyle w:val="SingleSpacing"/>
              <w:spacing w:line="240" w:lineRule="auto"/>
            </w:pPr>
          </w:p>
          <w:p w:rsidR="000957A5" w:rsidRDefault="00AC3A92" w:rsidP="000957A5">
            <w:pPr>
              <w:pStyle w:val="BodyText2"/>
            </w:pPr>
            <w:r>
              <w:t xml:space="preserve">JOINT </w:t>
            </w:r>
            <w:r w:rsidR="003A7219">
              <w:t>MOTION FOR CLARIFICATION</w:t>
            </w:r>
            <w:r w:rsidR="002E226F">
              <w:t xml:space="preserve"> OF</w:t>
            </w:r>
            <w:r w:rsidR="000957A5">
              <w:t xml:space="preserve"> </w:t>
            </w:r>
          </w:p>
          <w:p w:rsidR="000957A5" w:rsidRDefault="000957A5" w:rsidP="000957A5">
            <w:pPr>
              <w:pStyle w:val="BodyText2"/>
            </w:pPr>
            <w:r>
              <w:t>THE INDUSTRIAL CUSTOMERS OF</w:t>
            </w:r>
          </w:p>
          <w:p w:rsidR="00C879A0" w:rsidRDefault="000957A5" w:rsidP="000957A5">
            <w:pPr>
              <w:pStyle w:val="SingleSpacing"/>
              <w:spacing w:line="240" w:lineRule="auto"/>
            </w:pPr>
            <w:r>
              <w:t>NORTHWEST UTILITIES</w:t>
            </w:r>
            <w:r w:rsidR="00AC3A92">
              <w:t xml:space="preserve"> AND PUBLIC COUNSEL</w:t>
            </w:r>
          </w:p>
        </w:tc>
      </w:tr>
    </w:tbl>
    <w:p w:rsidR="00A90661" w:rsidRPr="00A90661" w:rsidRDefault="00A90661" w:rsidP="00A90661">
      <w:pPr>
        <w:spacing w:before="240"/>
        <w:jc w:val="center"/>
        <w:rPr>
          <w:b/>
        </w:rPr>
      </w:pPr>
      <w:r>
        <w:rPr>
          <w:b/>
        </w:rPr>
        <w:t>I.</w:t>
      </w:r>
      <w:r>
        <w:rPr>
          <w:b/>
        </w:rPr>
        <w:tab/>
        <w:t>INTRODUCTION</w:t>
      </w:r>
    </w:p>
    <w:p w:rsidR="00467425" w:rsidRDefault="00C879A0" w:rsidP="00467425">
      <w:pPr>
        <w:pStyle w:val="WUTCParagraph"/>
        <w:tabs>
          <w:tab w:val="clear" w:pos="0"/>
        </w:tabs>
        <w:spacing w:before="240"/>
        <w:rPr>
          <w:szCs w:val="24"/>
        </w:rPr>
      </w:pPr>
      <w:r>
        <w:t xml:space="preserve">                   </w:t>
      </w:r>
      <w:r w:rsidR="00811124">
        <w:t xml:space="preserve">     Pursuant to</w:t>
      </w:r>
      <w:r w:rsidR="00412202" w:rsidRPr="00412202">
        <w:t xml:space="preserve"> WAC § 480-07-835</w:t>
      </w:r>
      <w:r>
        <w:t xml:space="preserve">, </w:t>
      </w:r>
      <w:r w:rsidR="000957A5">
        <w:t>the Industrial Customers of Northwest Utilities (“ICNU”)</w:t>
      </w:r>
      <w:r>
        <w:t xml:space="preserve"> </w:t>
      </w:r>
      <w:r w:rsidR="00120288">
        <w:t xml:space="preserve">and </w:t>
      </w:r>
      <w:r w:rsidR="00807BF9">
        <w:t xml:space="preserve">the </w:t>
      </w:r>
      <w:r w:rsidR="00120288">
        <w:t>Public Counsel</w:t>
      </w:r>
      <w:r w:rsidR="00807BF9">
        <w:t xml:space="preserve"> Unit of the Attorney General’s Office (</w:t>
      </w:r>
      <w:r w:rsidR="00961822">
        <w:t>“</w:t>
      </w:r>
      <w:r w:rsidR="00807BF9">
        <w:t>Public Counsel</w:t>
      </w:r>
      <w:r w:rsidR="00961822">
        <w:t>”</w:t>
      </w:r>
      <w:r w:rsidR="00807BF9">
        <w:t>)</w:t>
      </w:r>
      <w:r w:rsidR="00120288">
        <w:t xml:space="preserve"> (collectively, the “Joint Parties”) </w:t>
      </w:r>
      <w:r>
        <w:t xml:space="preserve">hereby </w:t>
      </w:r>
      <w:r w:rsidR="00120288">
        <w:t>move</w:t>
      </w:r>
      <w:r>
        <w:t xml:space="preserve"> the Washington Utilities and Transportation Commission (“WUTC” or “Commission”) for </w:t>
      </w:r>
      <w:r w:rsidR="00AC3A92">
        <w:t>clarification of</w:t>
      </w:r>
      <w:r w:rsidR="000930AA">
        <w:t xml:space="preserve"> Order </w:t>
      </w:r>
      <w:r w:rsidR="00811124">
        <w:t>05</w:t>
      </w:r>
      <w:r w:rsidR="00C12955">
        <w:t>, issued January 6, 2016,</w:t>
      </w:r>
      <w:r w:rsidR="00811124">
        <w:t xml:space="preserve"> in these consolidated proceedings</w:t>
      </w:r>
      <w:r>
        <w:t xml:space="preserve">.  </w:t>
      </w:r>
      <w:r w:rsidR="000E7E7B">
        <w:t xml:space="preserve">As provided by Commission rule, the purpose of this Motion for Clarification (“Motion”) is “to suggest </w:t>
      </w:r>
      <w:r w:rsidR="000E7E7B" w:rsidRPr="000E7E7B">
        <w:t>technical changes that may be required to correct the application of principle to data, or to correct patent error</w:t>
      </w:r>
      <w:r w:rsidR="000E7E7B">
        <w:t>.”</w:t>
      </w:r>
      <w:r w:rsidR="000E7E7B" w:rsidRPr="000E7E7B">
        <w:rPr>
          <w:rStyle w:val="FootnoteReference"/>
          <w:u w:val="single"/>
        </w:rPr>
        <w:footnoteReference w:id="1"/>
      </w:r>
      <w:proofErr w:type="gramStart"/>
      <w:r w:rsidR="000E7E7B" w:rsidRPr="000E7E7B">
        <w:rPr>
          <w:vertAlign w:val="superscript"/>
        </w:rPr>
        <w:t>/</w:t>
      </w:r>
      <w:r w:rsidR="000E7E7B">
        <w:t xml:space="preserve">  </w:t>
      </w:r>
      <w:r w:rsidR="00B925A3">
        <w:t>Specifically</w:t>
      </w:r>
      <w:proofErr w:type="gramEnd"/>
      <w:r w:rsidR="00B925A3">
        <w:t xml:space="preserve">, </w:t>
      </w:r>
      <w:r w:rsidR="00F76B53">
        <w:t>the Joint Parties suggest</w:t>
      </w:r>
      <w:r w:rsidR="00B87750">
        <w:t xml:space="preserve"> that Ord</w:t>
      </w:r>
      <w:r w:rsidR="00B925A3">
        <w:t xml:space="preserve">er 05 be clarified by correcting the </w:t>
      </w:r>
      <w:r w:rsidR="00B925A3" w:rsidRPr="00B925A3">
        <w:t>electric attrition adjustment for Avista Utilities (“Avista”)</w:t>
      </w:r>
      <w:r w:rsidR="00B925A3">
        <w:t xml:space="preserve"> in accordance with Attachment A to this Motion, </w:t>
      </w:r>
      <w:r w:rsidR="00754222">
        <w:t xml:space="preserve">which calculates a </w:t>
      </w:r>
      <w:r w:rsidR="00754222" w:rsidRPr="00754222">
        <w:t>$</w:t>
      </w:r>
      <w:r w:rsidR="006E53F9">
        <w:t>16.6</w:t>
      </w:r>
      <w:r w:rsidR="00754222" w:rsidRPr="00754222">
        <w:t xml:space="preserve"> million</w:t>
      </w:r>
      <w:r w:rsidR="00754222">
        <w:t xml:space="preserve"> </w:t>
      </w:r>
      <w:r w:rsidR="006E53F9">
        <w:t xml:space="preserve">attrition allowance </w:t>
      </w:r>
      <w:r w:rsidR="00754222">
        <w:t>adjustment.</w:t>
      </w:r>
      <w:r w:rsidR="00B925A3">
        <w:t xml:space="preserve"> </w:t>
      </w:r>
      <w:r w:rsidR="00807BF9">
        <w:t xml:space="preserve"> Additionally, the Joint Parties suggest that Order 05 be clarified to delete reference to Public Counsel in Footnote 72.</w:t>
      </w:r>
    </w:p>
    <w:p w:rsidR="00B5714B" w:rsidRPr="00467425" w:rsidRDefault="00B5714B" w:rsidP="00467425">
      <w:pPr>
        <w:pStyle w:val="WUTCParagraph"/>
        <w:numPr>
          <w:ilvl w:val="0"/>
          <w:numId w:val="0"/>
        </w:numPr>
        <w:spacing w:before="240"/>
        <w:rPr>
          <w:szCs w:val="24"/>
        </w:rPr>
      </w:pPr>
    </w:p>
    <w:p w:rsidR="00963560" w:rsidRDefault="00963560" w:rsidP="00963560">
      <w:pPr>
        <w:spacing w:after="240"/>
        <w:jc w:val="center"/>
        <w:rPr>
          <w:b/>
        </w:rPr>
      </w:pPr>
      <w:r>
        <w:rPr>
          <w:b/>
        </w:rPr>
        <w:lastRenderedPageBreak/>
        <w:t>II.</w:t>
      </w:r>
      <w:r>
        <w:rPr>
          <w:b/>
        </w:rPr>
        <w:tab/>
        <w:t>DISCUSSION</w:t>
      </w:r>
    </w:p>
    <w:p w:rsidR="00E01EEA" w:rsidRPr="00963560" w:rsidRDefault="00E01EEA" w:rsidP="00E01EEA">
      <w:pPr>
        <w:spacing w:after="240"/>
        <w:rPr>
          <w:b/>
        </w:rPr>
      </w:pPr>
      <w:r>
        <w:rPr>
          <w:b/>
        </w:rPr>
        <w:t>A.</w:t>
      </w:r>
      <w:r>
        <w:rPr>
          <w:b/>
        </w:rPr>
        <w:tab/>
        <w:t>Motion Scope and Precedent</w:t>
      </w:r>
    </w:p>
    <w:p w:rsidR="00B02F68" w:rsidRPr="00A90661" w:rsidRDefault="009D3B2D" w:rsidP="009D3B2D">
      <w:pPr>
        <w:pStyle w:val="WUTCParagraph"/>
        <w:tabs>
          <w:tab w:val="clear" w:pos="0"/>
        </w:tabs>
        <w:rPr>
          <w:szCs w:val="24"/>
        </w:rPr>
      </w:pPr>
      <w:r>
        <w:tab/>
      </w:r>
      <w:r w:rsidR="00D32780" w:rsidRPr="00D32780">
        <w:t>Through this Motion</w:t>
      </w:r>
      <w:r w:rsidR="00807BF9">
        <w:t>,</w:t>
      </w:r>
      <w:r w:rsidR="00D32780" w:rsidRPr="00D32780">
        <w:t xml:space="preserve"> the Joint Parties do not </w:t>
      </w:r>
      <w:r w:rsidR="00D32780">
        <w:t>seek to change</w:t>
      </w:r>
      <w:r w:rsidR="00D32780" w:rsidRPr="00D32780">
        <w:t xml:space="preserve"> </w:t>
      </w:r>
      <w:r w:rsidR="000E7E7B">
        <w:t xml:space="preserve">the outcome of any issues resolved in Order 05, or </w:t>
      </w:r>
      <w:r w:rsidR="0030244C">
        <w:t xml:space="preserve">to </w:t>
      </w:r>
      <w:r w:rsidR="000E7E7B">
        <w:t>challenge the factual findings or legal conclusions in support of the Commission decision to approve an electric attrition adjustment</w:t>
      </w:r>
      <w:r w:rsidR="00C85F0B" w:rsidRPr="00C85F0B">
        <w:t xml:space="preserve"> </w:t>
      </w:r>
      <w:r w:rsidR="00C85F0B">
        <w:t xml:space="preserve">for </w:t>
      </w:r>
      <w:r w:rsidR="00754222">
        <w:t>Avista</w:t>
      </w:r>
      <w:r w:rsidR="0030244C">
        <w:t>, as a matter of principle</w:t>
      </w:r>
      <w:r w:rsidR="000E7E7B">
        <w:t>.</w:t>
      </w:r>
      <w:r w:rsidRPr="009D3B2D">
        <w:rPr>
          <w:u w:val="single"/>
          <w:vertAlign w:val="superscript"/>
        </w:rPr>
        <w:footnoteReference w:id="2"/>
      </w:r>
      <w:proofErr w:type="gramStart"/>
      <w:r w:rsidRPr="009D3B2D">
        <w:rPr>
          <w:vertAlign w:val="superscript"/>
        </w:rPr>
        <w:t>/</w:t>
      </w:r>
      <w:r w:rsidR="000E7E7B">
        <w:t xml:space="preserve">  </w:t>
      </w:r>
      <w:r w:rsidR="0030244C">
        <w:t>Rather</w:t>
      </w:r>
      <w:proofErr w:type="gramEnd"/>
      <w:r w:rsidR="0030244C">
        <w:t xml:space="preserve">, </w:t>
      </w:r>
      <w:r w:rsidR="00120288">
        <w:t>the Joint Parties simply ask</w:t>
      </w:r>
      <w:r w:rsidR="000E7E7B">
        <w:t xml:space="preserve"> for clarification of </w:t>
      </w:r>
      <w:r w:rsidR="00C85F0B">
        <w:t>an</w:t>
      </w:r>
      <w:r w:rsidR="000E7E7B">
        <w:t xml:space="preserve"> attrition adjustment calculation in Order 05, </w:t>
      </w:r>
      <w:r w:rsidR="00C85F0B">
        <w:t>in conjunction with</w:t>
      </w:r>
      <w:r w:rsidR="00661987">
        <w:t xml:space="preserve"> a</w:t>
      </w:r>
      <w:r w:rsidR="0030244C">
        <w:t xml:space="preserve"> suggestion that technic</w:t>
      </w:r>
      <w:r>
        <w:t>al calculation changes may be r</w:t>
      </w:r>
      <w:r w:rsidR="0030244C">
        <w:t>e</w:t>
      </w:r>
      <w:r w:rsidR="00661987">
        <w:t>q</w:t>
      </w:r>
      <w:r w:rsidR="0030244C">
        <w:t>u</w:t>
      </w:r>
      <w:r w:rsidR="00661987">
        <w:t>ired to correct</w:t>
      </w:r>
      <w:r w:rsidR="00120288">
        <w:t>ly</w:t>
      </w:r>
      <w:r w:rsidR="00661987">
        <w:t xml:space="preserve"> appl</w:t>
      </w:r>
      <w:r w:rsidR="00120288">
        <w:t>y</w:t>
      </w:r>
      <w:r w:rsidR="00661987">
        <w:t xml:space="preserve"> </w:t>
      </w:r>
      <w:r w:rsidR="00C85F0B">
        <w:t>an attrition principle to</w:t>
      </w:r>
      <w:r w:rsidR="00661987">
        <w:t xml:space="preserve"> underlying </w:t>
      </w:r>
      <w:r w:rsidR="00C85F0B">
        <w:t xml:space="preserve">attrition </w:t>
      </w:r>
      <w:r w:rsidR="00661987">
        <w:t xml:space="preserve">adjustment data.  </w:t>
      </w:r>
    </w:p>
    <w:p w:rsidR="00B87750" w:rsidRDefault="002924ED" w:rsidP="00B87750">
      <w:pPr>
        <w:pStyle w:val="WUTCParagraph"/>
        <w:tabs>
          <w:tab w:val="clear" w:pos="0"/>
        </w:tabs>
      </w:pPr>
      <w:r>
        <w:t xml:space="preserve">                        </w:t>
      </w:r>
      <w:r w:rsidR="00963560">
        <w:t xml:space="preserve">The Commission has found </w:t>
      </w:r>
      <w:r w:rsidR="001F5847">
        <w:t>a similar request</w:t>
      </w:r>
      <w:r w:rsidR="00963560">
        <w:t xml:space="preserve"> to be </w:t>
      </w:r>
      <w:r w:rsidR="0083059E" w:rsidRPr="0083059E">
        <w:t>proper</w:t>
      </w:r>
      <w:r w:rsidR="00120288">
        <w:t>ly</w:t>
      </w:r>
      <w:r w:rsidR="0083059E" w:rsidRPr="0083059E">
        <w:t xml:space="preserve"> </w:t>
      </w:r>
      <w:r w:rsidR="00963560">
        <w:t>within the scope of a motion for clarification</w:t>
      </w:r>
      <w:r w:rsidR="0083059E">
        <w:t>—as w</w:t>
      </w:r>
      <w:r w:rsidR="00F658A8">
        <w:t>hen</w:t>
      </w:r>
      <w:r w:rsidR="005448D3">
        <w:t xml:space="preserve"> </w:t>
      </w:r>
      <w:r w:rsidR="0083059E" w:rsidRPr="0083059E">
        <w:t xml:space="preserve">the Commission granted a motion for clarification </w:t>
      </w:r>
      <w:r w:rsidR="0083059E">
        <w:t>after</w:t>
      </w:r>
      <w:r w:rsidR="0083059E" w:rsidRPr="0083059E">
        <w:t xml:space="preserve"> </w:t>
      </w:r>
      <w:r w:rsidR="005448D3">
        <w:t>PacifiCorp identified a technical error within an order’s</w:t>
      </w:r>
      <w:r w:rsidR="0083059E">
        <w:t xml:space="preserve"> pro forma interest calculation.</w:t>
      </w:r>
      <w:r w:rsidR="00F658A8" w:rsidRPr="00F658A8">
        <w:rPr>
          <w:u w:val="single"/>
          <w:vertAlign w:val="superscript"/>
        </w:rPr>
        <w:footnoteReference w:id="3"/>
      </w:r>
      <w:proofErr w:type="gramStart"/>
      <w:r w:rsidR="00F658A8" w:rsidRPr="00F658A8">
        <w:rPr>
          <w:vertAlign w:val="superscript"/>
        </w:rPr>
        <w:t>/</w:t>
      </w:r>
      <w:r w:rsidR="005448D3">
        <w:t xml:space="preserve">  </w:t>
      </w:r>
      <w:r w:rsidR="00F658A8">
        <w:t>Upon</w:t>
      </w:r>
      <w:proofErr w:type="gramEnd"/>
      <w:r w:rsidR="00F658A8">
        <w:t xml:space="preserve"> </w:t>
      </w:r>
      <w:r w:rsidR="001F5847">
        <w:t>consideration of</w:t>
      </w:r>
      <w:r w:rsidR="00F658A8">
        <w:t xml:space="preserve"> the same rule section </w:t>
      </w:r>
      <w:r w:rsidR="000930AA">
        <w:t>relied up</w:t>
      </w:r>
      <w:r w:rsidR="00120288">
        <w:t>on by</w:t>
      </w:r>
      <w:r w:rsidR="00F658A8">
        <w:t xml:space="preserve"> this Motion, the Commission increased PacifiCorp’s revenue requirement after holding:  “Remedying the Order’</w:t>
      </w:r>
      <w:r w:rsidR="00F658A8" w:rsidRPr="00F658A8">
        <w:t xml:space="preserve">s calculation of the </w:t>
      </w:r>
      <w:proofErr w:type="spellStart"/>
      <w:r w:rsidR="00F658A8" w:rsidRPr="00F658A8">
        <w:t>Proforma</w:t>
      </w:r>
      <w:proofErr w:type="spellEnd"/>
      <w:r w:rsidR="00F658A8" w:rsidRPr="00F658A8">
        <w:t xml:space="preserve"> Interest Adjustment appears to fall within the scope of the rule.</w:t>
      </w:r>
      <w:r w:rsidR="00F658A8">
        <w:t>”</w:t>
      </w:r>
      <w:r w:rsidR="00F658A8" w:rsidRPr="00F658A8">
        <w:rPr>
          <w:u w:val="single"/>
          <w:vertAlign w:val="superscript"/>
        </w:rPr>
        <w:footnoteReference w:id="4"/>
      </w:r>
      <w:r w:rsidR="00F658A8" w:rsidRPr="00F658A8">
        <w:rPr>
          <w:vertAlign w:val="superscript"/>
        </w:rPr>
        <w:t>/</w:t>
      </w:r>
      <w:r w:rsidR="00F658A8" w:rsidRPr="00F658A8">
        <w:t xml:space="preserve"> </w:t>
      </w:r>
      <w:r w:rsidR="001F5847">
        <w:t xml:space="preserve"> </w:t>
      </w:r>
    </w:p>
    <w:p w:rsidR="00D148A0" w:rsidRDefault="00B87750" w:rsidP="00B87750">
      <w:pPr>
        <w:pStyle w:val="WUTCParagraph"/>
        <w:tabs>
          <w:tab w:val="clear" w:pos="0"/>
        </w:tabs>
      </w:pPr>
      <w:r>
        <w:tab/>
        <w:t>M</w:t>
      </w:r>
      <w:r w:rsidR="001F5847">
        <w:t xml:space="preserve">ore specifically, the Commission granted </w:t>
      </w:r>
      <w:r w:rsidR="0083059E">
        <w:t>a</w:t>
      </w:r>
      <w:r w:rsidR="00F658A8">
        <w:t xml:space="preserve"> </w:t>
      </w:r>
      <w:r>
        <w:t>request that “</w:t>
      </w:r>
      <w:r w:rsidRPr="00B87750">
        <w:t xml:space="preserve">the Order be clarified by correcting the calculation of the </w:t>
      </w:r>
      <w:proofErr w:type="spellStart"/>
      <w:r w:rsidRPr="00B87750">
        <w:t>Proforma</w:t>
      </w:r>
      <w:proofErr w:type="spellEnd"/>
      <w:r w:rsidRPr="00B87750">
        <w:t xml:space="preserve"> Interest Adjustment in accordance w</w:t>
      </w:r>
      <w:r w:rsidR="0083059E">
        <w:t>ith Attachment </w:t>
      </w:r>
      <w:r>
        <w:t>1 to the Company’</w:t>
      </w:r>
      <w:r w:rsidRPr="00B87750">
        <w:t>s Motion.</w:t>
      </w:r>
      <w:r>
        <w:t>”</w:t>
      </w:r>
      <w:r w:rsidRPr="00B87750">
        <w:rPr>
          <w:u w:val="single"/>
          <w:vertAlign w:val="superscript"/>
        </w:rPr>
        <w:footnoteReference w:id="5"/>
      </w:r>
      <w:proofErr w:type="gramStart"/>
      <w:r w:rsidRPr="00B87750">
        <w:rPr>
          <w:vertAlign w:val="superscript"/>
        </w:rPr>
        <w:t>/</w:t>
      </w:r>
      <w:r>
        <w:t xml:space="preserve">  Likewise</w:t>
      </w:r>
      <w:proofErr w:type="gramEnd"/>
      <w:r w:rsidR="00F76B53">
        <w:t>, the Joint Parties request</w:t>
      </w:r>
      <w:r>
        <w:t xml:space="preserve"> that the WUTC clarify Order 05 in these proceedings by correcting the calculation of Avista’s electric attrition adjustment, in accordance with Attachment A to this Motion.  As the Commission also appended PacifiCorp’s motion attachment and incorporated it into </w:t>
      </w:r>
      <w:r w:rsidR="00754222">
        <w:t xml:space="preserve">an </w:t>
      </w:r>
      <w:r>
        <w:t>order</w:t>
      </w:r>
      <w:proofErr w:type="gramStart"/>
      <w:r>
        <w:t>,</w:t>
      </w:r>
      <w:proofErr w:type="gramEnd"/>
      <w:r w:rsidRPr="00B87750">
        <w:rPr>
          <w:u w:val="single"/>
          <w:vertAlign w:val="superscript"/>
        </w:rPr>
        <w:footnoteReference w:id="6"/>
      </w:r>
      <w:r w:rsidRPr="00B87750">
        <w:rPr>
          <w:vertAlign w:val="superscript"/>
        </w:rPr>
        <w:t>/</w:t>
      </w:r>
      <w:r>
        <w:t xml:space="preserve"> </w:t>
      </w:r>
      <w:r w:rsidR="00754222">
        <w:t xml:space="preserve">so too </w:t>
      </w:r>
      <w:r>
        <w:t xml:space="preserve">would </w:t>
      </w:r>
      <w:r w:rsidR="00754222">
        <w:t>it</w:t>
      </w:r>
      <w:r>
        <w:t xml:space="preserve"> be appropriate </w:t>
      </w:r>
      <w:r>
        <w:lastRenderedPageBreak/>
        <w:t xml:space="preserve">for </w:t>
      </w:r>
      <w:r w:rsidR="003E193D">
        <w:t xml:space="preserve">the </w:t>
      </w:r>
      <w:r>
        <w:t xml:space="preserve">Attachment A </w:t>
      </w:r>
      <w:r w:rsidR="003E193D">
        <w:t xml:space="preserve">calculations </w:t>
      </w:r>
      <w:r>
        <w:t xml:space="preserve">to </w:t>
      </w:r>
      <w:r w:rsidR="00754222">
        <w:t xml:space="preserve">this Motion to </w:t>
      </w:r>
      <w:r>
        <w:t xml:space="preserve">be appended and incorporated into an order clarifying and correcting Order 05. </w:t>
      </w:r>
    </w:p>
    <w:p w:rsidR="00E01EEA" w:rsidRDefault="00E01EEA" w:rsidP="00E01EEA">
      <w:pPr>
        <w:spacing w:after="240"/>
        <w:rPr>
          <w:b/>
        </w:rPr>
      </w:pPr>
      <w:r>
        <w:rPr>
          <w:b/>
        </w:rPr>
        <w:t>B.</w:t>
      </w:r>
      <w:r>
        <w:rPr>
          <w:b/>
        </w:rPr>
        <w:tab/>
        <w:t xml:space="preserve">Clarification on Attrition Adjustment Calculations </w:t>
      </w:r>
    </w:p>
    <w:p w:rsidR="001020D8" w:rsidRDefault="00E01EEA" w:rsidP="00E01EEA">
      <w:pPr>
        <w:pStyle w:val="WUTCParagraph"/>
      </w:pPr>
      <w:r>
        <w:tab/>
      </w:r>
      <w:r w:rsidR="00120288" w:rsidRPr="00B570D7">
        <w:t xml:space="preserve">Order 05 states that the Commission accepted Staff’s attrition revenue requirement model, subject to </w:t>
      </w:r>
      <w:r w:rsidR="00120288">
        <w:t xml:space="preserve">a </w:t>
      </w:r>
      <w:r w:rsidR="00120288" w:rsidRPr="00B570D7">
        <w:t>few modifications, as the basis for developing its attrition adjustment.</w:t>
      </w:r>
      <w:r w:rsidR="00120288" w:rsidRPr="008E64BB">
        <w:rPr>
          <w:u w:val="single"/>
          <w:vertAlign w:val="superscript"/>
        </w:rPr>
        <w:footnoteReference w:id="7"/>
      </w:r>
      <w:proofErr w:type="gramStart"/>
      <w:r w:rsidR="00120288" w:rsidRPr="008E64BB">
        <w:rPr>
          <w:vertAlign w:val="superscript"/>
        </w:rPr>
        <w:t>/</w:t>
      </w:r>
      <w:r w:rsidR="00120288" w:rsidRPr="00B570D7">
        <w:t xml:space="preserve">  Staff’s</w:t>
      </w:r>
      <w:proofErr w:type="gramEnd"/>
      <w:r w:rsidR="00120288" w:rsidRPr="00B570D7">
        <w:t xml:space="preserve"> attrition revenue requirement</w:t>
      </w:r>
      <w:r w:rsidR="00120288">
        <w:t xml:space="preserve"> </w:t>
      </w:r>
      <w:r w:rsidR="00120288" w:rsidRPr="00B570D7">
        <w:t xml:space="preserve">supported an </w:t>
      </w:r>
      <w:r w:rsidR="00120288">
        <w:t xml:space="preserve">electric </w:t>
      </w:r>
      <w:r w:rsidR="00120288" w:rsidRPr="00B570D7">
        <w:t>attrition revenue requirement reduc</w:t>
      </w:r>
      <w:r w:rsidR="00F76B53">
        <w:t xml:space="preserve">tion of $6.5 million.  </w:t>
      </w:r>
    </w:p>
    <w:p w:rsidR="008E64BB" w:rsidRDefault="001020D8" w:rsidP="00E01EEA">
      <w:pPr>
        <w:pStyle w:val="WUTCParagraph"/>
      </w:pPr>
      <w:r>
        <w:tab/>
        <w:t>B</w:t>
      </w:r>
      <w:r w:rsidR="00B570D7" w:rsidRPr="00B570D7">
        <w:t xml:space="preserve">ased on </w:t>
      </w:r>
      <w:r w:rsidR="00B570D7">
        <w:t>the adjustments described in</w:t>
      </w:r>
      <w:r w:rsidR="00B570D7" w:rsidRPr="00B570D7">
        <w:t xml:space="preserve"> Order</w:t>
      </w:r>
      <w:r w:rsidR="00B570D7">
        <w:t xml:space="preserve"> 05</w:t>
      </w:r>
      <w:r w:rsidR="00B570D7" w:rsidRPr="00B570D7">
        <w:t xml:space="preserve">, </w:t>
      </w:r>
      <w:r w:rsidR="006E53F9">
        <w:t xml:space="preserve">however, </w:t>
      </w:r>
      <w:r w:rsidR="00F76B53">
        <w:t xml:space="preserve">the </w:t>
      </w:r>
      <w:r w:rsidR="00F76B53" w:rsidRPr="00F76B53">
        <w:t xml:space="preserve">Joint Parties have </w:t>
      </w:r>
      <w:r w:rsidR="00B570D7" w:rsidRPr="00B570D7">
        <w:t xml:space="preserve">calculated an attrition revenue requirement </w:t>
      </w:r>
      <w:r w:rsidR="006E53F9">
        <w:t>reduction of approximately $19.8</w:t>
      </w:r>
      <w:r w:rsidR="00B570D7" w:rsidRPr="00B570D7">
        <w:t xml:space="preserve"> million, which would </w:t>
      </w:r>
      <w:r w:rsidR="008E64BB">
        <w:t>result in a</w:t>
      </w:r>
      <w:r w:rsidR="006E53F9">
        <w:t>n</w:t>
      </w:r>
      <w:r w:rsidR="00B570D7" w:rsidRPr="00B570D7">
        <w:t xml:space="preserve"> </w:t>
      </w:r>
      <w:r w:rsidR="008E64BB">
        <w:t xml:space="preserve">electric </w:t>
      </w:r>
      <w:r w:rsidR="006E53F9">
        <w:t>attrition adjustment of $16.6</w:t>
      </w:r>
      <w:r w:rsidR="00B570D7" w:rsidRPr="00B570D7">
        <w:t xml:space="preserve"> million</w:t>
      </w:r>
      <w:r w:rsidR="00E01EEA">
        <w:t>.</w:t>
      </w:r>
      <w:r w:rsidR="008E64BB">
        <w:t xml:space="preserve"> </w:t>
      </w:r>
      <w:r w:rsidR="00B570D7" w:rsidRPr="00B570D7">
        <w:t xml:space="preserve"> </w:t>
      </w:r>
      <w:r w:rsidR="006E53F9" w:rsidRPr="006E53F9">
        <w:t xml:space="preserve">This is in contrast to the electric revenue requirement of $8.1 million </w:t>
      </w:r>
      <w:r w:rsidR="000930AA">
        <w:t>calculated in</w:t>
      </w:r>
      <w:r w:rsidR="006E53F9" w:rsidRPr="006E53F9">
        <w:t xml:space="preserve"> Order 05, including an attrition allowance of $28.3 million.</w:t>
      </w:r>
      <w:r w:rsidR="006E53F9" w:rsidRPr="006E53F9">
        <w:rPr>
          <w:u w:val="single"/>
          <w:vertAlign w:val="superscript"/>
        </w:rPr>
        <w:footnoteReference w:id="8"/>
      </w:r>
      <w:proofErr w:type="gramStart"/>
      <w:r w:rsidR="006E53F9" w:rsidRPr="006E53F9">
        <w:rPr>
          <w:vertAlign w:val="superscript"/>
        </w:rPr>
        <w:t>/</w:t>
      </w:r>
      <w:r w:rsidR="006E53F9" w:rsidRPr="006E53F9">
        <w:t xml:space="preserve">  </w:t>
      </w:r>
      <w:r w:rsidR="00F76B53">
        <w:t>The</w:t>
      </w:r>
      <w:proofErr w:type="gramEnd"/>
      <w:r w:rsidR="00F76B53">
        <w:t xml:space="preserve"> Joint Parties’</w:t>
      </w:r>
      <w:r w:rsidR="00B570D7">
        <w:t xml:space="preserve"> </w:t>
      </w:r>
      <w:r w:rsidR="00B570D7" w:rsidRPr="00B570D7">
        <w:t>calculation of the attrition revenue requirement</w:t>
      </w:r>
      <w:r w:rsidR="00B570D7">
        <w:t xml:space="preserve"> described in </w:t>
      </w:r>
      <w:r w:rsidR="00B570D7" w:rsidRPr="00B570D7">
        <w:t>Order</w:t>
      </w:r>
      <w:r w:rsidR="00B570D7">
        <w:t xml:space="preserve"> 05</w:t>
      </w:r>
      <w:r w:rsidR="00B570D7" w:rsidRPr="00B570D7">
        <w:t>, including the “step-change” impact of each ordered adjustment</w:t>
      </w:r>
      <w:r w:rsidR="00B570D7">
        <w:t xml:space="preserve">, is </w:t>
      </w:r>
      <w:r w:rsidR="008E64BB">
        <w:t>summarized in Table 1 (</w:t>
      </w:r>
      <w:r w:rsidR="00B570D7" w:rsidRPr="00B570D7">
        <w:t>on a Washington-allocated basis</w:t>
      </w:r>
      <w:r w:rsidR="008E64BB">
        <w:t>)</w:t>
      </w:r>
      <w:r w:rsidR="000B70E9">
        <w:t xml:space="preserve"> and contained fully in Attachment A.</w:t>
      </w:r>
      <w:r w:rsidR="00F76B53" w:rsidRPr="00F76B53">
        <w:t xml:space="preserve"> </w:t>
      </w:r>
      <w:r w:rsidR="00F76B53">
        <w:t xml:space="preserve"> </w:t>
      </w:r>
    </w:p>
    <w:p w:rsidR="008E64BB" w:rsidRDefault="008E64BB" w:rsidP="008E64BB">
      <w:pPr>
        <w:pStyle w:val="WUTCParagraph"/>
        <w:keepNext/>
        <w:numPr>
          <w:ilvl w:val="0"/>
          <w:numId w:val="0"/>
        </w:numPr>
        <w:spacing w:line="240" w:lineRule="auto"/>
        <w:jc w:val="center"/>
        <w:rPr>
          <w:b/>
          <w:u w:val="single"/>
        </w:rPr>
      </w:pPr>
      <w:r>
        <w:rPr>
          <w:b/>
          <w:u w:val="single"/>
        </w:rPr>
        <w:lastRenderedPageBreak/>
        <w:t>Table 1</w:t>
      </w:r>
    </w:p>
    <w:p w:rsidR="008E64BB" w:rsidRDefault="008E64BB" w:rsidP="008E64BB">
      <w:pPr>
        <w:pStyle w:val="WUTCParagraph"/>
        <w:keepNext/>
        <w:numPr>
          <w:ilvl w:val="0"/>
          <w:numId w:val="0"/>
        </w:numPr>
        <w:spacing w:line="240" w:lineRule="auto"/>
        <w:jc w:val="center"/>
        <w:rPr>
          <w:b/>
          <w:u w:val="single"/>
        </w:rPr>
      </w:pPr>
      <w:r>
        <w:rPr>
          <w:b/>
          <w:u w:val="single"/>
        </w:rPr>
        <w:t>Electric Attrition Revenue Requirement Adjustments in Order 05</w:t>
      </w:r>
    </w:p>
    <w:p w:rsidR="008E64BB" w:rsidRDefault="008E64BB" w:rsidP="008E64BB">
      <w:pPr>
        <w:pStyle w:val="WUTCParagraph"/>
        <w:keepNext/>
        <w:numPr>
          <w:ilvl w:val="0"/>
          <w:numId w:val="0"/>
        </w:numPr>
        <w:spacing w:line="240" w:lineRule="auto"/>
        <w:jc w:val="center"/>
        <w:rPr>
          <w:b/>
          <w:u w:val="single"/>
        </w:rPr>
      </w:pPr>
    </w:p>
    <w:p w:rsidR="000B70E9" w:rsidRDefault="00E924D7" w:rsidP="005F4257">
      <w:pPr>
        <w:pStyle w:val="WUTCParagraph"/>
        <w:keepNext/>
        <w:numPr>
          <w:ilvl w:val="0"/>
          <w:numId w:val="0"/>
        </w:numPr>
        <w:spacing w:line="240" w:lineRule="auto"/>
        <w:jc w:val="center"/>
      </w:pPr>
      <w:r>
        <w:rPr>
          <w:noProof/>
        </w:rPr>
        <w:drawing>
          <wp:inline distT="0" distB="0" distL="0" distR="0" wp14:anchorId="5049E053" wp14:editId="3D2FAC3D">
            <wp:extent cx="3705225" cy="3057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3057525"/>
                    </a:xfrm>
                    <a:prstGeom prst="rect">
                      <a:avLst/>
                    </a:prstGeom>
                    <a:noFill/>
                    <a:ln>
                      <a:noFill/>
                    </a:ln>
                  </pic:spPr>
                </pic:pic>
              </a:graphicData>
            </a:graphic>
          </wp:inline>
        </w:drawing>
      </w:r>
    </w:p>
    <w:p w:rsidR="005F4257" w:rsidRDefault="005F4257" w:rsidP="005F4257">
      <w:pPr>
        <w:pStyle w:val="WUTCParagraph"/>
        <w:keepNext/>
        <w:numPr>
          <w:ilvl w:val="0"/>
          <w:numId w:val="0"/>
        </w:numPr>
        <w:spacing w:line="240" w:lineRule="auto"/>
        <w:jc w:val="center"/>
      </w:pPr>
    </w:p>
    <w:p w:rsidR="000B70E9" w:rsidRDefault="00E83FD3" w:rsidP="00E83FD3">
      <w:pPr>
        <w:pStyle w:val="WUTCParagraph"/>
        <w:numPr>
          <w:ilvl w:val="0"/>
          <w:numId w:val="2"/>
        </w:numPr>
        <w:spacing w:after="120" w:line="240" w:lineRule="auto"/>
        <w:ind w:left="778"/>
      </w:pPr>
      <w:r w:rsidRPr="00E83FD3">
        <w:rPr>
          <w:b/>
        </w:rPr>
        <w:t>Distribution Plant Escalation.</w:t>
      </w:r>
      <w:r w:rsidRPr="00E83FD3">
        <w:t xml:space="preserve">   The first adjustment to Staff’s attrition model was to exclude any escalation of capital investments in distribution plant.</w:t>
      </w:r>
      <w:r w:rsidRPr="00E83FD3">
        <w:rPr>
          <w:u w:val="single"/>
          <w:vertAlign w:val="superscript"/>
        </w:rPr>
        <w:footnoteReference w:id="9"/>
      </w:r>
      <w:proofErr w:type="gramStart"/>
      <w:r w:rsidRPr="00E83FD3">
        <w:rPr>
          <w:vertAlign w:val="superscript"/>
        </w:rPr>
        <w:t>/</w:t>
      </w:r>
      <w:r w:rsidRPr="00E83FD3">
        <w:t xml:space="preserve">  Removing</w:t>
      </w:r>
      <w:proofErr w:type="gramEnd"/>
      <w:r w:rsidRPr="00E83FD3">
        <w:t xml:space="preserve"> the escalation factors applicable to distribution plant</w:t>
      </w:r>
      <w:r w:rsidR="003D11E4" w:rsidRPr="003D11E4">
        <w:t xml:space="preserve"> from Staff’s attrition model</w:t>
      </w:r>
      <w:r w:rsidR="003D11E4">
        <w:t>, as well as</w:t>
      </w:r>
      <w:r w:rsidRPr="00E83FD3">
        <w:t xml:space="preserve"> associated depreciation reserves, results in a $4.7 million incremental reduction to attrition revenue requirement.  </w:t>
      </w:r>
    </w:p>
    <w:p w:rsidR="00E83FD3" w:rsidRDefault="00E83FD3" w:rsidP="00E83FD3">
      <w:pPr>
        <w:pStyle w:val="WUTCParagraph"/>
        <w:numPr>
          <w:ilvl w:val="0"/>
          <w:numId w:val="2"/>
        </w:numPr>
        <w:spacing w:line="240" w:lineRule="auto"/>
        <w:ind w:left="778"/>
      </w:pPr>
      <w:r w:rsidRPr="00E83FD3">
        <w:rPr>
          <w:b/>
        </w:rPr>
        <w:t>Operations &amp; Maintenance Expense Escalation.</w:t>
      </w:r>
      <w:r w:rsidRPr="00E83FD3">
        <w:t xml:space="preserve">  The second adjustment to Staff’s attrition model was to increase the per annum escalation factor applied for operations and maintenance (</w:t>
      </w:r>
      <w:r>
        <w:t>“</w:t>
      </w:r>
      <w:r w:rsidRPr="00E83FD3">
        <w:t>O&amp;M</w:t>
      </w:r>
      <w:r>
        <w:t>”</w:t>
      </w:r>
      <w:r w:rsidRPr="00E83FD3">
        <w:t>) expenses from 2.42% to 3.21%.</w:t>
      </w:r>
      <w:r w:rsidRPr="00E83FD3">
        <w:rPr>
          <w:u w:val="single"/>
          <w:vertAlign w:val="superscript"/>
        </w:rPr>
        <w:footnoteReference w:id="10"/>
      </w:r>
      <w:proofErr w:type="gramStart"/>
      <w:r w:rsidRPr="00E83FD3">
        <w:rPr>
          <w:vertAlign w:val="superscript"/>
        </w:rPr>
        <w:t>/</w:t>
      </w:r>
      <w:r>
        <w:t xml:space="preserve"> </w:t>
      </w:r>
      <w:r w:rsidRPr="00E83FD3">
        <w:t xml:space="preserve"> Applying</w:t>
      </w:r>
      <w:proofErr w:type="gramEnd"/>
      <w:r w:rsidRPr="00E83FD3">
        <w:t xml:space="preserve"> this updated factor</w:t>
      </w:r>
      <w:r w:rsidR="00D27010" w:rsidRPr="00D27010">
        <w:t xml:space="preserve"> to the Staff attrition model</w:t>
      </w:r>
      <w:r w:rsidRPr="00E83FD3">
        <w:t xml:space="preserve">, which equates to </w:t>
      </w:r>
      <w:r w:rsidR="003E193D">
        <w:t>6.42%</w:t>
      </w:r>
      <w:r w:rsidRPr="00E83FD3">
        <w:t xml:space="preserve"> biennial escalation, produces an incremental increase to attrition revenue requirement of $2.2 million.  </w:t>
      </w:r>
    </w:p>
    <w:p w:rsidR="00E83FD3" w:rsidRDefault="00E83FD3" w:rsidP="00E83FD3">
      <w:pPr>
        <w:pStyle w:val="WUTCParagraph"/>
        <w:numPr>
          <w:ilvl w:val="0"/>
          <w:numId w:val="2"/>
        </w:numPr>
        <w:spacing w:before="120" w:after="120" w:line="240" w:lineRule="auto"/>
        <w:ind w:left="778"/>
      </w:pPr>
      <w:r w:rsidRPr="00E83FD3">
        <w:rPr>
          <w:b/>
        </w:rPr>
        <w:t xml:space="preserve">Project Compass.  </w:t>
      </w:r>
      <w:r w:rsidRPr="00E83FD3">
        <w:t xml:space="preserve">The third adjustment to Staff’s attrition model </w:t>
      </w:r>
      <w:r>
        <w:t xml:space="preserve">represents </w:t>
      </w:r>
      <w:r w:rsidRPr="00E83FD3">
        <w:t>the Commission’s rejection of Staff’s prudence challenge on Project Compass.</w:t>
      </w:r>
      <w:r w:rsidRPr="00E83FD3">
        <w:rPr>
          <w:u w:val="single"/>
          <w:vertAlign w:val="superscript"/>
        </w:rPr>
        <w:footnoteReference w:id="11"/>
      </w:r>
      <w:proofErr w:type="gramStart"/>
      <w:r w:rsidRPr="00E83FD3">
        <w:rPr>
          <w:vertAlign w:val="superscript"/>
        </w:rPr>
        <w:t>/</w:t>
      </w:r>
      <w:r w:rsidRPr="00E83FD3">
        <w:t xml:space="preserve">  Relying</w:t>
      </w:r>
      <w:proofErr w:type="gramEnd"/>
      <w:r w:rsidRPr="00E83FD3">
        <w:t xml:space="preserve"> on the post-attrition adjustment used by the Company in its rebuttal filing, </w:t>
      </w:r>
      <w:r w:rsidR="008F2222">
        <w:t>therefore</w:t>
      </w:r>
      <w:r w:rsidRPr="00E83FD3">
        <w:t>, results in an increase to revenue r</w:t>
      </w:r>
      <w:r w:rsidR="003E193D">
        <w:t>equirement of approximately $1.4</w:t>
      </w:r>
      <w:r w:rsidRPr="00E83FD3">
        <w:t xml:space="preserve"> million.  </w:t>
      </w:r>
    </w:p>
    <w:p w:rsidR="008F2222" w:rsidRDefault="008F2222" w:rsidP="008F2222">
      <w:pPr>
        <w:pStyle w:val="WUTCParagraph"/>
        <w:numPr>
          <w:ilvl w:val="0"/>
          <w:numId w:val="2"/>
        </w:numPr>
        <w:spacing w:before="120" w:after="240" w:line="240" w:lineRule="auto"/>
        <w:ind w:left="778"/>
      </w:pPr>
      <w:r w:rsidRPr="008F2222">
        <w:rPr>
          <w:b/>
        </w:rPr>
        <w:t>Power Supply Update.</w:t>
      </w:r>
      <w:r w:rsidRPr="008F2222">
        <w:t xml:space="preserve">  Pursuant to the terms of the </w:t>
      </w:r>
      <w:r w:rsidR="00D27010">
        <w:t xml:space="preserve">approved </w:t>
      </w:r>
      <w:r w:rsidRPr="008F2222">
        <w:t>multiparty settlement stipulation, the Company was to update its power supply two months prior to when new electric rates from this proceeding were to go into effect.</w:t>
      </w:r>
      <w:r w:rsidRPr="008F2222">
        <w:rPr>
          <w:u w:val="single"/>
          <w:vertAlign w:val="superscript"/>
        </w:rPr>
        <w:footnoteReference w:id="12"/>
      </w:r>
      <w:proofErr w:type="gramStart"/>
      <w:r w:rsidRPr="008F2222">
        <w:rPr>
          <w:vertAlign w:val="superscript"/>
        </w:rPr>
        <w:t>/</w:t>
      </w:r>
      <w:r w:rsidRPr="008F2222">
        <w:t xml:space="preserve">  That</w:t>
      </w:r>
      <w:proofErr w:type="gramEnd"/>
      <w:r w:rsidRPr="008F2222">
        <w:t xml:space="preserve"> update occurred on October </w:t>
      </w:r>
      <w:r w:rsidR="00F76B53">
        <w:t>29</w:t>
      </w:r>
      <w:r w:rsidRPr="008F2222">
        <w:t>, 2015, and resulted in an incremental $12.3 million r</w:t>
      </w:r>
      <w:r w:rsidR="00D27010">
        <w:t xml:space="preserve">eduction to revenue </w:t>
      </w:r>
      <w:r w:rsidR="00D27010">
        <w:lastRenderedPageBreak/>
        <w:t>requirement</w:t>
      </w:r>
      <w:r w:rsidRPr="008F2222">
        <w:rPr>
          <w:u w:val="single"/>
          <w:vertAlign w:val="superscript"/>
        </w:rPr>
        <w:footnoteReference w:id="13"/>
      </w:r>
      <w:r w:rsidRPr="008F2222">
        <w:rPr>
          <w:vertAlign w:val="superscript"/>
        </w:rPr>
        <w:t>/</w:t>
      </w:r>
      <w:r w:rsidR="00D27010">
        <w:t>—</w:t>
      </w:r>
      <w:r w:rsidRPr="008F2222">
        <w:t xml:space="preserve">a reduction which was not reflected </w:t>
      </w:r>
      <w:r w:rsidR="00F76B53">
        <w:t xml:space="preserve">in </w:t>
      </w:r>
      <w:r w:rsidRPr="008F2222">
        <w:t>the attrition models prese</w:t>
      </w:r>
      <w:r w:rsidR="00F76B53">
        <w:t>nted by Staff and the Company at</w:t>
      </w:r>
      <w:r w:rsidRPr="008F2222">
        <w:t xml:space="preserve"> the hearing.</w:t>
      </w:r>
      <w:r w:rsidR="003E193D">
        <w:t xml:space="preserve"> </w:t>
      </w:r>
      <w:r w:rsidR="003E193D" w:rsidRPr="003E193D">
        <w:t xml:space="preserve"> As discussed in Note 1 of Attachment A, it appears that the Company’s power supply update did not include the 2016 power supply cost data necessary to properly incorporate the update into Staff’s attrition model.  Accordingly, the Joint Parties believe that the $12.3 million reduction detailed in the Company’s update filing should have been applied as a discrete adjustment outside of the attrition model.</w:t>
      </w:r>
      <w:r>
        <w:t xml:space="preserve">  </w:t>
      </w:r>
      <w:bookmarkStart w:id="2" w:name="_GoBack"/>
      <w:bookmarkEnd w:id="2"/>
    </w:p>
    <w:p w:rsidR="00E01EEA" w:rsidRDefault="000B70E9" w:rsidP="000B70E9">
      <w:pPr>
        <w:pStyle w:val="WUTCParagraph"/>
      </w:pPr>
      <w:r>
        <w:tab/>
      </w:r>
      <w:r w:rsidR="00D27010">
        <w:t>In sum, by u</w:t>
      </w:r>
      <w:r w:rsidR="008F2222">
        <w:t>sing</w:t>
      </w:r>
      <w:r w:rsidR="008F2222" w:rsidRPr="008F2222">
        <w:t xml:space="preserve"> Staff’s attrition model</w:t>
      </w:r>
      <w:r w:rsidR="008F2222">
        <w:t>,</w:t>
      </w:r>
      <w:r w:rsidR="008F2222" w:rsidRPr="008F2222">
        <w:t xml:space="preserve"> and </w:t>
      </w:r>
      <w:r w:rsidR="008F2222">
        <w:t xml:space="preserve">then properly accounting for </w:t>
      </w:r>
      <w:r w:rsidR="008F2222" w:rsidRPr="008F2222">
        <w:t>the four incremental adjustments detailed above</w:t>
      </w:r>
      <w:r w:rsidR="00DF5C38">
        <w:t xml:space="preserve"> and in Attachment A</w:t>
      </w:r>
      <w:r w:rsidR="008F2222" w:rsidRPr="008F2222">
        <w:t xml:space="preserve">, </w:t>
      </w:r>
      <w:r w:rsidR="00F76B53">
        <w:t>the Joint Parties request</w:t>
      </w:r>
      <w:r w:rsidR="00DF5C38">
        <w:t xml:space="preserve"> clarification of Order 05</w:t>
      </w:r>
      <w:r w:rsidR="008F2222" w:rsidRPr="008F2222">
        <w:t xml:space="preserve"> to </w:t>
      </w:r>
      <w:r w:rsidR="00931F75">
        <w:t>properly</w:t>
      </w:r>
      <w:r w:rsidR="00DF5C38">
        <w:t xml:space="preserve"> reflect </w:t>
      </w:r>
      <w:r w:rsidR="008F2222" w:rsidRPr="008F2222">
        <w:t>a</w:t>
      </w:r>
      <w:r w:rsidR="00DF5C38">
        <w:t>n electric</w:t>
      </w:r>
      <w:r w:rsidR="008F2222" w:rsidRPr="008F2222">
        <w:t xml:space="preserve"> revenue requirement </w:t>
      </w:r>
      <w:r w:rsidR="003E193D">
        <w:t>reduction of approximately $19.8</w:t>
      </w:r>
      <w:r w:rsidR="008F2222" w:rsidRPr="008F2222">
        <w:t xml:space="preserve"> million, inclusive of an attrition </w:t>
      </w:r>
      <w:r w:rsidR="00DF5C38">
        <w:t>adjustment</w:t>
      </w:r>
      <w:r w:rsidR="008F2222" w:rsidRPr="008F2222">
        <w:t xml:space="preserve"> of approximate</w:t>
      </w:r>
      <w:r w:rsidR="003E193D">
        <w:t>ly $16.6</w:t>
      </w:r>
      <w:r w:rsidR="008F2222" w:rsidRPr="008F2222">
        <w:t xml:space="preserve"> million</w:t>
      </w:r>
      <w:r w:rsidR="00DF5C38">
        <w:t>.</w:t>
      </w:r>
      <w:r w:rsidR="00B570D7" w:rsidRPr="00B570D7">
        <w:t xml:space="preserve">    </w:t>
      </w:r>
    </w:p>
    <w:p w:rsidR="001C3EF3" w:rsidRPr="00F20F44" w:rsidRDefault="003E633A" w:rsidP="003E633A">
      <w:pPr>
        <w:pStyle w:val="WUTCParagraph"/>
        <w:numPr>
          <w:ilvl w:val="0"/>
          <w:numId w:val="0"/>
        </w:numPr>
        <w:tabs>
          <w:tab w:val="left" w:pos="720"/>
        </w:tabs>
        <w:rPr>
          <w:b/>
        </w:rPr>
      </w:pPr>
      <w:r>
        <w:rPr>
          <w:b/>
        </w:rPr>
        <w:t>C.</w:t>
      </w:r>
      <w:r>
        <w:rPr>
          <w:b/>
        </w:rPr>
        <w:tab/>
      </w:r>
      <w:r w:rsidR="001C3EF3" w:rsidRPr="00F20F44">
        <w:rPr>
          <w:b/>
        </w:rPr>
        <w:t>Correction of Footnote 72</w:t>
      </w:r>
    </w:p>
    <w:p w:rsidR="001C3EF3" w:rsidRPr="00E01EEA" w:rsidRDefault="001C3EF3" w:rsidP="000B70E9">
      <w:pPr>
        <w:pStyle w:val="WUTCParagraph"/>
      </w:pPr>
      <w:r>
        <w:tab/>
        <w:t>Order 05 states in Footnote 72 that Public Counsel supported the settlement in Avista’s 2012 general rate case, Dockets UE-120436 and UG-120437</w:t>
      </w:r>
      <w:r w:rsidR="006C3F1E">
        <w:t>.  The reference to Public Counsel is in error as Public Counsel opposed the multiparty settlement filed in those dockets.</w:t>
      </w:r>
      <w:r w:rsidR="006C3F1E" w:rsidRPr="00EC6E9C">
        <w:rPr>
          <w:rStyle w:val="FootnoteReference"/>
          <w:u w:val="single"/>
        </w:rPr>
        <w:footnoteReference w:id="14"/>
      </w:r>
      <w:proofErr w:type="gramStart"/>
      <w:r w:rsidR="00EC6E9C">
        <w:rPr>
          <w:vertAlign w:val="superscript"/>
        </w:rPr>
        <w:t>/</w:t>
      </w:r>
      <w:r w:rsidR="006C3F1E">
        <w:t xml:space="preserve">  As</w:t>
      </w:r>
      <w:proofErr w:type="gramEnd"/>
      <w:r w:rsidR="006C3F1E">
        <w:t xml:space="preserve"> a result, the reference to Public Counsel should be deleted from the footnote.</w:t>
      </w:r>
    </w:p>
    <w:p w:rsidR="00F53CC2" w:rsidRDefault="00F53CC2" w:rsidP="008F2222">
      <w:pPr>
        <w:spacing w:after="240"/>
        <w:jc w:val="center"/>
        <w:rPr>
          <w:b/>
        </w:rPr>
      </w:pPr>
      <w:r>
        <w:rPr>
          <w:b/>
        </w:rPr>
        <w:t>III.</w:t>
      </w:r>
      <w:r>
        <w:rPr>
          <w:b/>
        </w:rPr>
        <w:tab/>
        <w:t>CONCLUSION</w:t>
      </w:r>
    </w:p>
    <w:p w:rsidR="000F5DA9" w:rsidRPr="00882B22" w:rsidRDefault="000F5DA9" w:rsidP="00882B22">
      <w:pPr>
        <w:pStyle w:val="WUTCParagraph"/>
      </w:pPr>
      <w:r>
        <w:tab/>
      </w:r>
      <w:r w:rsidR="005F4257">
        <w:t xml:space="preserve">Through this Motion, the Joint Parties neither challenge nor endorse the Staff attrition methodology explicitly adopted by the Commission in Order 05.  </w:t>
      </w:r>
      <w:r>
        <w:t xml:space="preserve">For the reasons contained in this Motion and in accordance with the calculations shown in Attachment A, </w:t>
      </w:r>
      <w:r w:rsidR="005F4257">
        <w:t>the Joint Parties respectfully move</w:t>
      </w:r>
      <w:r>
        <w:t xml:space="preserve"> the</w:t>
      </w:r>
      <w:r w:rsidR="00F76B53">
        <w:t xml:space="preserve"> Commission for clarification of</w:t>
      </w:r>
      <w:r>
        <w:t xml:space="preserve"> Order 05, including technical calculation changes necessary to correct the application of principle to data, or to correct patent calculation error in Avista’s electric attrition adjustment.</w:t>
      </w:r>
      <w:r w:rsidR="00AD7003">
        <w:t xml:space="preserve">  Additionally, reference to Public Counsel should be deleted from Footnote 72 to correct a patent error.</w:t>
      </w:r>
    </w:p>
    <w:p w:rsidR="00C879A0" w:rsidRDefault="00C879A0" w:rsidP="00C879A0">
      <w:pPr>
        <w:keepNext/>
        <w:spacing w:line="480" w:lineRule="auto"/>
        <w:ind w:firstLine="1440"/>
      </w:pPr>
      <w:proofErr w:type="gramStart"/>
      <w:r>
        <w:lastRenderedPageBreak/>
        <w:t xml:space="preserve">Dated this </w:t>
      </w:r>
      <w:r w:rsidR="003A7219">
        <w:t>19</w:t>
      </w:r>
      <w:r w:rsidR="00DE2AC9">
        <w:t>th</w:t>
      </w:r>
      <w:r>
        <w:t xml:space="preserve"> day of </w:t>
      </w:r>
      <w:r w:rsidR="003A7219">
        <w:t>Jan</w:t>
      </w:r>
      <w:r w:rsidR="00DB1AE8">
        <w:t>uary</w:t>
      </w:r>
      <w:r>
        <w:t>, 201</w:t>
      </w:r>
      <w:r w:rsidR="003A7219">
        <w:t>6</w:t>
      </w:r>
      <w:r>
        <w:t>.</w:t>
      </w:r>
      <w:proofErr w:type="gramEnd"/>
    </w:p>
    <w:p w:rsidR="00C879A0" w:rsidRDefault="00C879A0" w:rsidP="00C879A0">
      <w:pPr>
        <w:keepNext/>
        <w:spacing w:line="480" w:lineRule="auto"/>
        <w:ind w:left="2880" w:firstLine="720"/>
      </w:pPr>
      <w:r>
        <w:t>Respectfully submitted,</w:t>
      </w:r>
    </w:p>
    <w:p w:rsidR="00C879A0" w:rsidRDefault="00C879A0" w:rsidP="00C879A0">
      <w:pPr>
        <w:keepNext/>
        <w:spacing w:line="480" w:lineRule="auto"/>
        <w:ind w:firstLine="3600"/>
      </w:pPr>
      <w:r>
        <w:t>DAVISON VAN CLEVE, P.C.</w:t>
      </w:r>
    </w:p>
    <w:p w:rsidR="00C879A0" w:rsidRDefault="00C879A0" w:rsidP="00C879A0">
      <w:pPr>
        <w:keepNext/>
        <w:ind w:firstLine="3600"/>
      </w:pPr>
    </w:p>
    <w:p w:rsidR="00C879A0" w:rsidRPr="00200EE5" w:rsidRDefault="00C879A0" w:rsidP="00C879A0">
      <w:pPr>
        <w:keepNext/>
        <w:ind w:firstLine="3600"/>
        <w:rPr>
          <w:u w:val="single"/>
        </w:rPr>
      </w:pPr>
      <w:r>
        <w:rPr>
          <w:i/>
          <w:u w:val="single"/>
        </w:rPr>
        <w:t xml:space="preserve">/s/ </w:t>
      </w:r>
      <w:r w:rsidR="00AA36AD" w:rsidRPr="00AA36AD">
        <w:rPr>
          <w:i/>
          <w:u w:val="single"/>
        </w:rPr>
        <w:t>Jesse E. Cowell</w:t>
      </w:r>
    </w:p>
    <w:p w:rsidR="00C879A0" w:rsidRDefault="00A13BE0" w:rsidP="00C879A0">
      <w:pPr>
        <w:keepNext/>
        <w:ind w:firstLine="3600"/>
      </w:pPr>
      <w:r>
        <w:t>Jesse E. Cowell</w:t>
      </w:r>
    </w:p>
    <w:p w:rsidR="00C879A0" w:rsidRDefault="00C879A0" w:rsidP="00C879A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C879A0" w:rsidRDefault="00C879A0" w:rsidP="00C879A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C879A0" w:rsidRDefault="00C879A0" w:rsidP="00C879A0">
      <w:pPr>
        <w:keepNext/>
        <w:ind w:firstLine="3600"/>
      </w:pPr>
      <w:r>
        <w:t xml:space="preserve">(503) 241-7242 </w:t>
      </w:r>
      <w:r w:rsidR="00E708AD">
        <w:t>(</w:t>
      </w:r>
      <w:r>
        <w:t>telephone</w:t>
      </w:r>
      <w:r w:rsidR="00E708AD">
        <w:t>)</w:t>
      </w:r>
    </w:p>
    <w:p w:rsidR="00C879A0" w:rsidRDefault="00C879A0" w:rsidP="00C879A0">
      <w:pPr>
        <w:keepNext/>
        <w:ind w:firstLine="3600"/>
      </w:pPr>
      <w:r>
        <w:t xml:space="preserve">(503) 241-8160 </w:t>
      </w:r>
      <w:r w:rsidR="00E708AD">
        <w:t>(</w:t>
      </w:r>
      <w:r>
        <w:t>facsimile</w:t>
      </w:r>
      <w:r w:rsidR="00E708AD">
        <w:t>)</w:t>
      </w:r>
    </w:p>
    <w:p w:rsidR="00C879A0" w:rsidRDefault="00A13BE0" w:rsidP="00C879A0">
      <w:pPr>
        <w:ind w:left="2912" w:firstLine="688"/>
      </w:pPr>
      <w:r>
        <w:t>jec</w:t>
      </w:r>
      <w:r w:rsidR="00C879A0">
        <w:t>@dvclaw.com</w:t>
      </w:r>
    </w:p>
    <w:p w:rsidR="00C879A0" w:rsidRDefault="00C879A0" w:rsidP="00C879A0">
      <w:pPr>
        <w:ind w:left="3600"/>
      </w:pPr>
      <w:r>
        <w:t xml:space="preserve">Of Attorneys for </w:t>
      </w:r>
      <w:r w:rsidR="008360F3">
        <w:t>the Industrial Customers</w:t>
      </w:r>
    </w:p>
    <w:p w:rsidR="008360F3" w:rsidRDefault="008360F3" w:rsidP="00C879A0">
      <w:pPr>
        <w:ind w:left="3600"/>
      </w:pPr>
      <w:proofErr w:type="gramStart"/>
      <w:r>
        <w:t>of</w:t>
      </w:r>
      <w:proofErr w:type="gramEnd"/>
      <w:r>
        <w:t xml:space="preserve"> Northwest Utilities</w:t>
      </w:r>
    </w:p>
    <w:p w:rsidR="00E708AD" w:rsidRDefault="00E708AD" w:rsidP="00C879A0">
      <w:pPr>
        <w:ind w:left="3600"/>
      </w:pPr>
    </w:p>
    <w:p w:rsidR="00E708AD" w:rsidRPr="00200EE5" w:rsidRDefault="00E708AD" w:rsidP="00E708AD">
      <w:pPr>
        <w:keepNext/>
        <w:ind w:firstLine="3600"/>
        <w:rPr>
          <w:u w:val="single"/>
        </w:rPr>
      </w:pPr>
      <w:r>
        <w:rPr>
          <w:i/>
          <w:u w:val="single"/>
        </w:rPr>
        <w:t>/s/ Lisa W. Gafken</w:t>
      </w:r>
    </w:p>
    <w:p w:rsidR="00E708AD" w:rsidRDefault="00E708AD" w:rsidP="00E708AD">
      <w:pPr>
        <w:keepNext/>
        <w:ind w:firstLine="3600"/>
      </w:pPr>
      <w:r>
        <w:t>Lisa W. Gafken</w:t>
      </w:r>
    </w:p>
    <w:p w:rsidR="00E708AD" w:rsidRDefault="00E708AD" w:rsidP="00E708AD">
      <w:pPr>
        <w:keepNext/>
        <w:ind w:firstLine="3600"/>
      </w:pPr>
      <w:r>
        <w:t>Attorney General of Washington</w:t>
      </w:r>
    </w:p>
    <w:p w:rsidR="00E708AD" w:rsidRDefault="00E708AD" w:rsidP="00E708AD">
      <w:pPr>
        <w:keepNext/>
        <w:ind w:firstLine="3600"/>
      </w:pPr>
      <w:r>
        <w:t xml:space="preserve">Public Counsel </w:t>
      </w:r>
      <w:r w:rsidR="00AD7003">
        <w:t>Unit</w:t>
      </w:r>
    </w:p>
    <w:p w:rsidR="00E708AD" w:rsidRDefault="00E708AD" w:rsidP="00E708AD">
      <w:pPr>
        <w:keepNext/>
        <w:ind w:firstLine="3600"/>
      </w:pPr>
      <w:r>
        <w:t>800 5</w:t>
      </w:r>
      <w:r w:rsidRPr="00E708AD">
        <w:rPr>
          <w:vertAlign w:val="superscript"/>
        </w:rPr>
        <w:t>th</w:t>
      </w:r>
      <w:r>
        <w:t xml:space="preserve"> Ave., Suite 2000</w:t>
      </w:r>
    </w:p>
    <w:p w:rsidR="00E708AD" w:rsidRDefault="00E708AD" w:rsidP="00E708AD">
      <w:pPr>
        <w:keepNext/>
        <w:ind w:firstLine="3600"/>
      </w:pPr>
      <w:r>
        <w:t>Seattle, WA 98104-3188</w:t>
      </w:r>
    </w:p>
    <w:p w:rsidR="00E708AD" w:rsidRDefault="00E708AD" w:rsidP="00E708AD">
      <w:pPr>
        <w:keepNext/>
        <w:ind w:firstLine="3600"/>
      </w:pPr>
      <w:r>
        <w:t>(206) 464-6595 (telephone)</w:t>
      </w:r>
    </w:p>
    <w:p w:rsidR="00E708AD" w:rsidRDefault="00E708AD" w:rsidP="00E708AD">
      <w:pPr>
        <w:keepNext/>
        <w:ind w:firstLine="3600"/>
      </w:pPr>
      <w:r>
        <w:t>(206) 464-6451 (facsimile)</w:t>
      </w:r>
    </w:p>
    <w:p w:rsidR="00E708AD" w:rsidRDefault="00E708AD" w:rsidP="00E708AD">
      <w:pPr>
        <w:ind w:left="2912" w:firstLine="688"/>
      </w:pPr>
      <w:r>
        <w:t>Lisaw4@atg.wa.gov</w:t>
      </w:r>
    </w:p>
    <w:p w:rsidR="00E708AD" w:rsidRDefault="00E708AD" w:rsidP="00E708AD">
      <w:pPr>
        <w:ind w:left="3600"/>
      </w:pPr>
    </w:p>
    <w:p w:rsidR="00E708AD" w:rsidRDefault="00E708AD" w:rsidP="00C879A0">
      <w:pPr>
        <w:ind w:left="3600"/>
      </w:pPr>
    </w:p>
    <w:p w:rsidR="00C879A0" w:rsidRDefault="00C879A0" w:rsidP="00C879A0">
      <w:pPr>
        <w:pStyle w:val="Heading1"/>
      </w:pPr>
    </w:p>
    <w:p w:rsidR="001C6437" w:rsidRDefault="001C6437" w:rsidP="00DE2AC9">
      <w:pPr>
        <w:pStyle w:val="WUTCParagraph"/>
        <w:numPr>
          <w:ilvl w:val="0"/>
          <w:numId w:val="0"/>
        </w:numPr>
        <w:spacing w:before="240"/>
      </w:pPr>
    </w:p>
    <w:p w:rsidR="00191FA8" w:rsidRDefault="00191FA8" w:rsidP="00DE2AC9">
      <w:pPr>
        <w:pStyle w:val="WUTCParagraph"/>
        <w:numPr>
          <w:ilvl w:val="0"/>
          <w:numId w:val="0"/>
        </w:numPr>
        <w:spacing w:before="240"/>
      </w:pPr>
    </w:p>
    <w:p w:rsidR="00191FA8" w:rsidRDefault="00191FA8" w:rsidP="00C10919">
      <w:pPr>
        <w:pStyle w:val="WUTCParagraph"/>
        <w:numPr>
          <w:ilvl w:val="0"/>
          <w:numId w:val="0"/>
        </w:numPr>
        <w:spacing w:before="240"/>
      </w:pPr>
    </w:p>
    <w:sectPr w:rsidR="00191FA8" w:rsidSect="000040B0">
      <w:footerReference w:type="default" r:id="rId10"/>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36" w:rsidRDefault="00D72736" w:rsidP="00C879A0">
      <w:r>
        <w:separator/>
      </w:r>
    </w:p>
  </w:endnote>
  <w:endnote w:type="continuationSeparator" w:id="0">
    <w:p w:rsidR="00D72736" w:rsidRDefault="00D72736"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18334"/>
      <w:docPartObj>
        <w:docPartGallery w:val="Page Numbers (Bottom of Page)"/>
        <w:docPartUnique/>
      </w:docPartObj>
    </w:sdtPr>
    <w:sdtEndPr>
      <w:rPr>
        <w:noProof/>
      </w:rPr>
    </w:sdtEndPr>
    <w:sdtContent>
      <w:p w:rsidR="000040B0" w:rsidRDefault="000040B0">
        <w:pPr>
          <w:pStyle w:val="Footer"/>
        </w:pPr>
        <w:r>
          <w:t xml:space="preserve">PAGE </w:t>
        </w:r>
        <w:r>
          <w:fldChar w:fldCharType="begin"/>
        </w:r>
        <w:r>
          <w:instrText xml:space="preserve"> PAGE   \* MERGEFORMAT </w:instrText>
        </w:r>
        <w:r>
          <w:fldChar w:fldCharType="separate"/>
        </w:r>
        <w:r w:rsidR="003E633A">
          <w:rPr>
            <w:noProof/>
          </w:rPr>
          <w:t>5</w:t>
        </w:r>
        <w:r>
          <w:rPr>
            <w:noProof/>
          </w:rPr>
          <w:fldChar w:fldCharType="end"/>
        </w:r>
        <w:r>
          <w:rPr>
            <w:noProof/>
          </w:rPr>
          <w:t xml:space="preserve"> – JOINT MOTION FOR CLARIFICATION OF ICNU AND PUBLIC COUNSEL</w:t>
        </w:r>
      </w:p>
    </w:sdtContent>
  </w:sdt>
  <w:p w:rsidR="000040B0" w:rsidRDefault="000040B0" w:rsidP="000040B0">
    <w:pPr>
      <w:jc w:val="center"/>
      <w:rPr>
        <w:sz w:val="15"/>
        <w:szCs w:val="15"/>
      </w:rPr>
    </w:pPr>
  </w:p>
  <w:p w:rsidR="000040B0" w:rsidRPr="00637CF0" w:rsidRDefault="000040B0" w:rsidP="000040B0">
    <w:pPr>
      <w:jc w:val="center"/>
      <w:rPr>
        <w:sz w:val="15"/>
        <w:szCs w:val="15"/>
      </w:rPr>
    </w:pPr>
    <w:r w:rsidRPr="00637CF0">
      <w:rPr>
        <w:sz w:val="15"/>
        <w:szCs w:val="15"/>
      </w:rPr>
      <w:t>DAVISON VAN CLEVE, P.C.</w:t>
    </w:r>
  </w:p>
  <w:p w:rsidR="000040B0" w:rsidRPr="00637CF0" w:rsidRDefault="000040B0" w:rsidP="000040B0">
    <w:pPr>
      <w:tabs>
        <w:tab w:val="center" w:pos="4680"/>
      </w:tabs>
      <w:jc w:val="center"/>
      <w:rPr>
        <w:sz w:val="15"/>
        <w:szCs w:val="15"/>
      </w:rPr>
    </w:pPr>
    <w:r w:rsidRPr="00637CF0">
      <w:rPr>
        <w:sz w:val="15"/>
        <w:szCs w:val="15"/>
      </w:rPr>
      <w:t>333 S.W. Taylor, Suite 400</w:t>
    </w:r>
  </w:p>
  <w:p w:rsidR="000040B0" w:rsidRPr="00637CF0" w:rsidRDefault="000040B0" w:rsidP="000040B0">
    <w:pPr>
      <w:tabs>
        <w:tab w:val="center" w:pos="4680"/>
      </w:tabs>
      <w:jc w:val="center"/>
      <w:rPr>
        <w:sz w:val="15"/>
        <w:szCs w:val="15"/>
      </w:rPr>
    </w:pPr>
    <w:smartTag w:uri="urn:schemas-microsoft-com:office:smarttags" w:element="place">
      <w:smartTag w:uri="urn:schemas-microsoft-com:office:smarttags" w:element="City">
        <w:r w:rsidRPr="00637CF0">
          <w:rPr>
            <w:sz w:val="15"/>
            <w:szCs w:val="15"/>
          </w:rPr>
          <w:t>Portland</w:t>
        </w:r>
      </w:smartTag>
      <w:r w:rsidRPr="00637CF0">
        <w:rPr>
          <w:sz w:val="15"/>
          <w:szCs w:val="15"/>
        </w:rPr>
        <w:t xml:space="preserve">, </w:t>
      </w:r>
      <w:smartTag w:uri="urn:schemas-microsoft-com:office:smarttags" w:element="State">
        <w:r w:rsidRPr="00637CF0">
          <w:rPr>
            <w:sz w:val="15"/>
            <w:szCs w:val="15"/>
          </w:rPr>
          <w:t>OR</w:t>
        </w:r>
      </w:smartTag>
      <w:r w:rsidRPr="00637CF0">
        <w:rPr>
          <w:sz w:val="15"/>
          <w:szCs w:val="15"/>
        </w:rPr>
        <w:t xml:space="preserve"> </w:t>
      </w:r>
      <w:smartTag w:uri="urn:schemas-microsoft-com:office:smarttags" w:element="PostalCode">
        <w:r w:rsidRPr="00637CF0">
          <w:rPr>
            <w:sz w:val="15"/>
            <w:szCs w:val="15"/>
          </w:rPr>
          <w:t>97204</w:t>
        </w:r>
      </w:smartTag>
    </w:smartTag>
  </w:p>
  <w:p w:rsidR="000040B0" w:rsidRPr="00637CF0" w:rsidRDefault="000040B0" w:rsidP="000040B0">
    <w:pPr>
      <w:tabs>
        <w:tab w:val="center" w:pos="4680"/>
      </w:tabs>
      <w:jc w:val="center"/>
      <w:rPr>
        <w:sz w:val="15"/>
        <w:szCs w:val="15"/>
      </w:rPr>
    </w:pPr>
    <w:r w:rsidRPr="00637CF0">
      <w:rPr>
        <w:sz w:val="15"/>
        <w:szCs w:val="15"/>
      </w:rPr>
      <w:t>Telephone:  (503) 241-7242</w:t>
    </w:r>
  </w:p>
  <w:p w:rsidR="003B710E" w:rsidRPr="00966E57" w:rsidRDefault="003B710E" w:rsidP="00966E57">
    <w:pPr>
      <w:tabs>
        <w:tab w:val="center" w:pos="4680"/>
      </w:tabs>
      <w:jc w:val="center"/>
      <w:rPr>
        <w:rFonts w:ascii="EngraversGothic BT" w:hAnsi="EngraversGothic BT"/>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36" w:rsidRDefault="00D72736" w:rsidP="00C879A0">
      <w:r>
        <w:separator/>
      </w:r>
    </w:p>
  </w:footnote>
  <w:footnote w:type="continuationSeparator" w:id="0">
    <w:p w:rsidR="00D72736" w:rsidRDefault="00D72736" w:rsidP="00C879A0">
      <w:r>
        <w:continuationSeparator/>
      </w:r>
    </w:p>
  </w:footnote>
  <w:footnote w:id="1">
    <w:p w:rsidR="000E7E7B" w:rsidRDefault="000E7E7B">
      <w:pPr>
        <w:pStyle w:val="FootnoteText"/>
      </w:pPr>
      <w:r w:rsidRPr="000E7E7B">
        <w:rPr>
          <w:rStyle w:val="FootnoteReference"/>
          <w:u w:val="single"/>
        </w:rPr>
        <w:footnoteRef/>
      </w:r>
      <w:r>
        <w:rPr>
          <w:vertAlign w:val="superscript"/>
        </w:rPr>
        <w:t>/</w:t>
      </w:r>
      <w:r>
        <w:tab/>
      </w:r>
      <w:r w:rsidRPr="000E7E7B">
        <w:t>WAC § 480-07-835</w:t>
      </w:r>
      <w:r>
        <w:t xml:space="preserve">(1). </w:t>
      </w:r>
    </w:p>
  </w:footnote>
  <w:footnote w:id="2">
    <w:p w:rsidR="009D3B2D" w:rsidRDefault="009D3B2D" w:rsidP="009D3B2D">
      <w:pPr>
        <w:pStyle w:val="FootnoteText"/>
      </w:pPr>
      <w:r w:rsidRPr="000E7E7B">
        <w:rPr>
          <w:rStyle w:val="FootnoteReference"/>
          <w:u w:val="single"/>
        </w:rPr>
        <w:footnoteRef/>
      </w:r>
      <w:r>
        <w:rPr>
          <w:vertAlign w:val="superscript"/>
        </w:rPr>
        <w:t>/</w:t>
      </w:r>
      <w:r>
        <w:tab/>
      </w:r>
      <w:r w:rsidR="00661987" w:rsidRPr="00661987">
        <w:rPr>
          <w:u w:val="single"/>
        </w:rPr>
        <w:t>See</w:t>
      </w:r>
      <w:r w:rsidR="00661987">
        <w:t xml:space="preserve"> </w:t>
      </w:r>
      <w:r w:rsidRPr="000E7E7B">
        <w:t>WAC § 480-07-835</w:t>
      </w:r>
      <w:r>
        <w:t xml:space="preserve">(2). </w:t>
      </w:r>
    </w:p>
  </w:footnote>
  <w:footnote w:id="3">
    <w:p w:rsidR="00F658A8" w:rsidRDefault="00F658A8" w:rsidP="00F658A8">
      <w:pPr>
        <w:pStyle w:val="FootnoteText"/>
      </w:pPr>
      <w:r w:rsidRPr="000E7E7B">
        <w:rPr>
          <w:rStyle w:val="FootnoteReference"/>
          <w:u w:val="single"/>
        </w:rPr>
        <w:footnoteRef/>
      </w:r>
      <w:r>
        <w:rPr>
          <w:vertAlign w:val="superscript"/>
        </w:rPr>
        <w:t>/</w:t>
      </w:r>
      <w:r>
        <w:tab/>
      </w:r>
      <w:r>
        <w:rPr>
          <w:u w:val="single"/>
        </w:rPr>
        <w:t>WUTC v. PacifiCorp</w:t>
      </w:r>
      <w:r>
        <w:t>, Dockets UE-061546 and UE-060817, Order 10 at ¶</w:t>
      </w:r>
      <w:r w:rsidR="0083059E">
        <w:t>¶</w:t>
      </w:r>
      <w:r>
        <w:t xml:space="preserve"> 7</w:t>
      </w:r>
      <w:r w:rsidR="0083059E">
        <w:t>, 13</w:t>
      </w:r>
      <w:r>
        <w:t xml:space="preserve"> (July 5, 2007)</w:t>
      </w:r>
      <w:r w:rsidRPr="00A11025">
        <w:t>.</w:t>
      </w:r>
      <w:r>
        <w:t xml:space="preserve"> </w:t>
      </w:r>
    </w:p>
  </w:footnote>
  <w:footnote w:id="4">
    <w:p w:rsidR="00F658A8" w:rsidRDefault="00F658A8" w:rsidP="00F658A8">
      <w:pPr>
        <w:pStyle w:val="FootnoteText"/>
      </w:pPr>
      <w:r w:rsidRPr="000E7E7B">
        <w:rPr>
          <w:rStyle w:val="FootnoteReference"/>
          <w:u w:val="single"/>
        </w:rPr>
        <w:footnoteRef/>
      </w:r>
      <w:r>
        <w:rPr>
          <w:vertAlign w:val="superscript"/>
        </w:rPr>
        <w:t>/</w:t>
      </w:r>
      <w:r>
        <w:tab/>
      </w:r>
      <w:r>
        <w:rPr>
          <w:u w:val="single"/>
        </w:rPr>
        <w:t>Id.</w:t>
      </w:r>
      <w:r>
        <w:t xml:space="preserve"> at ¶ 10</w:t>
      </w:r>
      <w:r w:rsidRPr="00A11025">
        <w:t>.</w:t>
      </w:r>
      <w:r>
        <w:t xml:space="preserve"> </w:t>
      </w:r>
    </w:p>
  </w:footnote>
  <w:footnote w:id="5">
    <w:p w:rsidR="00B87750" w:rsidRDefault="00B87750" w:rsidP="00B87750">
      <w:pPr>
        <w:pStyle w:val="FootnoteText"/>
      </w:pPr>
      <w:r w:rsidRPr="000E7E7B">
        <w:rPr>
          <w:rStyle w:val="FootnoteReference"/>
          <w:u w:val="single"/>
        </w:rPr>
        <w:footnoteRef/>
      </w:r>
      <w:r>
        <w:rPr>
          <w:vertAlign w:val="superscript"/>
        </w:rPr>
        <w:t>/</w:t>
      </w:r>
      <w:r>
        <w:tab/>
      </w:r>
      <w:r>
        <w:rPr>
          <w:u w:val="single"/>
        </w:rPr>
        <w:t>Id.</w:t>
      </w:r>
      <w:r>
        <w:t xml:space="preserve">  </w:t>
      </w:r>
    </w:p>
  </w:footnote>
  <w:footnote w:id="6">
    <w:p w:rsidR="00B87750" w:rsidRDefault="00B87750" w:rsidP="00B87750">
      <w:pPr>
        <w:pStyle w:val="FootnoteText"/>
      </w:pPr>
      <w:r w:rsidRPr="000E7E7B">
        <w:rPr>
          <w:rStyle w:val="FootnoteReference"/>
          <w:u w:val="single"/>
        </w:rPr>
        <w:footnoteRef/>
      </w:r>
      <w:r>
        <w:rPr>
          <w:vertAlign w:val="superscript"/>
        </w:rPr>
        <w:t>/</w:t>
      </w:r>
      <w:r>
        <w:tab/>
      </w:r>
      <w:r>
        <w:rPr>
          <w:u w:val="single"/>
        </w:rPr>
        <w:t>Id.</w:t>
      </w:r>
      <w:r>
        <w:t xml:space="preserve">  </w:t>
      </w:r>
    </w:p>
  </w:footnote>
  <w:footnote w:id="7">
    <w:p w:rsidR="00120288" w:rsidRDefault="00120288" w:rsidP="00120288">
      <w:pPr>
        <w:pStyle w:val="FootnoteText"/>
        <w:ind w:left="720" w:hanging="720"/>
      </w:pPr>
      <w:r w:rsidRPr="000E7E7B">
        <w:rPr>
          <w:rStyle w:val="FootnoteReference"/>
          <w:u w:val="single"/>
        </w:rPr>
        <w:footnoteRef/>
      </w:r>
      <w:r>
        <w:rPr>
          <w:vertAlign w:val="superscript"/>
        </w:rPr>
        <w:t>/</w:t>
      </w:r>
      <w:r>
        <w:tab/>
        <w:t xml:space="preserve">Order 05 at ¶ 135 &amp; n.201.  </w:t>
      </w:r>
      <w:r w:rsidRPr="000B70E9">
        <w:t xml:space="preserve">Staff’s attrition revenue requirement was supplemented by </w:t>
      </w:r>
      <w:r>
        <w:t>Christopher</w:t>
      </w:r>
      <w:r w:rsidRPr="000B70E9">
        <w:t xml:space="preserve"> McGuire </w:t>
      </w:r>
      <w:r>
        <w:t>at</w:t>
      </w:r>
      <w:r w:rsidRPr="000B70E9">
        <w:t xml:space="preserve"> hearing and late</w:t>
      </w:r>
      <w:r>
        <w:t>r provided as CRM-2 Revised, supporting</w:t>
      </w:r>
      <w:r w:rsidRPr="000B70E9">
        <w:t xml:space="preserve"> an attrition revenue requirement reduction of $6.5 million.</w:t>
      </w:r>
    </w:p>
  </w:footnote>
  <w:footnote w:id="8">
    <w:p w:rsidR="006E53F9" w:rsidRDefault="006E53F9" w:rsidP="006E53F9">
      <w:pPr>
        <w:pStyle w:val="FootnoteText"/>
      </w:pPr>
      <w:r w:rsidRPr="009942D3">
        <w:rPr>
          <w:rStyle w:val="FootnoteReference"/>
          <w:u w:val="single"/>
        </w:rPr>
        <w:footnoteRef/>
      </w:r>
      <w:r w:rsidRPr="009942D3">
        <w:rPr>
          <w:vertAlign w:val="superscript"/>
        </w:rPr>
        <w:t>/</w:t>
      </w:r>
      <w:r>
        <w:t xml:space="preserve"> </w:t>
      </w:r>
      <w:r>
        <w:tab/>
      </w:r>
      <w:r w:rsidRPr="006E53F9">
        <w:t xml:space="preserve">Order 05 at </w:t>
      </w:r>
      <w:r>
        <w:t>¶ 140.</w:t>
      </w:r>
    </w:p>
  </w:footnote>
  <w:footnote w:id="9">
    <w:p w:rsidR="00E83FD3" w:rsidRDefault="00E83FD3" w:rsidP="00E83FD3">
      <w:pPr>
        <w:pStyle w:val="FootnoteText"/>
        <w:ind w:left="720" w:hanging="720"/>
      </w:pPr>
      <w:r w:rsidRPr="000E7E7B">
        <w:rPr>
          <w:rStyle w:val="FootnoteReference"/>
          <w:u w:val="single"/>
        </w:rPr>
        <w:footnoteRef/>
      </w:r>
      <w:r>
        <w:rPr>
          <w:vertAlign w:val="superscript"/>
        </w:rPr>
        <w:t>/</w:t>
      </w:r>
      <w:r>
        <w:tab/>
      </w:r>
      <w:r w:rsidR="006E53F9" w:rsidRPr="006E53F9">
        <w:rPr>
          <w:u w:val="single"/>
        </w:rPr>
        <w:t>Id.</w:t>
      </w:r>
      <w:r w:rsidR="006E53F9" w:rsidRPr="006E53F9">
        <w:t xml:space="preserve"> at </w:t>
      </w:r>
      <w:r>
        <w:t>¶ 136.</w:t>
      </w:r>
    </w:p>
  </w:footnote>
  <w:footnote w:id="10">
    <w:p w:rsidR="00E83FD3" w:rsidRDefault="00E83FD3" w:rsidP="00E83FD3">
      <w:pPr>
        <w:pStyle w:val="FootnoteText"/>
        <w:ind w:left="720" w:hanging="720"/>
      </w:pPr>
      <w:r w:rsidRPr="000E7E7B">
        <w:rPr>
          <w:rStyle w:val="FootnoteReference"/>
          <w:u w:val="single"/>
        </w:rPr>
        <w:footnoteRef/>
      </w:r>
      <w:r>
        <w:rPr>
          <w:vertAlign w:val="superscript"/>
        </w:rPr>
        <w:t>/</w:t>
      </w:r>
      <w:r>
        <w:tab/>
      </w:r>
      <w:r w:rsidRPr="00E83FD3">
        <w:rPr>
          <w:u w:val="single"/>
        </w:rPr>
        <w:t>Id.</w:t>
      </w:r>
      <w:r>
        <w:t xml:space="preserve"> at ¶¶ 137-140.</w:t>
      </w:r>
    </w:p>
  </w:footnote>
  <w:footnote w:id="11">
    <w:p w:rsidR="00E83FD3" w:rsidRDefault="00E83FD3" w:rsidP="00E83FD3">
      <w:pPr>
        <w:pStyle w:val="FootnoteText"/>
        <w:ind w:left="720" w:hanging="720"/>
      </w:pPr>
      <w:r w:rsidRPr="000E7E7B">
        <w:rPr>
          <w:rStyle w:val="FootnoteReference"/>
          <w:u w:val="single"/>
        </w:rPr>
        <w:footnoteRef/>
      </w:r>
      <w:r>
        <w:rPr>
          <w:vertAlign w:val="superscript"/>
        </w:rPr>
        <w:t>/</w:t>
      </w:r>
      <w:r>
        <w:tab/>
      </w:r>
      <w:r w:rsidRPr="00E83FD3">
        <w:rPr>
          <w:u w:val="single"/>
        </w:rPr>
        <w:t>Id.</w:t>
      </w:r>
      <w:r>
        <w:t xml:space="preserve"> at ¶¶ </w:t>
      </w:r>
      <w:r w:rsidR="008F2222">
        <w:t>174, 299</w:t>
      </w:r>
      <w:r>
        <w:t>.</w:t>
      </w:r>
    </w:p>
  </w:footnote>
  <w:footnote w:id="12">
    <w:p w:rsidR="008F2222" w:rsidRDefault="008F2222" w:rsidP="008F2222">
      <w:pPr>
        <w:pStyle w:val="FootnoteText"/>
        <w:ind w:left="720" w:hanging="720"/>
      </w:pPr>
      <w:r w:rsidRPr="000E7E7B">
        <w:rPr>
          <w:rStyle w:val="FootnoteReference"/>
          <w:u w:val="single"/>
        </w:rPr>
        <w:footnoteRef/>
      </w:r>
      <w:r>
        <w:rPr>
          <w:vertAlign w:val="superscript"/>
        </w:rPr>
        <w:t>/</w:t>
      </w:r>
      <w:r>
        <w:tab/>
      </w:r>
      <w:r w:rsidRPr="00E83FD3">
        <w:rPr>
          <w:u w:val="single"/>
        </w:rPr>
        <w:t>Id.</w:t>
      </w:r>
      <w:r>
        <w:t xml:space="preserve"> at App. C, ¶ 5.</w:t>
      </w:r>
    </w:p>
  </w:footnote>
  <w:footnote w:id="13">
    <w:p w:rsidR="008F2222" w:rsidRDefault="008F2222" w:rsidP="008F2222">
      <w:pPr>
        <w:pStyle w:val="FootnoteText"/>
        <w:ind w:left="720" w:hanging="720"/>
      </w:pPr>
      <w:r w:rsidRPr="000E7E7B">
        <w:rPr>
          <w:rStyle w:val="FootnoteReference"/>
          <w:u w:val="single"/>
        </w:rPr>
        <w:footnoteRef/>
      </w:r>
      <w:r>
        <w:rPr>
          <w:vertAlign w:val="superscript"/>
        </w:rPr>
        <w:t>/</w:t>
      </w:r>
      <w:r>
        <w:tab/>
      </w:r>
      <w:r w:rsidR="008615D5" w:rsidRPr="008615D5">
        <w:rPr>
          <w:u w:val="single"/>
        </w:rPr>
        <w:t>See</w:t>
      </w:r>
      <w:r w:rsidR="008615D5">
        <w:t xml:space="preserve"> Docket UE-150204, Power Supply on behalf of Avista (Oct. 29, 2016)</w:t>
      </w:r>
      <w:r w:rsidRPr="008F2222">
        <w:t>.</w:t>
      </w:r>
    </w:p>
  </w:footnote>
  <w:footnote w:id="14">
    <w:p w:rsidR="006C3F1E" w:rsidRPr="006C3F1E" w:rsidRDefault="006C3F1E">
      <w:pPr>
        <w:pStyle w:val="FootnoteText"/>
      </w:pPr>
      <w:r w:rsidRPr="00B5714B">
        <w:rPr>
          <w:rStyle w:val="FootnoteReference"/>
          <w:u w:val="single"/>
        </w:rPr>
        <w:footnoteRef/>
      </w:r>
      <w:r w:rsidR="00B5714B" w:rsidRPr="00B5714B">
        <w:rPr>
          <w:vertAlign w:val="superscript"/>
        </w:rPr>
        <w:t>/</w:t>
      </w:r>
      <w:r>
        <w:t xml:space="preserve"> </w:t>
      </w:r>
      <w:r>
        <w:tab/>
      </w:r>
      <w:r>
        <w:rPr>
          <w:u w:val="single"/>
        </w:rPr>
        <w:t>WUTC v. Avista Corp. d/b/a Avista Utilities</w:t>
      </w:r>
      <w:r>
        <w:t xml:space="preserve">, Dockets UE-120436 and UG-120437, Order 09 at ¶ 21 </w:t>
      </w:r>
      <w:r w:rsidR="00B5714B">
        <w:tab/>
      </w:r>
      <w:r w:rsidR="00932CBC">
        <w:t>(Dec.</w:t>
      </w:r>
      <w:r>
        <w:t xml:space="preserve"> 26,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380"/>
    <w:multiLevelType w:val="hybridMultilevel"/>
    <w:tmpl w:val="A1EC6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68931D5B"/>
    <w:multiLevelType w:val="hybridMultilevel"/>
    <w:tmpl w:val="89260D94"/>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 Van Cleve">
    <w15:presenceInfo w15:providerId="Windows Live" w15:userId="2c3c0315256b35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A0"/>
    <w:rsid w:val="000040B0"/>
    <w:rsid w:val="000930AA"/>
    <w:rsid w:val="000957A5"/>
    <w:rsid w:val="000B70E9"/>
    <w:rsid w:val="000E7E7B"/>
    <w:rsid w:val="000F5DA9"/>
    <w:rsid w:val="000F5FA9"/>
    <w:rsid w:val="001020D8"/>
    <w:rsid w:val="00120288"/>
    <w:rsid w:val="00136ABE"/>
    <w:rsid w:val="00142332"/>
    <w:rsid w:val="00191FA8"/>
    <w:rsid w:val="001C3EF3"/>
    <w:rsid w:val="001C6437"/>
    <w:rsid w:val="001F5847"/>
    <w:rsid w:val="002459CA"/>
    <w:rsid w:val="00265D5D"/>
    <w:rsid w:val="002924ED"/>
    <w:rsid w:val="002B79EE"/>
    <w:rsid w:val="002D0334"/>
    <w:rsid w:val="002E226F"/>
    <w:rsid w:val="002E3058"/>
    <w:rsid w:val="002F1F3E"/>
    <w:rsid w:val="00301FA0"/>
    <w:rsid w:val="0030244C"/>
    <w:rsid w:val="00335093"/>
    <w:rsid w:val="00353636"/>
    <w:rsid w:val="003929D3"/>
    <w:rsid w:val="003A7219"/>
    <w:rsid w:val="003B710E"/>
    <w:rsid w:val="003B7AA7"/>
    <w:rsid w:val="003D0E2F"/>
    <w:rsid w:val="003D11E4"/>
    <w:rsid w:val="003E193D"/>
    <w:rsid w:val="003E633A"/>
    <w:rsid w:val="00412202"/>
    <w:rsid w:val="00425EEA"/>
    <w:rsid w:val="004502A3"/>
    <w:rsid w:val="00467425"/>
    <w:rsid w:val="004D0A18"/>
    <w:rsid w:val="004D6C8F"/>
    <w:rsid w:val="004E4891"/>
    <w:rsid w:val="005448D3"/>
    <w:rsid w:val="005474B3"/>
    <w:rsid w:val="005A06FA"/>
    <w:rsid w:val="005A7608"/>
    <w:rsid w:val="005F4257"/>
    <w:rsid w:val="0063704C"/>
    <w:rsid w:val="00637C6D"/>
    <w:rsid w:val="00660986"/>
    <w:rsid w:val="006611E6"/>
    <w:rsid w:val="00661987"/>
    <w:rsid w:val="00684B27"/>
    <w:rsid w:val="00695016"/>
    <w:rsid w:val="006C1DBD"/>
    <w:rsid w:val="006C3F1E"/>
    <w:rsid w:val="006E53F9"/>
    <w:rsid w:val="00701E45"/>
    <w:rsid w:val="007049B2"/>
    <w:rsid w:val="007205B1"/>
    <w:rsid w:val="007359C8"/>
    <w:rsid w:val="00735E4B"/>
    <w:rsid w:val="00754222"/>
    <w:rsid w:val="00756179"/>
    <w:rsid w:val="007701AF"/>
    <w:rsid w:val="00807BF9"/>
    <w:rsid w:val="00811124"/>
    <w:rsid w:val="0083059E"/>
    <w:rsid w:val="008360F3"/>
    <w:rsid w:val="0084663C"/>
    <w:rsid w:val="008466C9"/>
    <w:rsid w:val="008615D5"/>
    <w:rsid w:val="008768C7"/>
    <w:rsid w:val="00882B22"/>
    <w:rsid w:val="00890BF6"/>
    <w:rsid w:val="008A7C14"/>
    <w:rsid w:val="008B732F"/>
    <w:rsid w:val="008E64BB"/>
    <w:rsid w:val="008F2222"/>
    <w:rsid w:val="008F3ACA"/>
    <w:rsid w:val="0091226A"/>
    <w:rsid w:val="00931F75"/>
    <w:rsid w:val="00932CBC"/>
    <w:rsid w:val="00960F89"/>
    <w:rsid w:val="00960FD2"/>
    <w:rsid w:val="00961822"/>
    <w:rsid w:val="00963560"/>
    <w:rsid w:val="00966E57"/>
    <w:rsid w:val="009D3B2D"/>
    <w:rsid w:val="00A11025"/>
    <w:rsid w:val="00A13BE0"/>
    <w:rsid w:val="00A14362"/>
    <w:rsid w:val="00A3083E"/>
    <w:rsid w:val="00A44487"/>
    <w:rsid w:val="00A6349E"/>
    <w:rsid w:val="00A73E45"/>
    <w:rsid w:val="00A90661"/>
    <w:rsid w:val="00AA36AD"/>
    <w:rsid w:val="00AC3A92"/>
    <w:rsid w:val="00AD228B"/>
    <w:rsid w:val="00AD7003"/>
    <w:rsid w:val="00B02F68"/>
    <w:rsid w:val="00B570D7"/>
    <w:rsid w:val="00B5714B"/>
    <w:rsid w:val="00B87750"/>
    <w:rsid w:val="00B925A3"/>
    <w:rsid w:val="00BA126E"/>
    <w:rsid w:val="00BB09EA"/>
    <w:rsid w:val="00BC5D37"/>
    <w:rsid w:val="00C10919"/>
    <w:rsid w:val="00C12955"/>
    <w:rsid w:val="00C368B3"/>
    <w:rsid w:val="00C55BBC"/>
    <w:rsid w:val="00C64BB9"/>
    <w:rsid w:val="00C70E2E"/>
    <w:rsid w:val="00C85F0B"/>
    <w:rsid w:val="00C879A0"/>
    <w:rsid w:val="00D0573D"/>
    <w:rsid w:val="00D148A0"/>
    <w:rsid w:val="00D27010"/>
    <w:rsid w:val="00D32780"/>
    <w:rsid w:val="00D72736"/>
    <w:rsid w:val="00DB1AE8"/>
    <w:rsid w:val="00DD5282"/>
    <w:rsid w:val="00DE2AC9"/>
    <w:rsid w:val="00DF5C38"/>
    <w:rsid w:val="00E01EEA"/>
    <w:rsid w:val="00E708AD"/>
    <w:rsid w:val="00E83FD3"/>
    <w:rsid w:val="00E924D7"/>
    <w:rsid w:val="00EC6E9C"/>
    <w:rsid w:val="00ED5CB8"/>
    <w:rsid w:val="00F20F44"/>
    <w:rsid w:val="00F53CC2"/>
    <w:rsid w:val="00F658A8"/>
    <w:rsid w:val="00F76B53"/>
    <w:rsid w:val="00F96F2E"/>
    <w:rsid w:val="00FC2A5F"/>
    <w:rsid w:val="00FD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hon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191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link w:val="WUTCParagraphChar"/>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879A0"/>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879A0"/>
    <w:rPr>
      <w:rFonts w:eastAsia="Times New Roman"/>
      <w:color w:val="000000"/>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191FA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rsid w:val="00191FA8"/>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semiHidden/>
    <w:rsid w:val="00191FA8"/>
    <w:rPr>
      <w:rFonts w:ascii="Courier" w:eastAsia="Times New Roman" w:hAnsi="Courier"/>
      <w:szCs w:val="20"/>
    </w:rPr>
  </w:style>
  <w:style w:type="paragraph" w:customStyle="1" w:styleId="wfxRecipient">
    <w:name w:val="wfxRecipient"/>
    <w:basedOn w:val="Normal"/>
    <w:uiPriority w:val="99"/>
    <w:rsid w:val="00191FA8"/>
    <w:pPr>
      <w:overflowPunct w:val="0"/>
      <w:autoSpaceDE w:val="0"/>
      <w:autoSpaceDN w:val="0"/>
      <w:adjustRightInd w:val="0"/>
      <w:textAlignment w:val="baseline"/>
    </w:pPr>
    <w:rPr>
      <w:rFonts w:ascii="Univers" w:hAnsi="Univers"/>
      <w:color w:val="auto"/>
      <w:szCs w:val="24"/>
    </w:rPr>
  </w:style>
  <w:style w:type="character" w:customStyle="1" w:styleId="WUTCParagraphChar">
    <w:name w:val="WUTC Paragraph Char"/>
    <w:link w:val="WUTCParagraph"/>
    <w:rsid w:val="008E64BB"/>
    <w:rPr>
      <w:rFonts w:eastAsia="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191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link w:val="WUTCParagraphChar"/>
    <w:rsid w:val="00C879A0"/>
    <w:pPr>
      <w:numPr>
        <w:numId w:val="1"/>
      </w:numPr>
      <w:tabs>
        <w:tab w:val="left" w:pos="1440"/>
      </w:tabs>
      <w:spacing w:line="480" w:lineRule="auto"/>
    </w:pPr>
  </w:style>
  <w:style w:type="paragraph" w:styleId="Footer">
    <w:name w:val="footer"/>
    <w:basedOn w:val="Normal"/>
    <w:link w:val="FooterChar"/>
    <w:uiPriority w:val="99"/>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879A0"/>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879A0"/>
    <w:rPr>
      <w:rFonts w:eastAsia="Times New Roman"/>
      <w:color w:val="000000"/>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rsid w:val="00C879A0"/>
    <w:rPr>
      <w:vertAlign w:val="superscript"/>
    </w:rPr>
  </w:style>
  <w:style w:type="character" w:styleId="PageNumber">
    <w:name w:val="page number"/>
    <w:basedOn w:val="DefaultParagraphFont"/>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191FA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rsid w:val="00191FA8"/>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semiHidden/>
    <w:rsid w:val="00191FA8"/>
    <w:rPr>
      <w:rFonts w:ascii="Courier" w:eastAsia="Times New Roman" w:hAnsi="Courier"/>
      <w:szCs w:val="20"/>
    </w:rPr>
  </w:style>
  <w:style w:type="paragraph" w:customStyle="1" w:styleId="wfxRecipient">
    <w:name w:val="wfxRecipient"/>
    <w:basedOn w:val="Normal"/>
    <w:uiPriority w:val="99"/>
    <w:rsid w:val="00191FA8"/>
    <w:pPr>
      <w:overflowPunct w:val="0"/>
      <w:autoSpaceDE w:val="0"/>
      <w:autoSpaceDN w:val="0"/>
      <w:adjustRightInd w:val="0"/>
      <w:textAlignment w:val="baseline"/>
    </w:pPr>
    <w:rPr>
      <w:rFonts w:ascii="Univers" w:hAnsi="Univers"/>
      <w:color w:val="auto"/>
      <w:szCs w:val="24"/>
    </w:rPr>
  </w:style>
  <w:style w:type="character" w:customStyle="1" w:styleId="WUTCParagraphChar">
    <w:name w:val="WUTC Paragraph Char"/>
    <w:link w:val="WUTCParagraph"/>
    <w:rsid w:val="008E64BB"/>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customXml" Target="../customXml/item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99E0010-9AB4-4405-9E92-07D32272A994}"/>
</file>

<file path=customXml/itemProps2.xml><?xml version="1.0" encoding="utf-8"?>
<ds:datastoreItem xmlns:ds="http://schemas.openxmlformats.org/officeDocument/2006/customXml" ds:itemID="{C0B81773-3F8C-4683-9788-546A6D0DA0CA}"/>
</file>

<file path=customXml/itemProps3.xml><?xml version="1.0" encoding="utf-8"?>
<ds:datastoreItem xmlns:ds="http://schemas.openxmlformats.org/officeDocument/2006/customXml" ds:itemID="{DF846CB5-C6CE-4556-B151-D6E32B6016C4}"/>
</file>

<file path=customXml/itemProps4.xml><?xml version="1.0" encoding="utf-8"?>
<ds:datastoreItem xmlns:ds="http://schemas.openxmlformats.org/officeDocument/2006/customXml" ds:itemID="{852402A8-F769-411D-BE19-5439B167F812}"/>
</file>

<file path=customXml/itemProps5.xml><?xml version="1.0" encoding="utf-8"?>
<ds:datastoreItem xmlns:ds="http://schemas.openxmlformats.org/officeDocument/2006/customXml" ds:itemID="{64186899-0C19-4889-9254-785790271FC7}"/>
</file>

<file path=docProps/app.xml><?xml version="1.0" encoding="utf-8"?>
<Properties xmlns="http://schemas.openxmlformats.org/officeDocument/2006/extended-properties" xmlns:vt="http://schemas.openxmlformats.org/officeDocument/2006/docPropsVTypes">
  <Template>Normal</Template>
  <TotalTime>16</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E. Cowell</cp:lastModifiedBy>
  <cp:revision>8</cp:revision>
  <cp:lastPrinted>2016-01-19T17:11:00Z</cp:lastPrinted>
  <dcterms:created xsi:type="dcterms:W3CDTF">2016-01-19T17:11:00Z</dcterms:created>
  <dcterms:modified xsi:type="dcterms:W3CDTF">2016-01-19T17:25:00Z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0x0101006E56B4D1795A2E4DB2F0B01679ED314A0097FA5D4F63E4AB4AAE35AF92A0E8AE17</vt:lpwstr>
  </property>
  <property fmtid="{D5CDD505-2E9C-101B-9397-08002B2CF9AE}" pid="4" name="_docset_NoMedatataSyncRequired">
    <vt:lpwstr>False</vt:lpwstr>
  </property>
</Properties>
</file>